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oleObject"/>
  <Default Extension="rels" ContentType="application/vnd.openxmlformats-package.relationships+xml"/>
  <Default Extension="emf" ContentType="image/x-emf"/>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rsidR="00595CA6" w:rsidRDefault="00D12B31" w:rsidP="00595CA6">
      <w:pPr>
        <w:spacing w:after="0"/>
        <w:jc w:val="center"/>
        <w:rPr>
          <w:b/>
          <w:kern w:val="32"/>
          <w:sz w:val="28"/>
          <w:u w:val="single"/>
          <w:lang w:bidi="ar-TN"/>
        </w:rPr>
      </w:pPr>
      <w:bookmarkStart w:id="0" w:name="_Toc429359769"/>
      <w:bookmarkStart w:id="1" w:name="_GoBack"/>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49.1pt;margin-top:-39.65pt;width:550.25pt;height:777pt;z-index:251660288;mso-position-horizontal-relative:text;mso-position-vertical-relative:text;mso-width-relative:page;mso-height-relative:page" wrapcoords="-78 55 -78 21491 21600 21491 21600 55 -78 55">
            <v:imagedata r:id="rId9" o:title=""/>
            <w10:wrap type="through"/>
          </v:shape>
          <o:OLEObject Type="Embed" ProgID="CorelDraw.Graphic.17" ShapeID="_x0000_s1027" DrawAspect="Content" ObjectID="_1401091154" r:id="rId10"/>
        </w:pict>
      </w:r>
      <w:bookmarkEnd w:id="1"/>
    </w:p>
    <w:p w:rsidR="00595CA6" w:rsidRDefault="00595CA6" w:rsidP="00595CA6">
      <w:pPr>
        <w:spacing w:after="0"/>
        <w:jc w:val="center"/>
        <w:rPr>
          <w:b/>
          <w:kern w:val="32"/>
          <w:sz w:val="28"/>
          <w:u w:val="single"/>
          <w:lang w:bidi="ar-TN"/>
        </w:rPr>
      </w:pPr>
    </w:p>
    <w:p w:rsidR="00801BF0" w:rsidRPr="00E41DE8" w:rsidRDefault="00801BF0" w:rsidP="00E41DE8">
      <w:pPr>
        <w:pBdr>
          <w:top w:val="single" w:sz="4" w:space="1" w:color="auto"/>
          <w:left w:val="single" w:sz="4" w:space="4" w:color="auto"/>
          <w:bottom w:val="single" w:sz="4" w:space="1" w:color="auto"/>
          <w:right w:val="single" w:sz="4" w:space="4" w:color="auto"/>
        </w:pBdr>
        <w:shd w:val="clear" w:color="auto" w:fill="1F497D" w:themeFill="text2"/>
        <w:spacing w:after="200" w:line="276" w:lineRule="auto"/>
        <w:jc w:val="center"/>
        <w:rPr>
          <w:b/>
          <w:color w:val="FFFFFF" w:themeColor="background1"/>
          <w:kern w:val="32"/>
          <w:sz w:val="24"/>
          <w:lang w:bidi="ar-TN"/>
        </w:rPr>
      </w:pPr>
      <w:r w:rsidRPr="00A22CAA">
        <w:rPr>
          <w:b/>
          <w:color w:val="FFFFFF" w:themeColor="background1"/>
          <w:kern w:val="32"/>
          <w:sz w:val="24"/>
          <w:lang w:bidi="ar-TN"/>
        </w:rPr>
        <w:t>TABLE  DES  MATIERES</w:t>
      </w:r>
    </w:p>
    <w:p w:rsidR="00801BF0" w:rsidRDefault="00801BF0">
      <w:pPr>
        <w:spacing w:after="200" w:line="276" w:lineRule="auto"/>
        <w:jc w:val="left"/>
        <w:rPr>
          <w:b/>
          <w:kern w:val="32"/>
          <w:sz w:val="28"/>
          <w:u w:val="single"/>
          <w:lang w:bidi="ar-TN"/>
        </w:rPr>
      </w:pPr>
    </w:p>
    <w:p w:rsidR="00C0034D" w:rsidRDefault="00B023DC">
      <w:pPr>
        <w:pStyle w:val="TOC1"/>
        <w:rPr>
          <w:rFonts w:asciiTheme="minorHAnsi" w:eastAsiaTheme="minorEastAsia" w:hAnsiTheme="minorHAnsi" w:cstheme="minorBidi"/>
          <w:b w:val="0"/>
          <w:bCs w:val="0"/>
          <w:caps w:val="0"/>
          <w:kern w:val="0"/>
          <w:sz w:val="22"/>
          <w:szCs w:val="22"/>
          <w:lang w:val="fr-BE" w:eastAsia="fr-BE" w:bidi="ar-SA"/>
        </w:rPr>
      </w:pPr>
      <w:r>
        <w:rPr>
          <w:b w:val="0"/>
          <w:sz w:val="28"/>
          <w:u w:val="single"/>
        </w:rPr>
        <w:fldChar w:fldCharType="begin"/>
      </w:r>
      <w:r w:rsidR="00801BF0">
        <w:rPr>
          <w:b w:val="0"/>
          <w:sz w:val="28"/>
          <w:u w:val="single"/>
        </w:rPr>
        <w:instrText xml:space="preserve"> TOC \o "1-2" \h \z \u </w:instrText>
      </w:r>
      <w:r>
        <w:rPr>
          <w:b w:val="0"/>
          <w:sz w:val="28"/>
          <w:u w:val="single"/>
        </w:rPr>
        <w:fldChar w:fldCharType="separate"/>
      </w:r>
      <w:hyperlink w:anchor="_Toc451431091" w:history="1">
        <w:r w:rsidR="00C0034D" w:rsidRPr="00D761F2">
          <w:rPr>
            <w:rStyle w:val="Hyperlink"/>
          </w:rPr>
          <w:t>0.</w:t>
        </w:r>
        <w:r w:rsidR="00C0034D">
          <w:rPr>
            <w:rFonts w:asciiTheme="minorHAnsi" w:eastAsiaTheme="minorEastAsia" w:hAnsiTheme="minorHAnsi" w:cstheme="minorBidi"/>
            <w:b w:val="0"/>
            <w:bCs w:val="0"/>
            <w:caps w:val="0"/>
            <w:kern w:val="0"/>
            <w:sz w:val="22"/>
            <w:szCs w:val="22"/>
            <w:lang w:val="fr-BE" w:eastAsia="fr-BE" w:bidi="ar-SA"/>
          </w:rPr>
          <w:tab/>
        </w:r>
        <w:r w:rsidR="00C0034D" w:rsidRPr="00D761F2">
          <w:rPr>
            <w:rStyle w:val="Hyperlink"/>
          </w:rPr>
          <w:t>SOMMAIRE</w:t>
        </w:r>
        <w:r w:rsidR="00C0034D">
          <w:rPr>
            <w:webHidden/>
          </w:rPr>
          <w:tab/>
        </w:r>
        <w:r w:rsidR="00C0034D">
          <w:rPr>
            <w:webHidden/>
          </w:rPr>
          <w:fldChar w:fldCharType="begin"/>
        </w:r>
        <w:r w:rsidR="00C0034D">
          <w:rPr>
            <w:webHidden/>
          </w:rPr>
          <w:instrText xml:space="preserve"> PAGEREF _Toc451431091 \h </w:instrText>
        </w:r>
        <w:r w:rsidR="00C0034D">
          <w:rPr>
            <w:webHidden/>
          </w:rPr>
        </w:r>
        <w:r w:rsidR="00C0034D">
          <w:rPr>
            <w:webHidden/>
          </w:rPr>
          <w:fldChar w:fldCharType="separate"/>
        </w:r>
        <w:r w:rsidR="006E3938">
          <w:rPr>
            <w:webHidden/>
          </w:rPr>
          <w:t>4</w:t>
        </w:r>
        <w:r w:rsidR="00C0034D">
          <w:rPr>
            <w:webHidden/>
          </w:rPr>
          <w:fldChar w:fldCharType="end"/>
        </w:r>
      </w:hyperlink>
    </w:p>
    <w:p w:rsidR="00C0034D" w:rsidRDefault="00D12B31">
      <w:pPr>
        <w:pStyle w:val="TOC1"/>
        <w:rPr>
          <w:rFonts w:asciiTheme="minorHAnsi" w:eastAsiaTheme="minorEastAsia" w:hAnsiTheme="minorHAnsi" w:cstheme="minorBidi"/>
          <w:b w:val="0"/>
          <w:bCs w:val="0"/>
          <w:caps w:val="0"/>
          <w:kern w:val="0"/>
          <w:sz w:val="22"/>
          <w:szCs w:val="22"/>
          <w:lang w:val="fr-BE" w:eastAsia="fr-BE" w:bidi="ar-SA"/>
        </w:rPr>
      </w:pPr>
      <w:hyperlink w:anchor="_Toc451431092" w:history="1">
        <w:r w:rsidR="00C0034D" w:rsidRPr="00D761F2">
          <w:rPr>
            <w:rStyle w:val="Hyperlink"/>
          </w:rPr>
          <w:t>1.</w:t>
        </w:r>
        <w:r w:rsidR="00C0034D">
          <w:rPr>
            <w:rFonts w:asciiTheme="minorHAnsi" w:eastAsiaTheme="minorEastAsia" w:hAnsiTheme="minorHAnsi" w:cstheme="minorBidi"/>
            <w:b w:val="0"/>
            <w:bCs w:val="0"/>
            <w:caps w:val="0"/>
            <w:kern w:val="0"/>
            <w:sz w:val="22"/>
            <w:szCs w:val="22"/>
            <w:lang w:val="fr-BE" w:eastAsia="fr-BE" w:bidi="ar-SA"/>
          </w:rPr>
          <w:tab/>
        </w:r>
        <w:r w:rsidR="00C0034D" w:rsidRPr="00D761F2">
          <w:rPr>
            <w:rStyle w:val="Hyperlink"/>
          </w:rPr>
          <w:t>Introduction</w:t>
        </w:r>
        <w:r w:rsidR="00C0034D">
          <w:rPr>
            <w:webHidden/>
          </w:rPr>
          <w:tab/>
        </w:r>
        <w:r w:rsidR="00C0034D">
          <w:rPr>
            <w:webHidden/>
          </w:rPr>
          <w:fldChar w:fldCharType="begin"/>
        </w:r>
        <w:r w:rsidR="00C0034D">
          <w:rPr>
            <w:webHidden/>
          </w:rPr>
          <w:instrText xml:space="preserve"> PAGEREF _Toc451431092 \h </w:instrText>
        </w:r>
        <w:r w:rsidR="00C0034D">
          <w:rPr>
            <w:webHidden/>
          </w:rPr>
        </w:r>
        <w:r w:rsidR="00C0034D">
          <w:rPr>
            <w:webHidden/>
          </w:rPr>
          <w:fldChar w:fldCharType="separate"/>
        </w:r>
        <w:r w:rsidR="006E3938">
          <w:rPr>
            <w:webHidden/>
          </w:rPr>
          <w:t>5</w:t>
        </w:r>
        <w:r w:rsidR="00C0034D">
          <w:rPr>
            <w:webHidden/>
          </w:rPr>
          <w:fldChar w:fldCharType="end"/>
        </w:r>
      </w:hyperlink>
    </w:p>
    <w:p w:rsidR="00C0034D" w:rsidRDefault="00D12B31">
      <w:pPr>
        <w:pStyle w:val="TOC1"/>
        <w:rPr>
          <w:rFonts w:asciiTheme="minorHAnsi" w:eastAsiaTheme="minorEastAsia" w:hAnsiTheme="minorHAnsi" w:cstheme="minorBidi"/>
          <w:b w:val="0"/>
          <w:bCs w:val="0"/>
          <w:caps w:val="0"/>
          <w:kern w:val="0"/>
          <w:sz w:val="22"/>
          <w:szCs w:val="22"/>
          <w:lang w:val="fr-BE" w:eastAsia="fr-BE" w:bidi="ar-SA"/>
        </w:rPr>
      </w:pPr>
      <w:hyperlink w:anchor="_Toc451431093" w:history="1">
        <w:r w:rsidR="00C0034D" w:rsidRPr="00D761F2">
          <w:rPr>
            <w:rStyle w:val="Hyperlink"/>
          </w:rPr>
          <w:t>2.</w:t>
        </w:r>
        <w:r w:rsidR="00C0034D">
          <w:rPr>
            <w:rFonts w:asciiTheme="minorHAnsi" w:eastAsiaTheme="minorEastAsia" w:hAnsiTheme="minorHAnsi" w:cstheme="minorBidi"/>
            <w:b w:val="0"/>
            <w:bCs w:val="0"/>
            <w:caps w:val="0"/>
            <w:kern w:val="0"/>
            <w:sz w:val="22"/>
            <w:szCs w:val="22"/>
            <w:lang w:val="fr-BE" w:eastAsia="fr-BE" w:bidi="ar-SA"/>
          </w:rPr>
          <w:tab/>
        </w:r>
        <w:r w:rsidR="00C0034D" w:rsidRPr="00D761F2">
          <w:rPr>
            <w:rStyle w:val="Hyperlink"/>
          </w:rPr>
          <w:t>OBJECTIF ET METHODOLOGIE</w:t>
        </w:r>
        <w:r w:rsidR="00C0034D">
          <w:rPr>
            <w:webHidden/>
          </w:rPr>
          <w:tab/>
        </w:r>
        <w:r w:rsidR="00C0034D">
          <w:rPr>
            <w:webHidden/>
          </w:rPr>
          <w:fldChar w:fldCharType="begin"/>
        </w:r>
        <w:r w:rsidR="00C0034D">
          <w:rPr>
            <w:webHidden/>
          </w:rPr>
          <w:instrText xml:space="preserve"> PAGEREF _Toc451431093 \h </w:instrText>
        </w:r>
        <w:r w:rsidR="00C0034D">
          <w:rPr>
            <w:webHidden/>
          </w:rPr>
        </w:r>
        <w:r w:rsidR="00C0034D">
          <w:rPr>
            <w:webHidden/>
          </w:rPr>
          <w:fldChar w:fldCharType="separate"/>
        </w:r>
        <w:r w:rsidR="006E3938">
          <w:rPr>
            <w:webHidden/>
          </w:rPr>
          <w:t>5</w:t>
        </w:r>
        <w:r w:rsidR="00C0034D">
          <w:rPr>
            <w:webHidden/>
          </w:rPr>
          <w:fldChar w:fldCharType="end"/>
        </w:r>
      </w:hyperlink>
    </w:p>
    <w:p w:rsidR="00C0034D" w:rsidRDefault="00D12B31">
      <w:pPr>
        <w:pStyle w:val="TOC2"/>
        <w:rPr>
          <w:rFonts w:asciiTheme="minorHAnsi" w:eastAsiaTheme="minorEastAsia" w:hAnsiTheme="minorHAnsi" w:cstheme="minorBidi"/>
          <w:bCs w:val="0"/>
          <w:kern w:val="0"/>
          <w:sz w:val="22"/>
          <w:szCs w:val="22"/>
          <w:lang w:val="fr-BE" w:eastAsia="fr-BE"/>
        </w:rPr>
      </w:pPr>
      <w:hyperlink w:anchor="_Toc451431094" w:history="1">
        <w:r w:rsidR="00C0034D" w:rsidRPr="00D761F2">
          <w:rPr>
            <w:rStyle w:val="Hyperlink"/>
          </w:rPr>
          <w:t>2.1</w:t>
        </w:r>
        <w:r w:rsidR="00C0034D">
          <w:rPr>
            <w:rFonts w:asciiTheme="minorHAnsi" w:eastAsiaTheme="minorEastAsia" w:hAnsiTheme="minorHAnsi" w:cstheme="minorBidi"/>
            <w:bCs w:val="0"/>
            <w:kern w:val="0"/>
            <w:sz w:val="22"/>
            <w:szCs w:val="22"/>
            <w:lang w:val="fr-BE" w:eastAsia="fr-BE"/>
          </w:rPr>
          <w:tab/>
        </w:r>
        <w:r w:rsidR="00C0034D" w:rsidRPr="00D761F2">
          <w:rPr>
            <w:rStyle w:val="Hyperlink"/>
          </w:rPr>
          <w:t>Objectif</w:t>
        </w:r>
        <w:r w:rsidR="00C0034D">
          <w:rPr>
            <w:webHidden/>
          </w:rPr>
          <w:tab/>
        </w:r>
        <w:r w:rsidR="00C0034D">
          <w:rPr>
            <w:webHidden/>
          </w:rPr>
          <w:fldChar w:fldCharType="begin"/>
        </w:r>
        <w:r w:rsidR="00C0034D">
          <w:rPr>
            <w:webHidden/>
          </w:rPr>
          <w:instrText xml:space="preserve"> PAGEREF _Toc451431094 \h </w:instrText>
        </w:r>
        <w:r w:rsidR="00C0034D">
          <w:rPr>
            <w:webHidden/>
          </w:rPr>
        </w:r>
        <w:r w:rsidR="00C0034D">
          <w:rPr>
            <w:webHidden/>
          </w:rPr>
          <w:fldChar w:fldCharType="separate"/>
        </w:r>
        <w:r w:rsidR="006E3938">
          <w:rPr>
            <w:webHidden/>
          </w:rPr>
          <w:t>5</w:t>
        </w:r>
        <w:r w:rsidR="00C0034D">
          <w:rPr>
            <w:webHidden/>
          </w:rPr>
          <w:fldChar w:fldCharType="end"/>
        </w:r>
      </w:hyperlink>
    </w:p>
    <w:p w:rsidR="00C0034D" w:rsidRDefault="00D12B31">
      <w:pPr>
        <w:pStyle w:val="TOC2"/>
        <w:rPr>
          <w:rFonts w:asciiTheme="minorHAnsi" w:eastAsiaTheme="minorEastAsia" w:hAnsiTheme="minorHAnsi" w:cstheme="minorBidi"/>
          <w:bCs w:val="0"/>
          <w:kern w:val="0"/>
          <w:sz w:val="22"/>
          <w:szCs w:val="22"/>
          <w:lang w:val="fr-BE" w:eastAsia="fr-BE"/>
        </w:rPr>
      </w:pPr>
      <w:hyperlink w:anchor="_Toc451431095" w:history="1">
        <w:r w:rsidR="00C0034D" w:rsidRPr="00D761F2">
          <w:rPr>
            <w:rStyle w:val="Hyperlink"/>
          </w:rPr>
          <w:t>2.2</w:t>
        </w:r>
        <w:r w:rsidR="00C0034D">
          <w:rPr>
            <w:rFonts w:asciiTheme="minorHAnsi" w:eastAsiaTheme="minorEastAsia" w:hAnsiTheme="minorHAnsi" w:cstheme="minorBidi"/>
            <w:bCs w:val="0"/>
            <w:kern w:val="0"/>
            <w:sz w:val="22"/>
            <w:szCs w:val="22"/>
            <w:lang w:val="fr-BE" w:eastAsia="fr-BE"/>
          </w:rPr>
          <w:tab/>
        </w:r>
        <w:r w:rsidR="00C0034D" w:rsidRPr="00D761F2">
          <w:rPr>
            <w:rStyle w:val="Hyperlink"/>
          </w:rPr>
          <w:t>Méthodologie</w:t>
        </w:r>
        <w:r w:rsidR="00C0034D">
          <w:rPr>
            <w:webHidden/>
          </w:rPr>
          <w:tab/>
        </w:r>
        <w:r w:rsidR="00C0034D">
          <w:rPr>
            <w:webHidden/>
          </w:rPr>
          <w:fldChar w:fldCharType="begin"/>
        </w:r>
        <w:r w:rsidR="00C0034D">
          <w:rPr>
            <w:webHidden/>
          </w:rPr>
          <w:instrText xml:space="preserve"> PAGEREF _Toc451431095 \h </w:instrText>
        </w:r>
        <w:r w:rsidR="00C0034D">
          <w:rPr>
            <w:webHidden/>
          </w:rPr>
        </w:r>
        <w:r w:rsidR="00C0034D">
          <w:rPr>
            <w:webHidden/>
          </w:rPr>
          <w:fldChar w:fldCharType="separate"/>
        </w:r>
        <w:r w:rsidR="006E3938">
          <w:rPr>
            <w:webHidden/>
          </w:rPr>
          <w:t>6</w:t>
        </w:r>
        <w:r w:rsidR="00C0034D">
          <w:rPr>
            <w:webHidden/>
          </w:rPr>
          <w:fldChar w:fldCharType="end"/>
        </w:r>
      </w:hyperlink>
    </w:p>
    <w:p w:rsidR="00C0034D" w:rsidRDefault="00D12B31">
      <w:pPr>
        <w:pStyle w:val="TOC2"/>
        <w:rPr>
          <w:rFonts w:asciiTheme="minorHAnsi" w:eastAsiaTheme="minorEastAsia" w:hAnsiTheme="minorHAnsi" w:cstheme="minorBidi"/>
          <w:bCs w:val="0"/>
          <w:kern w:val="0"/>
          <w:sz w:val="22"/>
          <w:szCs w:val="22"/>
          <w:lang w:val="fr-BE" w:eastAsia="fr-BE"/>
        </w:rPr>
      </w:pPr>
      <w:hyperlink w:anchor="_Toc451431096" w:history="1">
        <w:r w:rsidR="00C0034D" w:rsidRPr="00D761F2">
          <w:rPr>
            <w:rStyle w:val="Hyperlink"/>
          </w:rPr>
          <w:t>2.3</w:t>
        </w:r>
        <w:r w:rsidR="00C0034D">
          <w:rPr>
            <w:rFonts w:asciiTheme="minorHAnsi" w:eastAsiaTheme="minorEastAsia" w:hAnsiTheme="minorHAnsi" w:cstheme="minorBidi"/>
            <w:bCs w:val="0"/>
            <w:kern w:val="0"/>
            <w:sz w:val="22"/>
            <w:szCs w:val="22"/>
            <w:lang w:val="fr-BE" w:eastAsia="fr-BE"/>
          </w:rPr>
          <w:tab/>
        </w:r>
        <w:r w:rsidR="00C0034D" w:rsidRPr="00D761F2">
          <w:rPr>
            <w:rStyle w:val="Hyperlink"/>
          </w:rPr>
          <w:t>Industries Extractives concernées</w:t>
        </w:r>
        <w:r w:rsidR="00C0034D">
          <w:rPr>
            <w:webHidden/>
          </w:rPr>
          <w:tab/>
        </w:r>
        <w:r w:rsidR="00C0034D">
          <w:rPr>
            <w:webHidden/>
          </w:rPr>
          <w:fldChar w:fldCharType="begin"/>
        </w:r>
        <w:r w:rsidR="00C0034D">
          <w:rPr>
            <w:webHidden/>
          </w:rPr>
          <w:instrText xml:space="preserve"> PAGEREF _Toc451431096 \h </w:instrText>
        </w:r>
        <w:r w:rsidR="00C0034D">
          <w:rPr>
            <w:webHidden/>
          </w:rPr>
        </w:r>
        <w:r w:rsidR="00C0034D">
          <w:rPr>
            <w:webHidden/>
          </w:rPr>
          <w:fldChar w:fldCharType="separate"/>
        </w:r>
        <w:r w:rsidR="006E3938">
          <w:rPr>
            <w:webHidden/>
          </w:rPr>
          <w:t>7</w:t>
        </w:r>
        <w:r w:rsidR="00C0034D">
          <w:rPr>
            <w:webHidden/>
          </w:rPr>
          <w:fldChar w:fldCharType="end"/>
        </w:r>
      </w:hyperlink>
    </w:p>
    <w:p w:rsidR="00C0034D" w:rsidRDefault="00D12B31">
      <w:pPr>
        <w:pStyle w:val="TOC2"/>
        <w:rPr>
          <w:rFonts w:asciiTheme="minorHAnsi" w:eastAsiaTheme="minorEastAsia" w:hAnsiTheme="minorHAnsi" w:cstheme="minorBidi"/>
          <w:bCs w:val="0"/>
          <w:kern w:val="0"/>
          <w:sz w:val="22"/>
          <w:szCs w:val="22"/>
          <w:lang w:val="fr-BE" w:eastAsia="fr-BE"/>
        </w:rPr>
      </w:pPr>
      <w:hyperlink w:anchor="_Toc451431097" w:history="1">
        <w:r w:rsidR="00C0034D" w:rsidRPr="00D761F2">
          <w:rPr>
            <w:rStyle w:val="Hyperlink"/>
          </w:rPr>
          <w:t>2.4</w:t>
        </w:r>
        <w:r w:rsidR="00C0034D">
          <w:rPr>
            <w:rFonts w:asciiTheme="minorHAnsi" w:eastAsiaTheme="minorEastAsia" w:hAnsiTheme="minorHAnsi" w:cstheme="minorBidi"/>
            <w:bCs w:val="0"/>
            <w:kern w:val="0"/>
            <w:sz w:val="22"/>
            <w:szCs w:val="22"/>
            <w:lang w:val="fr-BE" w:eastAsia="fr-BE"/>
          </w:rPr>
          <w:tab/>
        </w:r>
        <w:r w:rsidR="00C0034D" w:rsidRPr="00D761F2">
          <w:rPr>
            <w:rStyle w:val="Hyperlink"/>
            <w:rFonts w:cs="Arial"/>
          </w:rPr>
          <w:t>Cadre réglementaire du secteur extractif</w:t>
        </w:r>
        <w:r w:rsidR="00C0034D">
          <w:rPr>
            <w:webHidden/>
          </w:rPr>
          <w:tab/>
        </w:r>
        <w:r w:rsidR="00C0034D">
          <w:rPr>
            <w:webHidden/>
          </w:rPr>
          <w:fldChar w:fldCharType="begin"/>
        </w:r>
        <w:r w:rsidR="00C0034D">
          <w:rPr>
            <w:webHidden/>
          </w:rPr>
          <w:instrText xml:space="preserve"> PAGEREF _Toc451431097 \h </w:instrText>
        </w:r>
        <w:r w:rsidR="00C0034D">
          <w:rPr>
            <w:webHidden/>
          </w:rPr>
        </w:r>
        <w:r w:rsidR="00C0034D">
          <w:rPr>
            <w:webHidden/>
          </w:rPr>
          <w:fldChar w:fldCharType="separate"/>
        </w:r>
        <w:r w:rsidR="006E3938">
          <w:rPr>
            <w:webHidden/>
          </w:rPr>
          <w:t>7</w:t>
        </w:r>
        <w:r w:rsidR="00C0034D">
          <w:rPr>
            <w:webHidden/>
          </w:rPr>
          <w:fldChar w:fldCharType="end"/>
        </w:r>
      </w:hyperlink>
    </w:p>
    <w:p w:rsidR="00C0034D" w:rsidRDefault="00D12B31">
      <w:pPr>
        <w:pStyle w:val="TOC2"/>
        <w:rPr>
          <w:rFonts w:asciiTheme="minorHAnsi" w:eastAsiaTheme="minorEastAsia" w:hAnsiTheme="minorHAnsi" w:cstheme="minorBidi"/>
          <w:bCs w:val="0"/>
          <w:kern w:val="0"/>
          <w:sz w:val="22"/>
          <w:szCs w:val="22"/>
          <w:lang w:val="fr-BE" w:eastAsia="fr-BE"/>
        </w:rPr>
      </w:pPr>
      <w:hyperlink w:anchor="_Toc451431098" w:history="1">
        <w:r w:rsidR="00C0034D" w:rsidRPr="00D761F2">
          <w:rPr>
            <w:rStyle w:val="Hyperlink"/>
          </w:rPr>
          <w:t>2.5</w:t>
        </w:r>
        <w:r w:rsidR="00C0034D">
          <w:rPr>
            <w:rFonts w:asciiTheme="minorHAnsi" w:eastAsiaTheme="minorEastAsia" w:hAnsiTheme="minorHAnsi" w:cstheme="minorBidi"/>
            <w:bCs w:val="0"/>
            <w:kern w:val="0"/>
            <w:sz w:val="22"/>
            <w:szCs w:val="22"/>
            <w:lang w:val="fr-BE" w:eastAsia="fr-BE"/>
          </w:rPr>
          <w:tab/>
        </w:r>
        <w:r w:rsidR="00C0034D" w:rsidRPr="00D761F2">
          <w:rPr>
            <w:rStyle w:val="Hyperlink"/>
          </w:rPr>
          <w:t>Participation de l’Etat dans le Secteur Extractif</w:t>
        </w:r>
        <w:r w:rsidR="00C0034D">
          <w:rPr>
            <w:webHidden/>
          </w:rPr>
          <w:tab/>
        </w:r>
        <w:r w:rsidR="00C0034D">
          <w:rPr>
            <w:webHidden/>
          </w:rPr>
          <w:fldChar w:fldCharType="begin"/>
        </w:r>
        <w:r w:rsidR="00C0034D">
          <w:rPr>
            <w:webHidden/>
          </w:rPr>
          <w:instrText xml:space="preserve"> PAGEREF _Toc451431098 \h </w:instrText>
        </w:r>
        <w:r w:rsidR="00C0034D">
          <w:rPr>
            <w:webHidden/>
          </w:rPr>
        </w:r>
        <w:r w:rsidR="00C0034D">
          <w:rPr>
            <w:webHidden/>
          </w:rPr>
          <w:fldChar w:fldCharType="separate"/>
        </w:r>
        <w:r w:rsidR="006E3938">
          <w:rPr>
            <w:webHidden/>
          </w:rPr>
          <w:t>13</w:t>
        </w:r>
        <w:r w:rsidR="00C0034D">
          <w:rPr>
            <w:webHidden/>
          </w:rPr>
          <w:fldChar w:fldCharType="end"/>
        </w:r>
      </w:hyperlink>
    </w:p>
    <w:p w:rsidR="00C0034D" w:rsidRDefault="00D12B31">
      <w:pPr>
        <w:pStyle w:val="TOC2"/>
        <w:rPr>
          <w:rFonts w:asciiTheme="minorHAnsi" w:eastAsiaTheme="minorEastAsia" w:hAnsiTheme="minorHAnsi" w:cstheme="minorBidi"/>
          <w:bCs w:val="0"/>
          <w:kern w:val="0"/>
          <w:sz w:val="22"/>
          <w:szCs w:val="22"/>
          <w:lang w:val="fr-BE" w:eastAsia="fr-BE"/>
        </w:rPr>
      </w:pPr>
      <w:hyperlink w:anchor="_Toc451431099" w:history="1">
        <w:r w:rsidR="00C0034D" w:rsidRPr="00D761F2">
          <w:rPr>
            <w:rStyle w:val="Hyperlink"/>
          </w:rPr>
          <w:t>2.6</w:t>
        </w:r>
        <w:r w:rsidR="00C0034D">
          <w:rPr>
            <w:rFonts w:asciiTheme="minorHAnsi" w:eastAsiaTheme="minorEastAsia" w:hAnsiTheme="minorHAnsi" w:cstheme="minorBidi"/>
            <w:bCs w:val="0"/>
            <w:kern w:val="0"/>
            <w:sz w:val="22"/>
            <w:szCs w:val="22"/>
            <w:lang w:val="fr-BE" w:eastAsia="fr-BE"/>
          </w:rPr>
          <w:tab/>
        </w:r>
        <w:r w:rsidR="00C0034D" w:rsidRPr="00D761F2">
          <w:rPr>
            <w:rStyle w:val="Hyperlink"/>
          </w:rPr>
          <w:t>Pratiques d’audit en RDC</w:t>
        </w:r>
        <w:r w:rsidR="00C0034D">
          <w:rPr>
            <w:webHidden/>
          </w:rPr>
          <w:tab/>
        </w:r>
        <w:r w:rsidR="00C0034D">
          <w:rPr>
            <w:webHidden/>
          </w:rPr>
          <w:fldChar w:fldCharType="begin"/>
        </w:r>
        <w:r w:rsidR="00C0034D">
          <w:rPr>
            <w:webHidden/>
          </w:rPr>
          <w:instrText xml:space="preserve"> PAGEREF _Toc451431099 \h </w:instrText>
        </w:r>
        <w:r w:rsidR="00C0034D">
          <w:rPr>
            <w:webHidden/>
          </w:rPr>
        </w:r>
        <w:r w:rsidR="00C0034D">
          <w:rPr>
            <w:webHidden/>
          </w:rPr>
          <w:fldChar w:fldCharType="separate"/>
        </w:r>
        <w:r w:rsidR="006E3938">
          <w:rPr>
            <w:webHidden/>
          </w:rPr>
          <w:t>17</w:t>
        </w:r>
        <w:r w:rsidR="00C0034D">
          <w:rPr>
            <w:webHidden/>
          </w:rPr>
          <w:fldChar w:fldCharType="end"/>
        </w:r>
      </w:hyperlink>
    </w:p>
    <w:p w:rsidR="00C0034D" w:rsidRDefault="00D12B31">
      <w:pPr>
        <w:pStyle w:val="TOC2"/>
        <w:rPr>
          <w:rFonts w:asciiTheme="minorHAnsi" w:eastAsiaTheme="minorEastAsia" w:hAnsiTheme="minorHAnsi" w:cstheme="minorBidi"/>
          <w:bCs w:val="0"/>
          <w:kern w:val="0"/>
          <w:sz w:val="22"/>
          <w:szCs w:val="22"/>
          <w:lang w:val="fr-BE" w:eastAsia="fr-BE"/>
        </w:rPr>
      </w:pPr>
      <w:hyperlink w:anchor="_Toc451431100" w:history="1">
        <w:r w:rsidR="00C0034D" w:rsidRPr="00D761F2">
          <w:rPr>
            <w:rStyle w:val="Hyperlink"/>
          </w:rPr>
          <w:t>2.7</w:t>
        </w:r>
        <w:r w:rsidR="00C0034D">
          <w:rPr>
            <w:rFonts w:asciiTheme="minorHAnsi" w:eastAsiaTheme="minorEastAsia" w:hAnsiTheme="minorHAnsi" w:cstheme="minorBidi"/>
            <w:bCs w:val="0"/>
            <w:kern w:val="0"/>
            <w:sz w:val="22"/>
            <w:szCs w:val="22"/>
            <w:lang w:val="fr-BE" w:eastAsia="fr-BE"/>
          </w:rPr>
          <w:tab/>
        </w:r>
        <w:r w:rsidR="00C0034D" w:rsidRPr="00D761F2">
          <w:rPr>
            <w:rStyle w:val="Hyperlink"/>
          </w:rPr>
          <w:t>Analyse de matérialité</w:t>
        </w:r>
        <w:r w:rsidR="00C0034D">
          <w:rPr>
            <w:webHidden/>
          </w:rPr>
          <w:tab/>
        </w:r>
        <w:r w:rsidR="00C0034D">
          <w:rPr>
            <w:webHidden/>
          </w:rPr>
          <w:fldChar w:fldCharType="begin"/>
        </w:r>
        <w:r w:rsidR="00C0034D">
          <w:rPr>
            <w:webHidden/>
          </w:rPr>
          <w:instrText xml:space="preserve"> PAGEREF _Toc451431100 \h </w:instrText>
        </w:r>
        <w:r w:rsidR="00C0034D">
          <w:rPr>
            <w:webHidden/>
          </w:rPr>
        </w:r>
        <w:r w:rsidR="00C0034D">
          <w:rPr>
            <w:webHidden/>
          </w:rPr>
          <w:fldChar w:fldCharType="separate"/>
        </w:r>
        <w:r w:rsidR="006E3938">
          <w:rPr>
            <w:webHidden/>
          </w:rPr>
          <w:t>19</w:t>
        </w:r>
        <w:r w:rsidR="00C0034D">
          <w:rPr>
            <w:webHidden/>
          </w:rPr>
          <w:fldChar w:fldCharType="end"/>
        </w:r>
      </w:hyperlink>
    </w:p>
    <w:p w:rsidR="00C0034D" w:rsidRDefault="00D12B31">
      <w:pPr>
        <w:pStyle w:val="TOC2"/>
        <w:rPr>
          <w:rFonts w:asciiTheme="minorHAnsi" w:eastAsiaTheme="minorEastAsia" w:hAnsiTheme="minorHAnsi" w:cstheme="minorBidi"/>
          <w:bCs w:val="0"/>
          <w:kern w:val="0"/>
          <w:sz w:val="22"/>
          <w:szCs w:val="22"/>
          <w:lang w:val="fr-BE" w:eastAsia="fr-BE"/>
        </w:rPr>
      </w:pPr>
      <w:hyperlink w:anchor="_Toc451431101" w:history="1">
        <w:r w:rsidR="00C0034D" w:rsidRPr="00D761F2">
          <w:rPr>
            <w:rStyle w:val="Hyperlink"/>
          </w:rPr>
          <w:t>2.8</w:t>
        </w:r>
        <w:r w:rsidR="00C0034D">
          <w:rPr>
            <w:rFonts w:asciiTheme="minorHAnsi" w:eastAsiaTheme="minorEastAsia" w:hAnsiTheme="minorHAnsi" w:cstheme="minorBidi"/>
            <w:bCs w:val="0"/>
            <w:kern w:val="0"/>
            <w:sz w:val="22"/>
            <w:szCs w:val="22"/>
            <w:lang w:val="fr-BE" w:eastAsia="fr-BE"/>
          </w:rPr>
          <w:tab/>
        </w:r>
        <w:r w:rsidR="00C0034D" w:rsidRPr="00D761F2">
          <w:rPr>
            <w:rStyle w:val="Hyperlink"/>
          </w:rPr>
          <w:t>Périmètre ITIE RDC 2015 – Flux de paiement</w:t>
        </w:r>
        <w:r w:rsidR="00C0034D">
          <w:rPr>
            <w:webHidden/>
          </w:rPr>
          <w:tab/>
        </w:r>
        <w:r w:rsidR="00C0034D">
          <w:rPr>
            <w:webHidden/>
          </w:rPr>
          <w:fldChar w:fldCharType="begin"/>
        </w:r>
        <w:r w:rsidR="00C0034D">
          <w:rPr>
            <w:webHidden/>
          </w:rPr>
          <w:instrText xml:space="preserve"> PAGEREF _Toc451431101 \h </w:instrText>
        </w:r>
        <w:r w:rsidR="00C0034D">
          <w:rPr>
            <w:webHidden/>
          </w:rPr>
        </w:r>
        <w:r w:rsidR="00C0034D">
          <w:rPr>
            <w:webHidden/>
          </w:rPr>
          <w:fldChar w:fldCharType="separate"/>
        </w:r>
        <w:r w:rsidR="006E3938">
          <w:rPr>
            <w:webHidden/>
          </w:rPr>
          <w:t>29</w:t>
        </w:r>
        <w:r w:rsidR="00C0034D">
          <w:rPr>
            <w:webHidden/>
          </w:rPr>
          <w:fldChar w:fldCharType="end"/>
        </w:r>
      </w:hyperlink>
    </w:p>
    <w:p w:rsidR="00C0034D" w:rsidRDefault="00D12B31">
      <w:pPr>
        <w:pStyle w:val="TOC2"/>
        <w:rPr>
          <w:rFonts w:asciiTheme="minorHAnsi" w:eastAsiaTheme="minorEastAsia" w:hAnsiTheme="minorHAnsi" w:cstheme="minorBidi"/>
          <w:bCs w:val="0"/>
          <w:kern w:val="0"/>
          <w:sz w:val="22"/>
          <w:szCs w:val="22"/>
          <w:lang w:val="fr-BE" w:eastAsia="fr-BE"/>
        </w:rPr>
      </w:pPr>
      <w:hyperlink w:anchor="_Toc451431102" w:history="1">
        <w:r w:rsidR="00C0034D" w:rsidRPr="00D761F2">
          <w:rPr>
            <w:rStyle w:val="Hyperlink"/>
          </w:rPr>
          <w:t>2.9</w:t>
        </w:r>
        <w:r w:rsidR="00C0034D">
          <w:rPr>
            <w:rFonts w:asciiTheme="minorHAnsi" w:eastAsiaTheme="minorEastAsia" w:hAnsiTheme="minorHAnsi" w:cstheme="minorBidi"/>
            <w:bCs w:val="0"/>
            <w:kern w:val="0"/>
            <w:sz w:val="22"/>
            <w:szCs w:val="22"/>
            <w:lang w:val="fr-BE" w:eastAsia="fr-BE"/>
          </w:rPr>
          <w:tab/>
        </w:r>
        <w:r w:rsidR="00C0034D" w:rsidRPr="00D761F2">
          <w:rPr>
            <w:rStyle w:val="Hyperlink"/>
          </w:rPr>
          <w:t>Périmètre ITIE RDC 2015 – Entreprises extractives</w:t>
        </w:r>
        <w:r w:rsidR="00C0034D">
          <w:rPr>
            <w:webHidden/>
          </w:rPr>
          <w:tab/>
        </w:r>
        <w:r w:rsidR="00C0034D">
          <w:rPr>
            <w:webHidden/>
          </w:rPr>
          <w:fldChar w:fldCharType="begin"/>
        </w:r>
        <w:r w:rsidR="00C0034D">
          <w:rPr>
            <w:webHidden/>
          </w:rPr>
          <w:instrText xml:space="preserve"> PAGEREF _Toc451431102 \h </w:instrText>
        </w:r>
        <w:r w:rsidR="00C0034D">
          <w:rPr>
            <w:webHidden/>
          </w:rPr>
        </w:r>
        <w:r w:rsidR="00C0034D">
          <w:rPr>
            <w:webHidden/>
          </w:rPr>
          <w:fldChar w:fldCharType="separate"/>
        </w:r>
        <w:r w:rsidR="006E3938">
          <w:rPr>
            <w:webHidden/>
          </w:rPr>
          <w:t>32</w:t>
        </w:r>
        <w:r w:rsidR="00C0034D">
          <w:rPr>
            <w:webHidden/>
          </w:rPr>
          <w:fldChar w:fldCharType="end"/>
        </w:r>
      </w:hyperlink>
    </w:p>
    <w:p w:rsidR="00C0034D" w:rsidRDefault="00D12B31">
      <w:pPr>
        <w:pStyle w:val="TOC2"/>
        <w:rPr>
          <w:rFonts w:asciiTheme="minorHAnsi" w:eastAsiaTheme="minorEastAsia" w:hAnsiTheme="minorHAnsi" w:cstheme="minorBidi"/>
          <w:bCs w:val="0"/>
          <w:kern w:val="0"/>
          <w:sz w:val="22"/>
          <w:szCs w:val="22"/>
          <w:lang w:val="fr-BE" w:eastAsia="fr-BE"/>
        </w:rPr>
      </w:pPr>
      <w:hyperlink w:anchor="_Toc451431103" w:history="1">
        <w:r w:rsidR="00C0034D" w:rsidRPr="00D761F2">
          <w:rPr>
            <w:rStyle w:val="Hyperlink"/>
          </w:rPr>
          <w:t>2.10</w:t>
        </w:r>
        <w:r w:rsidR="00C0034D">
          <w:rPr>
            <w:rFonts w:asciiTheme="minorHAnsi" w:eastAsiaTheme="minorEastAsia" w:hAnsiTheme="minorHAnsi" w:cstheme="minorBidi"/>
            <w:bCs w:val="0"/>
            <w:kern w:val="0"/>
            <w:sz w:val="22"/>
            <w:szCs w:val="22"/>
            <w:lang w:val="fr-BE" w:eastAsia="fr-BE"/>
          </w:rPr>
          <w:tab/>
        </w:r>
        <w:r w:rsidR="00C0034D" w:rsidRPr="00D761F2">
          <w:rPr>
            <w:rStyle w:val="Hyperlink"/>
          </w:rPr>
          <w:t>Périmètre ITIE RDC 2015 – Entités Publiques</w:t>
        </w:r>
        <w:r w:rsidR="00C0034D">
          <w:rPr>
            <w:webHidden/>
          </w:rPr>
          <w:tab/>
        </w:r>
        <w:r w:rsidR="00C0034D">
          <w:rPr>
            <w:webHidden/>
          </w:rPr>
          <w:fldChar w:fldCharType="begin"/>
        </w:r>
        <w:r w:rsidR="00C0034D">
          <w:rPr>
            <w:webHidden/>
          </w:rPr>
          <w:instrText xml:space="preserve"> PAGEREF _Toc451431103 \h </w:instrText>
        </w:r>
        <w:r w:rsidR="00C0034D">
          <w:rPr>
            <w:webHidden/>
          </w:rPr>
        </w:r>
        <w:r w:rsidR="00C0034D">
          <w:rPr>
            <w:webHidden/>
          </w:rPr>
          <w:fldChar w:fldCharType="separate"/>
        </w:r>
        <w:r w:rsidR="006E3938">
          <w:rPr>
            <w:webHidden/>
          </w:rPr>
          <w:t>40</w:t>
        </w:r>
        <w:r w:rsidR="00C0034D">
          <w:rPr>
            <w:webHidden/>
          </w:rPr>
          <w:fldChar w:fldCharType="end"/>
        </w:r>
      </w:hyperlink>
    </w:p>
    <w:p w:rsidR="00C0034D" w:rsidRDefault="00D12B31">
      <w:pPr>
        <w:pStyle w:val="TOC2"/>
        <w:rPr>
          <w:rFonts w:asciiTheme="minorHAnsi" w:eastAsiaTheme="minorEastAsia" w:hAnsiTheme="minorHAnsi" w:cstheme="minorBidi"/>
          <w:bCs w:val="0"/>
          <w:kern w:val="0"/>
          <w:sz w:val="22"/>
          <w:szCs w:val="22"/>
          <w:lang w:val="fr-BE" w:eastAsia="fr-BE"/>
        </w:rPr>
      </w:pPr>
      <w:hyperlink w:anchor="_Toc451431104" w:history="1">
        <w:r w:rsidR="00C0034D" w:rsidRPr="00D761F2">
          <w:rPr>
            <w:rStyle w:val="Hyperlink"/>
          </w:rPr>
          <w:t>2.11</w:t>
        </w:r>
        <w:r w:rsidR="00C0034D">
          <w:rPr>
            <w:rFonts w:asciiTheme="minorHAnsi" w:eastAsiaTheme="minorEastAsia" w:hAnsiTheme="minorHAnsi" w:cstheme="minorBidi"/>
            <w:bCs w:val="0"/>
            <w:kern w:val="0"/>
            <w:sz w:val="22"/>
            <w:szCs w:val="22"/>
            <w:lang w:val="fr-BE" w:eastAsia="fr-BE"/>
          </w:rPr>
          <w:tab/>
        </w:r>
        <w:r w:rsidR="00C0034D" w:rsidRPr="00D761F2">
          <w:rPr>
            <w:rStyle w:val="Hyperlink"/>
          </w:rPr>
          <w:t>Période fiscale</w:t>
        </w:r>
        <w:r w:rsidR="00C0034D">
          <w:rPr>
            <w:webHidden/>
          </w:rPr>
          <w:tab/>
        </w:r>
        <w:r w:rsidR="00C0034D">
          <w:rPr>
            <w:webHidden/>
          </w:rPr>
          <w:fldChar w:fldCharType="begin"/>
        </w:r>
        <w:r w:rsidR="00C0034D">
          <w:rPr>
            <w:webHidden/>
          </w:rPr>
          <w:instrText xml:space="preserve"> PAGEREF _Toc451431104 \h </w:instrText>
        </w:r>
        <w:r w:rsidR="00C0034D">
          <w:rPr>
            <w:webHidden/>
          </w:rPr>
        </w:r>
        <w:r w:rsidR="00C0034D">
          <w:rPr>
            <w:webHidden/>
          </w:rPr>
          <w:fldChar w:fldCharType="separate"/>
        </w:r>
        <w:r w:rsidR="006E3938">
          <w:rPr>
            <w:webHidden/>
          </w:rPr>
          <w:t>40</w:t>
        </w:r>
        <w:r w:rsidR="00C0034D">
          <w:rPr>
            <w:webHidden/>
          </w:rPr>
          <w:fldChar w:fldCharType="end"/>
        </w:r>
      </w:hyperlink>
    </w:p>
    <w:p w:rsidR="00C0034D" w:rsidRDefault="00D12B31">
      <w:pPr>
        <w:pStyle w:val="TOC2"/>
        <w:rPr>
          <w:rFonts w:asciiTheme="minorHAnsi" w:eastAsiaTheme="minorEastAsia" w:hAnsiTheme="minorHAnsi" w:cstheme="minorBidi"/>
          <w:bCs w:val="0"/>
          <w:kern w:val="0"/>
          <w:sz w:val="22"/>
          <w:szCs w:val="22"/>
          <w:lang w:val="fr-BE" w:eastAsia="fr-BE"/>
        </w:rPr>
      </w:pPr>
      <w:hyperlink w:anchor="_Toc451431105" w:history="1">
        <w:r w:rsidR="00C0034D" w:rsidRPr="00D761F2">
          <w:rPr>
            <w:rStyle w:val="Hyperlink"/>
          </w:rPr>
          <w:t>2.12</w:t>
        </w:r>
        <w:r w:rsidR="00C0034D">
          <w:rPr>
            <w:rFonts w:asciiTheme="minorHAnsi" w:eastAsiaTheme="minorEastAsia" w:hAnsiTheme="minorHAnsi" w:cstheme="minorBidi"/>
            <w:bCs w:val="0"/>
            <w:kern w:val="0"/>
            <w:sz w:val="22"/>
            <w:szCs w:val="22"/>
            <w:lang w:val="fr-BE" w:eastAsia="fr-BE"/>
          </w:rPr>
          <w:tab/>
        </w:r>
        <w:r w:rsidR="00C0034D" w:rsidRPr="00D761F2">
          <w:rPr>
            <w:rStyle w:val="Hyperlink"/>
          </w:rPr>
          <w:t>Fiabilité et attestation des données à déclarer</w:t>
        </w:r>
        <w:r w:rsidR="00C0034D">
          <w:rPr>
            <w:webHidden/>
          </w:rPr>
          <w:tab/>
        </w:r>
        <w:r w:rsidR="00C0034D">
          <w:rPr>
            <w:webHidden/>
          </w:rPr>
          <w:fldChar w:fldCharType="begin"/>
        </w:r>
        <w:r w:rsidR="00C0034D">
          <w:rPr>
            <w:webHidden/>
          </w:rPr>
          <w:instrText xml:space="preserve"> PAGEREF _Toc451431105 \h </w:instrText>
        </w:r>
        <w:r w:rsidR="00C0034D">
          <w:rPr>
            <w:webHidden/>
          </w:rPr>
        </w:r>
        <w:r w:rsidR="00C0034D">
          <w:rPr>
            <w:webHidden/>
          </w:rPr>
          <w:fldChar w:fldCharType="separate"/>
        </w:r>
        <w:r w:rsidR="006E3938">
          <w:rPr>
            <w:webHidden/>
          </w:rPr>
          <w:t>40</w:t>
        </w:r>
        <w:r w:rsidR="00C0034D">
          <w:rPr>
            <w:webHidden/>
          </w:rPr>
          <w:fldChar w:fldCharType="end"/>
        </w:r>
      </w:hyperlink>
    </w:p>
    <w:p w:rsidR="00C0034D" w:rsidRDefault="00D12B31">
      <w:pPr>
        <w:pStyle w:val="TOC2"/>
        <w:rPr>
          <w:rFonts w:asciiTheme="minorHAnsi" w:eastAsiaTheme="minorEastAsia" w:hAnsiTheme="minorHAnsi" w:cstheme="minorBidi"/>
          <w:bCs w:val="0"/>
          <w:kern w:val="0"/>
          <w:sz w:val="22"/>
          <w:szCs w:val="22"/>
          <w:lang w:val="fr-BE" w:eastAsia="fr-BE"/>
        </w:rPr>
      </w:pPr>
      <w:hyperlink w:anchor="_Toc451431106" w:history="1">
        <w:r w:rsidR="00C0034D" w:rsidRPr="00D761F2">
          <w:rPr>
            <w:rStyle w:val="Hyperlink"/>
          </w:rPr>
          <w:t>2.13</w:t>
        </w:r>
        <w:r w:rsidR="00C0034D">
          <w:rPr>
            <w:rFonts w:asciiTheme="minorHAnsi" w:eastAsiaTheme="minorEastAsia" w:hAnsiTheme="minorHAnsi" w:cstheme="minorBidi"/>
            <w:bCs w:val="0"/>
            <w:kern w:val="0"/>
            <w:sz w:val="22"/>
            <w:szCs w:val="22"/>
            <w:lang w:val="fr-BE" w:eastAsia="fr-BE"/>
          </w:rPr>
          <w:tab/>
        </w:r>
        <w:r w:rsidR="00C0034D" w:rsidRPr="00D761F2">
          <w:rPr>
            <w:rStyle w:val="Hyperlink"/>
          </w:rPr>
          <w:t>Niveau de désagrégation</w:t>
        </w:r>
        <w:r w:rsidR="00C0034D">
          <w:rPr>
            <w:webHidden/>
          </w:rPr>
          <w:tab/>
        </w:r>
        <w:r w:rsidR="00C0034D">
          <w:rPr>
            <w:webHidden/>
          </w:rPr>
          <w:fldChar w:fldCharType="begin"/>
        </w:r>
        <w:r w:rsidR="00C0034D">
          <w:rPr>
            <w:webHidden/>
          </w:rPr>
          <w:instrText xml:space="preserve"> PAGEREF _Toc451431106 \h </w:instrText>
        </w:r>
        <w:r w:rsidR="00C0034D">
          <w:rPr>
            <w:webHidden/>
          </w:rPr>
        </w:r>
        <w:r w:rsidR="00C0034D">
          <w:rPr>
            <w:webHidden/>
          </w:rPr>
          <w:fldChar w:fldCharType="separate"/>
        </w:r>
        <w:r w:rsidR="006E3938">
          <w:rPr>
            <w:webHidden/>
          </w:rPr>
          <w:t>41</w:t>
        </w:r>
        <w:r w:rsidR="00C0034D">
          <w:rPr>
            <w:webHidden/>
          </w:rPr>
          <w:fldChar w:fldCharType="end"/>
        </w:r>
      </w:hyperlink>
    </w:p>
    <w:p w:rsidR="00C0034D" w:rsidRDefault="00D12B31">
      <w:pPr>
        <w:pStyle w:val="TOC2"/>
        <w:rPr>
          <w:rFonts w:asciiTheme="minorHAnsi" w:eastAsiaTheme="minorEastAsia" w:hAnsiTheme="minorHAnsi" w:cstheme="minorBidi"/>
          <w:bCs w:val="0"/>
          <w:kern w:val="0"/>
          <w:sz w:val="22"/>
          <w:szCs w:val="22"/>
          <w:lang w:val="fr-BE" w:eastAsia="fr-BE"/>
        </w:rPr>
      </w:pPr>
      <w:hyperlink w:anchor="_Toc451431109" w:history="1">
        <w:r w:rsidR="00C0034D" w:rsidRPr="00D761F2">
          <w:rPr>
            <w:rStyle w:val="Hyperlink"/>
            <w:rFonts w:cs="Arial"/>
          </w:rPr>
          <w:t>Le logiciel TSL</w:t>
        </w:r>
        <w:r w:rsidR="00C0034D">
          <w:rPr>
            <w:webHidden/>
          </w:rPr>
          <w:tab/>
        </w:r>
        <w:r w:rsidR="00C0034D">
          <w:rPr>
            <w:webHidden/>
          </w:rPr>
          <w:fldChar w:fldCharType="begin"/>
        </w:r>
        <w:r w:rsidR="00C0034D">
          <w:rPr>
            <w:webHidden/>
          </w:rPr>
          <w:instrText xml:space="preserve"> PAGEREF _Toc451431109 \h </w:instrText>
        </w:r>
        <w:r w:rsidR="00C0034D">
          <w:rPr>
            <w:webHidden/>
          </w:rPr>
        </w:r>
        <w:r w:rsidR="00C0034D">
          <w:rPr>
            <w:webHidden/>
          </w:rPr>
          <w:fldChar w:fldCharType="separate"/>
        </w:r>
        <w:r w:rsidR="006E3938">
          <w:rPr>
            <w:webHidden/>
          </w:rPr>
          <w:t>41</w:t>
        </w:r>
        <w:r w:rsidR="00C0034D">
          <w:rPr>
            <w:webHidden/>
          </w:rPr>
          <w:fldChar w:fldCharType="end"/>
        </w:r>
      </w:hyperlink>
    </w:p>
    <w:p w:rsidR="00C0034D" w:rsidRDefault="00D12B31">
      <w:pPr>
        <w:pStyle w:val="TOC2"/>
        <w:rPr>
          <w:rFonts w:asciiTheme="minorHAnsi" w:eastAsiaTheme="minorEastAsia" w:hAnsiTheme="minorHAnsi" w:cstheme="minorBidi"/>
          <w:bCs w:val="0"/>
          <w:kern w:val="0"/>
          <w:sz w:val="22"/>
          <w:szCs w:val="22"/>
          <w:lang w:val="fr-BE" w:eastAsia="fr-BE"/>
        </w:rPr>
      </w:pPr>
      <w:hyperlink w:anchor="_Toc451431110" w:history="1">
        <w:r w:rsidR="00C0034D" w:rsidRPr="00D761F2">
          <w:rPr>
            <w:rStyle w:val="Hyperlink"/>
          </w:rPr>
          <w:t>2.14</w:t>
        </w:r>
        <w:r w:rsidR="00C0034D">
          <w:rPr>
            <w:rFonts w:asciiTheme="minorHAnsi" w:eastAsiaTheme="minorEastAsia" w:hAnsiTheme="minorHAnsi" w:cstheme="minorBidi"/>
            <w:bCs w:val="0"/>
            <w:kern w:val="0"/>
            <w:sz w:val="22"/>
            <w:szCs w:val="22"/>
            <w:lang w:val="fr-BE" w:eastAsia="fr-BE"/>
          </w:rPr>
          <w:tab/>
        </w:r>
        <w:r w:rsidR="00C0034D" w:rsidRPr="00D761F2">
          <w:rPr>
            <w:rStyle w:val="Hyperlink"/>
          </w:rPr>
          <w:t>Déclaration de la Propriété réelle</w:t>
        </w:r>
        <w:r w:rsidR="00C0034D">
          <w:rPr>
            <w:webHidden/>
          </w:rPr>
          <w:tab/>
        </w:r>
        <w:r w:rsidR="00C0034D">
          <w:rPr>
            <w:webHidden/>
          </w:rPr>
          <w:fldChar w:fldCharType="begin"/>
        </w:r>
        <w:r w:rsidR="00C0034D">
          <w:rPr>
            <w:webHidden/>
          </w:rPr>
          <w:instrText xml:space="preserve"> PAGEREF _Toc451431110 \h </w:instrText>
        </w:r>
        <w:r w:rsidR="00C0034D">
          <w:rPr>
            <w:webHidden/>
          </w:rPr>
        </w:r>
        <w:r w:rsidR="00C0034D">
          <w:rPr>
            <w:webHidden/>
          </w:rPr>
          <w:fldChar w:fldCharType="separate"/>
        </w:r>
        <w:r w:rsidR="006E3938">
          <w:rPr>
            <w:webHidden/>
          </w:rPr>
          <w:t>41</w:t>
        </w:r>
        <w:r w:rsidR="00C0034D">
          <w:rPr>
            <w:webHidden/>
          </w:rPr>
          <w:fldChar w:fldCharType="end"/>
        </w:r>
      </w:hyperlink>
    </w:p>
    <w:p w:rsidR="00C0034D" w:rsidRDefault="00D12B31">
      <w:pPr>
        <w:pStyle w:val="TOC2"/>
        <w:rPr>
          <w:rFonts w:asciiTheme="minorHAnsi" w:eastAsiaTheme="minorEastAsia" w:hAnsiTheme="minorHAnsi" w:cstheme="minorBidi"/>
          <w:bCs w:val="0"/>
          <w:kern w:val="0"/>
          <w:sz w:val="22"/>
          <w:szCs w:val="22"/>
          <w:lang w:val="fr-BE" w:eastAsia="fr-BE"/>
        </w:rPr>
      </w:pPr>
      <w:hyperlink w:anchor="_Toc451431111" w:history="1">
        <w:r w:rsidR="00C0034D" w:rsidRPr="00D761F2">
          <w:rPr>
            <w:rStyle w:val="Hyperlink"/>
          </w:rPr>
          <w:t>2.15</w:t>
        </w:r>
        <w:r w:rsidR="00C0034D">
          <w:rPr>
            <w:rFonts w:asciiTheme="minorHAnsi" w:eastAsiaTheme="minorEastAsia" w:hAnsiTheme="minorHAnsi" w:cstheme="minorBidi"/>
            <w:bCs w:val="0"/>
            <w:kern w:val="0"/>
            <w:sz w:val="22"/>
            <w:szCs w:val="22"/>
            <w:lang w:val="fr-BE" w:eastAsia="fr-BE"/>
          </w:rPr>
          <w:tab/>
        </w:r>
        <w:r w:rsidR="00C0034D" w:rsidRPr="00D761F2">
          <w:rPr>
            <w:rStyle w:val="Hyperlink"/>
          </w:rPr>
          <w:t>Plan de suivi des recommandations des Exercices ITIE précédents</w:t>
        </w:r>
        <w:r w:rsidR="00C0034D">
          <w:rPr>
            <w:webHidden/>
          </w:rPr>
          <w:tab/>
        </w:r>
        <w:r w:rsidR="00C0034D">
          <w:rPr>
            <w:webHidden/>
          </w:rPr>
          <w:fldChar w:fldCharType="begin"/>
        </w:r>
        <w:r w:rsidR="00C0034D">
          <w:rPr>
            <w:webHidden/>
          </w:rPr>
          <w:instrText xml:space="preserve"> PAGEREF _Toc451431111 \h </w:instrText>
        </w:r>
        <w:r w:rsidR="00C0034D">
          <w:rPr>
            <w:webHidden/>
          </w:rPr>
        </w:r>
        <w:r w:rsidR="00C0034D">
          <w:rPr>
            <w:webHidden/>
          </w:rPr>
          <w:fldChar w:fldCharType="separate"/>
        </w:r>
        <w:r w:rsidR="006E3938">
          <w:rPr>
            <w:webHidden/>
          </w:rPr>
          <w:t>43</w:t>
        </w:r>
        <w:r w:rsidR="00C0034D">
          <w:rPr>
            <w:webHidden/>
          </w:rPr>
          <w:fldChar w:fldCharType="end"/>
        </w:r>
      </w:hyperlink>
    </w:p>
    <w:p w:rsidR="00C0034D" w:rsidRDefault="00D12B31">
      <w:pPr>
        <w:pStyle w:val="TOC1"/>
        <w:rPr>
          <w:rFonts w:asciiTheme="minorHAnsi" w:eastAsiaTheme="minorEastAsia" w:hAnsiTheme="minorHAnsi" w:cstheme="minorBidi"/>
          <w:b w:val="0"/>
          <w:bCs w:val="0"/>
          <w:caps w:val="0"/>
          <w:kern w:val="0"/>
          <w:sz w:val="22"/>
          <w:szCs w:val="22"/>
          <w:lang w:val="fr-BE" w:eastAsia="fr-BE" w:bidi="ar-SA"/>
        </w:rPr>
      </w:pPr>
      <w:hyperlink w:anchor="_Toc451431112" w:history="1">
        <w:r w:rsidR="00C0034D" w:rsidRPr="00D761F2">
          <w:rPr>
            <w:rStyle w:val="Hyperlink"/>
          </w:rPr>
          <w:t>ANNEXES</w:t>
        </w:r>
        <w:r w:rsidR="00C0034D">
          <w:rPr>
            <w:webHidden/>
          </w:rPr>
          <w:tab/>
        </w:r>
        <w:r w:rsidR="00C0034D">
          <w:rPr>
            <w:webHidden/>
          </w:rPr>
          <w:fldChar w:fldCharType="begin"/>
        </w:r>
        <w:r w:rsidR="00C0034D">
          <w:rPr>
            <w:webHidden/>
          </w:rPr>
          <w:instrText xml:space="preserve"> PAGEREF _Toc451431112 \h </w:instrText>
        </w:r>
        <w:r w:rsidR="00C0034D">
          <w:rPr>
            <w:webHidden/>
          </w:rPr>
        </w:r>
        <w:r w:rsidR="00C0034D">
          <w:rPr>
            <w:webHidden/>
          </w:rPr>
          <w:fldChar w:fldCharType="separate"/>
        </w:r>
        <w:r w:rsidR="006E3938">
          <w:rPr>
            <w:webHidden/>
          </w:rPr>
          <w:t>45</w:t>
        </w:r>
        <w:r w:rsidR="00C0034D">
          <w:rPr>
            <w:webHidden/>
          </w:rPr>
          <w:fldChar w:fldCharType="end"/>
        </w:r>
      </w:hyperlink>
    </w:p>
    <w:p w:rsidR="00C0034D" w:rsidRDefault="00D12B31">
      <w:pPr>
        <w:pStyle w:val="TOC2"/>
        <w:rPr>
          <w:rFonts w:asciiTheme="minorHAnsi" w:eastAsiaTheme="minorEastAsia" w:hAnsiTheme="minorHAnsi" w:cstheme="minorBidi"/>
          <w:bCs w:val="0"/>
          <w:kern w:val="0"/>
          <w:sz w:val="22"/>
          <w:szCs w:val="22"/>
          <w:lang w:val="fr-BE" w:eastAsia="fr-BE"/>
        </w:rPr>
      </w:pPr>
      <w:hyperlink w:anchor="_Toc451431113" w:history="1">
        <w:r w:rsidR="00C0034D" w:rsidRPr="00D761F2">
          <w:rPr>
            <w:rStyle w:val="Hyperlink"/>
          </w:rPr>
          <w:t>ANNEXE 1 : Liste des Titulaires des droits mines</w:t>
        </w:r>
        <w:r w:rsidR="00C0034D">
          <w:rPr>
            <w:webHidden/>
          </w:rPr>
          <w:tab/>
        </w:r>
        <w:r w:rsidR="00C0034D">
          <w:rPr>
            <w:webHidden/>
          </w:rPr>
          <w:fldChar w:fldCharType="begin"/>
        </w:r>
        <w:r w:rsidR="00C0034D">
          <w:rPr>
            <w:webHidden/>
          </w:rPr>
          <w:instrText xml:space="preserve"> PAGEREF _Toc451431113 \h </w:instrText>
        </w:r>
        <w:r w:rsidR="00C0034D">
          <w:rPr>
            <w:webHidden/>
          </w:rPr>
        </w:r>
        <w:r w:rsidR="00C0034D">
          <w:rPr>
            <w:webHidden/>
          </w:rPr>
          <w:fldChar w:fldCharType="separate"/>
        </w:r>
        <w:r w:rsidR="006E3938">
          <w:rPr>
            <w:webHidden/>
          </w:rPr>
          <w:t>46</w:t>
        </w:r>
        <w:r w:rsidR="00C0034D">
          <w:rPr>
            <w:webHidden/>
          </w:rPr>
          <w:fldChar w:fldCharType="end"/>
        </w:r>
      </w:hyperlink>
    </w:p>
    <w:p w:rsidR="00C0034D" w:rsidRDefault="00D12B31">
      <w:pPr>
        <w:pStyle w:val="TOC2"/>
        <w:rPr>
          <w:rFonts w:asciiTheme="minorHAnsi" w:eastAsiaTheme="minorEastAsia" w:hAnsiTheme="minorHAnsi" w:cstheme="minorBidi"/>
          <w:bCs w:val="0"/>
          <w:kern w:val="0"/>
          <w:sz w:val="22"/>
          <w:szCs w:val="22"/>
          <w:lang w:val="fr-BE" w:eastAsia="fr-BE"/>
        </w:rPr>
      </w:pPr>
      <w:hyperlink w:anchor="_Toc451431114" w:history="1">
        <w:r w:rsidR="00C0034D" w:rsidRPr="00D761F2">
          <w:rPr>
            <w:rStyle w:val="Hyperlink"/>
          </w:rPr>
          <w:t>ANNEXE 2 : Liste des Entités de traitement</w:t>
        </w:r>
        <w:r w:rsidR="00C0034D">
          <w:rPr>
            <w:webHidden/>
          </w:rPr>
          <w:tab/>
        </w:r>
        <w:r w:rsidR="00C0034D">
          <w:rPr>
            <w:webHidden/>
          </w:rPr>
          <w:fldChar w:fldCharType="begin"/>
        </w:r>
        <w:r w:rsidR="00C0034D">
          <w:rPr>
            <w:webHidden/>
          </w:rPr>
          <w:instrText xml:space="preserve"> PAGEREF _Toc451431114 \h </w:instrText>
        </w:r>
        <w:r w:rsidR="00C0034D">
          <w:rPr>
            <w:webHidden/>
          </w:rPr>
        </w:r>
        <w:r w:rsidR="00C0034D">
          <w:rPr>
            <w:webHidden/>
          </w:rPr>
          <w:fldChar w:fldCharType="separate"/>
        </w:r>
        <w:r w:rsidR="006E3938">
          <w:rPr>
            <w:webHidden/>
          </w:rPr>
          <w:t>55</w:t>
        </w:r>
        <w:r w:rsidR="00C0034D">
          <w:rPr>
            <w:webHidden/>
          </w:rPr>
          <w:fldChar w:fldCharType="end"/>
        </w:r>
      </w:hyperlink>
    </w:p>
    <w:p w:rsidR="00C0034D" w:rsidRDefault="00D12B31">
      <w:pPr>
        <w:pStyle w:val="TOC2"/>
        <w:rPr>
          <w:rFonts w:asciiTheme="minorHAnsi" w:eastAsiaTheme="minorEastAsia" w:hAnsiTheme="minorHAnsi" w:cstheme="minorBidi"/>
          <w:bCs w:val="0"/>
          <w:kern w:val="0"/>
          <w:sz w:val="22"/>
          <w:szCs w:val="22"/>
          <w:lang w:val="fr-BE" w:eastAsia="fr-BE"/>
        </w:rPr>
      </w:pPr>
      <w:hyperlink w:anchor="_Toc451431115" w:history="1">
        <w:r w:rsidR="00C0034D" w:rsidRPr="00D761F2">
          <w:rPr>
            <w:rStyle w:val="Hyperlink"/>
          </w:rPr>
          <w:t>ANNEXE 3 :  Blocs pétroliers</w:t>
        </w:r>
        <w:r w:rsidR="00C0034D">
          <w:rPr>
            <w:webHidden/>
          </w:rPr>
          <w:tab/>
        </w:r>
        <w:r w:rsidR="00C0034D">
          <w:rPr>
            <w:webHidden/>
          </w:rPr>
          <w:fldChar w:fldCharType="begin"/>
        </w:r>
        <w:r w:rsidR="00C0034D">
          <w:rPr>
            <w:webHidden/>
          </w:rPr>
          <w:instrText xml:space="preserve"> PAGEREF _Toc451431115 \h </w:instrText>
        </w:r>
        <w:r w:rsidR="00C0034D">
          <w:rPr>
            <w:webHidden/>
          </w:rPr>
        </w:r>
        <w:r w:rsidR="00C0034D">
          <w:rPr>
            <w:webHidden/>
          </w:rPr>
          <w:fldChar w:fldCharType="separate"/>
        </w:r>
        <w:r w:rsidR="006E3938">
          <w:rPr>
            <w:webHidden/>
          </w:rPr>
          <w:t>59</w:t>
        </w:r>
        <w:r w:rsidR="00C0034D">
          <w:rPr>
            <w:webHidden/>
          </w:rPr>
          <w:fldChar w:fldCharType="end"/>
        </w:r>
      </w:hyperlink>
    </w:p>
    <w:p w:rsidR="00C0034D" w:rsidRDefault="00D12B31">
      <w:pPr>
        <w:pStyle w:val="TOC2"/>
        <w:rPr>
          <w:rFonts w:asciiTheme="minorHAnsi" w:eastAsiaTheme="minorEastAsia" w:hAnsiTheme="minorHAnsi" w:cstheme="minorBidi"/>
          <w:bCs w:val="0"/>
          <w:kern w:val="0"/>
          <w:sz w:val="22"/>
          <w:szCs w:val="22"/>
          <w:lang w:val="fr-BE" w:eastAsia="fr-BE"/>
        </w:rPr>
      </w:pPr>
      <w:hyperlink w:anchor="_Toc451431116" w:history="1">
        <w:r w:rsidR="00C0034D" w:rsidRPr="00D761F2">
          <w:rPr>
            <w:rStyle w:val="Hyperlink"/>
          </w:rPr>
          <w:t>ANNEXE 4 : Cadre référentiel des flux de paiement</w:t>
        </w:r>
        <w:r w:rsidR="00C0034D">
          <w:rPr>
            <w:webHidden/>
          </w:rPr>
          <w:tab/>
        </w:r>
        <w:r w:rsidR="00C0034D">
          <w:rPr>
            <w:webHidden/>
          </w:rPr>
          <w:fldChar w:fldCharType="begin"/>
        </w:r>
        <w:r w:rsidR="00C0034D">
          <w:rPr>
            <w:webHidden/>
          </w:rPr>
          <w:instrText xml:space="preserve"> PAGEREF _Toc451431116 \h </w:instrText>
        </w:r>
        <w:r w:rsidR="00C0034D">
          <w:rPr>
            <w:webHidden/>
          </w:rPr>
        </w:r>
        <w:r w:rsidR="00C0034D">
          <w:rPr>
            <w:webHidden/>
          </w:rPr>
          <w:fldChar w:fldCharType="separate"/>
        </w:r>
        <w:r w:rsidR="006E3938">
          <w:rPr>
            <w:webHidden/>
          </w:rPr>
          <w:t>61</w:t>
        </w:r>
        <w:r w:rsidR="00C0034D">
          <w:rPr>
            <w:webHidden/>
          </w:rPr>
          <w:fldChar w:fldCharType="end"/>
        </w:r>
      </w:hyperlink>
    </w:p>
    <w:p w:rsidR="00801BF0" w:rsidRDefault="00B023DC">
      <w:pPr>
        <w:spacing w:after="200" w:line="276" w:lineRule="auto"/>
        <w:jc w:val="left"/>
        <w:rPr>
          <w:b/>
          <w:kern w:val="32"/>
          <w:sz w:val="28"/>
          <w:u w:val="single"/>
          <w:lang w:bidi="ar-TN"/>
        </w:rPr>
      </w:pPr>
      <w:r>
        <w:rPr>
          <w:b/>
          <w:kern w:val="32"/>
          <w:sz w:val="28"/>
          <w:u w:val="single"/>
          <w:lang w:bidi="ar-TN"/>
        </w:rPr>
        <w:fldChar w:fldCharType="end"/>
      </w:r>
      <w:r w:rsidR="00801BF0">
        <w:rPr>
          <w:b/>
          <w:kern w:val="32"/>
          <w:sz w:val="28"/>
          <w:u w:val="single"/>
          <w:lang w:bidi="ar-TN"/>
        </w:rPr>
        <w:br w:type="page"/>
      </w:r>
    </w:p>
    <w:tbl>
      <w:tblPr>
        <w:tblW w:w="5000" w:type="pct"/>
        <w:jc w:val="center"/>
        <w:tblCellMar>
          <w:left w:w="70" w:type="dxa"/>
          <w:right w:w="70" w:type="dxa"/>
        </w:tblCellMar>
        <w:tblLook w:val="04A0" w:firstRow="1" w:lastRow="0" w:firstColumn="1" w:lastColumn="0" w:noHBand="0" w:noVBand="1"/>
      </w:tblPr>
      <w:tblGrid>
        <w:gridCol w:w="1242"/>
        <w:gridCol w:w="7970"/>
      </w:tblGrid>
      <w:tr w:rsidR="00C83A3F" w:rsidRPr="00B16DB8" w:rsidTr="008D6ABB">
        <w:trPr>
          <w:trHeight w:val="340"/>
          <w:jc w:val="center"/>
        </w:trPr>
        <w:tc>
          <w:tcPr>
            <w:tcW w:w="5000" w:type="pct"/>
            <w:gridSpan w:val="2"/>
            <w:tcBorders>
              <w:top w:val="nil"/>
              <w:left w:val="nil"/>
              <w:bottom w:val="single" w:sz="8" w:space="0" w:color="4F81BD"/>
              <w:right w:val="nil"/>
            </w:tcBorders>
            <w:shd w:val="clear" w:color="000000" w:fill="244061"/>
            <w:vAlign w:val="center"/>
            <w:hideMark/>
          </w:tcPr>
          <w:p w:rsidR="00C83A3F" w:rsidRPr="00B16DB8" w:rsidRDefault="00C83A3F" w:rsidP="008D6ABB">
            <w:pPr>
              <w:spacing w:after="0"/>
              <w:jc w:val="left"/>
              <w:rPr>
                <w:b/>
                <w:color w:val="FFFFFF"/>
                <w:szCs w:val="20"/>
                <w:lang w:eastAsia="fr-FR"/>
              </w:rPr>
            </w:pPr>
            <w:r w:rsidRPr="00B16DB8">
              <w:rPr>
                <w:b/>
                <w:color w:val="FFFFFF"/>
                <w:szCs w:val="20"/>
                <w:lang w:eastAsia="fr-FR"/>
              </w:rPr>
              <w:lastRenderedPageBreak/>
              <w:t>Abréviation</w:t>
            </w:r>
          </w:p>
        </w:tc>
      </w:tr>
      <w:tr w:rsidR="00C83A3F" w:rsidRPr="00B16DB8" w:rsidTr="008D6ABB">
        <w:trPr>
          <w:trHeight w:val="312"/>
          <w:jc w:val="center"/>
        </w:trPr>
        <w:tc>
          <w:tcPr>
            <w:tcW w:w="674" w:type="pct"/>
            <w:tcBorders>
              <w:top w:val="nil"/>
              <w:left w:val="nil"/>
              <w:bottom w:val="nil"/>
              <w:right w:val="nil"/>
            </w:tcBorders>
            <w:shd w:val="clear" w:color="000000" w:fill="B8CCE4"/>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AMR</w:t>
            </w:r>
          </w:p>
        </w:tc>
        <w:tc>
          <w:tcPr>
            <w:tcW w:w="4326" w:type="pct"/>
            <w:tcBorders>
              <w:top w:val="nil"/>
              <w:left w:val="nil"/>
              <w:bottom w:val="nil"/>
              <w:right w:val="nil"/>
            </w:tcBorders>
            <w:shd w:val="clear" w:color="000000" w:fill="B8CCE4"/>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Avis de Mise en Recouvrement</w:t>
            </w:r>
          </w:p>
        </w:tc>
      </w:tr>
      <w:tr w:rsidR="00C83A3F" w:rsidRPr="00B16DB8" w:rsidTr="008D6ABB">
        <w:trPr>
          <w:trHeight w:val="312"/>
          <w:jc w:val="center"/>
        </w:trPr>
        <w:tc>
          <w:tcPr>
            <w:tcW w:w="674" w:type="pct"/>
            <w:tcBorders>
              <w:top w:val="nil"/>
              <w:left w:val="nil"/>
              <w:bottom w:val="nil"/>
              <w:right w:val="nil"/>
            </w:tcBorders>
            <w:shd w:val="clear" w:color="auto" w:fill="auto"/>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APPA</w:t>
            </w:r>
          </w:p>
        </w:tc>
        <w:tc>
          <w:tcPr>
            <w:tcW w:w="4326" w:type="pct"/>
            <w:tcBorders>
              <w:top w:val="nil"/>
              <w:left w:val="nil"/>
              <w:bottom w:val="nil"/>
              <w:right w:val="nil"/>
            </w:tcBorders>
            <w:shd w:val="clear" w:color="auto" w:fill="auto"/>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Association des Pays Africains Producteurs de Pétrole</w:t>
            </w:r>
          </w:p>
        </w:tc>
      </w:tr>
      <w:tr w:rsidR="00C83A3F" w:rsidRPr="00B16DB8" w:rsidTr="008D6ABB">
        <w:trPr>
          <w:trHeight w:val="312"/>
          <w:jc w:val="center"/>
        </w:trPr>
        <w:tc>
          <w:tcPr>
            <w:tcW w:w="674" w:type="pct"/>
            <w:tcBorders>
              <w:top w:val="nil"/>
              <w:left w:val="nil"/>
              <w:bottom w:val="nil"/>
              <w:right w:val="nil"/>
            </w:tcBorders>
            <w:shd w:val="clear" w:color="000000" w:fill="B8CCE4"/>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BCC</w:t>
            </w:r>
          </w:p>
        </w:tc>
        <w:tc>
          <w:tcPr>
            <w:tcW w:w="4326" w:type="pct"/>
            <w:tcBorders>
              <w:top w:val="nil"/>
              <w:left w:val="nil"/>
              <w:bottom w:val="nil"/>
              <w:right w:val="nil"/>
            </w:tcBorders>
            <w:shd w:val="clear" w:color="000000" w:fill="B8CCE4"/>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Banque Centrale du Congo</w:t>
            </w:r>
          </w:p>
        </w:tc>
      </w:tr>
      <w:tr w:rsidR="00C83A3F" w:rsidRPr="00B16DB8" w:rsidTr="008D6ABB">
        <w:trPr>
          <w:trHeight w:val="312"/>
          <w:jc w:val="center"/>
        </w:trPr>
        <w:tc>
          <w:tcPr>
            <w:tcW w:w="674" w:type="pct"/>
            <w:tcBorders>
              <w:top w:val="nil"/>
              <w:left w:val="nil"/>
              <w:bottom w:val="nil"/>
              <w:right w:val="nil"/>
            </w:tcBorders>
            <w:shd w:val="clear" w:color="auto" w:fill="auto"/>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CAMI</w:t>
            </w:r>
          </w:p>
        </w:tc>
        <w:tc>
          <w:tcPr>
            <w:tcW w:w="4326" w:type="pct"/>
            <w:tcBorders>
              <w:top w:val="nil"/>
              <w:left w:val="nil"/>
              <w:bottom w:val="nil"/>
              <w:right w:val="nil"/>
            </w:tcBorders>
            <w:shd w:val="clear" w:color="auto" w:fill="auto"/>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Cadastre Minier</w:t>
            </w:r>
          </w:p>
        </w:tc>
      </w:tr>
      <w:tr w:rsidR="00C83A3F" w:rsidRPr="00B16DB8" w:rsidTr="008D6ABB">
        <w:trPr>
          <w:trHeight w:val="312"/>
          <w:jc w:val="center"/>
        </w:trPr>
        <w:tc>
          <w:tcPr>
            <w:tcW w:w="674" w:type="pct"/>
            <w:tcBorders>
              <w:top w:val="nil"/>
              <w:left w:val="nil"/>
              <w:bottom w:val="nil"/>
              <w:right w:val="nil"/>
            </w:tcBorders>
            <w:shd w:val="clear" w:color="000000" w:fill="B8CCE4"/>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CDF</w:t>
            </w:r>
          </w:p>
        </w:tc>
        <w:tc>
          <w:tcPr>
            <w:tcW w:w="4326" w:type="pct"/>
            <w:tcBorders>
              <w:top w:val="nil"/>
              <w:left w:val="nil"/>
              <w:bottom w:val="nil"/>
              <w:right w:val="nil"/>
            </w:tcBorders>
            <w:shd w:val="clear" w:color="000000" w:fill="B8CCE4"/>
            <w:vAlign w:val="center"/>
            <w:hideMark/>
          </w:tcPr>
          <w:p w:rsidR="00C83A3F" w:rsidRPr="00B16DB8" w:rsidRDefault="00C83A3F" w:rsidP="008D6ABB">
            <w:pPr>
              <w:spacing w:after="0"/>
              <w:jc w:val="left"/>
              <w:rPr>
                <w:bCs w:val="0"/>
                <w:color w:val="000000"/>
                <w:sz w:val="18"/>
                <w:szCs w:val="18"/>
                <w:lang w:eastAsia="fr-FR"/>
              </w:rPr>
            </w:pPr>
            <w:proofErr w:type="spellStart"/>
            <w:r w:rsidRPr="00B16DB8">
              <w:rPr>
                <w:bCs w:val="0"/>
                <w:color w:val="000000"/>
                <w:sz w:val="18"/>
                <w:szCs w:val="18"/>
                <w:lang w:eastAsia="fr-FR"/>
              </w:rPr>
              <w:t>Congolese</w:t>
            </w:r>
            <w:proofErr w:type="spellEnd"/>
            <w:r>
              <w:rPr>
                <w:bCs w:val="0"/>
                <w:color w:val="000000"/>
                <w:sz w:val="18"/>
                <w:szCs w:val="18"/>
                <w:lang w:eastAsia="fr-FR"/>
              </w:rPr>
              <w:t xml:space="preserve"> </w:t>
            </w:r>
            <w:proofErr w:type="spellStart"/>
            <w:r>
              <w:rPr>
                <w:bCs w:val="0"/>
                <w:color w:val="000000"/>
                <w:sz w:val="18"/>
                <w:szCs w:val="18"/>
                <w:lang w:eastAsia="fr-FR"/>
              </w:rPr>
              <w:t>Democratic</w:t>
            </w:r>
            <w:proofErr w:type="spellEnd"/>
            <w:r w:rsidRPr="00B16DB8">
              <w:rPr>
                <w:bCs w:val="0"/>
                <w:color w:val="000000"/>
                <w:sz w:val="18"/>
                <w:szCs w:val="18"/>
                <w:lang w:eastAsia="fr-FR"/>
              </w:rPr>
              <w:t xml:space="preserve"> Franc</w:t>
            </w:r>
          </w:p>
        </w:tc>
      </w:tr>
      <w:tr w:rsidR="00C83A3F" w:rsidRPr="00B16DB8" w:rsidTr="008D6ABB">
        <w:trPr>
          <w:trHeight w:val="312"/>
          <w:jc w:val="center"/>
        </w:trPr>
        <w:tc>
          <w:tcPr>
            <w:tcW w:w="674" w:type="pct"/>
            <w:tcBorders>
              <w:top w:val="nil"/>
              <w:left w:val="nil"/>
              <w:bottom w:val="nil"/>
              <w:right w:val="nil"/>
            </w:tcBorders>
            <w:shd w:val="clear" w:color="auto" w:fill="auto"/>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CE</w:t>
            </w:r>
          </w:p>
        </w:tc>
        <w:tc>
          <w:tcPr>
            <w:tcW w:w="4326" w:type="pct"/>
            <w:tcBorders>
              <w:top w:val="nil"/>
              <w:left w:val="nil"/>
              <w:bottom w:val="nil"/>
              <w:right w:val="nil"/>
            </w:tcBorders>
            <w:shd w:val="clear" w:color="auto" w:fill="auto"/>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Comité Exécutif</w:t>
            </w:r>
          </w:p>
        </w:tc>
      </w:tr>
      <w:tr w:rsidR="00C83A3F" w:rsidRPr="00B16DB8" w:rsidTr="008D6ABB">
        <w:trPr>
          <w:trHeight w:val="312"/>
          <w:jc w:val="center"/>
        </w:trPr>
        <w:tc>
          <w:tcPr>
            <w:tcW w:w="674" w:type="pct"/>
            <w:tcBorders>
              <w:top w:val="nil"/>
              <w:left w:val="nil"/>
              <w:bottom w:val="nil"/>
              <w:right w:val="nil"/>
            </w:tcBorders>
            <w:shd w:val="clear" w:color="000000" w:fill="B8CCE4"/>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CPP</w:t>
            </w:r>
          </w:p>
        </w:tc>
        <w:tc>
          <w:tcPr>
            <w:tcW w:w="4326" w:type="pct"/>
            <w:tcBorders>
              <w:top w:val="nil"/>
              <w:left w:val="nil"/>
              <w:bottom w:val="nil"/>
              <w:right w:val="nil"/>
            </w:tcBorders>
            <w:shd w:val="clear" w:color="000000" w:fill="B8CCE4"/>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Contrat de Partage de Production</w:t>
            </w:r>
          </w:p>
        </w:tc>
      </w:tr>
      <w:tr w:rsidR="00C83A3F" w:rsidRPr="00B16DB8" w:rsidTr="008D6ABB">
        <w:trPr>
          <w:trHeight w:val="312"/>
          <w:jc w:val="center"/>
        </w:trPr>
        <w:tc>
          <w:tcPr>
            <w:tcW w:w="674" w:type="pct"/>
            <w:tcBorders>
              <w:top w:val="nil"/>
              <w:left w:val="nil"/>
              <w:bottom w:val="nil"/>
              <w:right w:val="nil"/>
            </w:tcBorders>
            <w:shd w:val="clear" w:color="auto" w:fill="auto"/>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CTCPM</w:t>
            </w:r>
          </w:p>
        </w:tc>
        <w:tc>
          <w:tcPr>
            <w:tcW w:w="4326" w:type="pct"/>
            <w:tcBorders>
              <w:top w:val="nil"/>
              <w:left w:val="nil"/>
              <w:bottom w:val="nil"/>
              <w:right w:val="nil"/>
            </w:tcBorders>
            <w:shd w:val="clear" w:color="auto" w:fill="auto"/>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Cellule Technique de Coordination et de Planification Minière</w:t>
            </w:r>
          </w:p>
        </w:tc>
      </w:tr>
      <w:tr w:rsidR="00C83A3F" w:rsidRPr="00B16DB8" w:rsidTr="008D6ABB">
        <w:trPr>
          <w:trHeight w:val="312"/>
          <w:jc w:val="center"/>
        </w:trPr>
        <w:tc>
          <w:tcPr>
            <w:tcW w:w="674" w:type="pct"/>
            <w:tcBorders>
              <w:top w:val="nil"/>
              <w:left w:val="nil"/>
              <w:bottom w:val="nil"/>
              <w:right w:val="nil"/>
            </w:tcBorders>
            <w:shd w:val="clear" w:color="000000" w:fill="B8CCE4"/>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CTR</w:t>
            </w:r>
          </w:p>
        </w:tc>
        <w:tc>
          <w:tcPr>
            <w:tcW w:w="4326" w:type="pct"/>
            <w:tcBorders>
              <w:top w:val="nil"/>
              <w:left w:val="nil"/>
              <w:bottom w:val="nil"/>
              <w:right w:val="nil"/>
            </w:tcBorders>
            <w:shd w:val="clear" w:color="000000" w:fill="B8CCE4"/>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Comité Technique de Suivi et Evaluation des Réformes</w:t>
            </w:r>
          </w:p>
        </w:tc>
      </w:tr>
      <w:tr w:rsidR="00C83A3F" w:rsidRPr="00B16DB8" w:rsidTr="008D6ABB">
        <w:trPr>
          <w:trHeight w:val="312"/>
          <w:jc w:val="center"/>
        </w:trPr>
        <w:tc>
          <w:tcPr>
            <w:tcW w:w="674" w:type="pct"/>
            <w:tcBorders>
              <w:top w:val="nil"/>
              <w:left w:val="nil"/>
              <w:bottom w:val="nil"/>
              <w:right w:val="nil"/>
            </w:tcBorders>
            <w:shd w:val="clear" w:color="auto" w:fill="auto"/>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DD</w:t>
            </w:r>
          </w:p>
        </w:tc>
        <w:tc>
          <w:tcPr>
            <w:tcW w:w="4326" w:type="pct"/>
            <w:tcBorders>
              <w:top w:val="nil"/>
              <w:left w:val="nil"/>
              <w:bottom w:val="nil"/>
              <w:right w:val="nil"/>
            </w:tcBorders>
            <w:shd w:val="clear" w:color="auto" w:fill="auto"/>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Droits de douane</w:t>
            </w:r>
          </w:p>
        </w:tc>
      </w:tr>
      <w:tr w:rsidR="00C83A3F" w:rsidRPr="00B16DB8" w:rsidTr="008D6ABB">
        <w:trPr>
          <w:trHeight w:val="312"/>
          <w:jc w:val="center"/>
        </w:trPr>
        <w:tc>
          <w:tcPr>
            <w:tcW w:w="674" w:type="pct"/>
            <w:tcBorders>
              <w:top w:val="nil"/>
              <w:left w:val="nil"/>
              <w:bottom w:val="nil"/>
              <w:right w:val="nil"/>
            </w:tcBorders>
            <w:shd w:val="clear" w:color="000000" w:fill="B8CCE4"/>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DE</w:t>
            </w:r>
          </w:p>
        </w:tc>
        <w:tc>
          <w:tcPr>
            <w:tcW w:w="4326" w:type="pct"/>
            <w:tcBorders>
              <w:top w:val="nil"/>
              <w:left w:val="nil"/>
              <w:bottom w:val="nil"/>
              <w:right w:val="nil"/>
            </w:tcBorders>
            <w:shd w:val="clear" w:color="000000" w:fill="B8CCE4"/>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Droits d'Entrée</w:t>
            </w:r>
          </w:p>
        </w:tc>
      </w:tr>
      <w:tr w:rsidR="00C83A3F" w:rsidRPr="00B16DB8" w:rsidTr="008D6ABB">
        <w:trPr>
          <w:trHeight w:val="312"/>
          <w:jc w:val="center"/>
        </w:trPr>
        <w:tc>
          <w:tcPr>
            <w:tcW w:w="674" w:type="pct"/>
            <w:tcBorders>
              <w:top w:val="nil"/>
              <w:left w:val="nil"/>
              <w:bottom w:val="nil"/>
              <w:right w:val="nil"/>
            </w:tcBorders>
            <w:shd w:val="clear" w:color="auto" w:fill="auto"/>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DESC</w:t>
            </w:r>
          </w:p>
        </w:tc>
        <w:tc>
          <w:tcPr>
            <w:tcW w:w="4326" w:type="pct"/>
            <w:tcBorders>
              <w:top w:val="nil"/>
              <w:left w:val="nil"/>
              <w:bottom w:val="nil"/>
              <w:right w:val="nil"/>
            </w:tcBorders>
            <w:shd w:val="clear" w:color="auto" w:fill="auto"/>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Droits Economiques Sociaux et Culturels</w:t>
            </w:r>
          </w:p>
        </w:tc>
      </w:tr>
      <w:tr w:rsidR="00C83A3F" w:rsidRPr="00B16DB8" w:rsidTr="008D6ABB">
        <w:trPr>
          <w:trHeight w:val="312"/>
          <w:jc w:val="center"/>
        </w:trPr>
        <w:tc>
          <w:tcPr>
            <w:tcW w:w="674" w:type="pct"/>
            <w:tcBorders>
              <w:top w:val="nil"/>
              <w:left w:val="nil"/>
              <w:bottom w:val="nil"/>
              <w:right w:val="nil"/>
            </w:tcBorders>
            <w:shd w:val="clear" w:color="000000" w:fill="B8CCE4"/>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DG</w:t>
            </w:r>
          </w:p>
        </w:tc>
        <w:tc>
          <w:tcPr>
            <w:tcW w:w="4326" w:type="pct"/>
            <w:tcBorders>
              <w:top w:val="nil"/>
              <w:left w:val="nil"/>
              <w:bottom w:val="nil"/>
              <w:right w:val="nil"/>
            </w:tcBorders>
            <w:shd w:val="clear" w:color="000000" w:fill="B8CCE4"/>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Direction Générale</w:t>
            </w:r>
          </w:p>
        </w:tc>
      </w:tr>
      <w:tr w:rsidR="00C83A3F" w:rsidRPr="00B16DB8" w:rsidTr="008D6ABB">
        <w:trPr>
          <w:trHeight w:val="312"/>
          <w:jc w:val="center"/>
        </w:trPr>
        <w:tc>
          <w:tcPr>
            <w:tcW w:w="674" w:type="pct"/>
            <w:tcBorders>
              <w:top w:val="nil"/>
              <w:left w:val="nil"/>
              <w:bottom w:val="nil"/>
              <w:right w:val="nil"/>
            </w:tcBorders>
            <w:shd w:val="clear" w:color="auto" w:fill="auto"/>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DGDA</w:t>
            </w:r>
          </w:p>
        </w:tc>
        <w:tc>
          <w:tcPr>
            <w:tcW w:w="4326" w:type="pct"/>
            <w:tcBorders>
              <w:top w:val="nil"/>
              <w:left w:val="nil"/>
              <w:bottom w:val="nil"/>
              <w:right w:val="nil"/>
            </w:tcBorders>
            <w:shd w:val="clear" w:color="auto" w:fill="auto"/>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Direction Générale des Douanes et Accises</w:t>
            </w:r>
          </w:p>
        </w:tc>
      </w:tr>
      <w:tr w:rsidR="00C83A3F" w:rsidRPr="00B16DB8" w:rsidTr="008D6ABB">
        <w:trPr>
          <w:trHeight w:val="312"/>
          <w:jc w:val="center"/>
        </w:trPr>
        <w:tc>
          <w:tcPr>
            <w:tcW w:w="674" w:type="pct"/>
            <w:tcBorders>
              <w:top w:val="nil"/>
              <w:left w:val="nil"/>
              <w:bottom w:val="nil"/>
              <w:right w:val="nil"/>
            </w:tcBorders>
            <w:shd w:val="clear" w:color="000000" w:fill="B8CCE4"/>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DGI</w:t>
            </w:r>
          </w:p>
        </w:tc>
        <w:tc>
          <w:tcPr>
            <w:tcW w:w="4326" w:type="pct"/>
            <w:tcBorders>
              <w:top w:val="nil"/>
              <w:left w:val="nil"/>
              <w:bottom w:val="nil"/>
              <w:right w:val="nil"/>
            </w:tcBorders>
            <w:shd w:val="clear" w:color="000000" w:fill="B8CCE4"/>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 xml:space="preserve">Direction Générale des Impôts </w:t>
            </w:r>
          </w:p>
        </w:tc>
      </w:tr>
      <w:tr w:rsidR="00C83A3F" w:rsidRPr="00B16DB8" w:rsidTr="008D6ABB">
        <w:trPr>
          <w:trHeight w:val="312"/>
          <w:jc w:val="center"/>
        </w:trPr>
        <w:tc>
          <w:tcPr>
            <w:tcW w:w="674" w:type="pct"/>
            <w:tcBorders>
              <w:top w:val="nil"/>
              <w:left w:val="nil"/>
              <w:bottom w:val="nil"/>
              <w:right w:val="nil"/>
            </w:tcBorders>
            <w:shd w:val="clear" w:color="auto" w:fill="auto"/>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 xml:space="preserve">DGRAD </w:t>
            </w:r>
          </w:p>
        </w:tc>
        <w:tc>
          <w:tcPr>
            <w:tcW w:w="4326" w:type="pct"/>
            <w:tcBorders>
              <w:top w:val="nil"/>
              <w:left w:val="nil"/>
              <w:bottom w:val="nil"/>
              <w:right w:val="nil"/>
            </w:tcBorders>
            <w:shd w:val="clear" w:color="auto" w:fill="auto"/>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 xml:space="preserve">Direction Générale des Recettes Administratives, Judiciaires, Domaniales et de Participation </w:t>
            </w:r>
          </w:p>
        </w:tc>
      </w:tr>
      <w:tr w:rsidR="00C83A3F" w:rsidRPr="00B16DB8" w:rsidTr="008D6ABB">
        <w:trPr>
          <w:trHeight w:val="312"/>
          <w:jc w:val="center"/>
        </w:trPr>
        <w:tc>
          <w:tcPr>
            <w:tcW w:w="674" w:type="pct"/>
            <w:tcBorders>
              <w:top w:val="nil"/>
              <w:left w:val="nil"/>
              <w:bottom w:val="nil"/>
              <w:right w:val="nil"/>
            </w:tcBorders>
            <w:shd w:val="clear" w:color="000000" w:fill="B8CCE4"/>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DPSB</w:t>
            </w:r>
          </w:p>
        </w:tc>
        <w:tc>
          <w:tcPr>
            <w:tcW w:w="4326" w:type="pct"/>
            <w:tcBorders>
              <w:top w:val="nil"/>
              <w:left w:val="nil"/>
              <w:bottom w:val="nil"/>
              <w:right w:val="nil"/>
            </w:tcBorders>
            <w:shd w:val="clear" w:color="000000" w:fill="B8CCE4"/>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Direction de Préparation et de Suivi du Budget</w:t>
            </w:r>
          </w:p>
        </w:tc>
      </w:tr>
      <w:tr w:rsidR="00C83A3F" w:rsidRPr="00B16DB8" w:rsidTr="008D6ABB">
        <w:trPr>
          <w:trHeight w:val="312"/>
          <w:jc w:val="center"/>
        </w:trPr>
        <w:tc>
          <w:tcPr>
            <w:tcW w:w="674" w:type="pct"/>
            <w:tcBorders>
              <w:top w:val="nil"/>
              <w:left w:val="nil"/>
              <w:right w:val="nil"/>
            </w:tcBorders>
            <w:shd w:val="clear" w:color="auto" w:fill="auto"/>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DRKAT</w:t>
            </w:r>
          </w:p>
        </w:tc>
        <w:tc>
          <w:tcPr>
            <w:tcW w:w="4326" w:type="pct"/>
            <w:tcBorders>
              <w:top w:val="nil"/>
              <w:left w:val="nil"/>
              <w:right w:val="nil"/>
            </w:tcBorders>
            <w:shd w:val="clear" w:color="auto" w:fill="auto"/>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Direction Provinciale des Recettes du Katanga</w:t>
            </w:r>
          </w:p>
        </w:tc>
      </w:tr>
      <w:tr w:rsidR="00C83A3F" w:rsidRPr="00B16DB8" w:rsidTr="008D6ABB">
        <w:trPr>
          <w:trHeight w:val="312"/>
          <w:jc w:val="center"/>
        </w:trPr>
        <w:tc>
          <w:tcPr>
            <w:tcW w:w="674" w:type="pct"/>
            <w:tcBorders>
              <w:top w:val="nil"/>
              <w:left w:val="nil"/>
              <w:bottom w:val="nil"/>
              <w:right w:val="nil"/>
            </w:tcBorders>
            <w:shd w:val="clear" w:color="auto" w:fill="B8CCE4" w:themeFill="accent1" w:themeFillTint="66"/>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GMP</w:t>
            </w:r>
          </w:p>
        </w:tc>
        <w:tc>
          <w:tcPr>
            <w:tcW w:w="4326" w:type="pct"/>
            <w:tcBorders>
              <w:top w:val="nil"/>
              <w:left w:val="nil"/>
              <w:bottom w:val="nil"/>
              <w:right w:val="nil"/>
            </w:tcBorders>
            <w:shd w:val="clear" w:color="auto" w:fill="B8CCE4" w:themeFill="accent1" w:themeFillTint="66"/>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Groupe Multipartite de l'ITIE</w:t>
            </w:r>
          </w:p>
        </w:tc>
      </w:tr>
      <w:tr w:rsidR="00C83A3F" w:rsidRPr="00B16DB8" w:rsidTr="008D6ABB">
        <w:trPr>
          <w:trHeight w:val="312"/>
          <w:jc w:val="center"/>
        </w:trPr>
        <w:tc>
          <w:tcPr>
            <w:tcW w:w="674" w:type="pct"/>
            <w:tcBorders>
              <w:top w:val="nil"/>
              <w:left w:val="nil"/>
              <w:right w:val="nil"/>
            </w:tcBorders>
            <w:shd w:val="clear" w:color="auto" w:fill="auto"/>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IBP</w:t>
            </w:r>
          </w:p>
        </w:tc>
        <w:tc>
          <w:tcPr>
            <w:tcW w:w="4326" w:type="pct"/>
            <w:tcBorders>
              <w:top w:val="nil"/>
              <w:left w:val="nil"/>
              <w:right w:val="nil"/>
            </w:tcBorders>
            <w:shd w:val="clear" w:color="auto" w:fill="auto"/>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Impôt sur les bénéfices et profits</w:t>
            </w:r>
          </w:p>
        </w:tc>
      </w:tr>
      <w:tr w:rsidR="00C83A3F" w:rsidRPr="00B16DB8" w:rsidTr="008D6ABB">
        <w:trPr>
          <w:trHeight w:val="312"/>
          <w:jc w:val="center"/>
        </w:trPr>
        <w:tc>
          <w:tcPr>
            <w:tcW w:w="674" w:type="pct"/>
            <w:tcBorders>
              <w:top w:val="nil"/>
              <w:left w:val="nil"/>
              <w:bottom w:val="nil"/>
              <w:right w:val="nil"/>
            </w:tcBorders>
            <w:shd w:val="clear" w:color="auto" w:fill="B8CCE4" w:themeFill="accent1" w:themeFillTint="66"/>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IER</w:t>
            </w:r>
          </w:p>
        </w:tc>
        <w:tc>
          <w:tcPr>
            <w:tcW w:w="4326" w:type="pct"/>
            <w:tcBorders>
              <w:top w:val="nil"/>
              <w:left w:val="nil"/>
              <w:bottom w:val="nil"/>
              <w:right w:val="nil"/>
            </w:tcBorders>
            <w:shd w:val="clear" w:color="auto" w:fill="B8CCE4" w:themeFill="accent1" w:themeFillTint="66"/>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Impôt Exceptionnel sur la Rémunération des Expatriés</w:t>
            </w:r>
          </w:p>
        </w:tc>
      </w:tr>
      <w:tr w:rsidR="00C83A3F" w:rsidRPr="00B16DB8" w:rsidTr="008D6ABB">
        <w:trPr>
          <w:trHeight w:val="312"/>
          <w:jc w:val="center"/>
        </w:trPr>
        <w:tc>
          <w:tcPr>
            <w:tcW w:w="674" w:type="pct"/>
            <w:tcBorders>
              <w:top w:val="nil"/>
              <w:left w:val="nil"/>
              <w:right w:val="nil"/>
            </w:tcBorders>
            <w:shd w:val="clear" w:color="auto" w:fill="auto"/>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IGF</w:t>
            </w:r>
          </w:p>
        </w:tc>
        <w:tc>
          <w:tcPr>
            <w:tcW w:w="4326" w:type="pct"/>
            <w:tcBorders>
              <w:top w:val="nil"/>
              <w:left w:val="nil"/>
              <w:right w:val="nil"/>
            </w:tcBorders>
            <w:shd w:val="clear" w:color="auto" w:fill="auto"/>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Inspection Générale des Finances</w:t>
            </w:r>
          </w:p>
        </w:tc>
      </w:tr>
      <w:tr w:rsidR="00C83A3F" w:rsidRPr="00B16DB8" w:rsidTr="008D6ABB">
        <w:trPr>
          <w:trHeight w:val="312"/>
          <w:jc w:val="center"/>
        </w:trPr>
        <w:tc>
          <w:tcPr>
            <w:tcW w:w="674" w:type="pct"/>
            <w:tcBorders>
              <w:top w:val="nil"/>
              <w:left w:val="nil"/>
              <w:bottom w:val="nil"/>
              <w:right w:val="nil"/>
            </w:tcBorders>
            <w:shd w:val="clear" w:color="auto" w:fill="B8CCE4" w:themeFill="accent1" w:themeFillTint="66"/>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IM</w:t>
            </w:r>
          </w:p>
        </w:tc>
        <w:tc>
          <w:tcPr>
            <w:tcW w:w="4326" w:type="pct"/>
            <w:tcBorders>
              <w:top w:val="nil"/>
              <w:left w:val="nil"/>
              <w:bottom w:val="nil"/>
              <w:right w:val="nil"/>
            </w:tcBorders>
            <w:shd w:val="clear" w:color="auto" w:fill="B8CCE4" w:themeFill="accent1" w:themeFillTint="66"/>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Impôt mobilier</w:t>
            </w:r>
          </w:p>
        </w:tc>
      </w:tr>
      <w:tr w:rsidR="00C83A3F" w:rsidRPr="00B16DB8" w:rsidTr="008D6ABB">
        <w:trPr>
          <w:trHeight w:val="312"/>
          <w:jc w:val="center"/>
        </w:trPr>
        <w:tc>
          <w:tcPr>
            <w:tcW w:w="674" w:type="pct"/>
            <w:tcBorders>
              <w:top w:val="nil"/>
              <w:left w:val="nil"/>
              <w:right w:val="nil"/>
            </w:tcBorders>
            <w:shd w:val="clear" w:color="auto" w:fill="auto"/>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IPR</w:t>
            </w:r>
          </w:p>
        </w:tc>
        <w:tc>
          <w:tcPr>
            <w:tcW w:w="4326" w:type="pct"/>
            <w:tcBorders>
              <w:top w:val="nil"/>
              <w:left w:val="nil"/>
              <w:right w:val="nil"/>
            </w:tcBorders>
            <w:shd w:val="clear" w:color="auto" w:fill="auto"/>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Impôt Professionnel sur les Rémunérations</w:t>
            </w:r>
          </w:p>
        </w:tc>
      </w:tr>
      <w:tr w:rsidR="00C83A3F" w:rsidRPr="00B16DB8" w:rsidTr="008D6ABB">
        <w:trPr>
          <w:trHeight w:val="312"/>
          <w:jc w:val="center"/>
        </w:trPr>
        <w:tc>
          <w:tcPr>
            <w:tcW w:w="674" w:type="pct"/>
            <w:tcBorders>
              <w:top w:val="nil"/>
              <w:left w:val="nil"/>
              <w:bottom w:val="nil"/>
              <w:right w:val="nil"/>
            </w:tcBorders>
            <w:shd w:val="clear" w:color="auto" w:fill="B8CCE4" w:themeFill="accent1" w:themeFillTint="66"/>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ISF</w:t>
            </w:r>
          </w:p>
        </w:tc>
        <w:tc>
          <w:tcPr>
            <w:tcW w:w="4326" w:type="pct"/>
            <w:tcBorders>
              <w:top w:val="nil"/>
              <w:left w:val="nil"/>
              <w:bottom w:val="nil"/>
              <w:right w:val="nil"/>
            </w:tcBorders>
            <w:shd w:val="clear" w:color="auto" w:fill="B8CCE4" w:themeFill="accent1" w:themeFillTint="66"/>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Impôt spécial forfaitaire</w:t>
            </w:r>
          </w:p>
        </w:tc>
      </w:tr>
      <w:tr w:rsidR="00C83A3F" w:rsidRPr="00B16DB8" w:rsidTr="008D6ABB">
        <w:trPr>
          <w:trHeight w:val="312"/>
          <w:jc w:val="center"/>
        </w:trPr>
        <w:tc>
          <w:tcPr>
            <w:tcW w:w="674" w:type="pct"/>
            <w:tcBorders>
              <w:top w:val="nil"/>
              <w:left w:val="nil"/>
              <w:right w:val="nil"/>
            </w:tcBorders>
            <w:shd w:val="clear" w:color="auto" w:fill="auto"/>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ITIE</w:t>
            </w:r>
          </w:p>
        </w:tc>
        <w:tc>
          <w:tcPr>
            <w:tcW w:w="4326" w:type="pct"/>
            <w:tcBorders>
              <w:top w:val="nil"/>
              <w:left w:val="nil"/>
              <w:right w:val="nil"/>
            </w:tcBorders>
            <w:shd w:val="clear" w:color="auto" w:fill="auto"/>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 xml:space="preserve">Initiative pour la Transparence </w:t>
            </w:r>
            <w:r>
              <w:rPr>
                <w:bCs w:val="0"/>
                <w:color w:val="000000"/>
                <w:sz w:val="18"/>
                <w:szCs w:val="18"/>
                <w:lang w:eastAsia="fr-FR"/>
              </w:rPr>
              <w:t>dans les</w:t>
            </w:r>
            <w:r w:rsidRPr="00B16DB8">
              <w:rPr>
                <w:bCs w:val="0"/>
                <w:color w:val="000000"/>
                <w:sz w:val="18"/>
                <w:szCs w:val="18"/>
                <w:lang w:eastAsia="fr-FR"/>
              </w:rPr>
              <w:t xml:space="preserve"> Industries Extractives</w:t>
            </w:r>
          </w:p>
        </w:tc>
      </w:tr>
      <w:tr w:rsidR="00C83A3F" w:rsidRPr="00B16DB8" w:rsidTr="008D6ABB">
        <w:trPr>
          <w:trHeight w:val="312"/>
          <w:jc w:val="center"/>
        </w:trPr>
        <w:tc>
          <w:tcPr>
            <w:tcW w:w="674" w:type="pct"/>
            <w:tcBorders>
              <w:top w:val="nil"/>
              <w:left w:val="nil"/>
              <w:bottom w:val="nil"/>
              <w:right w:val="nil"/>
            </w:tcBorders>
            <w:shd w:val="clear" w:color="auto" w:fill="B8CCE4" w:themeFill="accent1" w:themeFillTint="66"/>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JV</w:t>
            </w:r>
          </w:p>
        </w:tc>
        <w:tc>
          <w:tcPr>
            <w:tcW w:w="4326" w:type="pct"/>
            <w:tcBorders>
              <w:top w:val="nil"/>
              <w:left w:val="nil"/>
              <w:bottom w:val="nil"/>
              <w:right w:val="nil"/>
            </w:tcBorders>
            <w:shd w:val="clear" w:color="auto" w:fill="B8CCE4" w:themeFill="accent1" w:themeFillTint="66"/>
            <w:vAlign w:val="center"/>
            <w:hideMark/>
          </w:tcPr>
          <w:p w:rsidR="00C83A3F" w:rsidRPr="00B16DB8" w:rsidRDefault="00C83A3F" w:rsidP="008D6ABB">
            <w:pPr>
              <w:spacing w:after="0"/>
              <w:jc w:val="left"/>
              <w:rPr>
                <w:bCs w:val="0"/>
                <w:color w:val="000000"/>
                <w:sz w:val="18"/>
                <w:szCs w:val="18"/>
                <w:lang w:eastAsia="fr-FR"/>
              </w:rPr>
            </w:pPr>
            <w:r w:rsidRPr="00B16DB8">
              <w:rPr>
                <w:bCs w:val="0"/>
                <w:color w:val="000000"/>
                <w:sz w:val="18"/>
                <w:szCs w:val="18"/>
                <w:lang w:eastAsia="fr-FR"/>
              </w:rPr>
              <w:t>Contrat d'association (Joint-Venture)</w:t>
            </w:r>
          </w:p>
        </w:tc>
      </w:tr>
      <w:tr w:rsidR="00C83A3F" w:rsidRPr="00B16DB8" w:rsidTr="008D6ABB">
        <w:trPr>
          <w:trHeight w:val="312"/>
          <w:jc w:val="center"/>
        </w:trPr>
        <w:tc>
          <w:tcPr>
            <w:tcW w:w="674" w:type="pct"/>
            <w:tcBorders>
              <w:top w:val="nil"/>
              <w:left w:val="nil"/>
              <w:right w:val="nil"/>
            </w:tcBorders>
            <w:shd w:val="clear" w:color="auto" w:fill="auto"/>
            <w:vAlign w:val="center"/>
            <w:hideMark/>
          </w:tcPr>
          <w:p w:rsidR="00C83A3F" w:rsidRPr="00D057BE" w:rsidRDefault="00C83A3F" w:rsidP="008D6ABB">
            <w:pPr>
              <w:spacing w:after="0"/>
              <w:jc w:val="left"/>
              <w:rPr>
                <w:bCs w:val="0"/>
                <w:color w:val="000000"/>
                <w:sz w:val="18"/>
                <w:szCs w:val="18"/>
                <w:lang w:eastAsia="fr-FR"/>
              </w:rPr>
            </w:pPr>
            <w:r w:rsidRPr="00D057BE">
              <w:rPr>
                <w:bCs w:val="0"/>
                <w:color w:val="000000"/>
                <w:sz w:val="18"/>
                <w:szCs w:val="18"/>
                <w:lang w:eastAsia="fr-FR"/>
              </w:rPr>
              <w:t>MECNT*</w:t>
            </w:r>
          </w:p>
        </w:tc>
        <w:tc>
          <w:tcPr>
            <w:tcW w:w="4326" w:type="pct"/>
            <w:tcBorders>
              <w:top w:val="nil"/>
              <w:left w:val="nil"/>
              <w:right w:val="nil"/>
            </w:tcBorders>
            <w:shd w:val="clear" w:color="auto" w:fill="auto"/>
            <w:vAlign w:val="center"/>
            <w:hideMark/>
          </w:tcPr>
          <w:p w:rsidR="00C83A3F" w:rsidRPr="00D057BE" w:rsidRDefault="00C83A3F" w:rsidP="008D6ABB">
            <w:pPr>
              <w:spacing w:after="0"/>
              <w:jc w:val="left"/>
              <w:rPr>
                <w:bCs w:val="0"/>
                <w:color w:val="000000"/>
                <w:sz w:val="18"/>
                <w:szCs w:val="18"/>
                <w:lang w:eastAsia="fr-FR"/>
              </w:rPr>
            </w:pPr>
            <w:r w:rsidRPr="00D057BE">
              <w:rPr>
                <w:bCs w:val="0"/>
                <w:color w:val="000000"/>
                <w:sz w:val="18"/>
                <w:szCs w:val="18"/>
                <w:lang w:eastAsia="fr-FR"/>
              </w:rPr>
              <w:t>Ministère de l'Environnement, Conservation de la Nature et Tourisme</w:t>
            </w:r>
          </w:p>
        </w:tc>
      </w:tr>
      <w:tr w:rsidR="00C83A3F" w:rsidRPr="00B16DB8" w:rsidTr="008D6ABB">
        <w:trPr>
          <w:trHeight w:val="312"/>
          <w:jc w:val="center"/>
        </w:trPr>
        <w:tc>
          <w:tcPr>
            <w:tcW w:w="674" w:type="pct"/>
            <w:tcBorders>
              <w:top w:val="nil"/>
              <w:left w:val="nil"/>
              <w:right w:val="nil"/>
            </w:tcBorders>
            <w:shd w:val="clear" w:color="auto" w:fill="B8CCE4" w:themeFill="accent1" w:themeFillTint="66"/>
            <w:vAlign w:val="center"/>
          </w:tcPr>
          <w:p w:rsidR="00C83A3F" w:rsidRPr="00D057BE" w:rsidRDefault="00C83A3F" w:rsidP="008D6ABB">
            <w:pPr>
              <w:spacing w:after="0"/>
              <w:jc w:val="left"/>
              <w:rPr>
                <w:bCs w:val="0"/>
                <w:color w:val="000000"/>
                <w:sz w:val="18"/>
                <w:szCs w:val="18"/>
                <w:lang w:eastAsia="fr-FR"/>
              </w:rPr>
            </w:pPr>
            <w:r w:rsidRPr="00D057BE">
              <w:rPr>
                <w:bCs w:val="0"/>
                <w:color w:val="000000"/>
                <w:sz w:val="18"/>
                <w:szCs w:val="18"/>
                <w:lang w:eastAsia="fr-FR"/>
              </w:rPr>
              <w:t>MEDD</w:t>
            </w:r>
          </w:p>
        </w:tc>
        <w:tc>
          <w:tcPr>
            <w:tcW w:w="4326" w:type="pct"/>
            <w:tcBorders>
              <w:top w:val="nil"/>
              <w:left w:val="nil"/>
              <w:right w:val="nil"/>
            </w:tcBorders>
            <w:shd w:val="clear" w:color="auto" w:fill="B8CCE4" w:themeFill="accent1" w:themeFillTint="66"/>
            <w:vAlign w:val="center"/>
          </w:tcPr>
          <w:p w:rsidR="00C83A3F" w:rsidRPr="00D057BE" w:rsidRDefault="00C83A3F" w:rsidP="008D6ABB">
            <w:pPr>
              <w:spacing w:after="0"/>
              <w:jc w:val="left"/>
              <w:rPr>
                <w:bCs w:val="0"/>
                <w:color w:val="000000"/>
                <w:sz w:val="18"/>
                <w:szCs w:val="18"/>
                <w:lang w:eastAsia="fr-FR"/>
              </w:rPr>
            </w:pPr>
            <w:r w:rsidRPr="00D057BE">
              <w:rPr>
                <w:bCs w:val="0"/>
                <w:color w:val="000000"/>
                <w:sz w:val="18"/>
                <w:szCs w:val="18"/>
                <w:lang w:eastAsia="fr-FR"/>
              </w:rPr>
              <w:t>Ministère de l’Environnement et Développement Durable</w:t>
            </w:r>
          </w:p>
        </w:tc>
      </w:tr>
      <w:tr w:rsidR="00C83A3F" w:rsidRPr="00B16DB8" w:rsidTr="008D6ABB">
        <w:trPr>
          <w:trHeight w:val="312"/>
          <w:jc w:val="center"/>
        </w:trPr>
        <w:tc>
          <w:tcPr>
            <w:tcW w:w="674" w:type="pct"/>
            <w:tcBorders>
              <w:top w:val="nil"/>
              <w:left w:val="nil"/>
              <w:right w:val="nil"/>
            </w:tcBorders>
            <w:shd w:val="clear" w:color="auto" w:fill="auto"/>
            <w:vAlign w:val="center"/>
            <w:hideMark/>
          </w:tcPr>
          <w:p w:rsidR="00C83A3F" w:rsidRPr="00D057BE" w:rsidRDefault="00C83A3F" w:rsidP="008D6ABB">
            <w:pPr>
              <w:spacing w:after="0"/>
              <w:jc w:val="left"/>
              <w:rPr>
                <w:bCs w:val="0"/>
                <w:color w:val="000000"/>
                <w:sz w:val="18"/>
                <w:szCs w:val="18"/>
                <w:lang w:eastAsia="fr-FR"/>
              </w:rPr>
            </w:pPr>
            <w:r w:rsidRPr="00D057BE">
              <w:rPr>
                <w:bCs w:val="0"/>
                <w:color w:val="000000"/>
                <w:sz w:val="18"/>
                <w:szCs w:val="18"/>
                <w:lang w:eastAsia="fr-FR"/>
              </w:rPr>
              <w:t>PAR</w:t>
            </w:r>
          </w:p>
        </w:tc>
        <w:tc>
          <w:tcPr>
            <w:tcW w:w="4326" w:type="pct"/>
            <w:tcBorders>
              <w:top w:val="nil"/>
              <w:left w:val="nil"/>
              <w:right w:val="nil"/>
            </w:tcBorders>
            <w:shd w:val="clear" w:color="auto" w:fill="auto"/>
            <w:vAlign w:val="center"/>
            <w:hideMark/>
          </w:tcPr>
          <w:p w:rsidR="00C83A3F" w:rsidRPr="00D057BE" w:rsidRDefault="00C83A3F" w:rsidP="008D6ABB">
            <w:pPr>
              <w:spacing w:after="0"/>
              <w:jc w:val="left"/>
              <w:rPr>
                <w:bCs w:val="0"/>
                <w:color w:val="000000"/>
                <w:sz w:val="18"/>
                <w:szCs w:val="18"/>
                <w:lang w:eastAsia="fr-FR"/>
              </w:rPr>
            </w:pPr>
            <w:r w:rsidRPr="00D057BE">
              <w:rPr>
                <w:bCs w:val="0"/>
                <w:color w:val="000000"/>
                <w:sz w:val="18"/>
                <w:szCs w:val="18"/>
                <w:lang w:eastAsia="fr-FR"/>
              </w:rPr>
              <w:t>Programme d’Atténuation et de Réhabilitation</w:t>
            </w:r>
          </w:p>
        </w:tc>
      </w:tr>
      <w:tr w:rsidR="00C83A3F" w:rsidRPr="00B16DB8" w:rsidTr="008D6ABB">
        <w:trPr>
          <w:trHeight w:val="312"/>
          <w:jc w:val="center"/>
        </w:trPr>
        <w:tc>
          <w:tcPr>
            <w:tcW w:w="674" w:type="pct"/>
            <w:tcBorders>
              <w:top w:val="nil"/>
              <w:left w:val="nil"/>
              <w:right w:val="nil"/>
            </w:tcBorders>
            <w:shd w:val="clear" w:color="auto" w:fill="B8CCE4" w:themeFill="accent1" w:themeFillTint="66"/>
            <w:vAlign w:val="center"/>
            <w:hideMark/>
          </w:tcPr>
          <w:p w:rsidR="00C83A3F" w:rsidRPr="00D057BE" w:rsidRDefault="00C83A3F" w:rsidP="008D6ABB">
            <w:pPr>
              <w:spacing w:after="0"/>
              <w:jc w:val="left"/>
              <w:rPr>
                <w:bCs w:val="0"/>
                <w:color w:val="000000"/>
                <w:sz w:val="18"/>
                <w:szCs w:val="18"/>
                <w:lang w:eastAsia="fr-FR"/>
              </w:rPr>
            </w:pPr>
            <w:r w:rsidRPr="00D057BE">
              <w:rPr>
                <w:bCs w:val="0"/>
                <w:color w:val="000000"/>
                <w:sz w:val="18"/>
                <w:szCs w:val="18"/>
                <w:lang w:eastAsia="fr-FR"/>
              </w:rPr>
              <w:t>PBIC</w:t>
            </w:r>
          </w:p>
        </w:tc>
        <w:tc>
          <w:tcPr>
            <w:tcW w:w="4326" w:type="pct"/>
            <w:tcBorders>
              <w:top w:val="nil"/>
              <w:left w:val="nil"/>
              <w:right w:val="nil"/>
            </w:tcBorders>
            <w:shd w:val="clear" w:color="auto" w:fill="B8CCE4" w:themeFill="accent1" w:themeFillTint="66"/>
            <w:vAlign w:val="center"/>
            <w:hideMark/>
          </w:tcPr>
          <w:p w:rsidR="00C83A3F" w:rsidRPr="00D057BE" w:rsidRDefault="00C83A3F" w:rsidP="008D6ABB">
            <w:pPr>
              <w:spacing w:after="0"/>
              <w:jc w:val="left"/>
              <w:rPr>
                <w:bCs w:val="0"/>
                <w:color w:val="000000"/>
                <w:sz w:val="18"/>
                <w:szCs w:val="18"/>
                <w:lang w:eastAsia="fr-FR"/>
              </w:rPr>
            </w:pPr>
            <w:r w:rsidRPr="00D057BE">
              <w:rPr>
                <w:bCs w:val="0"/>
                <w:color w:val="000000"/>
                <w:sz w:val="18"/>
                <w:szCs w:val="18"/>
                <w:lang w:eastAsia="fr-FR"/>
              </w:rPr>
              <w:t xml:space="preserve"> Précompte de l'impôt sur les bénéfices industriels et commerciaux</w:t>
            </w:r>
          </w:p>
        </w:tc>
      </w:tr>
      <w:tr w:rsidR="00C83A3F" w:rsidRPr="00B16DB8" w:rsidTr="008D6ABB">
        <w:trPr>
          <w:trHeight w:val="312"/>
          <w:jc w:val="center"/>
        </w:trPr>
        <w:tc>
          <w:tcPr>
            <w:tcW w:w="674" w:type="pct"/>
            <w:tcBorders>
              <w:top w:val="nil"/>
              <w:left w:val="nil"/>
              <w:right w:val="nil"/>
            </w:tcBorders>
            <w:shd w:val="clear" w:color="auto" w:fill="auto"/>
            <w:vAlign w:val="center"/>
            <w:hideMark/>
          </w:tcPr>
          <w:p w:rsidR="00C83A3F" w:rsidRPr="00D057BE" w:rsidRDefault="00C83A3F" w:rsidP="008D6ABB">
            <w:pPr>
              <w:spacing w:after="0"/>
              <w:jc w:val="left"/>
              <w:rPr>
                <w:bCs w:val="0"/>
                <w:color w:val="000000"/>
                <w:sz w:val="18"/>
                <w:szCs w:val="18"/>
                <w:lang w:eastAsia="fr-FR"/>
              </w:rPr>
            </w:pPr>
            <w:r w:rsidRPr="00D057BE">
              <w:rPr>
                <w:bCs w:val="0"/>
                <w:color w:val="000000"/>
                <w:sz w:val="18"/>
                <w:szCs w:val="18"/>
                <w:lang w:eastAsia="fr-FR"/>
              </w:rPr>
              <w:t>PGE</w:t>
            </w:r>
          </w:p>
        </w:tc>
        <w:tc>
          <w:tcPr>
            <w:tcW w:w="4326" w:type="pct"/>
            <w:tcBorders>
              <w:top w:val="nil"/>
              <w:left w:val="nil"/>
              <w:right w:val="nil"/>
            </w:tcBorders>
            <w:shd w:val="clear" w:color="auto" w:fill="auto"/>
            <w:vAlign w:val="center"/>
            <w:hideMark/>
          </w:tcPr>
          <w:p w:rsidR="00C83A3F" w:rsidRPr="00D057BE" w:rsidRDefault="00C83A3F" w:rsidP="008D6ABB">
            <w:pPr>
              <w:spacing w:after="0"/>
              <w:jc w:val="left"/>
              <w:rPr>
                <w:bCs w:val="0"/>
                <w:color w:val="000000"/>
                <w:sz w:val="18"/>
                <w:szCs w:val="18"/>
                <w:lang w:eastAsia="fr-FR"/>
              </w:rPr>
            </w:pPr>
            <w:r w:rsidRPr="00D057BE">
              <w:rPr>
                <w:bCs w:val="0"/>
                <w:color w:val="000000"/>
                <w:sz w:val="18"/>
                <w:szCs w:val="18"/>
                <w:lang w:eastAsia="fr-FR"/>
              </w:rPr>
              <w:t>Plan de Gestion Environnemental</w:t>
            </w:r>
          </w:p>
        </w:tc>
      </w:tr>
      <w:tr w:rsidR="00C83A3F" w:rsidRPr="00B16DB8" w:rsidTr="008D6ABB">
        <w:trPr>
          <w:trHeight w:val="312"/>
          <w:jc w:val="center"/>
        </w:trPr>
        <w:tc>
          <w:tcPr>
            <w:tcW w:w="674" w:type="pct"/>
            <w:tcBorders>
              <w:top w:val="nil"/>
              <w:left w:val="nil"/>
              <w:right w:val="nil"/>
            </w:tcBorders>
            <w:shd w:val="clear" w:color="auto" w:fill="B8CCE4" w:themeFill="accent1" w:themeFillTint="66"/>
            <w:vAlign w:val="center"/>
            <w:hideMark/>
          </w:tcPr>
          <w:p w:rsidR="00C83A3F" w:rsidRPr="00D057BE" w:rsidRDefault="00C83A3F" w:rsidP="008D6ABB">
            <w:pPr>
              <w:spacing w:after="0"/>
              <w:jc w:val="left"/>
              <w:rPr>
                <w:bCs w:val="0"/>
                <w:color w:val="000000"/>
                <w:sz w:val="18"/>
                <w:szCs w:val="18"/>
                <w:lang w:eastAsia="fr-FR"/>
              </w:rPr>
            </w:pPr>
            <w:r w:rsidRPr="00D057BE">
              <w:rPr>
                <w:bCs w:val="0"/>
                <w:color w:val="000000"/>
                <w:sz w:val="18"/>
                <w:szCs w:val="18"/>
                <w:lang w:eastAsia="fr-FR"/>
              </w:rPr>
              <w:t>RDC</w:t>
            </w:r>
          </w:p>
        </w:tc>
        <w:tc>
          <w:tcPr>
            <w:tcW w:w="4326" w:type="pct"/>
            <w:tcBorders>
              <w:top w:val="nil"/>
              <w:left w:val="nil"/>
              <w:right w:val="nil"/>
            </w:tcBorders>
            <w:shd w:val="clear" w:color="auto" w:fill="B8CCE4" w:themeFill="accent1" w:themeFillTint="66"/>
            <w:vAlign w:val="center"/>
            <w:hideMark/>
          </w:tcPr>
          <w:p w:rsidR="00C83A3F" w:rsidRPr="00D057BE" w:rsidRDefault="00C83A3F" w:rsidP="008D6ABB">
            <w:pPr>
              <w:spacing w:after="0"/>
              <w:jc w:val="left"/>
              <w:rPr>
                <w:bCs w:val="0"/>
                <w:color w:val="000000"/>
                <w:sz w:val="18"/>
                <w:szCs w:val="18"/>
                <w:lang w:eastAsia="fr-FR"/>
              </w:rPr>
            </w:pPr>
            <w:r w:rsidRPr="00D057BE">
              <w:rPr>
                <w:bCs w:val="0"/>
                <w:color w:val="000000"/>
                <w:sz w:val="18"/>
                <w:szCs w:val="18"/>
                <w:lang w:eastAsia="fr-FR"/>
              </w:rPr>
              <w:t xml:space="preserve">République Démocratique du Congo </w:t>
            </w:r>
          </w:p>
        </w:tc>
      </w:tr>
      <w:tr w:rsidR="00C83A3F" w:rsidRPr="00B16DB8" w:rsidTr="008D6ABB">
        <w:trPr>
          <w:trHeight w:val="312"/>
          <w:jc w:val="center"/>
        </w:trPr>
        <w:tc>
          <w:tcPr>
            <w:tcW w:w="674" w:type="pct"/>
            <w:tcBorders>
              <w:top w:val="nil"/>
              <w:left w:val="nil"/>
              <w:right w:val="nil"/>
            </w:tcBorders>
            <w:shd w:val="clear" w:color="auto" w:fill="auto"/>
            <w:vAlign w:val="center"/>
            <w:hideMark/>
          </w:tcPr>
          <w:p w:rsidR="00C83A3F" w:rsidRPr="00D057BE" w:rsidRDefault="00C83A3F" w:rsidP="008D6ABB">
            <w:pPr>
              <w:spacing w:after="0"/>
              <w:jc w:val="left"/>
              <w:rPr>
                <w:bCs w:val="0"/>
                <w:color w:val="000000"/>
                <w:sz w:val="18"/>
                <w:szCs w:val="18"/>
                <w:lang w:eastAsia="fr-FR"/>
              </w:rPr>
            </w:pPr>
            <w:r w:rsidRPr="00D057BE">
              <w:rPr>
                <w:bCs w:val="0"/>
                <w:color w:val="000000"/>
                <w:sz w:val="18"/>
                <w:szCs w:val="18"/>
                <w:lang w:eastAsia="fr-FR"/>
              </w:rPr>
              <w:t>SADRI</w:t>
            </w:r>
          </w:p>
        </w:tc>
        <w:tc>
          <w:tcPr>
            <w:tcW w:w="4326" w:type="pct"/>
            <w:tcBorders>
              <w:top w:val="nil"/>
              <w:left w:val="nil"/>
              <w:right w:val="nil"/>
            </w:tcBorders>
            <w:shd w:val="clear" w:color="auto" w:fill="auto"/>
            <w:vAlign w:val="center"/>
            <w:hideMark/>
          </w:tcPr>
          <w:p w:rsidR="00C83A3F" w:rsidRPr="00D057BE" w:rsidRDefault="00C83A3F" w:rsidP="008D6ABB">
            <w:pPr>
              <w:spacing w:after="0"/>
              <w:jc w:val="left"/>
              <w:rPr>
                <w:bCs w:val="0"/>
                <w:color w:val="000000"/>
                <w:sz w:val="18"/>
                <w:szCs w:val="18"/>
                <w:lang w:eastAsia="fr-FR"/>
              </w:rPr>
            </w:pPr>
            <w:r w:rsidRPr="00D057BE">
              <w:rPr>
                <w:bCs w:val="0"/>
                <w:color w:val="000000"/>
                <w:sz w:val="18"/>
                <w:szCs w:val="18"/>
                <w:lang w:eastAsia="fr-FR"/>
              </w:rPr>
              <w:t>Service d'Appui au Développement Régional Intégré</w:t>
            </w:r>
          </w:p>
        </w:tc>
      </w:tr>
      <w:tr w:rsidR="00C83A3F" w:rsidRPr="00B16DB8" w:rsidTr="008D6ABB">
        <w:trPr>
          <w:trHeight w:val="312"/>
          <w:jc w:val="center"/>
        </w:trPr>
        <w:tc>
          <w:tcPr>
            <w:tcW w:w="674" w:type="pct"/>
            <w:tcBorders>
              <w:top w:val="nil"/>
              <w:left w:val="nil"/>
              <w:right w:val="nil"/>
            </w:tcBorders>
            <w:shd w:val="clear" w:color="auto" w:fill="B8CCE4" w:themeFill="accent1" w:themeFillTint="66"/>
            <w:vAlign w:val="center"/>
            <w:hideMark/>
          </w:tcPr>
          <w:p w:rsidR="00C83A3F" w:rsidRPr="00D057BE" w:rsidRDefault="00C83A3F" w:rsidP="008D6ABB">
            <w:pPr>
              <w:spacing w:after="0"/>
              <w:jc w:val="left"/>
              <w:rPr>
                <w:bCs w:val="0"/>
                <w:color w:val="000000"/>
                <w:sz w:val="18"/>
                <w:szCs w:val="18"/>
                <w:lang w:eastAsia="fr-FR"/>
              </w:rPr>
            </w:pPr>
            <w:r w:rsidRPr="00D057BE">
              <w:rPr>
                <w:bCs w:val="0"/>
                <w:color w:val="000000"/>
                <w:sz w:val="18"/>
                <w:szCs w:val="18"/>
                <w:lang w:eastAsia="fr-FR"/>
              </w:rPr>
              <w:t>SGH</w:t>
            </w:r>
          </w:p>
        </w:tc>
        <w:tc>
          <w:tcPr>
            <w:tcW w:w="4326" w:type="pct"/>
            <w:tcBorders>
              <w:top w:val="nil"/>
              <w:left w:val="nil"/>
              <w:right w:val="nil"/>
            </w:tcBorders>
            <w:shd w:val="clear" w:color="auto" w:fill="B8CCE4" w:themeFill="accent1" w:themeFillTint="66"/>
            <w:vAlign w:val="center"/>
            <w:hideMark/>
          </w:tcPr>
          <w:p w:rsidR="00C83A3F" w:rsidRPr="00D057BE" w:rsidRDefault="00C83A3F" w:rsidP="008D6ABB">
            <w:pPr>
              <w:spacing w:after="0"/>
              <w:jc w:val="left"/>
              <w:rPr>
                <w:bCs w:val="0"/>
                <w:color w:val="000000"/>
                <w:sz w:val="18"/>
                <w:szCs w:val="18"/>
                <w:lang w:eastAsia="fr-FR"/>
              </w:rPr>
            </w:pPr>
            <w:r w:rsidRPr="00D057BE">
              <w:rPr>
                <w:bCs w:val="0"/>
                <w:color w:val="000000"/>
                <w:sz w:val="18"/>
                <w:szCs w:val="18"/>
                <w:lang w:eastAsia="fr-FR"/>
              </w:rPr>
              <w:t>Secrétariat Générale des Hydrocarbure</w:t>
            </w:r>
          </w:p>
        </w:tc>
      </w:tr>
      <w:tr w:rsidR="00C83A3F" w:rsidRPr="00B16DB8" w:rsidTr="008D6ABB">
        <w:trPr>
          <w:trHeight w:val="312"/>
          <w:jc w:val="center"/>
        </w:trPr>
        <w:tc>
          <w:tcPr>
            <w:tcW w:w="674" w:type="pct"/>
            <w:tcBorders>
              <w:top w:val="nil"/>
              <w:left w:val="nil"/>
              <w:right w:val="nil"/>
            </w:tcBorders>
            <w:shd w:val="clear" w:color="auto" w:fill="auto"/>
            <w:vAlign w:val="center"/>
            <w:hideMark/>
          </w:tcPr>
          <w:p w:rsidR="00C83A3F" w:rsidRPr="00D057BE" w:rsidRDefault="00C83A3F" w:rsidP="008D6ABB">
            <w:pPr>
              <w:spacing w:after="0"/>
              <w:jc w:val="left"/>
              <w:rPr>
                <w:bCs w:val="0"/>
                <w:color w:val="000000"/>
                <w:sz w:val="18"/>
                <w:szCs w:val="18"/>
                <w:lang w:eastAsia="fr-FR"/>
              </w:rPr>
            </w:pPr>
            <w:r w:rsidRPr="00D057BE">
              <w:rPr>
                <w:bCs w:val="0"/>
                <w:color w:val="000000"/>
                <w:sz w:val="18"/>
                <w:szCs w:val="18"/>
                <w:lang w:eastAsia="fr-FR"/>
              </w:rPr>
              <w:t>ST</w:t>
            </w:r>
          </w:p>
        </w:tc>
        <w:tc>
          <w:tcPr>
            <w:tcW w:w="4326" w:type="pct"/>
            <w:tcBorders>
              <w:top w:val="nil"/>
              <w:left w:val="nil"/>
              <w:right w:val="nil"/>
            </w:tcBorders>
            <w:shd w:val="clear" w:color="auto" w:fill="auto"/>
            <w:vAlign w:val="center"/>
            <w:hideMark/>
          </w:tcPr>
          <w:p w:rsidR="00C83A3F" w:rsidRPr="00D057BE" w:rsidRDefault="00C83A3F" w:rsidP="008D6ABB">
            <w:pPr>
              <w:spacing w:after="0"/>
              <w:jc w:val="left"/>
              <w:rPr>
                <w:bCs w:val="0"/>
                <w:color w:val="000000"/>
                <w:sz w:val="18"/>
                <w:szCs w:val="18"/>
                <w:lang w:eastAsia="fr-FR"/>
              </w:rPr>
            </w:pPr>
            <w:r w:rsidRPr="00D057BE">
              <w:rPr>
                <w:bCs w:val="0"/>
                <w:color w:val="000000"/>
                <w:sz w:val="18"/>
                <w:szCs w:val="18"/>
                <w:lang w:eastAsia="fr-FR"/>
              </w:rPr>
              <w:t>Secrétariat Technique</w:t>
            </w:r>
          </w:p>
        </w:tc>
      </w:tr>
      <w:tr w:rsidR="00C83A3F" w:rsidRPr="00B16DB8" w:rsidTr="008D6ABB">
        <w:trPr>
          <w:trHeight w:val="312"/>
          <w:jc w:val="center"/>
        </w:trPr>
        <w:tc>
          <w:tcPr>
            <w:tcW w:w="674" w:type="pct"/>
            <w:tcBorders>
              <w:top w:val="nil"/>
              <w:left w:val="nil"/>
              <w:right w:val="nil"/>
            </w:tcBorders>
            <w:shd w:val="clear" w:color="auto" w:fill="B8CCE4" w:themeFill="accent1" w:themeFillTint="66"/>
            <w:vAlign w:val="center"/>
            <w:hideMark/>
          </w:tcPr>
          <w:p w:rsidR="00C83A3F" w:rsidRPr="00D057BE" w:rsidRDefault="00C83A3F" w:rsidP="008D6ABB">
            <w:pPr>
              <w:spacing w:after="0"/>
              <w:jc w:val="left"/>
              <w:rPr>
                <w:bCs w:val="0"/>
                <w:color w:val="000000"/>
                <w:sz w:val="18"/>
                <w:szCs w:val="18"/>
                <w:lang w:eastAsia="fr-FR"/>
              </w:rPr>
            </w:pPr>
            <w:r w:rsidRPr="00D057BE">
              <w:rPr>
                <w:bCs w:val="0"/>
                <w:color w:val="000000"/>
                <w:sz w:val="18"/>
                <w:szCs w:val="18"/>
                <w:lang w:eastAsia="fr-FR"/>
              </w:rPr>
              <w:t>TFM</w:t>
            </w:r>
          </w:p>
        </w:tc>
        <w:tc>
          <w:tcPr>
            <w:tcW w:w="4326" w:type="pct"/>
            <w:tcBorders>
              <w:top w:val="nil"/>
              <w:left w:val="nil"/>
              <w:right w:val="nil"/>
            </w:tcBorders>
            <w:shd w:val="clear" w:color="auto" w:fill="B8CCE4" w:themeFill="accent1" w:themeFillTint="66"/>
            <w:vAlign w:val="center"/>
            <w:hideMark/>
          </w:tcPr>
          <w:p w:rsidR="00C83A3F" w:rsidRPr="00D057BE" w:rsidRDefault="00C83A3F" w:rsidP="008D6ABB">
            <w:pPr>
              <w:spacing w:after="0"/>
              <w:jc w:val="left"/>
              <w:rPr>
                <w:bCs w:val="0"/>
                <w:color w:val="000000"/>
                <w:sz w:val="18"/>
                <w:szCs w:val="18"/>
                <w:lang w:eastAsia="fr-FR"/>
              </w:rPr>
            </w:pPr>
            <w:proofErr w:type="spellStart"/>
            <w:r w:rsidRPr="00D057BE">
              <w:rPr>
                <w:bCs w:val="0"/>
                <w:color w:val="000000"/>
                <w:sz w:val="18"/>
                <w:szCs w:val="18"/>
                <w:lang w:eastAsia="fr-FR"/>
              </w:rPr>
              <w:t>Tenke</w:t>
            </w:r>
            <w:proofErr w:type="spellEnd"/>
            <w:r w:rsidRPr="00D057BE">
              <w:rPr>
                <w:bCs w:val="0"/>
                <w:color w:val="000000"/>
                <w:sz w:val="18"/>
                <w:szCs w:val="18"/>
                <w:lang w:eastAsia="fr-FR"/>
              </w:rPr>
              <w:t xml:space="preserve"> </w:t>
            </w:r>
            <w:proofErr w:type="spellStart"/>
            <w:r w:rsidRPr="00D057BE">
              <w:rPr>
                <w:bCs w:val="0"/>
                <w:color w:val="000000"/>
                <w:sz w:val="18"/>
                <w:szCs w:val="18"/>
                <w:lang w:eastAsia="fr-FR"/>
              </w:rPr>
              <w:t>Fungurume</w:t>
            </w:r>
            <w:proofErr w:type="spellEnd"/>
            <w:r w:rsidRPr="00D057BE">
              <w:rPr>
                <w:bCs w:val="0"/>
                <w:color w:val="000000"/>
                <w:sz w:val="18"/>
                <w:szCs w:val="18"/>
                <w:lang w:eastAsia="fr-FR"/>
              </w:rPr>
              <w:t xml:space="preserve"> </w:t>
            </w:r>
            <w:proofErr w:type="spellStart"/>
            <w:r w:rsidRPr="00D057BE">
              <w:rPr>
                <w:bCs w:val="0"/>
                <w:color w:val="000000"/>
                <w:sz w:val="18"/>
                <w:szCs w:val="18"/>
                <w:lang w:eastAsia="fr-FR"/>
              </w:rPr>
              <w:t>Mining</w:t>
            </w:r>
            <w:proofErr w:type="spellEnd"/>
          </w:p>
        </w:tc>
      </w:tr>
      <w:tr w:rsidR="00C83A3F" w:rsidRPr="00B16DB8" w:rsidTr="008D6ABB">
        <w:trPr>
          <w:trHeight w:val="312"/>
          <w:jc w:val="center"/>
        </w:trPr>
        <w:tc>
          <w:tcPr>
            <w:tcW w:w="674" w:type="pct"/>
            <w:tcBorders>
              <w:top w:val="nil"/>
              <w:left w:val="nil"/>
              <w:right w:val="nil"/>
            </w:tcBorders>
            <w:shd w:val="clear" w:color="auto" w:fill="auto"/>
            <w:vAlign w:val="center"/>
            <w:hideMark/>
          </w:tcPr>
          <w:p w:rsidR="00C83A3F" w:rsidRPr="00D057BE" w:rsidRDefault="00C83A3F" w:rsidP="008D6ABB">
            <w:pPr>
              <w:spacing w:after="0"/>
              <w:jc w:val="left"/>
              <w:rPr>
                <w:bCs w:val="0"/>
                <w:color w:val="000000"/>
                <w:sz w:val="18"/>
                <w:szCs w:val="18"/>
                <w:lang w:eastAsia="fr-FR"/>
              </w:rPr>
            </w:pPr>
            <w:r w:rsidRPr="00D057BE">
              <w:rPr>
                <w:bCs w:val="0"/>
                <w:color w:val="000000"/>
                <w:sz w:val="18"/>
                <w:szCs w:val="18"/>
                <w:lang w:eastAsia="fr-FR"/>
              </w:rPr>
              <w:t>TVA</w:t>
            </w:r>
          </w:p>
        </w:tc>
        <w:tc>
          <w:tcPr>
            <w:tcW w:w="4326" w:type="pct"/>
            <w:tcBorders>
              <w:top w:val="nil"/>
              <w:left w:val="nil"/>
              <w:right w:val="nil"/>
            </w:tcBorders>
            <w:shd w:val="clear" w:color="auto" w:fill="auto"/>
            <w:vAlign w:val="center"/>
            <w:hideMark/>
          </w:tcPr>
          <w:p w:rsidR="00C83A3F" w:rsidRPr="00D057BE" w:rsidRDefault="00C83A3F" w:rsidP="008D6ABB">
            <w:pPr>
              <w:spacing w:after="0"/>
              <w:jc w:val="left"/>
              <w:rPr>
                <w:bCs w:val="0"/>
                <w:color w:val="000000"/>
                <w:sz w:val="18"/>
                <w:szCs w:val="18"/>
                <w:lang w:eastAsia="fr-FR"/>
              </w:rPr>
            </w:pPr>
            <w:r w:rsidRPr="00D057BE">
              <w:rPr>
                <w:bCs w:val="0"/>
                <w:color w:val="000000"/>
                <w:sz w:val="18"/>
                <w:szCs w:val="18"/>
                <w:lang w:eastAsia="fr-FR"/>
              </w:rPr>
              <w:t>Taxe sur la Valeur Ajoutée</w:t>
            </w:r>
          </w:p>
        </w:tc>
      </w:tr>
      <w:tr w:rsidR="00C83A3F" w:rsidRPr="00B16DB8" w:rsidTr="008D6ABB">
        <w:trPr>
          <w:trHeight w:val="312"/>
          <w:jc w:val="center"/>
        </w:trPr>
        <w:tc>
          <w:tcPr>
            <w:tcW w:w="674" w:type="pct"/>
            <w:tcBorders>
              <w:top w:val="nil"/>
              <w:left w:val="nil"/>
              <w:bottom w:val="nil"/>
              <w:right w:val="nil"/>
            </w:tcBorders>
            <w:shd w:val="clear" w:color="auto" w:fill="B8CCE4" w:themeFill="accent1" w:themeFillTint="66"/>
            <w:vAlign w:val="center"/>
            <w:hideMark/>
          </w:tcPr>
          <w:p w:rsidR="00C83A3F" w:rsidRPr="00D057BE" w:rsidRDefault="00C83A3F" w:rsidP="008D6ABB">
            <w:pPr>
              <w:spacing w:after="0"/>
              <w:jc w:val="left"/>
              <w:rPr>
                <w:bCs w:val="0"/>
                <w:color w:val="000000"/>
                <w:sz w:val="18"/>
                <w:szCs w:val="18"/>
                <w:lang w:eastAsia="fr-FR"/>
              </w:rPr>
            </w:pPr>
            <w:r w:rsidRPr="00D057BE">
              <w:rPr>
                <w:bCs w:val="0"/>
                <w:color w:val="000000"/>
                <w:sz w:val="18"/>
                <w:szCs w:val="18"/>
                <w:lang w:eastAsia="fr-FR"/>
              </w:rPr>
              <w:t>USD</w:t>
            </w:r>
          </w:p>
        </w:tc>
        <w:tc>
          <w:tcPr>
            <w:tcW w:w="4326" w:type="pct"/>
            <w:tcBorders>
              <w:top w:val="nil"/>
              <w:left w:val="nil"/>
              <w:bottom w:val="nil"/>
              <w:right w:val="nil"/>
            </w:tcBorders>
            <w:shd w:val="clear" w:color="auto" w:fill="B8CCE4" w:themeFill="accent1" w:themeFillTint="66"/>
            <w:vAlign w:val="center"/>
            <w:hideMark/>
          </w:tcPr>
          <w:p w:rsidR="00C83A3F" w:rsidRPr="00D057BE" w:rsidRDefault="00C83A3F" w:rsidP="008D6ABB">
            <w:pPr>
              <w:spacing w:after="0"/>
              <w:jc w:val="left"/>
              <w:rPr>
                <w:bCs w:val="0"/>
                <w:color w:val="000000"/>
                <w:sz w:val="18"/>
                <w:szCs w:val="18"/>
                <w:lang w:eastAsia="fr-FR"/>
              </w:rPr>
            </w:pPr>
            <w:r w:rsidRPr="00D057BE">
              <w:rPr>
                <w:bCs w:val="0"/>
                <w:color w:val="000000"/>
                <w:sz w:val="18"/>
                <w:szCs w:val="18"/>
                <w:lang w:eastAsia="fr-FR"/>
              </w:rPr>
              <w:t>Dollar des Etats-Unis d’Amérique</w:t>
            </w:r>
          </w:p>
        </w:tc>
      </w:tr>
    </w:tbl>
    <w:p w:rsidR="00C83A3F" w:rsidRDefault="00C83A3F">
      <w:pPr>
        <w:spacing w:after="200" w:line="276" w:lineRule="auto"/>
        <w:jc w:val="left"/>
        <w:rPr>
          <w:b/>
          <w:kern w:val="32"/>
          <w:sz w:val="28"/>
          <w:u w:val="single"/>
          <w:lang w:bidi="ar-TN"/>
        </w:rPr>
      </w:pPr>
      <w:r>
        <w:rPr>
          <w:b/>
          <w:kern w:val="32"/>
          <w:sz w:val="28"/>
          <w:u w:val="single"/>
          <w:lang w:bidi="ar-TN"/>
        </w:rPr>
        <w:br w:type="page"/>
      </w:r>
    </w:p>
    <w:p w:rsidR="00EA6BCE" w:rsidRPr="006F69C3" w:rsidRDefault="00EA6BCE" w:rsidP="003C65E3">
      <w:pPr>
        <w:spacing w:after="0"/>
        <w:jc w:val="center"/>
        <w:rPr>
          <w:b/>
          <w:kern w:val="32"/>
          <w:sz w:val="28"/>
          <w:u w:val="single"/>
          <w:lang w:bidi="ar-TN"/>
        </w:rPr>
      </w:pPr>
    </w:p>
    <w:p w:rsidR="00623CE0" w:rsidRPr="00806EB1" w:rsidRDefault="00CC4233" w:rsidP="00806EB1">
      <w:pPr>
        <w:pStyle w:val="Heading1"/>
        <w:keepNext/>
        <w:numPr>
          <w:ilvl w:val="0"/>
          <w:numId w:val="2"/>
        </w:numPr>
        <w:shd w:val="clear" w:color="auto" w:fill="244061"/>
        <w:spacing w:after="0"/>
        <w:ind w:left="400" w:hanging="400"/>
        <w:rPr>
          <w:color w:val="FFFFFF"/>
          <w:kern w:val="32"/>
          <w:lang w:val="fr-FR" w:bidi="ar-TN"/>
        </w:rPr>
      </w:pPr>
      <w:bookmarkStart w:id="2" w:name="_Toc451431091"/>
      <w:r w:rsidRPr="00806EB1">
        <w:rPr>
          <w:color w:val="FFFFFF"/>
          <w:kern w:val="32"/>
          <w:lang w:val="fr-FR" w:bidi="ar-TN"/>
        </w:rPr>
        <w:t>SOMMAIRE</w:t>
      </w:r>
      <w:bookmarkEnd w:id="2"/>
    </w:p>
    <w:p w:rsidR="0045059C" w:rsidRPr="0045059C" w:rsidRDefault="0045059C" w:rsidP="0045059C">
      <w:pPr>
        <w:pStyle w:val="Caption"/>
        <w:numPr>
          <w:ilvl w:val="0"/>
          <w:numId w:val="35"/>
        </w:numPr>
        <w:spacing w:after="0"/>
        <w:rPr>
          <w:rFonts w:ascii="Arial" w:hAnsi="Arial" w:cs="Arial"/>
          <w:kern w:val="32"/>
          <w:sz w:val="22"/>
          <w:lang w:bidi="ar-TN"/>
        </w:rPr>
      </w:pPr>
      <w:r w:rsidRPr="0045059C">
        <w:rPr>
          <w:rFonts w:ascii="Arial" w:hAnsi="Arial" w:cs="Arial"/>
          <w:kern w:val="32"/>
          <w:sz w:val="22"/>
          <w:lang w:bidi="ar-TN"/>
        </w:rPr>
        <w:t>Introduction</w:t>
      </w:r>
    </w:p>
    <w:p w:rsidR="00B31883" w:rsidRPr="0099721C" w:rsidRDefault="00623CE0" w:rsidP="007B0F6C">
      <w:pPr>
        <w:pStyle w:val="Caption"/>
        <w:numPr>
          <w:ilvl w:val="0"/>
          <w:numId w:val="35"/>
        </w:numPr>
        <w:spacing w:after="0"/>
        <w:rPr>
          <w:rFonts w:ascii="Arial" w:hAnsi="Arial" w:cs="Arial"/>
          <w:kern w:val="32"/>
          <w:sz w:val="22"/>
          <w:lang w:bidi="ar-TN"/>
        </w:rPr>
      </w:pPr>
      <w:proofErr w:type="spellStart"/>
      <w:r w:rsidRPr="0099721C">
        <w:rPr>
          <w:rFonts w:ascii="Arial" w:hAnsi="Arial" w:cs="Arial"/>
          <w:kern w:val="32"/>
          <w:sz w:val="22"/>
          <w:lang w:bidi="ar-TN"/>
        </w:rPr>
        <w:t>Objectif</w:t>
      </w:r>
      <w:proofErr w:type="spellEnd"/>
      <w:r w:rsidRPr="0099721C">
        <w:rPr>
          <w:rFonts w:ascii="Arial" w:hAnsi="Arial" w:cs="Arial"/>
          <w:kern w:val="32"/>
          <w:sz w:val="22"/>
          <w:lang w:bidi="ar-TN"/>
        </w:rPr>
        <w:t xml:space="preserve"> et </w:t>
      </w:r>
      <w:proofErr w:type="spellStart"/>
      <w:r w:rsidRPr="0099721C">
        <w:rPr>
          <w:rFonts w:ascii="Arial" w:hAnsi="Arial" w:cs="Arial"/>
          <w:kern w:val="32"/>
          <w:sz w:val="22"/>
          <w:lang w:bidi="ar-TN"/>
        </w:rPr>
        <w:t>Méthodologie</w:t>
      </w:r>
      <w:proofErr w:type="spellEnd"/>
    </w:p>
    <w:p w:rsidR="00427A20" w:rsidRPr="0099721C" w:rsidRDefault="00427A20" w:rsidP="007B0F6C">
      <w:pPr>
        <w:pStyle w:val="Caption"/>
        <w:numPr>
          <w:ilvl w:val="0"/>
          <w:numId w:val="36"/>
        </w:numPr>
        <w:spacing w:after="0"/>
        <w:rPr>
          <w:rFonts w:ascii="Arial" w:hAnsi="Arial" w:cs="Arial"/>
          <w:kern w:val="32"/>
          <w:sz w:val="22"/>
          <w:lang w:bidi="ar-TN"/>
        </w:rPr>
      </w:pPr>
      <w:proofErr w:type="spellStart"/>
      <w:r w:rsidRPr="0099721C">
        <w:rPr>
          <w:rFonts w:ascii="Arial" w:hAnsi="Arial" w:cs="Arial"/>
          <w:kern w:val="32"/>
          <w:sz w:val="22"/>
          <w:lang w:bidi="ar-TN"/>
        </w:rPr>
        <w:t>Objectif</w:t>
      </w:r>
      <w:proofErr w:type="spellEnd"/>
      <w:r w:rsidRPr="0099721C">
        <w:rPr>
          <w:rFonts w:ascii="Arial" w:hAnsi="Arial" w:cs="Arial"/>
          <w:kern w:val="32"/>
          <w:sz w:val="22"/>
          <w:lang w:bidi="ar-TN"/>
        </w:rPr>
        <w:t xml:space="preserve"> </w:t>
      </w:r>
    </w:p>
    <w:p w:rsidR="00427A20" w:rsidRPr="0099721C" w:rsidRDefault="00427A20" w:rsidP="007B0F6C">
      <w:pPr>
        <w:pStyle w:val="Caption"/>
        <w:numPr>
          <w:ilvl w:val="0"/>
          <w:numId w:val="36"/>
        </w:numPr>
        <w:spacing w:after="0"/>
        <w:rPr>
          <w:rFonts w:ascii="Arial" w:hAnsi="Arial" w:cs="Arial"/>
          <w:kern w:val="32"/>
          <w:sz w:val="22"/>
          <w:lang w:bidi="ar-TN"/>
        </w:rPr>
      </w:pPr>
      <w:proofErr w:type="spellStart"/>
      <w:r w:rsidRPr="0099721C">
        <w:rPr>
          <w:rFonts w:ascii="Arial" w:hAnsi="Arial" w:cs="Arial"/>
          <w:kern w:val="32"/>
          <w:sz w:val="22"/>
          <w:lang w:bidi="ar-TN"/>
        </w:rPr>
        <w:t>Méthodologie</w:t>
      </w:r>
      <w:proofErr w:type="spellEnd"/>
      <w:r w:rsidRPr="0099721C">
        <w:rPr>
          <w:rFonts w:ascii="Arial" w:hAnsi="Arial" w:cs="Arial"/>
          <w:kern w:val="32"/>
          <w:sz w:val="22"/>
          <w:lang w:bidi="ar-TN"/>
        </w:rPr>
        <w:t xml:space="preserve"> </w:t>
      </w:r>
    </w:p>
    <w:p w:rsidR="007C1B90" w:rsidRPr="00766866" w:rsidRDefault="007C1B90" w:rsidP="007C1B90">
      <w:pPr>
        <w:pStyle w:val="Heading3"/>
        <w:numPr>
          <w:ilvl w:val="5"/>
          <w:numId w:val="37"/>
        </w:numPr>
        <w:tabs>
          <w:tab w:val="left" w:pos="800"/>
        </w:tabs>
        <w:spacing w:after="0"/>
        <w:ind w:left="1078" w:hanging="336"/>
        <w:rPr>
          <w:rFonts w:cs="Arial"/>
          <w:bCs w:val="0"/>
          <w:i w:val="0"/>
          <w:iCs w:val="0"/>
          <w:sz w:val="18"/>
        </w:rPr>
      </w:pPr>
      <w:r w:rsidRPr="00766866">
        <w:rPr>
          <w:rFonts w:cs="Arial"/>
          <w:bCs w:val="0"/>
          <w:i w:val="0"/>
          <w:iCs w:val="0"/>
          <w:sz w:val="18"/>
        </w:rPr>
        <w:t>Résultat de l'analyse des documents juridiques et fiscaux</w:t>
      </w:r>
    </w:p>
    <w:p w:rsidR="00427A20" w:rsidRPr="00766866" w:rsidRDefault="00427A20" w:rsidP="007B0F6C">
      <w:pPr>
        <w:pStyle w:val="Heading3"/>
        <w:numPr>
          <w:ilvl w:val="5"/>
          <w:numId w:val="37"/>
        </w:numPr>
        <w:tabs>
          <w:tab w:val="left" w:pos="800"/>
        </w:tabs>
        <w:spacing w:after="0"/>
        <w:ind w:left="1078" w:hanging="336"/>
        <w:rPr>
          <w:rFonts w:cs="Arial"/>
          <w:bCs w:val="0"/>
          <w:i w:val="0"/>
          <w:iCs w:val="0"/>
          <w:sz w:val="18"/>
        </w:rPr>
      </w:pPr>
      <w:r w:rsidRPr="00766866">
        <w:rPr>
          <w:rFonts w:cs="Arial"/>
          <w:bCs w:val="0"/>
          <w:i w:val="0"/>
          <w:iCs w:val="0"/>
          <w:sz w:val="18"/>
        </w:rPr>
        <w:t>Collecte des données</w:t>
      </w:r>
    </w:p>
    <w:p w:rsidR="00427A20" w:rsidRPr="00766866" w:rsidRDefault="00427A20" w:rsidP="007B0F6C">
      <w:pPr>
        <w:pStyle w:val="Heading3"/>
        <w:numPr>
          <w:ilvl w:val="5"/>
          <w:numId w:val="37"/>
        </w:numPr>
        <w:tabs>
          <w:tab w:val="left" w:pos="800"/>
        </w:tabs>
        <w:spacing w:after="0"/>
        <w:ind w:left="1078" w:hanging="336"/>
        <w:rPr>
          <w:rFonts w:cs="Arial"/>
          <w:bCs w:val="0"/>
          <w:i w:val="0"/>
          <w:iCs w:val="0"/>
          <w:sz w:val="18"/>
        </w:rPr>
      </w:pPr>
      <w:r w:rsidRPr="00766866">
        <w:rPr>
          <w:rFonts w:cs="Arial"/>
          <w:bCs w:val="0"/>
          <w:i w:val="0"/>
          <w:iCs w:val="0"/>
          <w:sz w:val="18"/>
        </w:rPr>
        <w:t xml:space="preserve">Compilation des données </w:t>
      </w:r>
      <w:r w:rsidR="00B96E6C" w:rsidRPr="00766866">
        <w:rPr>
          <w:rFonts w:cs="Arial"/>
          <w:bCs w:val="0"/>
          <w:i w:val="0"/>
          <w:iCs w:val="0"/>
          <w:sz w:val="18"/>
        </w:rPr>
        <w:t xml:space="preserve">de  </w:t>
      </w:r>
      <w:r w:rsidRPr="00766866">
        <w:rPr>
          <w:rFonts w:cs="Arial"/>
          <w:bCs w:val="0"/>
          <w:i w:val="0"/>
          <w:iCs w:val="0"/>
          <w:sz w:val="18"/>
        </w:rPr>
        <w:t>l’industrie extractive</w:t>
      </w:r>
    </w:p>
    <w:p w:rsidR="00427A20" w:rsidRPr="00766866" w:rsidRDefault="00427A20" w:rsidP="007B0F6C">
      <w:pPr>
        <w:pStyle w:val="Heading3"/>
        <w:numPr>
          <w:ilvl w:val="5"/>
          <w:numId w:val="37"/>
        </w:numPr>
        <w:tabs>
          <w:tab w:val="left" w:pos="800"/>
        </w:tabs>
        <w:spacing w:after="0"/>
        <w:ind w:left="1078" w:hanging="336"/>
        <w:rPr>
          <w:rFonts w:cs="Arial"/>
          <w:bCs w:val="0"/>
          <w:i w:val="0"/>
          <w:iCs w:val="0"/>
          <w:sz w:val="18"/>
        </w:rPr>
      </w:pPr>
      <w:r w:rsidRPr="00766866">
        <w:rPr>
          <w:rFonts w:cs="Arial"/>
          <w:bCs w:val="0"/>
          <w:i w:val="0"/>
          <w:iCs w:val="0"/>
          <w:sz w:val="18"/>
        </w:rPr>
        <w:t xml:space="preserve">Définition du périmètre ITIE </w:t>
      </w:r>
    </w:p>
    <w:p w:rsidR="00B31883" w:rsidRPr="0099721C" w:rsidRDefault="00B31883" w:rsidP="007B0F6C">
      <w:pPr>
        <w:pStyle w:val="Caption"/>
        <w:numPr>
          <w:ilvl w:val="0"/>
          <w:numId w:val="35"/>
        </w:numPr>
        <w:rPr>
          <w:rFonts w:ascii="Arial" w:hAnsi="Arial" w:cs="Arial"/>
          <w:kern w:val="32"/>
          <w:sz w:val="22"/>
          <w:lang w:bidi="ar-TN"/>
        </w:rPr>
      </w:pPr>
      <w:proofErr w:type="spellStart"/>
      <w:r w:rsidRPr="0099721C">
        <w:rPr>
          <w:rFonts w:ascii="Arial" w:hAnsi="Arial" w:cs="Arial"/>
          <w:kern w:val="32"/>
          <w:sz w:val="22"/>
          <w:lang w:bidi="ar-TN"/>
        </w:rPr>
        <w:t>Contexte</w:t>
      </w:r>
      <w:proofErr w:type="spellEnd"/>
      <w:r w:rsidRPr="0099721C">
        <w:rPr>
          <w:rFonts w:ascii="Arial" w:hAnsi="Arial" w:cs="Arial"/>
          <w:kern w:val="32"/>
          <w:sz w:val="22"/>
          <w:lang w:bidi="ar-TN"/>
        </w:rPr>
        <w:t xml:space="preserve"> des Industries Extractives</w:t>
      </w:r>
    </w:p>
    <w:p w:rsidR="00A62C95" w:rsidRPr="00A62C95" w:rsidRDefault="00A62C95" w:rsidP="00A62C95">
      <w:pPr>
        <w:pStyle w:val="Caption"/>
        <w:numPr>
          <w:ilvl w:val="0"/>
          <w:numId w:val="36"/>
        </w:numPr>
        <w:rPr>
          <w:rFonts w:ascii="Arial" w:hAnsi="Arial" w:cs="Arial"/>
          <w:kern w:val="32"/>
          <w:sz w:val="22"/>
          <w:lang w:val="fr-FR" w:bidi="ar-TN"/>
        </w:rPr>
      </w:pPr>
      <w:r w:rsidRPr="00A62C95">
        <w:rPr>
          <w:rFonts w:ascii="Arial" w:hAnsi="Arial" w:cs="Arial"/>
          <w:kern w:val="32"/>
          <w:sz w:val="22"/>
          <w:lang w:val="fr-FR" w:bidi="ar-TN"/>
        </w:rPr>
        <w:t>Industries Extractives concernées</w:t>
      </w:r>
    </w:p>
    <w:p w:rsidR="00427A20" w:rsidRPr="0099721C" w:rsidRDefault="00427A20" w:rsidP="007B0F6C">
      <w:pPr>
        <w:pStyle w:val="Caption"/>
        <w:numPr>
          <w:ilvl w:val="0"/>
          <w:numId w:val="36"/>
        </w:numPr>
        <w:rPr>
          <w:rFonts w:ascii="Arial" w:hAnsi="Arial" w:cs="Arial"/>
          <w:kern w:val="32"/>
          <w:sz w:val="22"/>
          <w:lang w:val="fr-FR" w:bidi="ar-TN"/>
        </w:rPr>
      </w:pPr>
      <w:r w:rsidRPr="0099721C">
        <w:rPr>
          <w:rFonts w:ascii="Arial" w:hAnsi="Arial" w:cs="Arial"/>
          <w:kern w:val="32"/>
          <w:sz w:val="22"/>
          <w:lang w:val="fr-FR" w:bidi="ar-TN"/>
        </w:rPr>
        <w:t xml:space="preserve">Cadre réglementaire du secteur </w:t>
      </w:r>
      <w:r w:rsidR="00815622">
        <w:rPr>
          <w:rFonts w:ascii="Arial" w:hAnsi="Arial" w:cs="Arial"/>
          <w:kern w:val="32"/>
          <w:sz w:val="22"/>
          <w:lang w:val="fr-FR" w:bidi="ar-TN"/>
        </w:rPr>
        <w:t>extractif</w:t>
      </w:r>
    </w:p>
    <w:p w:rsidR="00427A20" w:rsidRPr="00766866" w:rsidRDefault="00756E28" w:rsidP="007B0F6C">
      <w:pPr>
        <w:pStyle w:val="Heading3"/>
        <w:numPr>
          <w:ilvl w:val="5"/>
          <w:numId w:val="37"/>
        </w:numPr>
        <w:tabs>
          <w:tab w:val="left" w:pos="800"/>
        </w:tabs>
        <w:spacing w:after="0"/>
        <w:ind w:left="1078" w:hanging="336"/>
        <w:rPr>
          <w:rFonts w:cs="Arial"/>
          <w:bCs w:val="0"/>
          <w:i w:val="0"/>
          <w:iCs w:val="0"/>
          <w:sz w:val="18"/>
        </w:rPr>
      </w:pPr>
      <w:r w:rsidRPr="00766866">
        <w:rPr>
          <w:rFonts w:cs="Arial"/>
          <w:bCs w:val="0"/>
          <w:i w:val="0"/>
          <w:iCs w:val="0"/>
          <w:sz w:val="18"/>
        </w:rPr>
        <w:t>Le secteur des H</w:t>
      </w:r>
      <w:r w:rsidR="00427A20" w:rsidRPr="00766866">
        <w:rPr>
          <w:rFonts w:cs="Arial"/>
          <w:bCs w:val="0"/>
          <w:i w:val="0"/>
          <w:iCs w:val="0"/>
          <w:sz w:val="18"/>
        </w:rPr>
        <w:t>ydrocarbures</w:t>
      </w:r>
    </w:p>
    <w:p w:rsidR="00427A20" w:rsidRPr="00766866" w:rsidRDefault="00756E28" w:rsidP="007B0F6C">
      <w:pPr>
        <w:pStyle w:val="Heading3"/>
        <w:numPr>
          <w:ilvl w:val="5"/>
          <w:numId w:val="37"/>
        </w:numPr>
        <w:tabs>
          <w:tab w:val="left" w:pos="800"/>
        </w:tabs>
        <w:spacing w:after="0"/>
        <w:ind w:left="1078" w:hanging="336"/>
        <w:rPr>
          <w:rFonts w:cs="Arial"/>
          <w:bCs w:val="0"/>
          <w:i w:val="0"/>
          <w:iCs w:val="0"/>
          <w:sz w:val="18"/>
        </w:rPr>
      </w:pPr>
      <w:r w:rsidRPr="00766866">
        <w:rPr>
          <w:rFonts w:cs="Arial"/>
          <w:bCs w:val="0"/>
          <w:i w:val="0"/>
          <w:iCs w:val="0"/>
          <w:sz w:val="18"/>
        </w:rPr>
        <w:t>Le s</w:t>
      </w:r>
      <w:r w:rsidR="00427A20" w:rsidRPr="00766866">
        <w:rPr>
          <w:rFonts w:cs="Arial"/>
          <w:bCs w:val="0"/>
          <w:i w:val="0"/>
          <w:iCs w:val="0"/>
          <w:sz w:val="18"/>
        </w:rPr>
        <w:t xml:space="preserve">ecteur des </w:t>
      </w:r>
      <w:r w:rsidRPr="00766866">
        <w:rPr>
          <w:rFonts w:cs="Arial"/>
          <w:bCs w:val="0"/>
          <w:i w:val="0"/>
          <w:iCs w:val="0"/>
          <w:sz w:val="18"/>
        </w:rPr>
        <w:t>Mines</w:t>
      </w:r>
    </w:p>
    <w:p w:rsidR="006E4A8F" w:rsidRPr="0099721C" w:rsidRDefault="006E4A8F" w:rsidP="007B0F6C">
      <w:pPr>
        <w:pStyle w:val="Caption"/>
        <w:numPr>
          <w:ilvl w:val="0"/>
          <w:numId w:val="36"/>
        </w:numPr>
        <w:rPr>
          <w:rFonts w:ascii="Arial" w:hAnsi="Arial" w:cs="Arial"/>
          <w:kern w:val="32"/>
          <w:sz w:val="22"/>
          <w:lang w:val="fr-FR" w:bidi="ar-TN"/>
        </w:rPr>
      </w:pPr>
      <w:r w:rsidRPr="0099721C">
        <w:rPr>
          <w:rFonts w:ascii="Arial" w:hAnsi="Arial" w:cs="Arial"/>
          <w:kern w:val="32"/>
          <w:sz w:val="22"/>
          <w:lang w:val="fr-FR" w:bidi="ar-TN"/>
        </w:rPr>
        <w:t>Participation de l’Etat dans le Secteur Extractif</w:t>
      </w:r>
    </w:p>
    <w:p w:rsidR="006E4A8F" w:rsidRPr="00766866" w:rsidRDefault="006E4A8F" w:rsidP="007B0F6C">
      <w:pPr>
        <w:pStyle w:val="Heading3"/>
        <w:numPr>
          <w:ilvl w:val="5"/>
          <w:numId w:val="37"/>
        </w:numPr>
        <w:tabs>
          <w:tab w:val="left" w:pos="800"/>
        </w:tabs>
        <w:spacing w:after="0"/>
        <w:ind w:left="1078" w:hanging="336"/>
        <w:rPr>
          <w:rFonts w:cs="Arial"/>
          <w:bCs w:val="0"/>
          <w:i w:val="0"/>
          <w:iCs w:val="0"/>
          <w:sz w:val="18"/>
        </w:rPr>
      </w:pPr>
      <w:r w:rsidRPr="00766866">
        <w:rPr>
          <w:rFonts w:cs="Arial"/>
          <w:bCs w:val="0"/>
          <w:i w:val="0"/>
          <w:iCs w:val="0"/>
          <w:sz w:val="18"/>
        </w:rPr>
        <w:t>Cadre légal des Entreprises d’Etat</w:t>
      </w:r>
    </w:p>
    <w:p w:rsidR="00D42985" w:rsidRPr="00766866" w:rsidRDefault="00D42985" w:rsidP="007B0F6C">
      <w:pPr>
        <w:pStyle w:val="Heading3"/>
        <w:numPr>
          <w:ilvl w:val="5"/>
          <w:numId w:val="37"/>
        </w:numPr>
        <w:tabs>
          <w:tab w:val="left" w:pos="800"/>
        </w:tabs>
        <w:spacing w:after="0"/>
        <w:ind w:left="1078" w:hanging="336"/>
        <w:rPr>
          <w:rFonts w:cs="Arial"/>
          <w:bCs w:val="0"/>
          <w:i w:val="0"/>
          <w:iCs w:val="0"/>
          <w:sz w:val="18"/>
        </w:rPr>
      </w:pPr>
      <w:r w:rsidRPr="00766866">
        <w:rPr>
          <w:rFonts w:cs="Arial"/>
          <w:bCs w:val="0"/>
          <w:i w:val="0"/>
          <w:iCs w:val="0"/>
          <w:sz w:val="18"/>
        </w:rPr>
        <w:t>Définition des Entreprises d’Etat</w:t>
      </w:r>
    </w:p>
    <w:p w:rsidR="00D42985" w:rsidRPr="00766866" w:rsidRDefault="00D42985" w:rsidP="007B0F6C">
      <w:pPr>
        <w:pStyle w:val="Heading3"/>
        <w:numPr>
          <w:ilvl w:val="5"/>
          <w:numId w:val="37"/>
        </w:numPr>
        <w:tabs>
          <w:tab w:val="left" w:pos="800"/>
        </w:tabs>
        <w:spacing w:after="0"/>
        <w:ind w:left="1078" w:hanging="336"/>
        <w:rPr>
          <w:rFonts w:cs="Arial"/>
          <w:bCs w:val="0"/>
          <w:i w:val="0"/>
          <w:iCs w:val="0"/>
          <w:sz w:val="18"/>
        </w:rPr>
      </w:pPr>
      <w:r w:rsidRPr="00766866">
        <w:rPr>
          <w:rFonts w:cs="Arial"/>
          <w:bCs w:val="0"/>
          <w:i w:val="0"/>
          <w:iCs w:val="0"/>
          <w:sz w:val="18"/>
        </w:rPr>
        <w:t>Aspects juridiques et fiscaux</w:t>
      </w:r>
    </w:p>
    <w:p w:rsidR="00D42985" w:rsidRPr="00766866" w:rsidRDefault="00D42985" w:rsidP="007B0F6C">
      <w:pPr>
        <w:pStyle w:val="Heading3"/>
        <w:numPr>
          <w:ilvl w:val="5"/>
          <w:numId w:val="37"/>
        </w:numPr>
        <w:tabs>
          <w:tab w:val="left" w:pos="800"/>
        </w:tabs>
        <w:spacing w:after="0"/>
        <w:ind w:left="1078" w:hanging="336"/>
        <w:rPr>
          <w:rFonts w:cs="Arial"/>
          <w:bCs w:val="0"/>
          <w:i w:val="0"/>
          <w:iCs w:val="0"/>
          <w:sz w:val="18"/>
        </w:rPr>
      </w:pPr>
      <w:r w:rsidRPr="00766866">
        <w:rPr>
          <w:rFonts w:cs="Arial"/>
          <w:bCs w:val="0"/>
          <w:i w:val="0"/>
          <w:iCs w:val="0"/>
          <w:sz w:val="18"/>
        </w:rPr>
        <w:t>Revenus générés par les Entreprises d’Etat</w:t>
      </w:r>
    </w:p>
    <w:p w:rsidR="00D42985" w:rsidRPr="00766866" w:rsidRDefault="00D42985" w:rsidP="007B0F6C">
      <w:pPr>
        <w:pStyle w:val="Heading3"/>
        <w:numPr>
          <w:ilvl w:val="5"/>
          <w:numId w:val="37"/>
        </w:numPr>
        <w:tabs>
          <w:tab w:val="left" w:pos="800"/>
        </w:tabs>
        <w:spacing w:after="0"/>
        <w:ind w:left="1078" w:hanging="336"/>
        <w:rPr>
          <w:rFonts w:cs="Arial"/>
          <w:bCs w:val="0"/>
          <w:i w:val="0"/>
          <w:iCs w:val="0"/>
          <w:sz w:val="18"/>
        </w:rPr>
      </w:pPr>
      <w:r w:rsidRPr="00766866">
        <w:rPr>
          <w:rFonts w:cs="Arial"/>
          <w:bCs w:val="0"/>
          <w:i w:val="0"/>
          <w:iCs w:val="0"/>
          <w:sz w:val="18"/>
        </w:rPr>
        <w:t>Présentation des Entreprises d’Etat et des Joint-Ventures</w:t>
      </w:r>
    </w:p>
    <w:p w:rsidR="00D42985" w:rsidRPr="00766866" w:rsidRDefault="00D57EBA" w:rsidP="007B0F6C">
      <w:pPr>
        <w:pStyle w:val="Heading3"/>
        <w:numPr>
          <w:ilvl w:val="5"/>
          <w:numId w:val="37"/>
        </w:numPr>
        <w:tabs>
          <w:tab w:val="left" w:pos="800"/>
        </w:tabs>
        <w:spacing w:after="0"/>
        <w:ind w:left="1078" w:hanging="336"/>
        <w:rPr>
          <w:rFonts w:cs="Arial"/>
          <w:bCs w:val="0"/>
          <w:i w:val="0"/>
          <w:iCs w:val="0"/>
          <w:sz w:val="18"/>
        </w:rPr>
      </w:pPr>
      <w:r w:rsidRPr="00766866">
        <w:rPr>
          <w:rFonts w:cs="Arial"/>
          <w:bCs w:val="0"/>
          <w:i w:val="0"/>
          <w:iCs w:val="0"/>
          <w:sz w:val="18"/>
        </w:rPr>
        <w:t>Mécanisme de c</w:t>
      </w:r>
      <w:r w:rsidR="00D42985" w:rsidRPr="00766866">
        <w:rPr>
          <w:rFonts w:cs="Arial"/>
          <w:bCs w:val="0"/>
          <w:i w:val="0"/>
          <w:iCs w:val="0"/>
          <w:sz w:val="18"/>
        </w:rPr>
        <w:t>ession des parts sociales des Entreprises d’Etat</w:t>
      </w:r>
    </w:p>
    <w:p w:rsidR="00E552C5" w:rsidRDefault="00E552C5" w:rsidP="007B0F6C">
      <w:pPr>
        <w:pStyle w:val="Caption"/>
        <w:numPr>
          <w:ilvl w:val="0"/>
          <w:numId w:val="36"/>
        </w:numPr>
        <w:spacing w:after="0"/>
        <w:rPr>
          <w:rFonts w:ascii="Arial" w:hAnsi="Arial" w:cs="Arial"/>
          <w:kern w:val="32"/>
          <w:sz w:val="22"/>
          <w:lang w:val="fr-FR" w:bidi="ar-TN"/>
        </w:rPr>
      </w:pPr>
      <w:r w:rsidRPr="0099721C">
        <w:rPr>
          <w:rFonts w:ascii="Arial" w:hAnsi="Arial" w:cs="Arial"/>
          <w:kern w:val="32"/>
          <w:sz w:val="22"/>
          <w:lang w:val="fr-FR" w:bidi="ar-TN"/>
        </w:rPr>
        <w:t>Pratiques d’audit en RDC</w:t>
      </w:r>
    </w:p>
    <w:p w:rsidR="004F612E" w:rsidRPr="00766866" w:rsidRDefault="004F612E" w:rsidP="004F612E">
      <w:pPr>
        <w:pStyle w:val="Heading3"/>
        <w:numPr>
          <w:ilvl w:val="5"/>
          <w:numId w:val="37"/>
        </w:numPr>
        <w:tabs>
          <w:tab w:val="left" w:pos="800"/>
        </w:tabs>
        <w:spacing w:after="0"/>
        <w:ind w:left="1078" w:hanging="336"/>
        <w:rPr>
          <w:rFonts w:cs="Arial"/>
          <w:bCs w:val="0"/>
          <w:i w:val="0"/>
          <w:iCs w:val="0"/>
          <w:sz w:val="18"/>
        </w:rPr>
      </w:pPr>
      <w:r w:rsidRPr="00766866">
        <w:rPr>
          <w:rFonts w:cs="Arial"/>
          <w:bCs w:val="0"/>
          <w:i w:val="0"/>
          <w:iCs w:val="0"/>
          <w:sz w:val="18"/>
        </w:rPr>
        <w:t>Entreprises</w:t>
      </w:r>
    </w:p>
    <w:p w:rsidR="004F612E" w:rsidRPr="00766866" w:rsidRDefault="00ED76A6" w:rsidP="004F612E">
      <w:pPr>
        <w:pStyle w:val="Heading3"/>
        <w:numPr>
          <w:ilvl w:val="5"/>
          <w:numId w:val="37"/>
        </w:numPr>
        <w:tabs>
          <w:tab w:val="left" w:pos="800"/>
        </w:tabs>
        <w:spacing w:after="0"/>
        <w:ind w:left="1078" w:hanging="336"/>
        <w:rPr>
          <w:rFonts w:cs="Arial"/>
          <w:bCs w:val="0"/>
          <w:i w:val="0"/>
          <w:iCs w:val="0"/>
          <w:sz w:val="18"/>
        </w:rPr>
      </w:pPr>
      <w:r>
        <w:rPr>
          <w:rFonts w:cs="Arial"/>
          <w:bCs w:val="0"/>
          <w:i w:val="0"/>
          <w:iCs w:val="0"/>
          <w:sz w:val="18"/>
        </w:rPr>
        <w:t xml:space="preserve">Agences </w:t>
      </w:r>
      <w:r w:rsidR="004F612E" w:rsidRPr="00766866">
        <w:rPr>
          <w:rFonts w:cs="Arial"/>
          <w:bCs w:val="0"/>
          <w:i w:val="0"/>
          <w:iCs w:val="0"/>
          <w:sz w:val="18"/>
        </w:rPr>
        <w:t>Financières</w:t>
      </w:r>
      <w:r>
        <w:rPr>
          <w:rFonts w:cs="Arial"/>
          <w:bCs w:val="0"/>
          <w:i w:val="0"/>
          <w:iCs w:val="0"/>
          <w:sz w:val="18"/>
        </w:rPr>
        <w:t xml:space="preserve"> de l'Etat</w:t>
      </w:r>
    </w:p>
    <w:p w:rsidR="00B31883" w:rsidRPr="0099721C" w:rsidRDefault="00B31883" w:rsidP="007B0F6C">
      <w:pPr>
        <w:pStyle w:val="Caption"/>
        <w:numPr>
          <w:ilvl w:val="0"/>
          <w:numId w:val="35"/>
        </w:numPr>
        <w:spacing w:after="0"/>
        <w:rPr>
          <w:rFonts w:ascii="Arial" w:hAnsi="Arial" w:cs="Arial"/>
          <w:kern w:val="32"/>
          <w:sz w:val="22"/>
          <w:lang w:val="fr-FR" w:bidi="ar-TN"/>
        </w:rPr>
      </w:pPr>
      <w:r w:rsidRPr="0099721C">
        <w:rPr>
          <w:rFonts w:ascii="Arial" w:hAnsi="Arial" w:cs="Arial"/>
          <w:kern w:val="32"/>
          <w:sz w:val="22"/>
          <w:lang w:val="fr-FR" w:bidi="ar-TN"/>
        </w:rPr>
        <w:t>Détermination du Champ d’application ITIE</w:t>
      </w:r>
    </w:p>
    <w:p w:rsidR="00427A20" w:rsidRPr="0099721C" w:rsidRDefault="00427A20" w:rsidP="007B0F6C">
      <w:pPr>
        <w:pStyle w:val="Caption"/>
        <w:numPr>
          <w:ilvl w:val="0"/>
          <w:numId w:val="36"/>
        </w:numPr>
        <w:spacing w:after="0"/>
        <w:rPr>
          <w:rFonts w:ascii="Arial" w:hAnsi="Arial" w:cs="Arial"/>
          <w:kern w:val="32"/>
          <w:sz w:val="22"/>
          <w:lang w:val="fr-FR" w:bidi="ar-TN"/>
        </w:rPr>
      </w:pPr>
      <w:r w:rsidRPr="0099721C">
        <w:rPr>
          <w:rFonts w:ascii="Arial" w:hAnsi="Arial" w:cs="Arial"/>
          <w:kern w:val="32"/>
          <w:sz w:val="22"/>
          <w:lang w:val="fr-FR" w:bidi="ar-TN"/>
        </w:rPr>
        <w:t>Analyse de matérialité</w:t>
      </w:r>
    </w:p>
    <w:p w:rsidR="00427A20" w:rsidRPr="008F2D4F" w:rsidRDefault="00427A20" w:rsidP="007B0F6C">
      <w:pPr>
        <w:pStyle w:val="Heading3"/>
        <w:numPr>
          <w:ilvl w:val="5"/>
          <w:numId w:val="37"/>
        </w:numPr>
        <w:tabs>
          <w:tab w:val="left" w:pos="800"/>
        </w:tabs>
        <w:spacing w:after="0"/>
        <w:ind w:left="1078" w:hanging="336"/>
        <w:rPr>
          <w:rFonts w:cs="Arial"/>
          <w:bCs w:val="0"/>
          <w:i w:val="0"/>
          <w:iCs w:val="0"/>
          <w:sz w:val="18"/>
        </w:rPr>
      </w:pPr>
      <w:r w:rsidRPr="008F2D4F">
        <w:rPr>
          <w:rFonts w:cs="Arial"/>
          <w:bCs w:val="0"/>
          <w:i w:val="0"/>
          <w:iCs w:val="0"/>
          <w:sz w:val="18"/>
        </w:rPr>
        <w:t>Sélection des entreprises pétrolières</w:t>
      </w:r>
    </w:p>
    <w:p w:rsidR="00427A20" w:rsidRPr="008F2D4F" w:rsidRDefault="00427A20" w:rsidP="007B0F6C">
      <w:pPr>
        <w:pStyle w:val="Heading3"/>
        <w:numPr>
          <w:ilvl w:val="5"/>
          <w:numId w:val="37"/>
        </w:numPr>
        <w:tabs>
          <w:tab w:val="left" w:pos="800"/>
        </w:tabs>
        <w:spacing w:after="0"/>
        <w:ind w:left="1078" w:hanging="336"/>
        <w:rPr>
          <w:rFonts w:cs="Arial"/>
          <w:bCs w:val="0"/>
          <w:i w:val="0"/>
          <w:iCs w:val="0"/>
          <w:sz w:val="18"/>
        </w:rPr>
      </w:pPr>
      <w:r w:rsidRPr="008F2D4F">
        <w:rPr>
          <w:rFonts w:cs="Arial"/>
          <w:bCs w:val="0"/>
          <w:i w:val="0"/>
          <w:iCs w:val="0"/>
          <w:sz w:val="18"/>
        </w:rPr>
        <w:t>Sélection des entreprises minières</w:t>
      </w:r>
    </w:p>
    <w:p w:rsidR="006B775E" w:rsidRPr="008F2D4F" w:rsidRDefault="006B775E" w:rsidP="007B0F6C">
      <w:pPr>
        <w:pStyle w:val="Heading3"/>
        <w:numPr>
          <w:ilvl w:val="5"/>
          <w:numId w:val="37"/>
        </w:numPr>
        <w:tabs>
          <w:tab w:val="left" w:pos="800"/>
        </w:tabs>
        <w:spacing w:after="0"/>
        <w:ind w:left="1078" w:hanging="336"/>
        <w:rPr>
          <w:rFonts w:cs="Arial"/>
          <w:bCs w:val="0"/>
          <w:i w:val="0"/>
          <w:iCs w:val="0"/>
          <w:sz w:val="18"/>
        </w:rPr>
      </w:pPr>
      <w:r w:rsidRPr="008F2D4F">
        <w:rPr>
          <w:rFonts w:cs="Arial"/>
          <w:bCs w:val="0"/>
          <w:i w:val="0"/>
          <w:iCs w:val="0"/>
          <w:sz w:val="18"/>
        </w:rPr>
        <w:t>Sélection des flux de paiement</w:t>
      </w:r>
    </w:p>
    <w:p w:rsidR="006B775E" w:rsidRPr="008F2D4F" w:rsidRDefault="006B775E" w:rsidP="007B0F6C">
      <w:pPr>
        <w:pStyle w:val="Heading3"/>
        <w:numPr>
          <w:ilvl w:val="5"/>
          <w:numId w:val="37"/>
        </w:numPr>
        <w:tabs>
          <w:tab w:val="left" w:pos="800"/>
        </w:tabs>
        <w:spacing w:after="0"/>
        <w:ind w:left="1078" w:hanging="336"/>
        <w:rPr>
          <w:rFonts w:cs="Arial"/>
          <w:bCs w:val="0"/>
          <w:i w:val="0"/>
          <w:iCs w:val="0"/>
          <w:sz w:val="18"/>
        </w:rPr>
      </w:pPr>
      <w:r w:rsidRPr="008F2D4F">
        <w:rPr>
          <w:rFonts w:cs="Arial"/>
          <w:bCs w:val="0"/>
          <w:i w:val="0"/>
          <w:iCs w:val="0"/>
          <w:sz w:val="18"/>
        </w:rPr>
        <w:t>Sélection des AFE</w:t>
      </w:r>
      <w:r w:rsidR="00BB6B84">
        <w:rPr>
          <w:rFonts w:cs="Arial"/>
          <w:bCs w:val="0"/>
          <w:i w:val="0"/>
          <w:iCs w:val="0"/>
          <w:sz w:val="18"/>
        </w:rPr>
        <w:t xml:space="preserve"> et des EPE</w:t>
      </w:r>
    </w:p>
    <w:p w:rsidR="00FE621D" w:rsidRPr="0099721C" w:rsidRDefault="00E3307B" w:rsidP="007B0F6C">
      <w:pPr>
        <w:pStyle w:val="Caption"/>
        <w:numPr>
          <w:ilvl w:val="0"/>
          <w:numId w:val="36"/>
        </w:numPr>
        <w:spacing w:after="0"/>
        <w:rPr>
          <w:rFonts w:ascii="Arial" w:hAnsi="Arial" w:cs="Arial"/>
          <w:kern w:val="32"/>
          <w:sz w:val="22"/>
          <w:lang w:val="fr-FR" w:bidi="ar-TN"/>
        </w:rPr>
      </w:pPr>
      <w:r>
        <w:rPr>
          <w:rFonts w:ascii="Arial" w:hAnsi="Arial" w:cs="Arial"/>
          <w:kern w:val="32"/>
          <w:sz w:val="22"/>
          <w:lang w:val="fr-FR" w:bidi="ar-TN"/>
        </w:rPr>
        <w:t>Périmètre ITIE RDC 2015</w:t>
      </w:r>
      <w:r w:rsidR="00FE621D" w:rsidRPr="0099721C">
        <w:rPr>
          <w:rFonts w:ascii="Arial" w:hAnsi="Arial" w:cs="Arial"/>
          <w:kern w:val="32"/>
          <w:sz w:val="22"/>
          <w:lang w:val="fr-FR" w:bidi="ar-TN"/>
        </w:rPr>
        <w:t xml:space="preserve"> – Flux de paiement</w:t>
      </w:r>
    </w:p>
    <w:p w:rsidR="00FE621D" w:rsidRDefault="00E3307B" w:rsidP="00F26DB6">
      <w:pPr>
        <w:pStyle w:val="Caption"/>
        <w:numPr>
          <w:ilvl w:val="0"/>
          <w:numId w:val="36"/>
        </w:numPr>
        <w:spacing w:after="0"/>
        <w:rPr>
          <w:rFonts w:ascii="Arial" w:hAnsi="Arial" w:cs="Arial"/>
          <w:kern w:val="32"/>
          <w:sz w:val="22"/>
          <w:lang w:val="fr-FR" w:bidi="ar-TN"/>
        </w:rPr>
      </w:pPr>
      <w:r>
        <w:rPr>
          <w:rFonts w:ascii="Arial" w:hAnsi="Arial" w:cs="Arial"/>
          <w:kern w:val="32"/>
          <w:sz w:val="22"/>
          <w:lang w:val="fr-FR" w:bidi="ar-TN"/>
        </w:rPr>
        <w:t xml:space="preserve">Périmètre </w:t>
      </w:r>
      <w:r w:rsidR="00FE621D" w:rsidRPr="0099721C">
        <w:rPr>
          <w:rFonts w:ascii="Arial" w:hAnsi="Arial" w:cs="Arial"/>
          <w:kern w:val="32"/>
          <w:sz w:val="22"/>
          <w:lang w:val="fr-FR" w:bidi="ar-TN"/>
        </w:rPr>
        <w:t>ITIE RDC 201</w:t>
      </w:r>
      <w:r>
        <w:rPr>
          <w:rFonts w:ascii="Arial" w:hAnsi="Arial" w:cs="Arial"/>
          <w:kern w:val="32"/>
          <w:sz w:val="22"/>
          <w:lang w:val="fr-FR" w:bidi="ar-TN"/>
        </w:rPr>
        <w:t>5</w:t>
      </w:r>
      <w:r w:rsidR="00FE621D" w:rsidRPr="0099721C">
        <w:rPr>
          <w:rFonts w:ascii="Arial" w:hAnsi="Arial" w:cs="Arial"/>
          <w:kern w:val="32"/>
          <w:sz w:val="22"/>
          <w:lang w:val="fr-FR" w:bidi="ar-TN"/>
        </w:rPr>
        <w:t xml:space="preserve"> – Entreprises extractives</w:t>
      </w:r>
    </w:p>
    <w:p w:rsidR="00F64242" w:rsidRPr="008F2D4F" w:rsidRDefault="00F64242" w:rsidP="00F64242">
      <w:pPr>
        <w:pStyle w:val="Heading3"/>
        <w:numPr>
          <w:ilvl w:val="5"/>
          <w:numId w:val="37"/>
        </w:numPr>
        <w:tabs>
          <w:tab w:val="left" w:pos="800"/>
        </w:tabs>
        <w:spacing w:after="0"/>
        <w:ind w:left="1078" w:hanging="336"/>
        <w:rPr>
          <w:rFonts w:cs="Arial"/>
          <w:bCs w:val="0"/>
          <w:i w:val="0"/>
          <w:iCs w:val="0"/>
          <w:sz w:val="18"/>
        </w:rPr>
      </w:pPr>
      <w:r w:rsidRPr="008F2D4F">
        <w:rPr>
          <w:rFonts w:cs="Arial"/>
          <w:bCs w:val="0"/>
          <w:i w:val="0"/>
          <w:iCs w:val="0"/>
          <w:sz w:val="18"/>
        </w:rPr>
        <w:t>S</w:t>
      </w:r>
      <w:r>
        <w:rPr>
          <w:rFonts w:cs="Arial"/>
          <w:bCs w:val="0"/>
          <w:i w:val="0"/>
          <w:iCs w:val="0"/>
          <w:sz w:val="18"/>
        </w:rPr>
        <w:t>ecteur des Hydrocarbures</w:t>
      </w:r>
    </w:p>
    <w:p w:rsidR="00F64242" w:rsidRPr="00F64242" w:rsidRDefault="00F64242" w:rsidP="00F64242">
      <w:pPr>
        <w:pStyle w:val="Heading3"/>
        <w:numPr>
          <w:ilvl w:val="5"/>
          <w:numId w:val="37"/>
        </w:numPr>
        <w:tabs>
          <w:tab w:val="left" w:pos="800"/>
        </w:tabs>
        <w:spacing w:after="0"/>
        <w:ind w:left="1078" w:hanging="336"/>
        <w:rPr>
          <w:rFonts w:cs="Arial"/>
          <w:bCs w:val="0"/>
          <w:i w:val="0"/>
          <w:iCs w:val="0"/>
          <w:sz w:val="18"/>
        </w:rPr>
      </w:pPr>
      <w:r w:rsidRPr="008F2D4F">
        <w:rPr>
          <w:rFonts w:cs="Arial"/>
          <w:bCs w:val="0"/>
          <w:i w:val="0"/>
          <w:iCs w:val="0"/>
          <w:sz w:val="18"/>
        </w:rPr>
        <w:t>S</w:t>
      </w:r>
      <w:r>
        <w:rPr>
          <w:rFonts w:cs="Arial"/>
          <w:bCs w:val="0"/>
          <w:i w:val="0"/>
          <w:iCs w:val="0"/>
          <w:sz w:val="18"/>
        </w:rPr>
        <w:t>ecteur des Mines</w:t>
      </w:r>
    </w:p>
    <w:p w:rsidR="00FE621D" w:rsidRPr="0099721C" w:rsidRDefault="00E3307B" w:rsidP="00F26DB6">
      <w:pPr>
        <w:pStyle w:val="Caption"/>
        <w:numPr>
          <w:ilvl w:val="0"/>
          <w:numId w:val="36"/>
        </w:numPr>
        <w:spacing w:after="0"/>
        <w:rPr>
          <w:rFonts w:ascii="Arial" w:hAnsi="Arial" w:cs="Arial"/>
          <w:kern w:val="32"/>
          <w:sz w:val="22"/>
          <w:lang w:val="fr-FR" w:bidi="ar-TN"/>
        </w:rPr>
      </w:pPr>
      <w:r>
        <w:rPr>
          <w:rFonts w:ascii="Arial" w:hAnsi="Arial" w:cs="Arial"/>
          <w:kern w:val="32"/>
          <w:sz w:val="22"/>
          <w:lang w:val="fr-FR" w:bidi="ar-TN"/>
        </w:rPr>
        <w:t xml:space="preserve">Périmètre </w:t>
      </w:r>
      <w:r w:rsidR="00FE621D" w:rsidRPr="0099721C">
        <w:rPr>
          <w:rFonts w:ascii="Arial" w:hAnsi="Arial" w:cs="Arial"/>
          <w:kern w:val="32"/>
          <w:sz w:val="22"/>
          <w:lang w:val="fr-FR" w:bidi="ar-TN"/>
        </w:rPr>
        <w:t>ITIE RDC 201</w:t>
      </w:r>
      <w:r>
        <w:rPr>
          <w:rFonts w:ascii="Arial" w:hAnsi="Arial" w:cs="Arial"/>
          <w:kern w:val="32"/>
          <w:sz w:val="22"/>
          <w:lang w:val="fr-FR" w:bidi="ar-TN"/>
        </w:rPr>
        <w:t>5</w:t>
      </w:r>
      <w:r w:rsidR="00FE621D" w:rsidRPr="0099721C">
        <w:rPr>
          <w:rFonts w:ascii="Arial" w:hAnsi="Arial" w:cs="Arial"/>
          <w:kern w:val="32"/>
          <w:sz w:val="22"/>
          <w:lang w:val="fr-FR" w:bidi="ar-TN"/>
        </w:rPr>
        <w:t xml:space="preserve"> – Entités Publiques</w:t>
      </w:r>
    </w:p>
    <w:p w:rsidR="00FE621D" w:rsidRPr="0099721C" w:rsidRDefault="00FE621D" w:rsidP="00F26DB6">
      <w:pPr>
        <w:pStyle w:val="Caption"/>
        <w:numPr>
          <w:ilvl w:val="0"/>
          <w:numId w:val="36"/>
        </w:numPr>
        <w:spacing w:after="0"/>
        <w:rPr>
          <w:rFonts w:ascii="Arial" w:hAnsi="Arial" w:cs="Arial"/>
          <w:kern w:val="32"/>
          <w:sz w:val="22"/>
          <w:lang w:val="fr-FR" w:bidi="ar-TN"/>
        </w:rPr>
      </w:pPr>
      <w:r w:rsidRPr="0099721C">
        <w:rPr>
          <w:rFonts w:ascii="Arial" w:hAnsi="Arial" w:cs="Arial"/>
          <w:kern w:val="32"/>
          <w:sz w:val="22"/>
          <w:lang w:val="fr-FR" w:bidi="ar-TN"/>
        </w:rPr>
        <w:t>Période fiscale</w:t>
      </w:r>
    </w:p>
    <w:p w:rsidR="00FE621D" w:rsidRDefault="00FE621D" w:rsidP="00F26DB6">
      <w:pPr>
        <w:pStyle w:val="Caption"/>
        <w:numPr>
          <w:ilvl w:val="0"/>
          <w:numId w:val="36"/>
        </w:numPr>
        <w:spacing w:after="0"/>
        <w:rPr>
          <w:rFonts w:ascii="Arial" w:hAnsi="Arial" w:cs="Arial"/>
          <w:kern w:val="32"/>
          <w:sz w:val="22"/>
          <w:lang w:val="fr-FR" w:bidi="ar-TN"/>
        </w:rPr>
      </w:pPr>
      <w:r w:rsidRPr="0099721C">
        <w:rPr>
          <w:rFonts w:ascii="Arial" w:hAnsi="Arial" w:cs="Arial"/>
          <w:kern w:val="32"/>
          <w:sz w:val="22"/>
          <w:lang w:val="fr-FR" w:bidi="ar-TN"/>
        </w:rPr>
        <w:t>Fiabilité et attestation des données à déclarer</w:t>
      </w:r>
    </w:p>
    <w:p w:rsidR="0040236D" w:rsidRDefault="0040236D" w:rsidP="00F77566">
      <w:pPr>
        <w:pStyle w:val="ListParagraph"/>
        <w:numPr>
          <w:ilvl w:val="0"/>
          <w:numId w:val="47"/>
        </w:numPr>
        <w:spacing w:after="0"/>
        <w:ind w:left="1134" w:hanging="447"/>
        <w:rPr>
          <w:lang w:bidi="ar-TN"/>
        </w:rPr>
      </w:pPr>
      <w:r>
        <w:rPr>
          <w:lang w:bidi="ar-TN"/>
        </w:rPr>
        <w:t>Entreprise</w:t>
      </w:r>
      <w:r w:rsidR="00462A6C">
        <w:rPr>
          <w:lang w:bidi="ar-TN"/>
        </w:rPr>
        <w:t>s</w:t>
      </w:r>
      <w:r>
        <w:rPr>
          <w:lang w:bidi="ar-TN"/>
        </w:rPr>
        <w:t xml:space="preserve"> extractive</w:t>
      </w:r>
      <w:r w:rsidR="00462A6C">
        <w:rPr>
          <w:lang w:bidi="ar-TN"/>
        </w:rPr>
        <w:t>s</w:t>
      </w:r>
    </w:p>
    <w:p w:rsidR="0040236D" w:rsidRPr="0040236D" w:rsidRDefault="0040236D" w:rsidP="00F77566">
      <w:pPr>
        <w:pStyle w:val="ListParagraph"/>
        <w:numPr>
          <w:ilvl w:val="0"/>
          <w:numId w:val="47"/>
        </w:numPr>
        <w:spacing w:after="0"/>
        <w:ind w:left="1134" w:hanging="447"/>
        <w:rPr>
          <w:lang w:bidi="ar-TN"/>
        </w:rPr>
      </w:pPr>
      <w:r>
        <w:rPr>
          <w:lang w:bidi="ar-TN"/>
        </w:rPr>
        <w:t>Agence</w:t>
      </w:r>
      <w:r w:rsidR="00462A6C">
        <w:rPr>
          <w:lang w:bidi="ar-TN"/>
        </w:rPr>
        <w:t>s</w:t>
      </w:r>
      <w:r>
        <w:rPr>
          <w:lang w:bidi="ar-TN"/>
        </w:rPr>
        <w:t xml:space="preserve"> Financière</w:t>
      </w:r>
      <w:r w:rsidR="00462A6C">
        <w:rPr>
          <w:lang w:bidi="ar-TN"/>
        </w:rPr>
        <w:t>s</w:t>
      </w:r>
      <w:r>
        <w:rPr>
          <w:lang w:bidi="ar-TN"/>
        </w:rPr>
        <w:t xml:space="preserve"> de l'Etat</w:t>
      </w:r>
    </w:p>
    <w:p w:rsidR="00FE621D" w:rsidRPr="0099721C" w:rsidRDefault="00FE621D" w:rsidP="00F26DB6">
      <w:pPr>
        <w:pStyle w:val="Caption"/>
        <w:numPr>
          <w:ilvl w:val="0"/>
          <w:numId w:val="36"/>
        </w:numPr>
        <w:spacing w:after="0"/>
        <w:rPr>
          <w:rFonts w:ascii="Arial" w:hAnsi="Arial" w:cs="Arial"/>
          <w:kern w:val="32"/>
          <w:sz w:val="22"/>
          <w:lang w:val="fr-FR" w:bidi="ar-TN"/>
        </w:rPr>
      </w:pPr>
      <w:r w:rsidRPr="0099721C">
        <w:rPr>
          <w:rFonts w:ascii="Arial" w:hAnsi="Arial" w:cs="Arial"/>
          <w:kern w:val="32"/>
          <w:sz w:val="22"/>
          <w:lang w:val="fr-FR" w:bidi="ar-TN"/>
        </w:rPr>
        <w:t>Niveau de dés</w:t>
      </w:r>
      <w:r w:rsidR="0040236D">
        <w:rPr>
          <w:rFonts w:ascii="Arial" w:hAnsi="Arial" w:cs="Arial"/>
          <w:kern w:val="32"/>
          <w:sz w:val="22"/>
          <w:lang w:val="fr-FR" w:bidi="ar-TN"/>
        </w:rPr>
        <w:t>a</w:t>
      </w:r>
      <w:r w:rsidRPr="0099721C">
        <w:rPr>
          <w:rFonts w:ascii="Arial" w:hAnsi="Arial" w:cs="Arial"/>
          <w:kern w:val="32"/>
          <w:sz w:val="22"/>
          <w:lang w:val="fr-FR" w:bidi="ar-TN"/>
        </w:rPr>
        <w:t xml:space="preserve">grégation </w:t>
      </w:r>
    </w:p>
    <w:p w:rsidR="00FE621D" w:rsidRPr="0099721C" w:rsidRDefault="00FE621D" w:rsidP="00F26DB6">
      <w:pPr>
        <w:pStyle w:val="Caption"/>
        <w:numPr>
          <w:ilvl w:val="0"/>
          <w:numId w:val="36"/>
        </w:numPr>
        <w:spacing w:after="0"/>
        <w:rPr>
          <w:rFonts w:ascii="Arial" w:hAnsi="Arial" w:cs="Arial"/>
          <w:kern w:val="32"/>
          <w:sz w:val="22"/>
          <w:lang w:val="fr-FR" w:bidi="ar-TN"/>
        </w:rPr>
      </w:pPr>
      <w:r w:rsidRPr="0099721C">
        <w:rPr>
          <w:rFonts w:ascii="Arial" w:hAnsi="Arial" w:cs="Arial"/>
          <w:kern w:val="32"/>
          <w:sz w:val="22"/>
          <w:lang w:val="fr-FR" w:bidi="ar-TN"/>
        </w:rPr>
        <w:t>Outil de collecte des données pour le Rapport 2015</w:t>
      </w:r>
    </w:p>
    <w:p w:rsidR="00F26DB6" w:rsidRDefault="005C6454" w:rsidP="00F26DB6">
      <w:pPr>
        <w:pStyle w:val="Caption"/>
        <w:numPr>
          <w:ilvl w:val="0"/>
          <w:numId w:val="36"/>
        </w:numPr>
        <w:spacing w:after="0"/>
        <w:rPr>
          <w:rFonts w:ascii="Arial" w:hAnsi="Arial" w:cs="Arial"/>
          <w:kern w:val="32"/>
          <w:sz w:val="22"/>
          <w:lang w:val="fr-FR" w:bidi="ar-TN"/>
        </w:rPr>
      </w:pPr>
      <w:r>
        <w:rPr>
          <w:rFonts w:ascii="Arial" w:hAnsi="Arial" w:cs="Arial"/>
          <w:kern w:val="32"/>
          <w:sz w:val="22"/>
          <w:lang w:val="fr-FR" w:bidi="ar-TN"/>
        </w:rPr>
        <w:t>Déclaration  de la Propriété R</w:t>
      </w:r>
      <w:r w:rsidR="00726B7F" w:rsidRPr="0099721C">
        <w:rPr>
          <w:rFonts w:ascii="Arial" w:hAnsi="Arial" w:cs="Arial"/>
          <w:kern w:val="32"/>
          <w:sz w:val="22"/>
          <w:lang w:val="fr-FR" w:bidi="ar-TN"/>
        </w:rPr>
        <w:t>éelle</w:t>
      </w:r>
    </w:p>
    <w:p w:rsidR="00BB6B84" w:rsidRPr="003C65E3" w:rsidRDefault="00BB6B84" w:rsidP="00BB6B84">
      <w:pPr>
        <w:pStyle w:val="Caption"/>
        <w:numPr>
          <w:ilvl w:val="0"/>
          <w:numId w:val="36"/>
        </w:numPr>
        <w:spacing w:after="0"/>
        <w:rPr>
          <w:rFonts w:ascii="Arial" w:hAnsi="Arial" w:cs="Arial"/>
          <w:kern w:val="32"/>
          <w:sz w:val="22"/>
          <w:lang w:val="fr-FR" w:bidi="ar-TN"/>
        </w:rPr>
      </w:pPr>
      <w:r w:rsidRPr="003C65E3">
        <w:rPr>
          <w:rFonts w:ascii="Arial" w:hAnsi="Arial" w:cs="Arial"/>
          <w:kern w:val="32"/>
          <w:sz w:val="22"/>
          <w:lang w:val="fr-FR" w:bidi="ar-TN"/>
        </w:rPr>
        <w:t>Plan de suivi des recommandations des Exercices ITIE précédents</w:t>
      </w:r>
    </w:p>
    <w:p w:rsidR="00BB6B84" w:rsidRPr="00BB6B84" w:rsidRDefault="00BB6B84" w:rsidP="00BB6B84">
      <w:pPr>
        <w:rPr>
          <w:lang w:bidi="ar-TN"/>
        </w:rPr>
      </w:pPr>
    </w:p>
    <w:p w:rsidR="009470C7" w:rsidRPr="00DB0D48" w:rsidRDefault="00F26DB6" w:rsidP="00CB1906">
      <w:pPr>
        <w:rPr>
          <w:color w:val="FFFFFF"/>
          <w:kern w:val="32"/>
          <w:lang w:bidi="ar-TN"/>
        </w:rPr>
      </w:pPr>
      <w:r>
        <w:rPr>
          <w:kern w:val="32"/>
          <w:lang w:bidi="ar-TN"/>
        </w:rPr>
        <w:br w:type="page"/>
      </w:r>
      <w:r w:rsidR="003C65E3" w:rsidRPr="00DB0D48">
        <w:rPr>
          <w:color w:val="FFFFFF"/>
          <w:kern w:val="32"/>
          <w:lang w:bidi="ar-TN"/>
        </w:rPr>
        <w:lastRenderedPageBreak/>
        <w:t>CTION</w:t>
      </w:r>
    </w:p>
    <w:p w:rsidR="003C65E3" w:rsidRPr="003C65E3" w:rsidRDefault="003C65E3" w:rsidP="003C65E3">
      <w:pPr>
        <w:spacing w:after="0" w:line="276" w:lineRule="auto"/>
        <w:jc w:val="left"/>
        <w:rPr>
          <w:b/>
          <w:color w:val="000000"/>
          <w:sz w:val="24"/>
          <w:szCs w:val="27"/>
          <w:u w:val="single"/>
        </w:rPr>
      </w:pPr>
    </w:p>
    <w:p w:rsidR="00C0034D" w:rsidRDefault="00C0034D" w:rsidP="00C0034D">
      <w:pPr>
        <w:pStyle w:val="Heading1"/>
        <w:keepNext/>
        <w:numPr>
          <w:ilvl w:val="0"/>
          <w:numId w:val="2"/>
        </w:numPr>
        <w:shd w:val="clear" w:color="auto" w:fill="244061"/>
        <w:ind w:left="400" w:hanging="400"/>
        <w:rPr>
          <w:color w:val="FFFFFF"/>
          <w:kern w:val="32"/>
          <w:lang w:val="fr-FR" w:bidi="ar-TN"/>
        </w:rPr>
      </w:pPr>
      <w:bookmarkStart w:id="3" w:name="_Toc451431092"/>
      <w:r>
        <w:rPr>
          <w:color w:val="FFFFFF"/>
          <w:kern w:val="32"/>
          <w:lang w:val="fr-FR" w:bidi="ar-TN"/>
        </w:rPr>
        <w:t>Introduction</w:t>
      </w:r>
      <w:bookmarkEnd w:id="3"/>
    </w:p>
    <w:p w:rsidR="009470C7" w:rsidRDefault="009470C7" w:rsidP="009470C7">
      <w:pPr>
        <w:spacing w:after="200" w:line="276" w:lineRule="auto"/>
        <w:rPr>
          <w:color w:val="000000"/>
          <w:sz w:val="24"/>
          <w:szCs w:val="27"/>
        </w:rPr>
      </w:pPr>
      <w:r w:rsidRPr="009470C7">
        <w:rPr>
          <w:color w:val="000000"/>
          <w:sz w:val="24"/>
          <w:szCs w:val="27"/>
        </w:rPr>
        <w:t>La contextualisation du cadrage  du secteur extractif devant faire l'objet du Rapport ITIE-RDC 2015 consiste à en préciser le champ d'investigation ainsi que sa temporalité. La délimitation de l'étude de cadrage ITIE-RDC 2015 qui constitue la matière du présent rapport permet non seulement de justifier le choix du Groupe multipartite et l'intérêt de définir le périmètre du rapport ITIE, mais aussi d'éviter la fluidité des données ainsi que l'</w:t>
      </w:r>
      <w:proofErr w:type="spellStart"/>
      <w:r w:rsidRPr="009470C7">
        <w:rPr>
          <w:color w:val="000000"/>
          <w:sz w:val="24"/>
          <w:szCs w:val="27"/>
        </w:rPr>
        <w:t>infinitésimalité</w:t>
      </w:r>
      <w:proofErr w:type="spellEnd"/>
      <w:r w:rsidRPr="009470C7">
        <w:rPr>
          <w:color w:val="000000"/>
          <w:sz w:val="24"/>
          <w:szCs w:val="27"/>
        </w:rPr>
        <w:t xml:space="preserve"> spatio-temporelle consécutive à  l'immensité et à la diversité socio-économique de la République Démocratique du Congo.</w:t>
      </w:r>
    </w:p>
    <w:p w:rsidR="009470C7" w:rsidRDefault="009470C7" w:rsidP="009470C7">
      <w:pPr>
        <w:spacing w:after="200" w:line="276" w:lineRule="auto"/>
        <w:rPr>
          <w:color w:val="000000"/>
          <w:sz w:val="24"/>
          <w:szCs w:val="27"/>
        </w:rPr>
      </w:pPr>
      <w:r w:rsidRPr="009470C7">
        <w:rPr>
          <w:color w:val="000000"/>
          <w:sz w:val="24"/>
          <w:szCs w:val="27"/>
        </w:rPr>
        <w:t>Nous avons retenu comme champ d'investigation, les Provinces, dans leur configuration de 2015,  où se déroulent principalement les opérations industrielles extractives: Kasaï Oriental, Katanga, Kongo Central, Maniema, Nord Kivu, Province Orientale et Sud Kivu. En ce qui concerne  la périodisation de l'étude, nous avons retenu l'année civile 2015 qui commence le 1er janvier et se termine le 31 décembre 2015.</w:t>
      </w:r>
    </w:p>
    <w:p w:rsidR="009470C7" w:rsidRPr="009470C7" w:rsidRDefault="009470C7" w:rsidP="009470C7">
      <w:pPr>
        <w:spacing w:after="200" w:line="276" w:lineRule="auto"/>
        <w:rPr>
          <w:color w:val="000000"/>
          <w:sz w:val="24"/>
          <w:szCs w:val="27"/>
        </w:rPr>
      </w:pPr>
      <w:r w:rsidRPr="009470C7">
        <w:rPr>
          <w:color w:val="000000"/>
          <w:sz w:val="24"/>
          <w:szCs w:val="27"/>
        </w:rPr>
        <w:t>Le présent rapport de cadrage est une mise à jour de l'étude de cadrage ITIE-RDC 2014.</w:t>
      </w:r>
    </w:p>
    <w:p w:rsidR="009470C7" w:rsidRPr="009470C7" w:rsidRDefault="009470C7">
      <w:pPr>
        <w:spacing w:after="200" w:line="276" w:lineRule="auto"/>
        <w:jc w:val="left"/>
        <w:rPr>
          <w:rFonts w:cs="Times New Roman"/>
          <w:b/>
          <w:color w:val="FFFFFF"/>
          <w:kern w:val="32"/>
          <w:szCs w:val="24"/>
          <w:lang w:bidi="ar-TN"/>
        </w:rPr>
      </w:pPr>
    </w:p>
    <w:p w:rsidR="00A81382" w:rsidRPr="00A774DA" w:rsidRDefault="00A81382" w:rsidP="00A81382">
      <w:pPr>
        <w:pStyle w:val="Heading1"/>
        <w:keepNext/>
        <w:numPr>
          <w:ilvl w:val="0"/>
          <w:numId w:val="2"/>
        </w:numPr>
        <w:shd w:val="clear" w:color="auto" w:fill="244061"/>
        <w:ind w:left="400" w:hanging="400"/>
        <w:rPr>
          <w:color w:val="FFFFFF"/>
          <w:kern w:val="32"/>
          <w:lang w:val="fr-FR" w:bidi="ar-TN"/>
        </w:rPr>
      </w:pPr>
      <w:bookmarkStart w:id="4" w:name="_Toc451431093"/>
      <w:r w:rsidRPr="00A774DA">
        <w:rPr>
          <w:color w:val="FFFFFF"/>
          <w:kern w:val="32"/>
          <w:lang w:val="fr-FR" w:bidi="ar-TN"/>
        </w:rPr>
        <w:t>OBJECTIF ET METHODOLOGIE</w:t>
      </w:r>
      <w:bookmarkEnd w:id="0"/>
      <w:bookmarkEnd w:id="4"/>
    </w:p>
    <w:p w:rsidR="00A81382" w:rsidRPr="00A774DA" w:rsidRDefault="00A81382" w:rsidP="00A81382">
      <w:pPr>
        <w:spacing w:after="0"/>
      </w:pPr>
    </w:p>
    <w:p w:rsidR="00A81382" w:rsidRPr="00A774DA" w:rsidRDefault="00A81382" w:rsidP="00A81382">
      <w:pPr>
        <w:pStyle w:val="Heading2"/>
        <w:numPr>
          <w:ilvl w:val="1"/>
          <w:numId w:val="2"/>
        </w:numPr>
        <w:shd w:val="clear" w:color="auto" w:fill="BFBFBF"/>
        <w:ind w:hanging="720"/>
        <w:rPr>
          <w:sz w:val="24"/>
          <w:szCs w:val="24"/>
        </w:rPr>
      </w:pPr>
      <w:bookmarkStart w:id="5" w:name="_Toc451431094"/>
      <w:bookmarkStart w:id="6" w:name="_Toc429359770"/>
      <w:r w:rsidRPr="00A774DA">
        <w:rPr>
          <w:sz w:val="24"/>
          <w:szCs w:val="24"/>
        </w:rPr>
        <w:t>Objectif</w:t>
      </w:r>
      <w:bookmarkEnd w:id="5"/>
      <w:r w:rsidRPr="00A774DA">
        <w:rPr>
          <w:sz w:val="24"/>
          <w:szCs w:val="24"/>
        </w:rPr>
        <w:t xml:space="preserve"> </w:t>
      </w:r>
      <w:bookmarkEnd w:id="6"/>
    </w:p>
    <w:p w:rsidR="00A81382" w:rsidRPr="00A774DA" w:rsidRDefault="00A81382" w:rsidP="00A81382">
      <w:pPr>
        <w:spacing w:after="120"/>
      </w:pPr>
      <w:r w:rsidRPr="00A774DA">
        <w:t xml:space="preserve">L’objectif du rapport </w:t>
      </w:r>
      <w:r w:rsidR="00F76A73">
        <w:t xml:space="preserve">de cadrage </w:t>
      </w:r>
      <w:r w:rsidRPr="00A774DA">
        <w:t xml:space="preserve">consiste à </w:t>
      </w:r>
      <w:r w:rsidR="00D91988">
        <w:t>déterminer</w:t>
      </w:r>
      <w:r w:rsidRPr="00A774DA">
        <w:t xml:space="preserve"> le périmètre d'application du processus de déclaration ITIE, les formulaires de déclaration ainsi que les procédures de collecte des données, conformément à la Norme ITIE (version 201</w:t>
      </w:r>
      <w:r w:rsidR="00B47577">
        <w:t>6</w:t>
      </w:r>
      <w:r w:rsidRPr="00A774DA">
        <w:t>) ainsi qu'aux objectifs convenus par le Groupe Multipartite et à ses attentes.</w:t>
      </w:r>
    </w:p>
    <w:p w:rsidR="00A81382" w:rsidRPr="00A774DA" w:rsidRDefault="00A81382" w:rsidP="00A81382">
      <w:pPr>
        <w:spacing w:after="120"/>
      </w:pPr>
      <w:r w:rsidRPr="00A774DA">
        <w:rPr>
          <w:rFonts w:cs="Myriad Pro SemiCond"/>
          <w:bCs w:val="0"/>
          <w:color w:val="000000"/>
          <w:szCs w:val="20"/>
        </w:rPr>
        <w:t xml:space="preserve">Le périmètre ITIE approuvé par le Comité Exécutif constituera la base pour la conception des formulaires de </w:t>
      </w:r>
      <w:r w:rsidRPr="00A774DA">
        <w:t>déclaration</w:t>
      </w:r>
      <w:r w:rsidRPr="00A774DA">
        <w:rPr>
          <w:rFonts w:cs="Myriad Pro SemiCond"/>
          <w:bCs w:val="0"/>
          <w:color w:val="000000"/>
          <w:szCs w:val="20"/>
        </w:rPr>
        <w:t xml:space="preserve"> qui seront utilisés par les parties déclarantes pour la communication des </w:t>
      </w:r>
      <w:r w:rsidR="00F167E0">
        <w:rPr>
          <w:rFonts w:cs="Myriad Pro SemiCond"/>
          <w:bCs w:val="0"/>
          <w:color w:val="000000"/>
          <w:szCs w:val="20"/>
        </w:rPr>
        <w:t>informations (paiements,</w:t>
      </w:r>
      <w:r w:rsidRPr="00A774DA">
        <w:rPr>
          <w:rFonts w:cs="Myriad Pro SemiCond"/>
          <w:bCs w:val="0"/>
          <w:color w:val="000000"/>
          <w:szCs w:val="20"/>
        </w:rPr>
        <w:t xml:space="preserve"> recettes</w:t>
      </w:r>
      <w:r w:rsidR="00F167E0">
        <w:rPr>
          <w:rFonts w:cs="Myriad Pro SemiCond"/>
          <w:bCs w:val="0"/>
          <w:color w:val="000000"/>
          <w:szCs w:val="20"/>
        </w:rPr>
        <w:t xml:space="preserve"> et autres)</w:t>
      </w:r>
      <w:r w:rsidR="00137994">
        <w:rPr>
          <w:rFonts w:cs="Myriad Pro SemiCond"/>
          <w:bCs w:val="0"/>
          <w:color w:val="000000"/>
          <w:szCs w:val="20"/>
        </w:rPr>
        <w:t xml:space="preserve"> relative</w:t>
      </w:r>
      <w:r w:rsidRPr="00A774DA">
        <w:rPr>
          <w:rFonts w:cs="Myriad Pro SemiCond"/>
          <w:bCs w:val="0"/>
          <w:color w:val="000000"/>
          <w:szCs w:val="20"/>
        </w:rPr>
        <w:t>s au secteur des industries extractives au titre de l’année 201</w:t>
      </w:r>
      <w:r w:rsidR="00B47577">
        <w:rPr>
          <w:rFonts w:cs="Myriad Pro SemiCond"/>
          <w:bCs w:val="0"/>
          <w:color w:val="000000"/>
          <w:szCs w:val="20"/>
        </w:rPr>
        <w:t>5</w:t>
      </w:r>
      <w:r w:rsidRPr="00A774DA">
        <w:rPr>
          <w:rFonts w:cs="Myriad Pro SemiCond"/>
          <w:bCs w:val="0"/>
          <w:color w:val="000000"/>
          <w:szCs w:val="20"/>
        </w:rPr>
        <w:t>.</w:t>
      </w:r>
    </w:p>
    <w:p w:rsidR="00A81382" w:rsidRPr="00A774DA" w:rsidRDefault="00A81382" w:rsidP="00A81382">
      <w:pPr>
        <w:spacing w:after="120"/>
        <w:rPr>
          <w:rFonts w:cs="Myriad Pro SemiCond"/>
          <w:bCs w:val="0"/>
          <w:color w:val="000000"/>
          <w:szCs w:val="20"/>
        </w:rPr>
      </w:pPr>
      <w:r w:rsidRPr="00A774DA">
        <w:t>La détermination du périmètre de conciliation consiste notamment à:</w:t>
      </w:r>
    </w:p>
    <w:p w:rsidR="00A81382" w:rsidRPr="00A774DA" w:rsidRDefault="00D91988" w:rsidP="00A81382">
      <w:pPr>
        <w:numPr>
          <w:ilvl w:val="0"/>
          <w:numId w:val="3"/>
        </w:numPr>
        <w:tabs>
          <w:tab w:val="left" w:pos="300"/>
        </w:tabs>
        <w:spacing w:after="120"/>
        <w:ind w:left="284" w:hanging="284"/>
      </w:pPr>
      <w:r>
        <w:t>délimiter</w:t>
      </w:r>
      <w:r w:rsidR="00A81382" w:rsidRPr="00A774DA">
        <w:t xml:space="preserve"> la période fiscale concernée par la conciliation ;</w:t>
      </w:r>
    </w:p>
    <w:p w:rsidR="00A81382" w:rsidRPr="00A774DA" w:rsidRDefault="00A81382" w:rsidP="00A81382">
      <w:pPr>
        <w:numPr>
          <w:ilvl w:val="0"/>
          <w:numId w:val="3"/>
        </w:numPr>
        <w:tabs>
          <w:tab w:val="left" w:pos="300"/>
        </w:tabs>
        <w:spacing w:after="120"/>
        <w:ind w:left="284" w:hanging="284"/>
      </w:pPr>
      <w:r w:rsidRPr="00A774DA">
        <w:t>identifier les flux de revenus significatifs issus du secteur minier et du secteur des hydrocarbures ;</w:t>
      </w:r>
    </w:p>
    <w:p w:rsidR="00A81382" w:rsidRPr="00A774DA" w:rsidRDefault="00A81382" w:rsidP="00A81382">
      <w:pPr>
        <w:numPr>
          <w:ilvl w:val="0"/>
          <w:numId w:val="3"/>
        </w:numPr>
        <w:tabs>
          <w:tab w:val="left" w:pos="300"/>
        </w:tabs>
        <w:spacing w:after="120"/>
        <w:ind w:left="284" w:hanging="284"/>
      </w:pPr>
      <w:r w:rsidRPr="00A774DA">
        <w:t>identifier les entreprises extractives qui sont tenues de faire une déclaration ;</w:t>
      </w:r>
    </w:p>
    <w:p w:rsidR="00A81382" w:rsidRPr="00A774DA" w:rsidRDefault="00A81382" w:rsidP="00A81382">
      <w:pPr>
        <w:numPr>
          <w:ilvl w:val="0"/>
          <w:numId w:val="3"/>
        </w:numPr>
        <w:tabs>
          <w:tab w:val="left" w:pos="300"/>
        </w:tabs>
        <w:spacing w:after="120"/>
        <w:ind w:left="284" w:hanging="284"/>
      </w:pPr>
      <w:r w:rsidRPr="00A774DA">
        <w:t xml:space="preserve">identifier les entités de l’Etat qui sont tenues de faire une déclaration ; </w:t>
      </w:r>
    </w:p>
    <w:p w:rsidR="00A81382" w:rsidRPr="00A774DA" w:rsidRDefault="00A81382" w:rsidP="00A81382">
      <w:pPr>
        <w:numPr>
          <w:ilvl w:val="0"/>
          <w:numId w:val="3"/>
        </w:numPr>
        <w:tabs>
          <w:tab w:val="left" w:pos="300"/>
        </w:tabs>
        <w:spacing w:after="120"/>
        <w:ind w:left="284" w:hanging="284"/>
      </w:pPr>
      <w:r w:rsidRPr="00A774DA">
        <w:t>examiner la possibilité de conciliation des informations contextuelles ; et</w:t>
      </w:r>
    </w:p>
    <w:p w:rsidR="00A81382" w:rsidRDefault="00A81382" w:rsidP="00A81382">
      <w:pPr>
        <w:numPr>
          <w:ilvl w:val="0"/>
          <w:numId w:val="3"/>
        </w:numPr>
        <w:tabs>
          <w:tab w:val="left" w:pos="300"/>
        </w:tabs>
        <w:spacing w:after="120"/>
        <w:ind w:left="284" w:hanging="284"/>
      </w:pPr>
      <w:r w:rsidRPr="00A774DA">
        <w:t>préparer un formulaire de déclaration à remplir par les entités déclarantes.</w:t>
      </w:r>
    </w:p>
    <w:p w:rsidR="00512473" w:rsidRDefault="00512473" w:rsidP="00512473">
      <w:pPr>
        <w:tabs>
          <w:tab w:val="left" w:pos="300"/>
        </w:tabs>
        <w:spacing w:after="120"/>
      </w:pPr>
    </w:p>
    <w:p w:rsidR="00512473" w:rsidRDefault="00512473" w:rsidP="00512473">
      <w:pPr>
        <w:tabs>
          <w:tab w:val="left" w:pos="300"/>
        </w:tabs>
        <w:spacing w:after="120"/>
      </w:pPr>
    </w:p>
    <w:p w:rsidR="00512473" w:rsidRDefault="00512473" w:rsidP="00512473">
      <w:pPr>
        <w:tabs>
          <w:tab w:val="left" w:pos="300"/>
        </w:tabs>
        <w:spacing w:after="120"/>
      </w:pPr>
    </w:p>
    <w:p w:rsidR="00512473" w:rsidRPr="00A774DA" w:rsidRDefault="00512473" w:rsidP="00512473">
      <w:pPr>
        <w:tabs>
          <w:tab w:val="left" w:pos="300"/>
        </w:tabs>
        <w:spacing w:after="120"/>
      </w:pPr>
    </w:p>
    <w:p w:rsidR="00A81382" w:rsidRPr="00A774DA" w:rsidRDefault="00A81382" w:rsidP="00A81382">
      <w:pPr>
        <w:pStyle w:val="Heading2"/>
        <w:numPr>
          <w:ilvl w:val="1"/>
          <w:numId w:val="2"/>
        </w:numPr>
        <w:shd w:val="clear" w:color="auto" w:fill="BFBFBF"/>
        <w:spacing w:before="240"/>
        <w:ind w:hanging="720"/>
        <w:rPr>
          <w:sz w:val="24"/>
          <w:szCs w:val="24"/>
        </w:rPr>
      </w:pPr>
      <w:bookmarkStart w:id="7" w:name="_Toc451431095"/>
      <w:bookmarkStart w:id="8" w:name="_Toc429359771"/>
      <w:r>
        <w:rPr>
          <w:sz w:val="24"/>
          <w:szCs w:val="24"/>
        </w:rPr>
        <w:t>Méthodologie</w:t>
      </w:r>
      <w:bookmarkEnd w:id="7"/>
      <w:r>
        <w:rPr>
          <w:sz w:val="24"/>
          <w:szCs w:val="24"/>
        </w:rPr>
        <w:t xml:space="preserve"> </w:t>
      </w:r>
      <w:bookmarkEnd w:id="8"/>
    </w:p>
    <w:p w:rsidR="006B7421" w:rsidRPr="00A774DA" w:rsidRDefault="006B7421" w:rsidP="006B7421">
      <w:pPr>
        <w:pStyle w:val="Heading3"/>
        <w:numPr>
          <w:ilvl w:val="2"/>
          <w:numId w:val="2"/>
        </w:numPr>
        <w:tabs>
          <w:tab w:val="left" w:pos="800"/>
        </w:tabs>
        <w:ind w:left="799" w:hanging="799"/>
        <w:rPr>
          <w:b/>
          <w:bCs w:val="0"/>
          <w:i w:val="0"/>
          <w:iCs w:val="0"/>
          <w:color w:val="0070C0"/>
        </w:rPr>
      </w:pPr>
      <w:r w:rsidRPr="007C1B90">
        <w:rPr>
          <w:b/>
          <w:bCs w:val="0"/>
          <w:i w:val="0"/>
          <w:iCs w:val="0"/>
          <w:color w:val="0070C0"/>
        </w:rPr>
        <w:t>Résultat de l'analyse des documents juridiques et fiscaux</w:t>
      </w:r>
      <w:r w:rsidRPr="00A774DA" w:rsidDel="002054C4">
        <w:rPr>
          <w:b/>
          <w:bCs w:val="0"/>
          <w:i w:val="0"/>
          <w:iCs w:val="0"/>
          <w:color w:val="0070C0"/>
        </w:rPr>
        <w:t xml:space="preserve"> </w:t>
      </w:r>
    </w:p>
    <w:p w:rsidR="006B7421" w:rsidRPr="00A774DA" w:rsidRDefault="006B7421" w:rsidP="006B7421">
      <w:pPr>
        <w:spacing w:after="120"/>
        <w:rPr>
          <w:szCs w:val="20"/>
        </w:rPr>
      </w:pPr>
      <w:r>
        <w:t>Après analyse, les éléments fondamentaux, ci-après, ont servi à la collecte des données:</w:t>
      </w:r>
      <w:r w:rsidRPr="00A774DA">
        <w:rPr>
          <w:szCs w:val="20"/>
        </w:rPr>
        <w:t xml:space="preserve"> </w:t>
      </w:r>
    </w:p>
    <w:p w:rsidR="006B7421" w:rsidRPr="00A774DA" w:rsidRDefault="006B7421" w:rsidP="006B7421">
      <w:pPr>
        <w:numPr>
          <w:ilvl w:val="0"/>
          <w:numId w:val="4"/>
        </w:numPr>
        <w:spacing w:after="120"/>
        <w:ind w:left="284" w:hanging="284"/>
        <w:rPr>
          <w:szCs w:val="20"/>
        </w:rPr>
      </w:pPr>
      <w:r w:rsidRPr="00A774DA">
        <w:rPr>
          <w:szCs w:val="20"/>
        </w:rPr>
        <w:t>les impôts et taxes payables par les entreprises extractives ;</w:t>
      </w:r>
    </w:p>
    <w:p w:rsidR="006B7421" w:rsidRPr="00A774DA" w:rsidRDefault="006B7421" w:rsidP="006B7421">
      <w:pPr>
        <w:numPr>
          <w:ilvl w:val="0"/>
          <w:numId w:val="4"/>
        </w:numPr>
        <w:spacing w:after="120"/>
        <w:ind w:left="284" w:hanging="284"/>
        <w:rPr>
          <w:szCs w:val="20"/>
        </w:rPr>
      </w:pPr>
      <w:r w:rsidRPr="00A774DA">
        <w:rPr>
          <w:szCs w:val="20"/>
        </w:rPr>
        <w:t xml:space="preserve">les paiements et transferts infranationaux entre les entités nationales et infranationales ; </w:t>
      </w:r>
    </w:p>
    <w:p w:rsidR="006B7421" w:rsidRPr="00A774DA" w:rsidRDefault="006B7421" w:rsidP="006B7421">
      <w:pPr>
        <w:numPr>
          <w:ilvl w:val="0"/>
          <w:numId w:val="4"/>
        </w:numPr>
        <w:spacing w:after="120"/>
        <w:ind w:left="284" w:hanging="284"/>
        <w:rPr>
          <w:szCs w:val="20"/>
        </w:rPr>
      </w:pPr>
      <w:r w:rsidRPr="00A774DA">
        <w:rPr>
          <w:szCs w:val="20"/>
        </w:rPr>
        <w:t xml:space="preserve">la nature </w:t>
      </w:r>
      <w:r>
        <w:rPr>
          <w:szCs w:val="20"/>
        </w:rPr>
        <w:t xml:space="preserve"> de l'impôt, </w:t>
      </w:r>
      <w:r w:rsidRPr="00A774DA">
        <w:rPr>
          <w:szCs w:val="20"/>
        </w:rPr>
        <w:t>la base d’imposition et taxes payables par les entreprises extractives;</w:t>
      </w:r>
    </w:p>
    <w:p w:rsidR="006B7421" w:rsidRDefault="006B7421" w:rsidP="006B7421">
      <w:pPr>
        <w:numPr>
          <w:ilvl w:val="0"/>
          <w:numId w:val="4"/>
        </w:numPr>
        <w:spacing w:after="120"/>
        <w:ind w:left="284" w:hanging="284"/>
        <w:rPr>
          <w:szCs w:val="20"/>
        </w:rPr>
      </w:pPr>
      <w:r w:rsidRPr="00A774DA">
        <w:rPr>
          <w:szCs w:val="20"/>
        </w:rPr>
        <w:t>les titres miniers en vigueur et les détenteurs de ces titres ;</w:t>
      </w:r>
    </w:p>
    <w:p w:rsidR="006B7421" w:rsidRPr="00A774DA" w:rsidRDefault="006B7421" w:rsidP="006B7421">
      <w:pPr>
        <w:numPr>
          <w:ilvl w:val="0"/>
          <w:numId w:val="4"/>
        </w:numPr>
        <w:spacing w:after="120"/>
        <w:ind w:left="284" w:hanging="284"/>
        <w:rPr>
          <w:szCs w:val="20"/>
        </w:rPr>
      </w:pPr>
      <w:r>
        <w:rPr>
          <w:szCs w:val="20"/>
        </w:rPr>
        <w:t>les entités de traitements opérant dans le secteur extractif ;</w:t>
      </w:r>
    </w:p>
    <w:p w:rsidR="006B7421" w:rsidRPr="00A774DA" w:rsidRDefault="006B7421" w:rsidP="006B7421">
      <w:pPr>
        <w:numPr>
          <w:ilvl w:val="0"/>
          <w:numId w:val="4"/>
        </w:numPr>
        <w:spacing w:after="120"/>
        <w:ind w:left="284" w:hanging="284"/>
        <w:rPr>
          <w:szCs w:val="20"/>
        </w:rPr>
      </w:pPr>
      <w:r w:rsidRPr="00A774DA">
        <w:rPr>
          <w:szCs w:val="20"/>
        </w:rPr>
        <w:t>les entités perceptrices des impôts et taxes payables par les entreprises extractives ;</w:t>
      </w:r>
    </w:p>
    <w:p w:rsidR="006B7421" w:rsidRPr="007328A6" w:rsidRDefault="006B7421" w:rsidP="006B7421">
      <w:pPr>
        <w:numPr>
          <w:ilvl w:val="0"/>
          <w:numId w:val="4"/>
        </w:numPr>
        <w:spacing w:after="120"/>
        <w:ind w:left="284" w:hanging="284"/>
        <w:rPr>
          <w:szCs w:val="20"/>
        </w:rPr>
      </w:pPr>
      <w:r w:rsidRPr="00A774DA">
        <w:rPr>
          <w:szCs w:val="20"/>
        </w:rPr>
        <w:t>les entreprises du portefeuille de l’Etat </w:t>
      </w:r>
      <w:proofErr w:type="gramStart"/>
      <w:r w:rsidRPr="00A774DA">
        <w:rPr>
          <w:szCs w:val="20"/>
        </w:rPr>
        <w:t>;</w:t>
      </w:r>
      <w:r w:rsidRPr="007328A6">
        <w:rPr>
          <w:szCs w:val="20"/>
        </w:rPr>
        <w:t>et</w:t>
      </w:r>
      <w:proofErr w:type="gramEnd"/>
    </w:p>
    <w:p w:rsidR="006B7421" w:rsidRPr="006B7421" w:rsidRDefault="006B7421" w:rsidP="006B7421">
      <w:pPr>
        <w:numPr>
          <w:ilvl w:val="0"/>
          <w:numId w:val="4"/>
        </w:numPr>
        <w:spacing w:after="120"/>
        <w:ind w:left="284" w:hanging="284"/>
        <w:rPr>
          <w:szCs w:val="20"/>
        </w:rPr>
      </w:pPr>
      <w:r w:rsidRPr="00A774DA">
        <w:rPr>
          <w:szCs w:val="20"/>
        </w:rPr>
        <w:t xml:space="preserve">les pratiques d’audit et </w:t>
      </w:r>
      <w:r>
        <w:rPr>
          <w:szCs w:val="20"/>
        </w:rPr>
        <w:t xml:space="preserve">de certification </w:t>
      </w:r>
      <w:r w:rsidRPr="00A774DA">
        <w:rPr>
          <w:szCs w:val="20"/>
        </w:rPr>
        <w:t>qui sont applicables aux entreprises et des entités de l’Etat participant au processus de déclaration.</w:t>
      </w:r>
    </w:p>
    <w:p w:rsidR="006B7421" w:rsidRDefault="006B7421" w:rsidP="006B7421">
      <w:pPr>
        <w:pStyle w:val="Heading3"/>
        <w:numPr>
          <w:ilvl w:val="0"/>
          <w:numId w:val="0"/>
        </w:numPr>
        <w:tabs>
          <w:tab w:val="left" w:pos="800"/>
        </w:tabs>
        <w:ind w:left="799"/>
        <w:rPr>
          <w:b/>
          <w:bCs w:val="0"/>
          <w:i w:val="0"/>
          <w:iCs w:val="0"/>
          <w:color w:val="0070C0"/>
        </w:rPr>
      </w:pPr>
    </w:p>
    <w:p w:rsidR="00A81382" w:rsidRPr="00A774DA" w:rsidRDefault="00A81382" w:rsidP="00A81382">
      <w:pPr>
        <w:pStyle w:val="Heading3"/>
        <w:numPr>
          <w:ilvl w:val="2"/>
          <w:numId w:val="2"/>
        </w:numPr>
        <w:tabs>
          <w:tab w:val="left" w:pos="800"/>
        </w:tabs>
        <w:ind w:left="799" w:hanging="799"/>
        <w:rPr>
          <w:b/>
          <w:bCs w:val="0"/>
          <w:i w:val="0"/>
          <w:iCs w:val="0"/>
          <w:color w:val="0070C0"/>
        </w:rPr>
      </w:pPr>
      <w:r w:rsidRPr="00A774DA">
        <w:rPr>
          <w:b/>
          <w:bCs w:val="0"/>
          <w:i w:val="0"/>
          <w:iCs w:val="0"/>
          <w:color w:val="0070C0"/>
        </w:rPr>
        <w:t>Collecte des données</w:t>
      </w:r>
    </w:p>
    <w:p w:rsidR="00A81382" w:rsidRPr="00A774DA" w:rsidRDefault="0024510C" w:rsidP="00A81382">
      <w:pPr>
        <w:spacing w:after="120"/>
      </w:pPr>
      <w:r>
        <w:t>N</w:t>
      </w:r>
      <w:r w:rsidR="00A81382" w:rsidRPr="00A774DA">
        <w:t xml:space="preserve">ous avons </w:t>
      </w:r>
      <w:r>
        <w:t>collecté</w:t>
      </w:r>
      <w:r w:rsidRPr="00A774DA">
        <w:t xml:space="preserve"> </w:t>
      </w:r>
      <w:r w:rsidR="00A81382" w:rsidRPr="00A774DA">
        <w:t xml:space="preserve">des données quantitatives et qualitatives qui ont constitué la base de nos travaux de cadrage du secteur extractif </w:t>
      </w:r>
      <w:r w:rsidR="00A81382">
        <w:t xml:space="preserve">dont les conclusions sont présentées au niveau </w:t>
      </w:r>
      <w:r w:rsidR="00A81382" w:rsidRPr="003C7FA4">
        <w:t>de la section 4</w:t>
      </w:r>
      <w:r w:rsidR="00A81382">
        <w:t xml:space="preserve"> du présent rapport</w:t>
      </w:r>
      <w:r w:rsidR="00A81382" w:rsidRPr="00A774DA">
        <w:t xml:space="preserve">. Ces documents ainsi que leurs sources détaillent </w:t>
      </w:r>
      <w:r w:rsidR="0045059C">
        <w:t xml:space="preserve">les données </w:t>
      </w:r>
      <w:r w:rsidR="00A81382" w:rsidRPr="00A774DA">
        <w:t>comme suit</w:t>
      </w:r>
      <w:r w:rsidR="0045059C">
        <w:t xml:space="preserve"> </w:t>
      </w:r>
      <w:r w:rsidR="00A81382" w:rsidRPr="00A774DA">
        <w:t>:</w:t>
      </w:r>
    </w:p>
    <w:tbl>
      <w:tblPr>
        <w:tblW w:w="5042" w:type="pct"/>
        <w:tblCellMar>
          <w:left w:w="70" w:type="dxa"/>
          <w:right w:w="70" w:type="dxa"/>
        </w:tblCellMar>
        <w:tblLook w:val="04A0" w:firstRow="1" w:lastRow="0" w:firstColumn="1" w:lastColumn="0" w:noHBand="0" w:noVBand="1"/>
      </w:tblPr>
      <w:tblGrid>
        <w:gridCol w:w="7095"/>
        <w:gridCol w:w="2194"/>
      </w:tblGrid>
      <w:tr w:rsidR="00A81382" w:rsidRPr="00A774DA" w:rsidTr="000A1C21">
        <w:trPr>
          <w:trHeight w:val="300"/>
        </w:trPr>
        <w:tc>
          <w:tcPr>
            <w:tcW w:w="3819" w:type="pct"/>
            <w:tcBorders>
              <w:top w:val="nil"/>
              <w:left w:val="nil"/>
              <w:bottom w:val="single" w:sz="4" w:space="0" w:color="4F81BD" w:themeColor="accent1"/>
              <w:right w:val="nil"/>
            </w:tcBorders>
            <w:shd w:val="clear" w:color="000000" w:fill="002060"/>
            <w:noWrap/>
            <w:vAlign w:val="center"/>
            <w:hideMark/>
          </w:tcPr>
          <w:p w:rsidR="00A81382" w:rsidRPr="00A774DA" w:rsidRDefault="000E79F9" w:rsidP="000E79F9">
            <w:pPr>
              <w:spacing w:after="0"/>
              <w:jc w:val="center"/>
              <w:rPr>
                <w:b/>
                <w:color w:val="FFFFFF"/>
                <w:sz w:val="18"/>
                <w:szCs w:val="18"/>
                <w:lang w:eastAsia="fr-FR"/>
              </w:rPr>
            </w:pPr>
            <w:r>
              <w:rPr>
                <w:b/>
                <w:color w:val="FFFFFF"/>
                <w:sz w:val="18"/>
                <w:szCs w:val="18"/>
                <w:lang w:eastAsia="fr-FR"/>
              </w:rPr>
              <w:t>Type des d</w:t>
            </w:r>
            <w:r w:rsidR="00A81382" w:rsidRPr="00A774DA">
              <w:rPr>
                <w:b/>
                <w:color w:val="FFFFFF"/>
                <w:sz w:val="18"/>
                <w:szCs w:val="18"/>
                <w:lang w:eastAsia="fr-FR"/>
              </w:rPr>
              <w:t>onnées</w:t>
            </w:r>
          </w:p>
        </w:tc>
        <w:tc>
          <w:tcPr>
            <w:tcW w:w="1181" w:type="pct"/>
            <w:tcBorders>
              <w:top w:val="nil"/>
              <w:left w:val="nil"/>
              <w:bottom w:val="single" w:sz="4" w:space="0" w:color="4F81BD" w:themeColor="accent1"/>
              <w:right w:val="nil"/>
            </w:tcBorders>
            <w:shd w:val="clear" w:color="000000" w:fill="002060"/>
            <w:vAlign w:val="center"/>
            <w:hideMark/>
          </w:tcPr>
          <w:p w:rsidR="00A81382" w:rsidRPr="00A774DA" w:rsidRDefault="00A81382" w:rsidP="00E514F4">
            <w:pPr>
              <w:spacing w:after="0"/>
              <w:jc w:val="left"/>
              <w:rPr>
                <w:b/>
                <w:color w:val="FFFFFF"/>
                <w:sz w:val="18"/>
                <w:szCs w:val="18"/>
                <w:lang w:eastAsia="fr-FR"/>
              </w:rPr>
            </w:pPr>
            <w:r w:rsidRPr="00A774DA">
              <w:rPr>
                <w:b/>
                <w:color w:val="FFFFFF"/>
                <w:sz w:val="18"/>
                <w:szCs w:val="18"/>
                <w:lang w:eastAsia="fr-FR"/>
              </w:rPr>
              <w:t>Source</w:t>
            </w:r>
          </w:p>
        </w:tc>
      </w:tr>
      <w:tr w:rsidR="00A81382" w:rsidRPr="00A774DA" w:rsidTr="000A1C21">
        <w:trPr>
          <w:trHeight w:val="300"/>
        </w:trPr>
        <w:tc>
          <w:tcPr>
            <w:tcW w:w="3819" w:type="pct"/>
            <w:tcBorders>
              <w:top w:val="single" w:sz="4" w:space="0" w:color="4F81BD" w:themeColor="accent1"/>
              <w:left w:val="nil"/>
              <w:bottom w:val="single" w:sz="4" w:space="0" w:color="4F81BD" w:themeColor="accent1"/>
              <w:right w:val="nil"/>
            </w:tcBorders>
            <w:shd w:val="clear" w:color="000000" w:fill="B8CCE4"/>
            <w:noWrap/>
            <w:vAlign w:val="center"/>
            <w:hideMark/>
          </w:tcPr>
          <w:p w:rsidR="00A81382" w:rsidRPr="00A774DA" w:rsidRDefault="00A81382" w:rsidP="00E514F4">
            <w:pPr>
              <w:spacing w:after="0"/>
              <w:jc w:val="left"/>
              <w:rPr>
                <w:bCs w:val="0"/>
                <w:color w:val="000000"/>
                <w:sz w:val="18"/>
                <w:szCs w:val="18"/>
                <w:lang w:eastAsia="fr-FR"/>
              </w:rPr>
            </w:pPr>
            <w:r w:rsidRPr="00A774DA">
              <w:rPr>
                <w:bCs w:val="0"/>
                <w:color w:val="000000"/>
                <w:sz w:val="18"/>
                <w:szCs w:val="18"/>
                <w:lang w:eastAsia="fr-FR"/>
              </w:rPr>
              <w:t xml:space="preserve">Etat des </w:t>
            </w:r>
            <w:r>
              <w:rPr>
                <w:bCs w:val="0"/>
                <w:color w:val="000000"/>
                <w:sz w:val="18"/>
                <w:szCs w:val="18"/>
                <w:lang w:eastAsia="fr-FR"/>
              </w:rPr>
              <w:t xml:space="preserve">recettes </w:t>
            </w:r>
            <w:r w:rsidR="000A1C21">
              <w:rPr>
                <w:bCs w:val="0"/>
                <w:color w:val="000000"/>
                <w:sz w:val="18"/>
                <w:szCs w:val="18"/>
                <w:lang w:eastAsia="fr-FR"/>
              </w:rPr>
              <w:t>collecté</w:t>
            </w:r>
            <w:r w:rsidR="002C2C2A">
              <w:rPr>
                <w:bCs w:val="0"/>
                <w:color w:val="000000"/>
                <w:sz w:val="18"/>
                <w:szCs w:val="18"/>
                <w:lang w:eastAsia="fr-FR"/>
              </w:rPr>
              <w:t>e</w:t>
            </w:r>
            <w:r w:rsidR="000A1C21">
              <w:rPr>
                <w:bCs w:val="0"/>
                <w:color w:val="000000"/>
                <w:sz w:val="18"/>
                <w:szCs w:val="18"/>
                <w:lang w:eastAsia="fr-FR"/>
              </w:rPr>
              <w:t xml:space="preserve">s auprès </w:t>
            </w:r>
            <w:r w:rsidRPr="00A774DA">
              <w:rPr>
                <w:bCs w:val="0"/>
                <w:color w:val="000000"/>
                <w:sz w:val="18"/>
                <w:szCs w:val="18"/>
                <w:lang w:eastAsia="fr-FR"/>
              </w:rPr>
              <w:t xml:space="preserve">des entreprises extractives </w:t>
            </w:r>
          </w:p>
        </w:tc>
        <w:tc>
          <w:tcPr>
            <w:tcW w:w="1181" w:type="pct"/>
            <w:tcBorders>
              <w:top w:val="single" w:sz="4" w:space="0" w:color="4F81BD" w:themeColor="accent1"/>
              <w:left w:val="nil"/>
              <w:bottom w:val="single" w:sz="4" w:space="0" w:color="4F81BD" w:themeColor="accent1"/>
              <w:right w:val="nil"/>
            </w:tcBorders>
            <w:shd w:val="clear" w:color="000000" w:fill="B8CCE4"/>
            <w:vAlign w:val="center"/>
            <w:hideMark/>
          </w:tcPr>
          <w:p w:rsidR="00A81382" w:rsidRPr="00A774DA" w:rsidRDefault="00A81382" w:rsidP="00E514F4">
            <w:pPr>
              <w:spacing w:after="0"/>
              <w:jc w:val="left"/>
              <w:rPr>
                <w:bCs w:val="0"/>
                <w:color w:val="000000"/>
                <w:sz w:val="18"/>
                <w:szCs w:val="18"/>
                <w:lang w:eastAsia="fr-FR"/>
              </w:rPr>
            </w:pPr>
            <w:r w:rsidRPr="00A774DA">
              <w:rPr>
                <w:bCs w:val="0"/>
                <w:color w:val="000000"/>
                <w:sz w:val="18"/>
                <w:szCs w:val="18"/>
                <w:lang w:eastAsia="fr-FR"/>
              </w:rPr>
              <w:t>DGI</w:t>
            </w:r>
          </w:p>
        </w:tc>
      </w:tr>
      <w:tr w:rsidR="00A81382" w:rsidRPr="00A774DA" w:rsidTr="000A1C21">
        <w:trPr>
          <w:trHeight w:val="300"/>
        </w:trPr>
        <w:tc>
          <w:tcPr>
            <w:tcW w:w="3819" w:type="pct"/>
            <w:tcBorders>
              <w:top w:val="single" w:sz="4" w:space="0" w:color="4F81BD" w:themeColor="accent1"/>
              <w:left w:val="nil"/>
              <w:bottom w:val="single" w:sz="4" w:space="0" w:color="4F81BD" w:themeColor="accent1"/>
              <w:right w:val="nil"/>
            </w:tcBorders>
            <w:shd w:val="clear" w:color="auto" w:fill="auto"/>
            <w:noWrap/>
            <w:vAlign w:val="center"/>
          </w:tcPr>
          <w:p w:rsidR="00A81382" w:rsidRPr="00A774DA" w:rsidRDefault="00A81382" w:rsidP="00E514F4">
            <w:pPr>
              <w:spacing w:after="0"/>
              <w:jc w:val="left"/>
              <w:rPr>
                <w:bCs w:val="0"/>
                <w:color w:val="000000"/>
                <w:sz w:val="18"/>
                <w:szCs w:val="18"/>
                <w:lang w:eastAsia="fr-FR"/>
              </w:rPr>
            </w:pPr>
            <w:r w:rsidRPr="00A774DA">
              <w:rPr>
                <w:bCs w:val="0"/>
                <w:color w:val="000000"/>
                <w:sz w:val="18"/>
                <w:szCs w:val="18"/>
                <w:lang w:eastAsia="fr-FR"/>
              </w:rPr>
              <w:t xml:space="preserve">Etat des </w:t>
            </w:r>
            <w:r>
              <w:rPr>
                <w:bCs w:val="0"/>
                <w:color w:val="000000"/>
                <w:sz w:val="18"/>
                <w:szCs w:val="18"/>
                <w:lang w:eastAsia="fr-FR"/>
              </w:rPr>
              <w:t xml:space="preserve">recettes </w:t>
            </w:r>
            <w:r w:rsidR="000A1C21">
              <w:rPr>
                <w:bCs w:val="0"/>
                <w:color w:val="000000"/>
                <w:sz w:val="18"/>
                <w:szCs w:val="18"/>
                <w:lang w:eastAsia="fr-FR"/>
              </w:rPr>
              <w:t>collecté</w:t>
            </w:r>
            <w:r w:rsidR="002C2C2A">
              <w:rPr>
                <w:bCs w:val="0"/>
                <w:color w:val="000000"/>
                <w:sz w:val="18"/>
                <w:szCs w:val="18"/>
                <w:lang w:eastAsia="fr-FR"/>
              </w:rPr>
              <w:t>e</w:t>
            </w:r>
            <w:r w:rsidR="000A1C21">
              <w:rPr>
                <w:bCs w:val="0"/>
                <w:color w:val="000000"/>
                <w:sz w:val="18"/>
                <w:szCs w:val="18"/>
                <w:lang w:eastAsia="fr-FR"/>
              </w:rPr>
              <w:t>s auprès</w:t>
            </w:r>
            <w:r w:rsidRPr="00A774DA">
              <w:rPr>
                <w:bCs w:val="0"/>
                <w:color w:val="000000"/>
                <w:sz w:val="18"/>
                <w:szCs w:val="18"/>
                <w:lang w:eastAsia="fr-FR"/>
              </w:rPr>
              <w:t xml:space="preserve"> des entreprises extractives </w:t>
            </w:r>
          </w:p>
        </w:tc>
        <w:tc>
          <w:tcPr>
            <w:tcW w:w="1181" w:type="pct"/>
            <w:tcBorders>
              <w:top w:val="single" w:sz="4" w:space="0" w:color="4F81BD" w:themeColor="accent1"/>
              <w:left w:val="nil"/>
              <w:bottom w:val="single" w:sz="4" w:space="0" w:color="4F81BD" w:themeColor="accent1"/>
              <w:right w:val="nil"/>
            </w:tcBorders>
            <w:shd w:val="clear" w:color="auto" w:fill="auto"/>
            <w:vAlign w:val="center"/>
          </w:tcPr>
          <w:p w:rsidR="00A81382" w:rsidRPr="00A774DA" w:rsidRDefault="00A81382" w:rsidP="00E514F4">
            <w:pPr>
              <w:spacing w:after="0"/>
              <w:jc w:val="left"/>
              <w:rPr>
                <w:bCs w:val="0"/>
                <w:color w:val="000000"/>
                <w:sz w:val="18"/>
                <w:szCs w:val="18"/>
                <w:lang w:eastAsia="fr-FR"/>
              </w:rPr>
            </w:pPr>
            <w:r w:rsidRPr="00A774DA">
              <w:rPr>
                <w:bCs w:val="0"/>
                <w:color w:val="000000"/>
                <w:sz w:val="18"/>
                <w:szCs w:val="18"/>
                <w:lang w:eastAsia="fr-FR"/>
              </w:rPr>
              <w:t>DGRAD</w:t>
            </w:r>
          </w:p>
        </w:tc>
      </w:tr>
      <w:tr w:rsidR="00A81382" w:rsidRPr="00A774DA" w:rsidTr="000A1C21">
        <w:trPr>
          <w:trHeight w:val="300"/>
        </w:trPr>
        <w:tc>
          <w:tcPr>
            <w:tcW w:w="3819" w:type="pct"/>
            <w:tcBorders>
              <w:top w:val="single" w:sz="4" w:space="0" w:color="4F81BD" w:themeColor="accent1"/>
              <w:left w:val="nil"/>
              <w:bottom w:val="single" w:sz="4" w:space="0" w:color="4F81BD" w:themeColor="accent1"/>
              <w:right w:val="nil"/>
            </w:tcBorders>
            <w:shd w:val="clear" w:color="000000" w:fill="B8CCE4"/>
            <w:noWrap/>
            <w:vAlign w:val="center"/>
          </w:tcPr>
          <w:p w:rsidR="00A81382" w:rsidRPr="00A774DA" w:rsidRDefault="00A81382" w:rsidP="00E514F4">
            <w:pPr>
              <w:spacing w:after="0"/>
              <w:jc w:val="left"/>
              <w:rPr>
                <w:bCs w:val="0"/>
                <w:color w:val="000000"/>
                <w:sz w:val="18"/>
                <w:szCs w:val="18"/>
                <w:lang w:eastAsia="fr-FR"/>
              </w:rPr>
            </w:pPr>
            <w:r w:rsidRPr="00A774DA">
              <w:rPr>
                <w:bCs w:val="0"/>
                <w:color w:val="000000"/>
                <w:sz w:val="18"/>
                <w:szCs w:val="18"/>
                <w:lang w:eastAsia="fr-FR"/>
              </w:rPr>
              <w:t xml:space="preserve">Etat des </w:t>
            </w:r>
            <w:r>
              <w:rPr>
                <w:bCs w:val="0"/>
                <w:color w:val="000000"/>
                <w:sz w:val="18"/>
                <w:szCs w:val="18"/>
                <w:lang w:eastAsia="fr-FR"/>
              </w:rPr>
              <w:t xml:space="preserve">recettes </w:t>
            </w:r>
            <w:r w:rsidR="000A1C21">
              <w:rPr>
                <w:bCs w:val="0"/>
                <w:color w:val="000000"/>
                <w:sz w:val="18"/>
                <w:szCs w:val="18"/>
                <w:lang w:eastAsia="fr-FR"/>
              </w:rPr>
              <w:t>collecté</w:t>
            </w:r>
            <w:r w:rsidR="002C2C2A">
              <w:rPr>
                <w:bCs w:val="0"/>
                <w:color w:val="000000"/>
                <w:sz w:val="18"/>
                <w:szCs w:val="18"/>
                <w:lang w:eastAsia="fr-FR"/>
              </w:rPr>
              <w:t>e</w:t>
            </w:r>
            <w:r w:rsidR="000A1C21">
              <w:rPr>
                <w:bCs w:val="0"/>
                <w:color w:val="000000"/>
                <w:sz w:val="18"/>
                <w:szCs w:val="18"/>
                <w:lang w:eastAsia="fr-FR"/>
              </w:rPr>
              <w:t>s auprès</w:t>
            </w:r>
            <w:r w:rsidRPr="00A774DA">
              <w:rPr>
                <w:bCs w:val="0"/>
                <w:color w:val="000000"/>
                <w:sz w:val="18"/>
                <w:szCs w:val="18"/>
                <w:lang w:eastAsia="fr-FR"/>
              </w:rPr>
              <w:t xml:space="preserve"> des entreprises extractives </w:t>
            </w:r>
          </w:p>
        </w:tc>
        <w:tc>
          <w:tcPr>
            <w:tcW w:w="1181" w:type="pct"/>
            <w:tcBorders>
              <w:top w:val="single" w:sz="4" w:space="0" w:color="4F81BD" w:themeColor="accent1"/>
              <w:left w:val="nil"/>
              <w:bottom w:val="single" w:sz="4" w:space="0" w:color="4F81BD" w:themeColor="accent1"/>
              <w:right w:val="nil"/>
            </w:tcBorders>
            <w:shd w:val="clear" w:color="000000" w:fill="B8CCE4"/>
            <w:vAlign w:val="center"/>
          </w:tcPr>
          <w:p w:rsidR="00A81382" w:rsidRPr="00A774DA" w:rsidRDefault="00A81382" w:rsidP="00E514F4">
            <w:pPr>
              <w:spacing w:after="0"/>
              <w:jc w:val="left"/>
              <w:rPr>
                <w:bCs w:val="0"/>
                <w:color w:val="000000"/>
                <w:sz w:val="18"/>
                <w:szCs w:val="18"/>
                <w:lang w:eastAsia="fr-FR"/>
              </w:rPr>
            </w:pPr>
            <w:r w:rsidRPr="00A774DA">
              <w:rPr>
                <w:bCs w:val="0"/>
                <w:color w:val="000000"/>
                <w:sz w:val="18"/>
                <w:szCs w:val="18"/>
                <w:lang w:eastAsia="fr-FR"/>
              </w:rPr>
              <w:t>DGDA</w:t>
            </w:r>
          </w:p>
        </w:tc>
      </w:tr>
      <w:tr w:rsidR="000A1C21" w:rsidRPr="00A774DA" w:rsidTr="000014FE">
        <w:trPr>
          <w:trHeight w:val="300"/>
        </w:trPr>
        <w:tc>
          <w:tcPr>
            <w:tcW w:w="3819" w:type="pct"/>
            <w:tcBorders>
              <w:top w:val="single" w:sz="4" w:space="0" w:color="4F81BD" w:themeColor="accent1"/>
              <w:left w:val="nil"/>
              <w:bottom w:val="single" w:sz="4" w:space="0" w:color="4F81BD" w:themeColor="accent1"/>
              <w:right w:val="nil"/>
            </w:tcBorders>
            <w:shd w:val="clear" w:color="auto" w:fill="auto"/>
            <w:noWrap/>
            <w:vAlign w:val="center"/>
          </w:tcPr>
          <w:p w:rsidR="000A1C21" w:rsidRPr="00A774DA" w:rsidRDefault="000A1C21" w:rsidP="007F5F1B">
            <w:pPr>
              <w:spacing w:after="0"/>
              <w:jc w:val="left"/>
              <w:rPr>
                <w:bCs w:val="0"/>
                <w:color w:val="000000"/>
                <w:sz w:val="18"/>
                <w:szCs w:val="18"/>
                <w:lang w:eastAsia="fr-FR"/>
              </w:rPr>
            </w:pPr>
            <w:r w:rsidRPr="00A774DA">
              <w:rPr>
                <w:bCs w:val="0"/>
                <w:color w:val="000000"/>
                <w:sz w:val="18"/>
                <w:szCs w:val="18"/>
                <w:lang w:eastAsia="fr-FR"/>
              </w:rPr>
              <w:t xml:space="preserve">Etat des </w:t>
            </w:r>
            <w:r w:rsidR="007F5F1B">
              <w:rPr>
                <w:bCs w:val="0"/>
                <w:color w:val="000000"/>
                <w:sz w:val="18"/>
                <w:szCs w:val="18"/>
                <w:lang w:eastAsia="fr-FR"/>
              </w:rPr>
              <w:t>recettes</w:t>
            </w:r>
            <w:r w:rsidRPr="00A774DA">
              <w:rPr>
                <w:bCs w:val="0"/>
                <w:color w:val="000000"/>
                <w:sz w:val="18"/>
                <w:szCs w:val="18"/>
                <w:lang w:eastAsia="fr-FR"/>
              </w:rPr>
              <w:t xml:space="preserve"> </w:t>
            </w:r>
            <w:r>
              <w:rPr>
                <w:bCs w:val="0"/>
                <w:color w:val="000000"/>
                <w:sz w:val="18"/>
                <w:szCs w:val="18"/>
                <w:lang w:eastAsia="fr-FR"/>
              </w:rPr>
              <w:t>collecté</w:t>
            </w:r>
            <w:r w:rsidR="002C2C2A">
              <w:rPr>
                <w:bCs w:val="0"/>
                <w:color w:val="000000"/>
                <w:sz w:val="18"/>
                <w:szCs w:val="18"/>
                <w:lang w:eastAsia="fr-FR"/>
              </w:rPr>
              <w:t>e</w:t>
            </w:r>
            <w:r>
              <w:rPr>
                <w:bCs w:val="0"/>
                <w:color w:val="000000"/>
                <w:sz w:val="18"/>
                <w:szCs w:val="18"/>
                <w:lang w:eastAsia="fr-FR"/>
              </w:rPr>
              <w:t>s auprès</w:t>
            </w:r>
            <w:r w:rsidRPr="00A774DA">
              <w:rPr>
                <w:bCs w:val="0"/>
                <w:color w:val="000000"/>
                <w:sz w:val="18"/>
                <w:szCs w:val="18"/>
                <w:lang w:eastAsia="fr-FR"/>
              </w:rPr>
              <w:t xml:space="preserve"> </w:t>
            </w:r>
            <w:r>
              <w:rPr>
                <w:bCs w:val="0"/>
                <w:color w:val="000000"/>
                <w:sz w:val="18"/>
                <w:szCs w:val="18"/>
                <w:lang w:eastAsia="fr-FR"/>
              </w:rPr>
              <w:t>des</w:t>
            </w:r>
            <w:r w:rsidRPr="00A774DA">
              <w:rPr>
                <w:bCs w:val="0"/>
                <w:color w:val="000000"/>
                <w:sz w:val="18"/>
                <w:szCs w:val="18"/>
                <w:lang w:eastAsia="fr-FR"/>
              </w:rPr>
              <w:t xml:space="preserve"> entreprises </w:t>
            </w:r>
            <w:r>
              <w:rPr>
                <w:bCs w:val="0"/>
                <w:color w:val="000000"/>
                <w:sz w:val="18"/>
                <w:szCs w:val="18"/>
                <w:lang w:eastAsia="fr-FR"/>
              </w:rPr>
              <w:t>extractives</w:t>
            </w:r>
          </w:p>
        </w:tc>
        <w:tc>
          <w:tcPr>
            <w:tcW w:w="1181" w:type="pct"/>
            <w:tcBorders>
              <w:top w:val="single" w:sz="4" w:space="0" w:color="4F81BD" w:themeColor="accent1"/>
              <w:left w:val="nil"/>
              <w:bottom w:val="single" w:sz="4" w:space="0" w:color="4F81BD" w:themeColor="accent1"/>
              <w:right w:val="nil"/>
            </w:tcBorders>
            <w:shd w:val="clear" w:color="auto" w:fill="auto"/>
            <w:vAlign w:val="center"/>
          </w:tcPr>
          <w:p w:rsidR="000A1C21" w:rsidRPr="00A774DA" w:rsidRDefault="000A1C21" w:rsidP="000014FE">
            <w:pPr>
              <w:spacing w:after="0"/>
              <w:jc w:val="left"/>
              <w:rPr>
                <w:bCs w:val="0"/>
                <w:color w:val="000000"/>
                <w:sz w:val="18"/>
                <w:szCs w:val="18"/>
                <w:lang w:eastAsia="fr-FR"/>
              </w:rPr>
            </w:pPr>
            <w:proofErr w:type="spellStart"/>
            <w:r w:rsidRPr="00A774DA">
              <w:rPr>
                <w:bCs w:val="0"/>
                <w:color w:val="000000"/>
                <w:sz w:val="18"/>
                <w:szCs w:val="18"/>
                <w:lang w:eastAsia="fr-FR"/>
              </w:rPr>
              <w:t>Dir</w:t>
            </w:r>
            <w:proofErr w:type="spellEnd"/>
            <w:r>
              <w:rPr>
                <w:bCs w:val="0"/>
                <w:color w:val="000000"/>
                <w:sz w:val="18"/>
                <w:szCs w:val="18"/>
                <w:lang w:eastAsia="fr-FR"/>
              </w:rPr>
              <w:t>. R</w:t>
            </w:r>
            <w:r w:rsidRPr="00A774DA">
              <w:rPr>
                <w:bCs w:val="0"/>
                <w:color w:val="000000"/>
                <w:sz w:val="18"/>
                <w:szCs w:val="18"/>
                <w:lang w:eastAsia="fr-FR"/>
              </w:rPr>
              <w:t>ecettes provinciales</w:t>
            </w:r>
          </w:p>
        </w:tc>
      </w:tr>
      <w:tr w:rsidR="000A1C21" w:rsidRPr="00A774DA" w:rsidTr="000014FE">
        <w:trPr>
          <w:trHeight w:val="300"/>
        </w:trPr>
        <w:tc>
          <w:tcPr>
            <w:tcW w:w="3819" w:type="pct"/>
            <w:tcBorders>
              <w:top w:val="single" w:sz="4" w:space="0" w:color="4F81BD" w:themeColor="accent1"/>
              <w:left w:val="nil"/>
              <w:bottom w:val="single" w:sz="4" w:space="0" w:color="4F81BD" w:themeColor="accent1"/>
              <w:right w:val="nil"/>
            </w:tcBorders>
            <w:shd w:val="clear" w:color="auto" w:fill="auto"/>
            <w:noWrap/>
            <w:vAlign w:val="center"/>
          </w:tcPr>
          <w:p w:rsidR="000A1C21" w:rsidRPr="00A774DA" w:rsidRDefault="000A1C21" w:rsidP="000A1C21">
            <w:pPr>
              <w:spacing w:after="0"/>
              <w:jc w:val="left"/>
              <w:rPr>
                <w:bCs w:val="0"/>
                <w:color w:val="000000"/>
                <w:sz w:val="18"/>
                <w:szCs w:val="18"/>
                <w:lang w:eastAsia="fr-FR"/>
              </w:rPr>
            </w:pPr>
            <w:r w:rsidRPr="00A774DA">
              <w:rPr>
                <w:bCs w:val="0"/>
                <w:color w:val="000000"/>
                <w:sz w:val="18"/>
                <w:szCs w:val="18"/>
                <w:lang w:eastAsia="fr-FR"/>
              </w:rPr>
              <w:t xml:space="preserve">Etat des paiements </w:t>
            </w:r>
            <w:r>
              <w:rPr>
                <w:bCs w:val="0"/>
                <w:color w:val="000000"/>
                <w:sz w:val="18"/>
                <w:szCs w:val="18"/>
                <w:lang w:eastAsia="fr-FR"/>
              </w:rPr>
              <w:t>perçus des</w:t>
            </w:r>
            <w:r w:rsidRPr="00A774DA">
              <w:rPr>
                <w:bCs w:val="0"/>
                <w:color w:val="000000"/>
                <w:sz w:val="18"/>
                <w:szCs w:val="18"/>
                <w:lang w:eastAsia="fr-FR"/>
              </w:rPr>
              <w:t xml:space="preserve"> entreprises </w:t>
            </w:r>
            <w:r>
              <w:rPr>
                <w:bCs w:val="0"/>
                <w:color w:val="000000"/>
                <w:sz w:val="18"/>
                <w:szCs w:val="18"/>
                <w:lang w:eastAsia="fr-FR"/>
              </w:rPr>
              <w:t>extractives</w:t>
            </w:r>
          </w:p>
        </w:tc>
        <w:tc>
          <w:tcPr>
            <w:tcW w:w="1181" w:type="pct"/>
            <w:tcBorders>
              <w:top w:val="single" w:sz="4" w:space="0" w:color="4F81BD" w:themeColor="accent1"/>
              <w:left w:val="nil"/>
              <w:bottom w:val="single" w:sz="4" w:space="0" w:color="4F81BD" w:themeColor="accent1"/>
              <w:right w:val="nil"/>
            </w:tcBorders>
            <w:shd w:val="clear" w:color="auto" w:fill="auto"/>
            <w:vAlign w:val="center"/>
          </w:tcPr>
          <w:p w:rsidR="000A1C21" w:rsidRPr="00A774DA" w:rsidRDefault="000A1C21" w:rsidP="000014FE">
            <w:pPr>
              <w:spacing w:after="0"/>
              <w:jc w:val="left"/>
              <w:rPr>
                <w:bCs w:val="0"/>
                <w:color w:val="000000"/>
                <w:sz w:val="18"/>
                <w:szCs w:val="18"/>
                <w:lang w:eastAsia="fr-FR"/>
              </w:rPr>
            </w:pPr>
            <w:r w:rsidRPr="00A774DA">
              <w:rPr>
                <w:bCs w:val="0"/>
                <w:color w:val="000000"/>
                <w:sz w:val="18"/>
                <w:szCs w:val="18"/>
                <w:lang w:eastAsia="fr-FR"/>
              </w:rPr>
              <w:t>EPE</w:t>
            </w:r>
          </w:p>
        </w:tc>
      </w:tr>
      <w:tr w:rsidR="000A1C21" w:rsidRPr="00A774DA" w:rsidTr="000014FE">
        <w:trPr>
          <w:trHeight w:val="300"/>
        </w:trPr>
        <w:tc>
          <w:tcPr>
            <w:tcW w:w="3819" w:type="pct"/>
            <w:tcBorders>
              <w:top w:val="single" w:sz="4" w:space="0" w:color="4F81BD" w:themeColor="accent1"/>
              <w:left w:val="nil"/>
              <w:bottom w:val="single" w:sz="4" w:space="0" w:color="4F81BD" w:themeColor="accent1"/>
              <w:right w:val="nil"/>
            </w:tcBorders>
            <w:shd w:val="clear" w:color="auto" w:fill="B8CCE4" w:themeFill="accent1" w:themeFillTint="66"/>
            <w:noWrap/>
            <w:vAlign w:val="center"/>
          </w:tcPr>
          <w:p w:rsidR="000A1C21" w:rsidRPr="00A774DA" w:rsidRDefault="000A1C21" w:rsidP="000014FE">
            <w:pPr>
              <w:spacing w:after="0"/>
              <w:jc w:val="left"/>
              <w:rPr>
                <w:bCs w:val="0"/>
                <w:color w:val="000000"/>
                <w:sz w:val="18"/>
                <w:szCs w:val="18"/>
                <w:lang w:eastAsia="fr-FR"/>
              </w:rPr>
            </w:pPr>
            <w:r w:rsidRPr="00A774DA">
              <w:rPr>
                <w:bCs w:val="0"/>
                <w:color w:val="000000"/>
                <w:sz w:val="18"/>
                <w:szCs w:val="18"/>
                <w:lang w:eastAsia="fr-FR"/>
              </w:rPr>
              <w:t xml:space="preserve">Etat des paiements </w:t>
            </w:r>
            <w:r>
              <w:rPr>
                <w:bCs w:val="0"/>
                <w:color w:val="000000"/>
                <w:sz w:val="18"/>
                <w:szCs w:val="18"/>
                <w:lang w:eastAsia="fr-FR"/>
              </w:rPr>
              <w:t>perçus des</w:t>
            </w:r>
            <w:r w:rsidRPr="00A774DA">
              <w:rPr>
                <w:bCs w:val="0"/>
                <w:color w:val="000000"/>
                <w:sz w:val="18"/>
                <w:szCs w:val="18"/>
                <w:lang w:eastAsia="fr-FR"/>
              </w:rPr>
              <w:t xml:space="preserve"> entreprises </w:t>
            </w:r>
            <w:r>
              <w:rPr>
                <w:bCs w:val="0"/>
                <w:color w:val="000000"/>
                <w:sz w:val="18"/>
                <w:szCs w:val="18"/>
                <w:lang w:eastAsia="fr-FR"/>
              </w:rPr>
              <w:t>pétrolières</w:t>
            </w:r>
          </w:p>
        </w:tc>
        <w:tc>
          <w:tcPr>
            <w:tcW w:w="1181" w:type="pct"/>
            <w:tcBorders>
              <w:top w:val="single" w:sz="4" w:space="0" w:color="4F81BD" w:themeColor="accent1"/>
              <w:left w:val="nil"/>
              <w:bottom w:val="single" w:sz="4" w:space="0" w:color="4F81BD" w:themeColor="accent1"/>
              <w:right w:val="nil"/>
            </w:tcBorders>
            <w:shd w:val="clear" w:color="auto" w:fill="B8CCE4" w:themeFill="accent1" w:themeFillTint="66"/>
            <w:vAlign w:val="center"/>
          </w:tcPr>
          <w:p w:rsidR="000A1C21" w:rsidRPr="00A774DA" w:rsidRDefault="000A1C21" w:rsidP="000014FE">
            <w:pPr>
              <w:spacing w:after="0"/>
              <w:jc w:val="left"/>
              <w:rPr>
                <w:bCs w:val="0"/>
                <w:color w:val="000000"/>
                <w:sz w:val="18"/>
                <w:szCs w:val="18"/>
                <w:lang w:eastAsia="fr-FR"/>
              </w:rPr>
            </w:pPr>
            <w:r>
              <w:rPr>
                <w:bCs w:val="0"/>
                <w:color w:val="000000"/>
                <w:sz w:val="18"/>
                <w:szCs w:val="18"/>
                <w:lang w:eastAsia="fr-FR"/>
              </w:rPr>
              <w:t>SGH</w:t>
            </w:r>
          </w:p>
        </w:tc>
      </w:tr>
      <w:tr w:rsidR="000A1C21" w:rsidRPr="003A305A" w:rsidTr="000014FE">
        <w:trPr>
          <w:trHeight w:val="300"/>
        </w:trPr>
        <w:tc>
          <w:tcPr>
            <w:tcW w:w="3819" w:type="pct"/>
            <w:tcBorders>
              <w:top w:val="single" w:sz="4" w:space="0" w:color="4F81BD" w:themeColor="accent1"/>
              <w:left w:val="nil"/>
              <w:bottom w:val="single" w:sz="4" w:space="0" w:color="4F81BD" w:themeColor="accent1"/>
              <w:right w:val="nil"/>
            </w:tcBorders>
            <w:shd w:val="clear" w:color="auto" w:fill="C6D9F1" w:themeFill="text2" w:themeFillTint="33"/>
            <w:noWrap/>
            <w:vAlign w:val="center"/>
          </w:tcPr>
          <w:p w:rsidR="000A1C21" w:rsidRPr="00A774DA" w:rsidRDefault="000A1C21" w:rsidP="000014FE">
            <w:pPr>
              <w:spacing w:after="0"/>
              <w:jc w:val="left"/>
              <w:rPr>
                <w:bCs w:val="0"/>
                <w:color w:val="000000"/>
                <w:sz w:val="18"/>
                <w:szCs w:val="18"/>
                <w:lang w:eastAsia="fr-FR"/>
              </w:rPr>
            </w:pPr>
            <w:r>
              <w:rPr>
                <w:bCs w:val="0"/>
                <w:color w:val="000000"/>
                <w:sz w:val="18"/>
                <w:szCs w:val="18"/>
                <w:lang w:eastAsia="fr-FR"/>
              </w:rPr>
              <w:t xml:space="preserve">Etat des </w:t>
            </w:r>
            <w:r w:rsidRPr="00A774DA">
              <w:rPr>
                <w:bCs w:val="0"/>
                <w:color w:val="000000"/>
                <w:sz w:val="18"/>
                <w:szCs w:val="18"/>
                <w:lang w:eastAsia="fr-FR"/>
              </w:rPr>
              <w:t xml:space="preserve">paiements </w:t>
            </w:r>
            <w:r>
              <w:rPr>
                <w:bCs w:val="0"/>
                <w:color w:val="000000"/>
                <w:sz w:val="18"/>
                <w:szCs w:val="18"/>
                <w:lang w:eastAsia="fr-FR"/>
              </w:rPr>
              <w:t>perçus par le Ministère de l'Environnement</w:t>
            </w:r>
          </w:p>
        </w:tc>
        <w:tc>
          <w:tcPr>
            <w:tcW w:w="1181" w:type="pct"/>
            <w:tcBorders>
              <w:top w:val="single" w:sz="4" w:space="0" w:color="4F81BD" w:themeColor="accent1"/>
              <w:left w:val="nil"/>
              <w:bottom w:val="single" w:sz="4" w:space="0" w:color="4F81BD" w:themeColor="accent1"/>
              <w:right w:val="nil"/>
            </w:tcBorders>
            <w:shd w:val="clear" w:color="auto" w:fill="C6D9F1" w:themeFill="text2" w:themeFillTint="33"/>
            <w:vAlign w:val="center"/>
          </w:tcPr>
          <w:p w:rsidR="000A1C21" w:rsidRPr="00A774DA" w:rsidRDefault="000A1C21" w:rsidP="000014FE">
            <w:pPr>
              <w:spacing w:after="0"/>
              <w:jc w:val="left"/>
              <w:rPr>
                <w:bCs w:val="0"/>
                <w:color w:val="000000"/>
                <w:sz w:val="18"/>
                <w:szCs w:val="18"/>
                <w:lang w:eastAsia="fr-FR"/>
              </w:rPr>
            </w:pPr>
            <w:r>
              <w:rPr>
                <w:bCs w:val="0"/>
                <w:color w:val="000000"/>
                <w:sz w:val="18"/>
                <w:szCs w:val="18"/>
                <w:lang w:eastAsia="fr-FR"/>
              </w:rPr>
              <w:t>GEE</w:t>
            </w:r>
          </w:p>
        </w:tc>
      </w:tr>
      <w:tr w:rsidR="00A81382" w:rsidRPr="00A774DA" w:rsidTr="000A1C21">
        <w:trPr>
          <w:trHeight w:val="300"/>
        </w:trPr>
        <w:tc>
          <w:tcPr>
            <w:tcW w:w="3819" w:type="pct"/>
            <w:tcBorders>
              <w:top w:val="single" w:sz="4" w:space="0" w:color="4F81BD" w:themeColor="accent1"/>
              <w:left w:val="nil"/>
              <w:bottom w:val="single" w:sz="4" w:space="0" w:color="4F81BD" w:themeColor="accent1"/>
              <w:right w:val="nil"/>
            </w:tcBorders>
            <w:shd w:val="clear" w:color="auto" w:fill="auto"/>
            <w:noWrap/>
            <w:vAlign w:val="center"/>
          </w:tcPr>
          <w:p w:rsidR="00A81382" w:rsidRPr="00A774DA" w:rsidRDefault="000A1C21" w:rsidP="00E514F4">
            <w:pPr>
              <w:spacing w:after="0"/>
              <w:jc w:val="left"/>
              <w:rPr>
                <w:bCs w:val="0"/>
                <w:color w:val="000000"/>
                <w:sz w:val="18"/>
                <w:szCs w:val="18"/>
                <w:lang w:eastAsia="fr-FR"/>
              </w:rPr>
            </w:pPr>
            <w:r>
              <w:rPr>
                <w:bCs w:val="0"/>
                <w:color w:val="000000"/>
                <w:sz w:val="18"/>
                <w:szCs w:val="18"/>
                <w:lang w:eastAsia="fr-FR"/>
              </w:rPr>
              <w:t xml:space="preserve">Liste des </w:t>
            </w:r>
            <w:r w:rsidR="00A81382" w:rsidRPr="00A774DA">
              <w:rPr>
                <w:bCs w:val="0"/>
                <w:color w:val="000000"/>
                <w:sz w:val="18"/>
                <w:szCs w:val="18"/>
                <w:lang w:eastAsia="fr-FR"/>
              </w:rPr>
              <w:t>Opérateurs Titulaires des droits miniers et de carrières</w:t>
            </w:r>
          </w:p>
        </w:tc>
        <w:tc>
          <w:tcPr>
            <w:tcW w:w="1181" w:type="pct"/>
            <w:tcBorders>
              <w:top w:val="single" w:sz="4" w:space="0" w:color="4F81BD" w:themeColor="accent1"/>
              <w:left w:val="nil"/>
              <w:bottom w:val="single" w:sz="4" w:space="0" w:color="4F81BD" w:themeColor="accent1"/>
              <w:right w:val="nil"/>
            </w:tcBorders>
            <w:shd w:val="clear" w:color="auto" w:fill="auto"/>
            <w:vAlign w:val="center"/>
          </w:tcPr>
          <w:p w:rsidR="00A81382" w:rsidRPr="00A774DA" w:rsidRDefault="00A81382" w:rsidP="00E514F4">
            <w:pPr>
              <w:spacing w:after="0"/>
              <w:jc w:val="left"/>
              <w:rPr>
                <w:bCs w:val="0"/>
                <w:color w:val="000000"/>
                <w:sz w:val="18"/>
                <w:szCs w:val="18"/>
                <w:lang w:eastAsia="fr-FR"/>
              </w:rPr>
            </w:pPr>
            <w:r w:rsidRPr="00A774DA">
              <w:rPr>
                <w:bCs w:val="0"/>
                <w:color w:val="000000"/>
                <w:sz w:val="18"/>
                <w:szCs w:val="18"/>
                <w:lang w:eastAsia="fr-FR"/>
              </w:rPr>
              <w:t>CAMI</w:t>
            </w:r>
          </w:p>
        </w:tc>
      </w:tr>
      <w:tr w:rsidR="00A81382" w:rsidRPr="00A774DA" w:rsidTr="000A1C21">
        <w:trPr>
          <w:trHeight w:val="300"/>
        </w:trPr>
        <w:tc>
          <w:tcPr>
            <w:tcW w:w="3819" w:type="pct"/>
            <w:tcBorders>
              <w:top w:val="single" w:sz="4" w:space="0" w:color="4F81BD" w:themeColor="accent1"/>
              <w:left w:val="nil"/>
              <w:bottom w:val="single" w:sz="4" w:space="0" w:color="4F81BD" w:themeColor="accent1"/>
              <w:right w:val="nil"/>
            </w:tcBorders>
            <w:shd w:val="clear" w:color="000000" w:fill="B8CCE4"/>
            <w:noWrap/>
            <w:vAlign w:val="center"/>
          </w:tcPr>
          <w:p w:rsidR="00A81382" w:rsidRPr="00A774DA" w:rsidRDefault="00A81382" w:rsidP="002A1C02">
            <w:pPr>
              <w:spacing w:after="0"/>
              <w:jc w:val="left"/>
              <w:rPr>
                <w:bCs w:val="0"/>
                <w:color w:val="000000"/>
                <w:sz w:val="18"/>
                <w:szCs w:val="18"/>
                <w:lang w:eastAsia="fr-FR"/>
              </w:rPr>
            </w:pPr>
            <w:r w:rsidRPr="00A774DA">
              <w:rPr>
                <w:bCs w:val="0"/>
                <w:color w:val="000000"/>
                <w:sz w:val="18"/>
                <w:szCs w:val="18"/>
                <w:lang w:eastAsia="fr-FR"/>
              </w:rPr>
              <w:t xml:space="preserve">Liste des entreprises </w:t>
            </w:r>
            <w:r>
              <w:rPr>
                <w:bCs w:val="0"/>
                <w:color w:val="000000"/>
                <w:sz w:val="18"/>
                <w:szCs w:val="18"/>
                <w:lang w:eastAsia="fr-FR"/>
              </w:rPr>
              <w:t>de traitement</w:t>
            </w:r>
            <w:r w:rsidRPr="00A774DA">
              <w:rPr>
                <w:bCs w:val="0"/>
                <w:color w:val="000000"/>
                <w:sz w:val="18"/>
                <w:szCs w:val="18"/>
                <w:lang w:eastAsia="fr-FR"/>
              </w:rPr>
              <w:t xml:space="preserve"> en production en 201</w:t>
            </w:r>
            <w:r w:rsidR="002A1C02">
              <w:rPr>
                <w:bCs w:val="0"/>
                <w:color w:val="000000"/>
                <w:sz w:val="18"/>
                <w:szCs w:val="18"/>
                <w:lang w:eastAsia="fr-FR"/>
              </w:rPr>
              <w:t>5</w:t>
            </w:r>
          </w:p>
        </w:tc>
        <w:tc>
          <w:tcPr>
            <w:tcW w:w="1181" w:type="pct"/>
            <w:tcBorders>
              <w:top w:val="single" w:sz="4" w:space="0" w:color="4F81BD" w:themeColor="accent1"/>
              <w:left w:val="nil"/>
              <w:bottom w:val="single" w:sz="4" w:space="0" w:color="4F81BD" w:themeColor="accent1"/>
              <w:right w:val="nil"/>
            </w:tcBorders>
            <w:shd w:val="clear" w:color="000000" w:fill="B8CCE4"/>
            <w:vAlign w:val="center"/>
          </w:tcPr>
          <w:p w:rsidR="00A81382" w:rsidRPr="00A774DA" w:rsidRDefault="00A81382" w:rsidP="00E514F4">
            <w:pPr>
              <w:spacing w:after="0"/>
              <w:jc w:val="left"/>
              <w:rPr>
                <w:bCs w:val="0"/>
                <w:color w:val="000000"/>
                <w:sz w:val="18"/>
                <w:szCs w:val="18"/>
                <w:lang w:eastAsia="fr-FR"/>
              </w:rPr>
            </w:pPr>
            <w:r w:rsidRPr="00A774DA">
              <w:rPr>
                <w:bCs w:val="0"/>
                <w:color w:val="000000"/>
                <w:sz w:val="18"/>
                <w:szCs w:val="18"/>
                <w:lang w:eastAsia="fr-FR"/>
              </w:rPr>
              <w:t>CTCPM</w:t>
            </w:r>
          </w:p>
        </w:tc>
      </w:tr>
      <w:tr w:rsidR="003A305A" w:rsidRPr="00A774DA" w:rsidTr="000A1C21">
        <w:trPr>
          <w:trHeight w:val="300"/>
        </w:trPr>
        <w:tc>
          <w:tcPr>
            <w:tcW w:w="3819" w:type="pct"/>
            <w:tcBorders>
              <w:top w:val="single" w:sz="4" w:space="0" w:color="4F81BD" w:themeColor="accent1"/>
              <w:left w:val="nil"/>
              <w:bottom w:val="single" w:sz="4" w:space="0" w:color="4F81BD" w:themeColor="accent1"/>
              <w:right w:val="nil"/>
            </w:tcBorders>
            <w:shd w:val="clear" w:color="auto" w:fill="auto"/>
            <w:noWrap/>
            <w:vAlign w:val="center"/>
          </w:tcPr>
          <w:p w:rsidR="003A305A" w:rsidRDefault="003A305A" w:rsidP="00E514F4">
            <w:pPr>
              <w:spacing w:after="0"/>
              <w:jc w:val="left"/>
              <w:rPr>
                <w:bCs w:val="0"/>
                <w:color w:val="000000"/>
                <w:sz w:val="18"/>
                <w:szCs w:val="18"/>
                <w:lang w:eastAsia="fr-FR"/>
              </w:rPr>
            </w:pPr>
            <w:r>
              <w:rPr>
                <w:bCs w:val="0"/>
                <w:color w:val="000000"/>
                <w:sz w:val="18"/>
                <w:szCs w:val="18"/>
                <w:lang w:eastAsia="fr-FR"/>
              </w:rPr>
              <w:t>Liste des entreprises et des participations de l'Etat dans les entreprises extractives</w:t>
            </w:r>
          </w:p>
        </w:tc>
        <w:tc>
          <w:tcPr>
            <w:tcW w:w="1181" w:type="pct"/>
            <w:tcBorders>
              <w:top w:val="single" w:sz="4" w:space="0" w:color="4F81BD" w:themeColor="accent1"/>
              <w:left w:val="nil"/>
              <w:bottom w:val="single" w:sz="4" w:space="0" w:color="4F81BD" w:themeColor="accent1"/>
              <w:right w:val="nil"/>
            </w:tcBorders>
            <w:shd w:val="clear" w:color="auto" w:fill="auto"/>
            <w:vAlign w:val="center"/>
          </w:tcPr>
          <w:p w:rsidR="003A305A" w:rsidRPr="00A774DA" w:rsidRDefault="00EB4864" w:rsidP="00E514F4">
            <w:pPr>
              <w:spacing w:after="0"/>
              <w:jc w:val="left"/>
              <w:rPr>
                <w:bCs w:val="0"/>
                <w:color w:val="000000"/>
                <w:sz w:val="18"/>
                <w:szCs w:val="18"/>
                <w:lang w:eastAsia="fr-FR"/>
              </w:rPr>
            </w:pPr>
            <w:r>
              <w:rPr>
                <w:bCs w:val="0"/>
                <w:color w:val="000000"/>
                <w:sz w:val="18"/>
                <w:szCs w:val="18"/>
                <w:lang w:eastAsia="fr-FR"/>
              </w:rPr>
              <w:t>Ministère du Portefeuille</w:t>
            </w:r>
          </w:p>
        </w:tc>
      </w:tr>
    </w:tbl>
    <w:p w:rsidR="007C1B90" w:rsidRDefault="007C1B90" w:rsidP="007C1B90">
      <w:pPr>
        <w:pStyle w:val="Heading3"/>
        <w:numPr>
          <w:ilvl w:val="0"/>
          <w:numId w:val="0"/>
        </w:numPr>
        <w:tabs>
          <w:tab w:val="left" w:pos="800"/>
        </w:tabs>
        <w:ind w:left="799"/>
        <w:rPr>
          <w:b/>
          <w:bCs w:val="0"/>
          <w:i w:val="0"/>
          <w:iCs w:val="0"/>
          <w:color w:val="0070C0"/>
        </w:rPr>
      </w:pPr>
    </w:p>
    <w:p w:rsidR="00A81382" w:rsidRPr="00A774DA" w:rsidRDefault="00810E49" w:rsidP="00A81382">
      <w:pPr>
        <w:pStyle w:val="Heading3"/>
        <w:numPr>
          <w:ilvl w:val="2"/>
          <w:numId w:val="2"/>
        </w:numPr>
        <w:tabs>
          <w:tab w:val="left" w:pos="800"/>
        </w:tabs>
        <w:ind w:left="799" w:hanging="799"/>
        <w:rPr>
          <w:b/>
          <w:bCs w:val="0"/>
          <w:i w:val="0"/>
          <w:iCs w:val="0"/>
          <w:color w:val="0070C0"/>
        </w:rPr>
      </w:pPr>
      <w:r>
        <w:rPr>
          <w:b/>
          <w:bCs w:val="0"/>
          <w:i w:val="0"/>
          <w:iCs w:val="0"/>
          <w:color w:val="0070C0"/>
        </w:rPr>
        <w:t>Compilation des d</w:t>
      </w:r>
      <w:r w:rsidR="00D25044">
        <w:rPr>
          <w:b/>
          <w:bCs w:val="0"/>
          <w:i w:val="0"/>
          <w:iCs w:val="0"/>
          <w:color w:val="0070C0"/>
        </w:rPr>
        <w:t xml:space="preserve">onnées </w:t>
      </w:r>
      <w:r>
        <w:rPr>
          <w:b/>
          <w:bCs w:val="0"/>
          <w:i w:val="0"/>
          <w:iCs w:val="0"/>
          <w:color w:val="0070C0"/>
        </w:rPr>
        <w:t>de</w:t>
      </w:r>
      <w:r w:rsidRPr="00A774DA">
        <w:rPr>
          <w:b/>
          <w:bCs w:val="0"/>
          <w:i w:val="0"/>
          <w:iCs w:val="0"/>
          <w:color w:val="0070C0"/>
        </w:rPr>
        <w:t xml:space="preserve"> </w:t>
      </w:r>
      <w:r w:rsidR="00A81382" w:rsidRPr="00A774DA">
        <w:rPr>
          <w:b/>
          <w:bCs w:val="0"/>
          <w:i w:val="0"/>
          <w:iCs w:val="0"/>
          <w:color w:val="0070C0"/>
        </w:rPr>
        <w:t>l’industrie extractive</w:t>
      </w:r>
    </w:p>
    <w:p w:rsidR="00A81382" w:rsidRPr="00A774DA" w:rsidRDefault="00810E49" w:rsidP="00A81382">
      <w:r>
        <w:t xml:space="preserve"> Types des données compilées </w:t>
      </w:r>
      <w:r w:rsidR="00D25044">
        <w:t xml:space="preserve"> </w:t>
      </w:r>
      <w:r w:rsidR="00A81382" w:rsidRPr="00A774DA">
        <w:t xml:space="preserve"> </w:t>
      </w:r>
      <w:r w:rsidR="003212B5">
        <w:t>:</w:t>
      </w:r>
    </w:p>
    <w:p w:rsidR="00A81382" w:rsidRPr="00A774DA" w:rsidRDefault="00A81382" w:rsidP="00A81382">
      <w:pPr>
        <w:numPr>
          <w:ilvl w:val="0"/>
          <w:numId w:val="4"/>
        </w:numPr>
        <w:spacing w:after="120"/>
        <w:ind w:left="284" w:hanging="284"/>
        <w:rPr>
          <w:szCs w:val="20"/>
        </w:rPr>
      </w:pPr>
      <w:r w:rsidRPr="00A774DA">
        <w:rPr>
          <w:szCs w:val="20"/>
        </w:rPr>
        <w:t xml:space="preserve"> </w:t>
      </w:r>
      <w:r w:rsidR="006E1AA4">
        <w:rPr>
          <w:szCs w:val="20"/>
        </w:rPr>
        <w:t>l</w:t>
      </w:r>
      <w:r w:rsidR="00D25044">
        <w:rPr>
          <w:szCs w:val="20"/>
        </w:rPr>
        <w:t xml:space="preserve">a </w:t>
      </w:r>
      <w:r w:rsidRPr="00A774DA">
        <w:rPr>
          <w:szCs w:val="20"/>
        </w:rPr>
        <w:t>liste des sociétés</w:t>
      </w:r>
      <w:r w:rsidR="003C6EE4">
        <w:rPr>
          <w:szCs w:val="20"/>
        </w:rPr>
        <w:t xml:space="preserve"> (Titulaires des droits miniers</w:t>
      </w:r>
      <w:r w:rsidR="00D05127">
        <w:rPr>
          <w:szCs w:val="20"/>
        </w:rPr>
        <w:t xml:space="preserve"> </w:t>
      </w:r>
      <w:r w:rsidR="00D05127" w:rsidRPr="00211C34">
        <w:rPr>
          <w:szCs w:val="20"/>
        </w:rPr>
        <w:t>: annexe 1</w:t>
      </w:r>
      <w:r w:rsidR="003C6EE4" w:rsidRPr="00211C34">
        <w:rPr>
          <w:szCs w:val="20"/>
        </w:rPr>
        <w:t>)</w:t>
      </w:r>
      <w:r w:rsidRPr="00211C34">
        <w:rPr>
          <w:szCs w:val="20"/>
        </w:rPr>
        <w:t xml:space="preserve"> issues</w:t>
      </w:r>
      <w:r w:rsidRPr="00A774DA">
        <w:rPr>
          <w:szCs w:val="20"/>
        </w:rPr>
        <w:t xml:space="preserve"> du Cadastre Minier avec la liste des entreprises</w:t>
      </w:r>
      <w:r w:rsidR="00D25044">
        <w:rPr>
          <w:szCs w:val="20"/>
        </w:rPr>
        <w:t xml:space="preserve"> </w:t>
      </w:r>
      <w:r w:rsidR="00D25044" w:rsidRPr="00A774DA">
        <w:rPr>
          <w:szCs w:val="20"/>
        </w:rPr>
        <w:t>opérant dans le secteur minier</w:t>
      </w:r>
      <w:r w:rsidR="00D25044">
        <w:rPr>
          <w:szCs w:val="20"/>
        </w:rPr>
        <w:t xml:space="preserve"> </w:t>
      </w:r>
      <w:r w:rsidRPr="00A774DA">
        <w:rPr>
          <w:szCs w:val="20"/>
        </w:rPr>
        <w:t xml:space="preserve"> communiquée par les différentes </w:t>
      </w:r>
      <w:r w:rsidR="00810E49">
        <w:rPr>
          <w:szCs w:val="20"/>
        </w:rPr>
        <w:t>Agences Financières de l'Etat</w:t>
      </w:r>
      <w:r w:rsidRPr="00A774DA">
        <w:rPr>
          <w:szCs w:val="20"/>
        </w:rPr>
        <w:t xml:space="preserve"> ; </w:t>
      </w:r>
    </w:p>
    <w:p w:rsidR="00A81382" w:rsidRPr="00A774DA" w:rsidRDefault="006E1AA4" w:rsidP="00A81382">
      <w:pPr>
        <w:numPr>
          <w:ilvl w:val="0"/>
          <w:numId w:val="4"/>
        </w:numPr>
        <w:spacing w:after="120"/>
        <w:ind w:left="284" w:hanging="284"/>
        <w:rPr>
          <w:szCs w:val="20"/>
        </w:rPr>
      </w:pPr>
      <w:r>
        <w:rPr>
          <w:szCs w:val="20"/>
        </w:rPr>
        <w:t>l</w:t>
      </w:r>
      <w:r w:rsidR="00D25044">
        <w:rPr>
          <w:szCs w:val="20"/>
        </w:rPr>
        <w:t xml:space="preserve">a </w:t>
      </w:r>
      <w:r w:rsidR="00A81382" w:rsidRPr="00A774DA">
        <w:rPr>
          <w:szCs w:val="20"/>
        </w:rPr>
        <w:t>liste des sociétés</w:t>
      </w:r>
      <w:r w:rsidR="009C06BF">
        <w:rPr>
          <w:szCs w:val="20"/>
        </w:rPr>
        <w:t xml:space="preserve"> (Entités de traitement</w:t>
      </w:r>
      <w:r w:rsidR="00D05127">
        <w:rPr>
          <w:szCs w:val="20"/>
        </w:rPr>
        <w:t xml:space="preserve"> </w:t>
      </w:r>
      <w:r w:rsidR="00D05127" w:rsidRPr="00211C34">
        <w:rPr>
          <w:szCs w:val="20"/>
        </w:rPr>
        <w:t xml:space="preserve">: annexe </w:t>
      </w:r>
      <w:proofErr w:type="gramStart"/>
      <w:r w:rsidR="00D05127" w:rsidRPr="00211C34">
        <w:rPr>
          <w:szCs w:val="20"/>
        </w:rPr>
        <w:t xml:space="preserve">2 </w:t>
      </w:r>
      <w:r w:rsidR="009C06BF" w:rsidRPr="00211C34">
        <w:rPr>
          <w:szCs w:val="20"/>
        </w:rPr>
        <w:t>)</w:t>
      </w:r>
      <w:proofErr w:type="gramEnd"/>
      <w:r w:rsidR="0084680E" w:rsidRPr="00211C34">
        <w:rPr>
          <w:szCs w:val="20"/>
        </w:rPr>
        <w:t xml:space="preserve"> en production de la</w:t>
      </w:r>
      <w:r w:rsidR="00A81382" w:rsidRPr="00211C34">
        <w:rPr>
          <w:szCs w:val="20"/>
        </w:rPr>
        <w:t xml:space="preserve"> CTCPM avec la liste des entreprises </w:t>
      </w:r>
      <w:r w:rsidR="00810E49" w:rsidRPr="00211C34">
        <w:rPr>
          <w:szCs w:val="20"/>
        </w:rPr>
        <w:t xml:space="preserve">opérant dans le secteur minier  </w:t>
      </w:r>
      <w:r w:rsidR="00A81382" w:rsidRPr="00211C34">
        <w:rPr>
          <w:szCs w:val="20"/>
        </w:rPr>
        <w:t>communiquée</w:t>
      </w:r>
      <w:r w:rsidR="00A81382" w:rsidRPr="00A774DA">
        <w:rPr>
          <w:szCs w:val="20"/>
        </w:rPr>
        <w:t xml:space="preserve"> par les différentes </w:t>
      </w:r>
      <w:r w:rsidR="00810E49">
        <w:rPr>
          <w:szCs w:val="20"/>
        </w:rPr>
        <w:t xml:space="preserve">Agences Financières de l'Etat </w:t>
      </w:r>
      <w:r w:rsidR="00A81382" w:rsidRPr="00A774DA">
        <w:rPr>
          <w:szCs w:val="20"/>
        </w:rPr>
        <w:t>;</w:t>
      </w:r>
    </w:p>
    <w:p w:rsidR="00A81382" w:rsidRPr="00A774DA" w:rsidRDefault="006E1AA4" w:rsidP="00A81382">
      <w:pPr>
        <w:numPr>
          <w:ilvl w:val="0"/>
          <w:numId w:val="4"/>
        </w:numPr>
        <w:spacing w:after="120"/>
        <w:ind w:left="284" w:hanging="284"/>
        <w:rPr>
          <w:szCs w:val="20"/>
        </w:rPr>
      </w:pPr>
      <w:r>
        <w:rPr>
          <w:szCs w:val="20"/>
        </w:rPr>
        <w:lastRenderedPageBreak/>
        <w:t>l</w:t>
      </w:r>
      <w:r w:rsidR="00A81382" w:rsidRPr="00A774DA">
        <w:rPr>
          <w:szCs w:val="20"/>
        </w:rPr>
        <w:t xml:space="preserve">a liste des sociétés retenues dans le périmètre de conciliation des années précédentes </w:t>
      </w:r>
      <w:r w:rsidR="00F93BA7">
        <w:rPr>
          <w:szCs w:val="20"/>
        </w:rPr>
        <w:t xml:space="preserve">avec  la liste des sociétés issues </w:t>
      </w:r>
      <w:r w:rsidR="00A81382" w:rsidRPr="00A774DA">
        <w:rPr>
          <w:szCs w:val="20"/>
        </w:rPr>
        <w:t xml:space="preserve">des recommandations </w:t>
      </w:r>
      <w:r w:rsidR="00F93BA7">
        <w:rPr>
          <w:szCs w:val="20"/>
        </w:rPr>
        <w:t>des</w:t>
      </w:r>
      <w:r w:rsidR="00A81382" w:rsidRPr="00A774DA">
        <w:rPr>
          <w:szCs w:val="20"/>
        </w:rPr>
        <w:t xml:space="preserve"> rapports précédents  portant </w:t>
      </w:r>
      <w:r w:rsidR="00F93BA7">
        <w:rPr>
          <w:szCs w:val="20"/>
        </w:rPr>
        <w:t>sur le périmètre</w:t>
      </w:r>
      <w:r w:rsidR="000704E3">
        <w:rPr>
          <w:szCs w:val="20"/>
        </w:rPr>
        <w:t xml:space="preserve"> </w:t>
      </w:r>
      <w:r w:rsidR="00A81382" w:rsidRPr="00A774DA">
        <w:rPr>
          <w:szCs w:val="20"/>
        </w:rPr>
        <w:t>ITIE;</w:t>
      </w:r>
    </w:p>
    <w:p w:rsidR="00A81382" w:rsidRDefault="003212B5" w:rsidP="00A81382">
      <w:pPr>
        <w:numPr>
          <w:ilvl w:val="0"/>
          <w:numId w:val="4"/>
        </w:numPr>
        <w:spacing w:after="120"/>
        <w:ind w:left="284" w:hanging="284"/>
        <w:rPr>
          <w:szCs w:val="20"/>
        </w:rPr>
      </w:pPr>
      <w:r>
        <w:rPr>
          <w:szCs w:val="20"/>
        </w:rPr>
        <w:t>l</w:t>
      </w:r>
      <w:r w:rsidR="00A81382" w:rsidRPr="00A774DA">
        <w:rPr>
          <w:szCs w:val="20"/>
        </w:rPr>
        <w:t>es revenus perçus par l’Etat par n</w:t>
      </w:r>
      <w:r w:rsidR="00512473">
        <w:rPr>
          <w:szCs w:val="20"/>
        </w:rPr>
        <w:t xml:space="preserve">ature de flux et par société; </w:t>
      </w:r>
    </w:p>
    <w:p w:rsidR="00512473" w:rsidRPr="00A774DA" w:rsidRDefault="00512473" w:rsidP="00A81382">
      <w:pPr>
        <w:numPr>
          <w:ilvl w:val="0"/>
          <w:numId w:val="4"/>
        </w:numPr>
        <w:spacing w:after="120"/>
        <w:ind w:left="284" w:hanging="284"/>
        <w:rPr>
          <w:szCs w:val="20"/>
        </w:rPr>
      </w:pPr>
    </w:p>
    <w:p w:rsidR="00A81382" w:rsidRPr="00A774DA" w:rsidRDefault="00A81382" w:rsidP="00A81382">
      <w:pPr>
        <w:pStyle w:val="Heading3"/>
        <w:numPr>
          <w:ilvl w:val="2"/>
          <w:numId w:val="2"/>
        </w:numPr>
        <w:tabs>
          <w:tab w:val="left" w:pos="800"/>
        </w:tabs>
        <w:ind w:left="799" w:hanging="799"/>
        <w:rPr>
          <w:b/>
          <w:bCs w:val="0"/>
          <w:i w:val="0"/>
          <w:iCs w:val="0"/>
          <w:color w:val="0070C0"/>
        </w:rPr>
      </w:pPr>
      <w:r w:rsidRPr="00A774DA">
        <w:rPr>
          <w:b/>
          <w:bCs w:val="0"/>
          <w:i w:val="0"/>
          <w:iCs w:val="0"/>
          <w:color w:val="0070C0"/>
        </w:rPr>
        <w:t xml:space="preserve">Définition du périmètre ITIE </w:t>
      </w:r>
    </w:p>
    <w:p w:rsidR="00A81382" w:rsidRPr="00A774DA" w:rsidRDefault="00A81382" w:rsidP="00A81382">
      <w:pPr>
        <w:rPr>
          <w:iCs/>
        </w:rPr>
      </w:pPr>
      <w:r w:rsidRPr="00A774DA">
        <w:rPr>
          <w:iCs/>
        </w:rPr>
        <w:t xml:space="preserve">Le </w:t>
      </w:r>
      <w:r w:rsidR="00B96E6C">
        <w:rPr>
          <w:iCs/>
        </w:rPr>
        <w:t>périmètre</w:t>
      </w:r>
      <w:r w:rsidR="00B96E6C" w:rsidRPr="00A774DA">
        <w:rPr>
          <w:iCs/>
        </w:rPr>
        <w:t xml:space="preserve"> </w:t>
      </w:r>
      <w:r w:rsidRPr="00A774DA">
        <w:rPr>
          <w:iCs/>
        </w:rPr>
        <w:t xml:space="preserve">ITIE pour l’année </w:t>
      </w:r>
      <w:r>
        <w:rPr>
          <w:iCs/>
        </w:rPr>
        <w:t>201</w:t>
      </w:r>
      <w:r w:rsidR="00E514F4">
        <w:rPr>
          <w:iCs/>
        </w:rPr>
        <w:t>5</w:t>
      </w:r>
      <w:r w:rsidRPr="00A774DA">
        <w:rPr>
          <w:iCs/>
        </w:rPr>
        <w:t xml:space="preserve"> définit les secteurs à couvrir, les flux de paiement à reporter, les entreprises extractives ainsi que les entités de l’Etat qui devront soumettre une déclaration. Pour la définition du </w:t>
      </w:r>
      <w:r w:rsidR="00B96E6C">
        <w:rPr>
          <w:iCs/>
        </w:rPr>
        <w:t>périmètre</w:t>
      </w:r>
      <w:r w:rsidR="00B96E6C" w:rsidRPr="00A774DA">
        <w:rPr>
          <w:iCs/>
        </w:rPr>
        <w:t xml:space="preserve"> </w:t>
      </w:r>
      <w:r w:rsidRPr="00A774DA">
        <w:rPr>
          <w:iCs/>
        </w:rPr>
        <w:t>ITIE, nous avons procédé à :</w:t>
      </w:r>
    </w:p>
    <w:p w:rsidR="00B96E6C" w:rsidRPr="00D05127" w:rsidRDefault="00B96E6C" w:rsidP="00D05127">
      <w:pPr>
        <w:pStyle w:val="Heading3"/>
        <w:numPr>
          <w:ilvl w:val="0"/>
          <w:numId w:val="5"/>
        </w:numPr>
        <w:tabs>
          <w:tab w:val="left" w:pos="284"/>
        </w:tabs>
        <w:spacing w:after="120"/>
        <w:ind w:left="284" w:hanging="284"/>
        <w:rPr>
          <w:bCs w:val="0"/>
          <w:i w:val="0"/>
          <w:iCs w:val="0"/>
        </w:rPr>
      </w:pPr>
      <w:proofErr w:type="gramStart"/>
      <w:r w:rsidRPr="00D05127">
        <w:rPr>
          <w:bCs w:val="0"/>
          <w:i w:val="0"/>
          <w:iCs w:val="0"/>
        </w:rPr>
        <w:t>calculer</w:t>
      </w:r>
      <w:proofErr w:type="gramEnd"/>
      <w:r w:rsidRPr="00D05127">
        <w:rPr>
          <w:bCs w:val="0"/>
          <w:i w:val="0"/>
          <w:iCs w:val="0"/>
        </w:rPr>
        <w:t xml:space="preserve"> le poids relatif à chaque flux de paiement et chaque entité par rapport au total de revenu du secteur extractif.</w:t>
      </w:r>
    </w:p>
    <w:p w:rsidR="00A81382" w:rsidRPr="00A774DA" w:rsidRDefault="00B96E6C" w:rsidP="00A81382">
      <w:pPr>
        <w:pStyle w:val="Heading3"/>
        <w:numPr>
          <w:ilvl w:val="0"/>
          <w:numId w:val="5"/>
        </w:numPr>
        <w:tabs>
          <w:tab w:val="left" w:pos="284"/>
        </w:tabs>
        <w:spacing w:after="120"/>
        <w:ind w:left="284" w:hanging="284"/>
      </w:pPr>
      <w:proofErr w:type="gramStart"/>
      <w:r>
        <w:rPr>
          <w:bCs w:val="0"/>
          <w:i w:val="0"/>
          <w:iCs w:val="0"/>
        </w:rPr>
        <w:t>déterminer</w:t>
      </w:r>
      <w:proofErr w:type="gramEnd"/>
      <w:r w:rsidRPr="00A774DA">
        <w:rPr>
          <w:bCs w:val="0"/>
          <w:i w:val="0"/>
          <w:iCs w:val="0"/>
        </w:rPr>
        <w:t xml:space="preserve"> </w:t>
      </w:r>
      <w:r>
        <w:rPr>
          <w:bCs w:val="0"/>
          <w:i w:val="0"/>
          <w:iCs w:val="0"/>
        </w:rPr>
        <w:t>le</w:t>
      </w:r>
      <w:r w:rsidRPr="00A774DA">
        <w:rPr>
          <w:bCs w:val="0"/>
          <w:i w:val="0"/>
          <w:iCs w:val="0"/>
        </w:rPr>
        <w:t xml:space="preserve"> </w:t>
      </w:r>
      <w:r w:rsidR="00A81382" w:rsidRPr="00A774DA">
        <w:rPr>
          <w:bCs w:val="0"/>
          <w:i w:val="0"/>
          <w:iCs w:val="0"/>
        </w:rPr>
        <w:t>seuil de matérialité pour les travaux de conciliation;</w:t>
      </w:r>
    </w:p>
    <w:p w:rsidR="00A81382" w:rsidRPr="00A774DA" w:rsidRDefault="00B96E6C" w:rsidP="00A81382">
      <w:pPr>
        <w:pStyle w:val="ListParagraph"/>
        <w:numPr>
          <w:ilvl w:val="0"/>
          <w:numId w:val="5"/>
        </w:numPr>
        <w:spacing w:after="120"/>
        <w:ind w:left="284" w:hanging="284"/>
        <w:rPr>
          <w:iCs/>
        </w:rPr>
      </w:pPr>
      <w:r>
        <w:rPr>
          <w:iCs/>
        </w:rPr>
        <w:t>déterminer</w:t>
      </w:r>
      <w:r w:rsidR="00A81382" w:rsidRPr="00A774DA">
        <w:rPr>
          <w:iCs/>
        </w:rPr>
        <w:t xml:space="preserve"> </w:t>
      </w:r>
      <w:r>
        <w:rPr>
          <w:iCs/>
        </w:rPr>
        <w:t>l</w:t>
      </w:r>
      <w:r w:rsidR="00A81382" w:rsidRPr="00A774DA">
        <w:rPr>
          <w:iCs/>
        </w:rPr>
        <w:t>es flux</w:t>
      </w:r>
      <w:r w:rsidR="00AA4AC3">
        <w:rPr>
          <w:iCs/>
        </w:rPr>
        <w:t xml:space="preserve"> financiers davantage</w:t>
      </w:r>
      <w:r w:rsidR="00A81382" w:rsidRPr="00A774DA">
        <w:rPr>
          <w:iCs/>
        </w:rPr>
        <w:t xml:space="preserve"> en se basant sur les dispositions de l’Exigence ITIE 4.1 </w:t>
      </w:r>
      <w:r w:rsidR="00516C4E">
        <w:rPr>
          <w:iCs/>
        </w:rPr>
        <w:t xml:space="preserve">(Divulgation exhaustive des taxes et des revenus) </w:t>
      </w:r>
      <w:r w:rsidR="00A81382" w:rsidRPr="00A774DA">
        <w:rPr>
          <w:iCs/>
        </w:rPr>
        <w:t>et sur le seui</w:t>
      </w:r>
      <w:r w:rsidR="002B69F7">
        <w:rPr>
          <w:iCs/>
        </w:rPr>
        <w:t xml:space="preserve">l de matérialité </w:t>
      </w:r>
      <w:r w:rsidR="00AA4AC3">
        <w:rPr>
          <w:iCs/>
        </w:rPr>
        <w:t xml:space="preserve">déterminé </w:t>
      </w:r>
      <w:r w:rsidR="002B69F7">
        <w:rPr>
          <w:iCs/>
        </w:rPr>
        <w:t xml:space="preserve">dans le </w:t>
      </w:r>
      <w:r w:rsidR="00A81382" w:rsidRPr="00A774DA">
        <w:rPr>
          <w:iCs/>
        </w:rPr>
        <w:t>présent</w:t>
      </w:r>
      <w:r w:rsidR="002B69F7">
        <w:rPr>
          <w:iCs/>
        </w:rPr>
        <w:t xml:space="preserve"> rapport</w:t>
      </w:r>
      <w:r w:rsidR="00642505">
        <w:rPr>
          <w:iCs/>
        </w:rPr>
        <w:t xml:space="preserve"> </w:t>
      </w:r>
      <w:r w:rsidR="00A81382" w:rsidRPr="00A774DA">
        <w:rPr>
          <w:iCs/>
        </w:rPr>
        <w:t>;</w:t>
      </w:r>
    </w:p>
    <w:p w:rsidR="00A81382" w:rsidRDefault="00AA4AC3" w:rsidP="00A81382">
      <w:pPr>
        <w:pStyle w:val="ListParagraph"/>
        <w:numPr>
          <w:ilvl w:val="0"/>
          <w:numId w:val="5"/>
        </w:numPr>
        <w:spacing w:after="120"/>
        <w:ind w:left="284" w:hanging="284"/>
        <w:rPr>
          <w:iCs/>
        </w:rPr>
      </w:pPr>
      <w:r>
        <w:rPr>
          <w:iCs/>
        </w:rPr>
        <w:t>déterminer la liste des</w:t>
      </w:r>
      <w:r w:rsidR="00A81382" w:rsidRPr="00A774DA">
        <w:rPr>
          <w:iCs/>
        </w:rPr>
        <w:t xml:space="preserve"> entreprises devant faire une déclaration en se basant sur les dispositions de l’Exigence ITIE 4.</w:t>
      </w:r>
      <w:r w:rsidR="00FA6816">
        <w:rPr>
          <w:iCs/>
        </w:rPr>
        <w:t>1</w:t>
      </w:r>
      <w:r w:rsidR="00516C4E">
        <w:rPr>
          <w:iCs/>
        </w:rPr>
        <w:t xml:space="preserve"> (Divulgation exhaustive des taxes et des revenus) </w:t>
      </w:r>
      <w:r w:rsidR="00A81382" w:rsidRPr="00A774DA">
        <w:rPr>
          <w:iCs/>
        </w:rPr>
        <w:t xml:space="preserve"> et sur le seui</w:t>
      </w:r>
      <w:r w:rsidR="00516C4E">
        <w:rPr>
          <w:iCs/>
        </w:rPr>
        <w:t xml:space="preserve">l de matérialité </w:t>
      </w:r>
      <w:r>
        <w:rPr>
          <w:iCs/>
        </w:rPr>
        <w:t xml:space="preserve">fixé </w:t>
      </w:r>
      <w:r w:rsidR="00516C4E">
        <w:rPr>
          <w:iCs/>
        </w:rPr>
        <w:t xml:space="preserve">dans le </w:t>
      </w:r>
      <w:r w:rsidR="00A81382" w:rsidRPr="00A774DA">
        <w:rPr>
          <w:iCs/>
        </w:rPr>
        <w:t>présent</w:t>
      </w:r>
      <w:r w:rsidR="00516C4E">
        <w:rPr>
          <w:iCs/>
        </w:rPr>
        <w:t xml:space="preserve"> rapport</w:t>
      </w:r>
      <w:r w:rsidR="00A81382" w:rsidRPr="00A774DA">
        <w:rPr>
          <w:iCs/>
        </w:rPr>
        <w:t xml:space="preserve">; et </w:t>
      </w:r>
    </w:p>
    <w:p w:rsidR="00A81382" w:rsidRPr="005616AD" w:rsidRDefault="00AA4AC3" w:rsidP="00A81382">
      <w:pPr>
        <w:pStyle w:val="ListParagraph"/>
        <w:numPr>
          <w:ilvl w:val="0"/>
          <w:numId w:val="5"/>
        </w:numPr>
        <w:spacing w:after="120"/>
        <w:ind w:left="284" w:hanging="284"/>
        <w:rPr>
          <w:iCs/>
        </w:rPr>
      </w:pPr>
      <w:r>
        <w:rPr>
          <w:iCs/>
        </w:rPr>
        <w:t>déterminer l</w:t>
      </w:r>
      <w:r w:rsidR="00A81382" w:rsidRPr="005616AD">
        <w:rPr>
          <w:iCs/>
        </w:rPr>
        <w:t>es entités de l’Etat devant faire une déclaration en se basant</w:t>
      </w:r>
      <w:r w:rsidR="00CC6D88">
        <w:rPr>
          <w:iCs/>
        </w:rPr>
        <w:t xml:space="preserve"> sur</w:t>
      </w:r>
      <w:r w:rsidR="00A81382" w:rsidRPr="005616AD">
        <w:rPr>
          <w:iCs/>
        </w:rPr>
        <w:t xml:space="preserve"> le périmètre </w:t>
      </w:r>
      <w:r>
        <w:rPr>
          <w:iCs/>
        </w:rPr>
        <w:t>défini</w:t>
      </w:r>
      <w:r w:rsidRPr="005616AD">
        <w:rPr>
          <w:iCs/>
        </w:rPr>
        <w:t xml:space="preserve"> </w:t>
      </w:r>
      <w:r w:rsidR="00A81382" w:rsidRPr="005616AD">
        <w:rPr>
          <w:iCs/>
        </w:rPr>
        <w:t>des entreprises extractives et des flux de paiement</w:t>
      </w:r>
      <w:r w:rsidR="003A0B29">
        <w:rPr>
          <w:iCs/>
        </w:rPr>
        <w:t>s</w:t>
      </w:r>
      <w:r w:rsidR="00A81382" w:rsidRPr="005616AD">
        <w:rPr>
          <w:iCs/>
        </w:rPr>
        <w:t>.</w:t>
      </w:r>
    </w:p>
    <w:p w:rsidR="00A81382" w:rsidRPr="00A774DA" w:rsidRDefault="00A81382" w:rsidP="00A81382">
      <w:pPr>
        <w:rPr>
          <w:szCs w:val="20"/>
        </w:rPr>
      </w:pPr>
      <w:r w:rsidRPr="00A774DA">
        <w:rPr>
          <w:iCs/>
        </w:rPr>
        <w:t>.</w:t>
      </w:r>
    </w:p>
    <w:p w:rsidR="00A81382" w:rsidRPr="00A774DA" w:rsidRDefault="00A81382" w:rsidP="00512473">
      <w:pPr>
        <w:spacing w:after="0"/>
        <w:jc w:val="left"/>
        <w:rPr>
          <w:color w:val="FFFFFF"/>
          <w:kern w:val="32"/>
          <w:lang w:bidi="ar-TN"/>
        </w:rPr>
      </w:pPr>
      <w:bookmarkStart w:id="9" w:name="_Toc373673699"/>
      <w:bookmarkStart w:id="10" w:name="_Toc429359772"/>
      <w:r w:rsidRPr="00A774DA">
        <w:rPr>
          <w:color w:val="FFFFFF"/>
          <w:kern w:val="32"/>
          <w:lang w:bidi="ar-TN"/>
        </w:rPr>
        <w:t>Contexte des Industries Extractives</w:t>
      </w:r>
      <w:bookmarkEnd w:id="9"/>
      <w:bookmarkEnd w:id="10"/>
    </w:p>
    <w:p w:rsidR="00A81382" w:rsidRPr="000022F4" w:rsidRDefault="00A81382" w:rsidP="00A81382">
      <w:pPr>
        <w:spacing w:after="120"/>
        <w:rPr>
          <w:sz w:val="10"/>
          <w:lang w:bidi="ar-TN"/>
        </w:rPr>
      </w:pPr>
    </w:p>
    <w:p w:rsidR="00A81382" w:rsidRPr="00A774DA" w:rsidRDefault="00A81382" w:rsidP="00A81382">
      <w:pPr>
        <w:pStyle w:val="Heading2"/>
        <w:numPr>
          <w:ilvl w:val="1"/>
          <w:numId w:val="2"/>
        </w:numPr>
        <w:shd w:val="clear" w:color="auto" w:fill="BFBFBF"/>
        <w:ind w:hanging="720"/>
        <w:rPr>
          <w:sz w:val="24"/>
          <w:szCs w:val="24"/>
        </w:rPr>
      </w:pPr>
      <w:bookmarkStart w:id="11" w:name="_Toc429359773"/>
      <w:bookmarkStart w:id="12" w:name="_Toc451431096"/>
      <w:r w:rsidRPr="00A774DA">
        <w:rPr>
          <w:sz w:val="24"/>
          <w:szCs w:val="24"/>
        </w:rPr>
        <w:t>Industries Extractives</w:t>
      </w:r>
      <w:bookmarkEnd w:id="11"/>
      <w:r w:rsidR="009A1B0B">
        <w:rPr>
          <w:sz w:val="24"/>
          <w:szCs w:val="24"/>
        </w:rPr>
        <w:t xml:space="preserve"> concernées</w:t>
      </w:r>
      <w:bookmarkEnd w:id="12"/>
    </w:p>
    <w:p w:rsidR="00A81382" w:rsidRPr="00A774DA" w:rsidRDefault="00A81382" w:rsidP="00A81382">
      <w:pPr>
        <w:spacing w:after="120"/>
        <w:rPr>
          <w:color w:val="000000"/>
          <w:szCs w:val="20"/>
          <w:lang w:eastAsia="fr-FR"/>
        </w:rPr>
      </w:pPr>
      <w:r w:rsidRPr="00A774DA">
        <w:rPr>
          <w:color w:val="000000"/>
          <w:szCs w:val="20"/>
          <w:lang w:eastAsia="fr-FR"/>
        </w:rPr>
        <w:t>Les industr</w:t>
      </w:r>
      <w:r w:rsidR="00E075E8">
        <w:rPr>
          <w:color w:val="000000"/>
          <w:szCs w:val="20"/>
          <w:lang w:eastAsia="fr-FR"/>
        </w:rPr>
        <w:t xml:space="preserve">ies extractives couvertes par le </w:t>
      </w:r>
      <w:r w:rsidRPr="00A774DA">
        <w:rPr>
          <w:color w:val="000000"/>
          <w:szCs w:val="20"/>
          <w:lang w:eastAsia="fr-FR"/>
        </w:rPr>
        <w:t xml:space="preserve"> présent</w:t>
      </w:r>
      <w:r w:rsidR="00E075E8">
        <w:rPr>
          <w:color w:val="000000"/>
          <w:szCs w:val="20"/>
          <w:lang w:eastAsia="fr-FR"/>
        </w:rPr>
        <w:t xml:space="preserve"> rapport</w:t>
      </w:r>
      <w:r w:rsidRPr="00A774DA">
        <w:rPr>
          <w:color w:val="000000"/>
          <w:szCs w:val="20"/>
          <w:lang w:eastAsia="fr-FR"/>
        </w:rPr>
        <w:t xml:space="preserve"> incluent :</w:t>
      </w:r>
    </w:p>
    <w:p w:rsidR="00A81382" w:rsidRPr="00A774DA" w:rsidRDefault="00A81382" w:rsidP="00A81382">
      <w:pPr>
        <w:numPr>
          <w:ilvl w:val="0"/>
          <w:numId w:val="4"/>
        </w:numPr>
        <w:spacing w:after="120"/>
        <w:ind w:left="284" w:hanging="284"/>
        <w:rPr>
          <w:szCs w:val="20"/>
        </w:rPr>
      </w:pPr>
      <w:r w:rsidRPr="00A774DA">
        <w:rPr>
          <w:szCs w:val="20"/>
        </w:rPr>
        <w:t>le secteur des hydrocarbures; et</w:t>
      </w:r>
    </w:p>
    <w:p w:rsidR="00572909" w:rsidRDefault="004D0BD6" w:rsidP="00A81382">
      <w:pPr>
        <w:numPr>
          <w:ilvl w:val="0"/>
          <w:numId w:val="4"/>
        </w:numPr>
        <w:ind w:left="284" w:hanging="284"/>
        <w:rPr>
          <w:szCs w:val="20"/>
        </w:rPr>
      </w:pPr>
      <w:r>
        <w:rPr>
          <w:szCs w:val="20"/>
        </w:rPr>
        <w:t>le secteur minier.</w:t>
      </w:r>
    </w:p>
    <w:p w:rsidR="00A81382" w:rsidRPr="00A774DA" w:rsidRDefault="00572909" w:rsidP="00572909">
      <w:pPr>
        <w:ind w:left="284"/>
        <w:rPr>
          <w:szCs w:val="20"/>
        </w:rPr>
      </w:pPr>
      <w:r w:rsidRPr="00572909">
        <w:rPr>
          <w:b/>
          <w:szCs w:val="20"/>
        </w:rPr>
        <w:t>N.B.</w:t>
      </w:r>
      <w:r>
        <w:rPr>
          <w:szCs w:val="20"/>
        </w:rPr>
        <w:t>: L</w:t>
      </w:r>
      <w:r w:rsidR="00A81382" w:rsidRPr="00A774DA">
        <w:rPr>
          <w:szCs w:val="20"/>
        </w:rPr>
        <w:t xml:space="preserve">’activité artisanale </w:t>
      </w:r>
      <w:r>
        <w:rPr>
          <w:szCs w:val="20"/>
        </w:rPr>
        <w:t xml:space="preserve">qui </w:t>
      </w:r>
      <w:r w:rsidR="00A81382" w:rsidRPr="00A774DA">
        <w:rPr>
          <w:szCs w:val="20"/>
        </w:rPr>
        <w:t>n’est pas couverte p</w:t>
      </w:r>
      <w:r w:rsidR="001A470D">
        <w:rPr>
          <w:szCs w:val="20"/>
        </w:rPr>
        <w:t>ar les termes de référence du</w:t>
      </w:r>
      <w:r w:rsidR="00A81382" w:rsidRPr="00A774DA">
        <w:rPr>
          <w:szCs w:val="20"/>
        </w:rPr>
        <w:t xml:space="preserve"> présent</w:t>
      </w:r>
      <w:r w:rsidR="001A470D">
        <w:rPr>
          <w:szCs w:val="20"/>
        </w:rPr>
        <w:t xml:space="preserve"> rapport</w:t>
      </w:r>
      <w:r>
        <w:rPr>
          <w:szCs w:val="20"/>
        </w:rPr>
        <w:t xml:space="preserve"> n'en fait pas partie</w:t>
      </w:r>
      <w:r w:rsidR="00A81382" w:rsidRPr="00A774DA">
        <w:rPr>
          <w:szCs w:val="20"/>
        </w:rPr>
        <w:t>.</w:t>
      </w:r>
      <w:r>
        <w:rPr>
          <w:szCs w:val="20"/>
        </w:rPr>
        <w:t xml:space="preserve"> Le Comité Exécutif a résolu que le rapport pilote du secteur artisanal soit publié en </w:t>
      </w:r>
      <w:r w:rsidR="00A81382" w:rsidRPr="00A774DA">
        <w:rPr>
          <w:szCs w:val="20"/>
        </w:rPr>
        <w:t xml:space="preserve"> </w:t>
      </w:r>
      <w:r>
        <w:rPr>
          <w:szCs w:val="20"/>
        </w:rPr>
        <w:t>2017.</w:t>
      </w:r>
    </w:p>
    <w:p w:rsidR="00A81382" w:rsidRPr="00A774DA" w:rsidRDefault="00A81382" w:rsidP="00A81382">
      <w:pPr>
        <w:pStyle w:val="Heading2"/>
        <w:numPr>
          <w:ilvl w:val="1"/>
          <w:numId w:val="2"/>
        </w:numPr>
        <w:shd w:val="clear" w:color="auto" w:fill="BFBFBF"/>
        <w:ind w:hanging="720"/>
        <w:rPr>
          <w:rFonts w:cs="Arial"/>
          <w:sz w:val="24"/>
          <w:szCs w:val="24"/>
        </w:rPr>
      </w:pPr>
      <w:bookmarkStart w:id="13" w:name="_Toc429359774"/>
      <w:bookmarkStart w:id="14" w:name="_Toc451431097"/>
      <w:r w:rsidRPr="00A774DA">
        <w:rPr>
          <w:rFonts w:cs="Arial"/>
          <w:sz w:val="24"/>
          <w:szCs w:val="24"/>
        </w:rPr>
        <w:t xml:space="preserve">Cadre réglementaire du secteur </w:t>
      </w:r>
      <w:bookmarkEnd w:id="13"/>
      <w:r w:rsidR="004D0BD6">
        <w:rPr>
          <w:rFonts w:cs="Arial"/>
          <w:sz w:val="24"/>
          <w:szCs w:val="24"/>
        </w:rPr>
        <w:t>extractif</w:t>
      </w:r>
      <w:bookmarkEnd w:id="14"/>
    </w:p>
    <w:p w:rsidR="004D0BD6" w:rsidRDefault="004D0BD6" w:rsidP="00A81382">
      <w:pPr>
        <w:pStyle w:val="Heading3"/>
        <w:numPr>
          <w:ilvl w:val="2"/>
          <w:numId w:val="2"/>
        </w:numPr>
        <w:tabs>
          <w:tab w:val="left" w:pos="800"/>
        </w:tabs>
        <w:ind w:left="800" w:hanging="800"/>
        <w:rPr>
          <w:rFonts w:cs="Arial"/>
          <w:b/>
          <w:bCs w:val="0"/>
          <w:i w:val="0"/>
          <w:iCs w:val="0"/>
          <w:color w:val="0070C0"/>
        </w:rPr>
      </w:pPr>
      <w:r>
        <w:rPr>
          <w:rFonts w:cs="Arial"/>
          <w:b/>
          <w:bCs w:val="0"/>
          <w:i w:val="0"/>
          <w:iCs w:val="0"/>
          <w:color w:val="0070C0"/>
        </w:rPr>
        <w:t>Le secteur des hydrocarbures</w:t>
      </w:r>
    </w:p>
    <w:p w:rsidR="00A81382" w:rsidRPr="00A774DA" w:rsidRDefault="00A81382" w:rsidP="007B0F6C">
      <w:pPr>
        <w:pStyle w:val="Heading3"/>
        <w:numPr>
          <w:ilvl w:val="0"/>
          <w:numId w:val="38"/>
        </w:numPr>
        <w:tabs>
          <w:tab w:val="left" w:pos="800"/>
        </w:tabs>
        <w:rPr>
          <w:rFonts w:cs="Arial"/>
          <w:b/>
          <w:bCs w:val="0"/>
          <w:i w:val="0"/>
          <w:iCs w:val="0"/>
          <w:color w:val="0070C0"/>
        </w:rPr>
      </w:pPr>
      <w:r w:rsidRPr="00A774DA">
        <w:rPr>
          <w:rFonts w:cs="Arial"/>
          <w:b/>
          <w:bCs w:val="0"/>
          <w:i w:val="0"/>
          <w:iCs w:val="0"/>
          <w:color w:val="0070C0"/>
        </w:rPr>
        <w:t xml:space="preserve">Contexte général du secteur des hydrocarbures </w:t>
      </w:r>
    </w:p>
    <w:p w:rsidR="00A81382" w:rsidRPr="00A774DA" w:rsidRDefault="00A81382" w:rsidP="000022F4">
      <w:pPr>
        <w:spacing w:after="0"/>
        <w:rPr>
          <w:szCs w:val="20"/>
        </w:rPr>
      </w:pPr>
      <w:r w:rsidRPr="00A774DA">
        <w:rPr>
          <w:szCs w:val="20"/>
        </w:rPr>
        <w:t xml:space="preserve">La République Démocratique du Congo compte parmi les pays africains qui regorgent d'un potentiel important en pétrole, dont une infime partie seulement est exploitée à </w:t>
      </w:r>
      <w:r w:rsidR="00894C1D">
        <w:rPr>
          <w:szCs w:val="20"/>
        </w:rPr>
        <w:t>Mo</w:t>
      </w:r>
      <w:r w:rsidR="0088065A">
        <w:rPr>
          <w:szCs w:val="20"/>
        </w:rPr>
        <w:t>anda dans le K</w:t>
      </w:r>
      <w:r w:rsidRPr="00A774DA">
        <w:rPr>
          <w:szCs w:val="20"/>
        </w:rPr>
        <w:t>ongo</w:t>
      </w:r>
      <w:r w:rsidR="0088065A">
        <w:rPr>
          <w:szCs w:val="20"/>
        </w:rPr>
        <w:t xml:space="preserve"> Central</w:t>
      </w:r>
      <w:r w:rsidRPr="00A774DA">
        <w:rPr>
          <w:szCs w:val="20"/>
        </w:rPr>
        <w:t xml:space="preserve"> par le groupe </w:t>
      </w:r>
      <w:proofErr w:type="spellStart"/>
      <w:r w:rsidRPr="00A774DA">
        <w:rPr>
          <w:szCs w:val="20"/>
        </w:rPr>
        <w:t>Perenco</w:t>
      </w:r>
      <w:proofErr w:type="spellEnd"/>
      <w:r w:rsidRPr="00A774DA">
        <w:rPr>
          <w:szCs w:val="20"/>
        </w:rPr>
        <w:t xml:space="preserve"> à travers ses filiales (PERENCOREP, LIREX et MIOC) qui est aujourd'hui l'unique opérateur dans la production pétrolière en République Démocratique du Congo.</w:t>
      </w:r>
    </w:p>
    <w:p w:rsidR="008D577A" w:rsidRDefault="00A81382" w:rsidP="000022F4">
      <w:pPr>
        <w:spacing w:after="0"/>
        <w:rPr>
          <w:szCs w:val="20"/>
        </w:rPr>
      </w:pPr>
      <w:r w:rsidRPr="00A774DA">
        <w:rPr>
          <w:szCs w:val="20"/>
        </w:rPr>
        <w:t>Une réserve potentielle de 1.3 milliards de barils de</w:t>
      </w:r>
      <w:r w:rsidR="004928BB">
        <w:rPr>
          <w:szCs w:val="20"/>
        </w:rPr>
        <w:t xml:space="preserve"> pétrole a été découverte du</w:t>
      </w:r>
      <w:r w:rsidRPr="00A774DA">
        <w:rPr>
          <w:szCs w:val="20"/>
        </w:rPr>
        <w:t xml:space="preserve"> côté ougandais du Graben Albertine. </w:t>
      </w:r>
      <w:r w:rsidR="00B929F2">
        <w:rPr>
          <w:szCs w:val="20"/>
        </w:rPr>
        <w:t>Selon le Secrétariat Général aux Hydrocarbures, d</w:t>
      </w:r>
      <w:r w:rsidRPr="00A774DA">
        <w:rPr>
          <w:szCs w:val="20"/>
        </w:rPr>
        <w:t>es études et recherches préliminaires indiquent qu’une quantité comparable de pétrole inexploité</w:t>
      </w:r>
      <w:r>
        <w:rPr>
          <w:szCs w:val="20"/>
        </w:rPr>
        <w:t>e</w:t>
      </w:r>
      <w:r w:rsidRPr="00A774DA">
        <w:rPr>
          <w:szCs w:val="20"/>
        </w:rPr>
        <w:t xml:space="preserve"> réside dans les blocs I et II.</w:t>
      </w:r>
    </w:p>
    <w:p w:rsidR="00A81382" w:rsidRPr="00A774DA" w:rsidRDefault="00A81382" w:rsidP="00A81382">
      <w:pPr>
        <w:rPr>
          <w:szCs w:val="20"/>
        </w:rPr>
      </w:pPr>
      <w:r w:rsidRPr="00A774DA">
        <w:rPr>
          <w:szCs w:val="20"/>
        </w:rPr>
        <w:t>Le potentiel pétrolier congolais est actue</w:t>
      </w:r>
      <w:r w:rsidR="00F20790">
        <w:rPr>
          <w:szCs w:val="20"/>
        </w:rPr>
        <w:t xml:space="preserve">llement réparti en 5 bassins : </w:t>
      </w:r>
    </w:p>
    <w:p w:rsidR="00A81382" w:rsidRPr="00E94DC2" w:rsidRDefault="00A81382" w:rsidP="007B0F6C">
      <w:pPr>
        <w:pStyle w:val="ListParagraph"/>
        <w:numPr>
          <w:ilvl w:val="0"/>
          <w:numId w:val="42"/>
        </w:numPr>
        <w:rPr>
          <w:szCs w:val="20"/>
          <w:u w:val="single"/>
        </w:rPr>
      </w:pPr>
      <w:r w:rsidRPr="00E94DC2">
        <w:rPr>
          <w:szCs w:val="20"/>
          <w:u w:val="single"/>
        </w:rPr>
        <w:t>Le bassin côtier</w:t>
      </w:r>
    </w:p>
    <w:p w:rsidR="00A81382" w:rsidRPr="00A774DA" w:rsidRDefault="00A81382" w:rsidP="00A81382">
      <w:pPr>
        <w:rPr>
          <w:szCs w:val="20"/>
          <w:u w:val="single"/>
        </w:rPr>
      </w:pPr>
      <w:r w:rsidRPr="00A774DA">
        <w:rPr>
          <w:szCs w:val="20"/>
        </w:rPr>
        <w:lastRenderedPageBreak/>
        <w:t>Le littoral est exploité par les sociétés MIOC, TEIKOKU, CHEVRON ODS, MIOC étant l’opérateur. Les champs terrestres sont exploités par PERENCO REP (54,55%) et LIREX (45,45%). PERENCO-REP est l’opérateur et l’Entreprise Nationale COHYDRO détient 15% dans LIREX.</w:t>
      </w:r>
    </w:p>
    <w:p w:rsidR="00A81382" w:rsidRDefault="00A81382" w:rsidP="00A81382">
      <w:pPr>
        <w:rPr>
          <w:szCs w:val="20"/>
        </w:rPr>
      </w:pPr>
      <w:r w:rsidRPr="00A774DA">
        <w:rPr>
          <w:szCs w:val="20"/>
        </w:rPr>
        <w:t xml:space="preserve">Le reste du bassin côtier est délimité en 4 blocs pétroliers on-shore comme suit : </w:t>
      </w:r>
    </w:p>
    <w:p w:rsidR="00512473" w:rsidRPr="00A774DA" w:rsidRDefault="00512473" w:rsidP="00A81382">
      <w:pPr>
        <w:rPr>
          <w:szCs w:val="20"/>
        </w:rPr>
      </w:pPr>
    </w:p>
    <w:tbl>
      <w:tblPr>
        <w:tblW w:w="5000" w:type="pct"/>
        <w:tblLayout w:type="fixed"/>
        <w:tblCellMar>
          <w:left w:w="70" w:type="dxa"/>
          <w:right w:w="70" w:type="dxa"/>
        </w:tblCellMar>
        <w:tblLook w:val="04A0" w:firstRow="1" w:lastRow="0" w:firstColumn="1" w:lastColumn="0" w:noHBand="0" w:noVBand="1"/>
      </w:tblPr>
      <w:tblGrid>
        <w:gridCol w:w="1978"/>
        <w:gridCol w:w="1753"/>
        <w:gridCol w:w="2340"/>
        <w:gridCol w:w="3141"/>
      </w:tblGrid>
      <w:tr w:rsidR="00A81382" w:rsidRPr="00A774DA" w:rsidTr="00E514F4">
        <w:trPr>
          <w:trHeight w:val="300"/>
          <w:tblHeader/>
        </w:trPr>
        <w:tc>
          <w:tcPr>
            <w:tcW w:w="1073" w:type="pct"/>
            <w:tcBorders>
              <w:top w:val="nil"/>
              <w:left w:val="nil"/>
              <w:bottom w:val="single" w:sz="4" w:space="0" w:color="4F81BD" w:themeColor="accent1"/>
              <w:right w:val="nil"/>
            </w:tcBorders>
            <w:shd w:val="clear" w:color="000000" w:fill="16365C"/>
            <w:vAlign w:val="center"/>
            <w:hideMark/>
          </w:tcPr>
          <w:p w:rsidR="00A81382" w:rsidRPr="00A774DA" w:rsidRDefault="00A81382" w:rsidP="00E514F4">
            <w:pPr>
              <w:spacing w:after="0"/>
              <w:jc w:val="center"/>
              <w:rPr>
                <w:b/>
                <w:color w:val="FFFFFF"/>
                <w:sz w:val="16"/>
                <w:szCs w:val="16"/>
                <w:lang w:eastAsia="fr-FR"/>
              </w:rPr>
            </w:pPr>
            <w:r w:rsidRPr="00A774DA">
              <w:rPr>
                <w:b/>
                <w:color w:val="FFFFFF"/>
                <w:sz w:val="16"/>
                <w:szCs w:val="16"/>
                <w:lang w:eastAsia="fr-FR"/>
              </w:rPr>
              <w:t>Blocs</w:t>
            </w:r>
          </w:p>
        </w:tc>
        <w:tc>
          <w:tcPr>
            <w:tcW w:w="951" w:type="pct"/>
            <w:tcBorders>
              <w:top w:val="nil"/>
              <w:left w:val="nil"/>
              <w:bottom w:val="single" w:sz="4" w:space="0" w:color="4F81BD" w:themeColor="accent1"/>
              <w:right w:val="nil"/>
            </w:tcBorders>
            <w:shd w:val="clear" w:color="000000" w:fill="16365C"/>
            <w:vAlign w:val="center"/>
            <w:hideMark/>
          </w:tcPr>
          <w:p w:rsidR="00A81382" w:rsidRPr="00A774DA" w:rsidRDefault="00A81382" w:rsidP="00E514F4">
            <w:pPr>
              <w:spacing w:after="0"/>
              <w:jc w:val="center"/>
              <w:rPr>
                <w:b/>
                <w:color w:val="FFFFFF"/>
                <w:sz w:val="16"/>
                <w:szCs w:val="16"/>
                <w:lang w:eastAsia="fr-FR"/>
              </w:rPr>
            </w:pPr>
            <w:r w:rsidRPr="00A774DA">
              <w:rPr>
                <w:b/>
                <w:color w:val="FFFFFF"/>
                <w:sz w:val="16"/>
                <w:szCs w:val="16"/>
                <w:lang w:eastAsia="fr-FR"/>
              </w:rPr>
              <w:t>Association</w:t>
            </w:r>
          </w:p>
        </w:tc>
        <w:tc>
          <w:tcPr>
            <w:tcW w:w="1270" w:type="pct"/>
            <w:tcBorders>
              <w:top w:val="nil"/>
              <w:left w:val="nil"/>
              <w:bottom w:val="single" w:sz="4" w:space="0" w:color="4F81BD" w:themeColor="accent1"/>
              <w:right w:val="nil"/>
            </w:tcBorders>
            <w:shd w:val="clear" w:color="000000" w:fill="16365C"/>
            <w:vAlign w:val="center"/>
            <w:hideMark/>
          </w:tcPr>
          <w:p w:rsidR="00A81382" w:rsidRPr="00A774DA" w:rsidRDefault="00A81382" w:rsidP="00E514F4">
            <w:pPr>
              <w:spacing w:after="0"/>
              <w:jc w:val="center"/>
              <w:rPr>
                <w:b/>
                <w:color w:val="FFFFFF"/>
                <w:sz w:val="16"/>
                <w:szCs w:val="16"/>
                <w:lang w:eastAsia="fr-FR"/>
              </w:rPr>
            </w:pPr>
            <w:r w:rsidRPr="00A774DA">
              <w:rPr>
                <w:b/>
                <w:color w:val="FFFFFF"/>
                <w:sz w:val="16"/>
                <w:szCs w:val="16"/>
                <w:lang w:eastAsia="fr-FR"/>
              </w:rPr>
              <w:t>Parts d’intérêt</w:t>
            </w:r>
          </w:p>
        </w:tc>
        <w:tc>
          <w:tcPr>
            <w:tcW w:w="1705" w:type="pct"/>
            <w:tcBorders>
              <w:top w:val="nil"/>
              <w:left w:val="nil"/>
              <w:bottom w:val="single" w:sz="4" w:space="0" w:color="4F81BD" w:themeColor="accent1"/>
              <w:right w:val="nil"/>
            </w:tcBorders>
            <w:shd w:val="clear" w:color="000000" w:fill="16365C"/>
            <w:vAlign w:val="center"/>
            <w:hideMark/>
          </w:tcPr>
          <w:p w:rsidR="00A81382" w:rsidRPr="00A774DA" w:rsidRDefault="00A81382" w:rsidP="00E514F4">
            <w:pPr>
              <w:spacing w:after="0"/>
              <w:jc w:val="center"/>
              <w:rPr>
                <w:b/>
                <w:color w:val="FFFFFF"/>
                <w:sz w:val="16"/>
                <w:szCs w:val="16"/>
                <w:lang w:eastAsia="fr-FR"/>
              </w:rPr>
            </w:pPr>
            <w:r w:rsidRPr="00A774DA">
              <w:rPr>
                <w:b/>
                <w:color w:val="FFFFFF"/>
                <w:sz w:val="16"/>
                <w:szCs w:val="16"/>
                <w:lang w:eastAsia="fr-FR"/>
              </w:rPr>
              <w:t>Etat des lieux</w:t>
            </w:r>
          </w:p>
        </w:tc>
      </w:tr>
      <w:tr w:rsidR="00A81382" w:rsidRPr="00A774DA" w:rsidTr="00E514F4">
        <w:trPr>
          <w:trHeight w:val="720"/>
        </w:trPr>
        <w:tc>
          <w:tcPr>
            <w:tcW w:w="1073" w:type="pct"/>
            <w:tcBorders>
              <w:top w:val="single" w:sz="4" w:space="0" w:color="4F81BD" w:themeColor="accent1"/>
              <w:left w:val="nil"/>
              <w:bottom w:val="single" w:sz="4" w:space="0" w:color="4F81BD" w:themeColor="accent1"/>
            </w:tcBorders>
            <w:shd w:val="clear" w:color="000000" w:fill="B8CCE4"/>
            <w:noWrap/>
            <w:vAlign w:val="center"/>
            <w:hideMark/>
          </w:tcPr>
          <w:p w:rsidR="00A81382" w:rsidRPr="00A774DA" w:rsidRDefault="00A81382" w:rsidP="00E514F4">
            <w:pPr>
              <w:spacing w:after="0"/>
              <w:jc w:val="center"/>
              <w:rPr>
                <w:bCs w:val="0"/>
                <w:color w:val="000000"/>
                <w:sz w:val="16"/>
                <w:szCs w:val="16"/>
                <w:lang w:eastAsia="fr-FR"/>
              </w:rPr>
            </w:pPr>
            <w:r w:rsidRPr="00A774DA">
              <w:rPr>
                <w:bCs w:val="0"/>
                <w:color w:val="000000"/>
                <w:sz w:val="16"/>
                <w:szCs w:val="16"/>
                <w:lang w:eastAsia="fr-FR"/>
              </w:rPr>
              <w:t>NGANZI</w:t>
            </w:r>
          </w:p>
        </w:tc>
        <w:tc>
          <w:tcPr>
            <w:tcW w:w="951" w:type="pct"/>
            <w:tcBorders>
              <w:top w:val="single" w:sz="4" w:space="0" w:color="4F81BD" w:themeColor="accent1"/>
              <w:bottom w:val="single" w:sz="4" w:space="0" w:color="4F81BD" w:themeColor="accent1"/>
            </w:tcBorders>
            <w:shd w:val="clear" w:color="000000" w:fill="B8CCE4"/>
            <w:vAlign w:val="center"/>
            <w:hideMark/>
          </w:tcPr>
          <w:p w:rsidR="00A81382" w:rsidRPr="00A774DA" w:rsidRDefault="00A81382" w:rsidP="00E514F4">
            <w:pPr>
              <w:spacing w:after="0"/>
              <w:jc w:val="left"/>
              <w:rPr>
                <w:bCs w:val="0"/>
                <w:color w:val="000000"/>
                <w:sz w:val="16"/>
                <w:szCs w:val="16"/>
                <w:lang w:eastAsia="fr-FR"/>
              </w:rPr>
            </w:pPr>
            <w:r w:rsidRPr="00A774DA">
              <w:rPr>
                <w:bCs w:val="0"/>
                <w:color w:val="000000"/>
                <w:sz w:val="16"/>
                <w:szCs w:val="16"/>
                <w:lang w:eastAsia="fr-FR"/>
              </w:rPr>
              <w:t>SOCO</w:t>
            </w:r>
            <w:r w:rsidRPr="00A774DA">
              <w:rPr>
                <w:bCs w:val="0"/>
                <w:color w:val="000000"/>
                <w:sz w:val="16"/>
                <w:szCs w:val="16"/>
                <w:lang w:eastAsia="fr-FR"/>
              </w:rPr>
              <w:br/>
              <w:t>INPEX</w:t>
            </w:r>
            <w:r w:rsidRPr="00A774DA">
              <w:rPr>
                <w:bCs w:val="0"/>
                <w:color w:val="000000"/>
                <w:sz w:val="16"/>
                <w:szCs w:val="16"/>
                <w:lang w:eastAsia="fr-FR"/>
              </w:rPr>
              <w:br/>
              <w:t xml:space="preserve">COHYDRO SA </w:t>
            </w:r>
          </w:p>
        </w:tc>
        <w:tc>
          <w:tcPr>
            <w:tcW w:w="1270" w:type="pct"/>
            <w:tcBorders>
              <w:top w:val="single" w:sz="4" w:space="0" w:color="4F81BD" w:themeColor="accent1"/>
              <w:bottom w:val="single" w:sz="4" w:space="0" w:color="4F81BD" w:themeColor="accent1"/>
            </w:tcBorders>
            <w:shd w:val="clear" w:color="000000" w:fill="B8CCE4"/>
            <w:vAlign w:val="center"/>
            <w:hideMark/>
          </w:tcPr>
          <w:p w:rsidR="00A81382" w:rsidRPr="00A774DA" w:rsidRDefault="00A81382" w:rsidP="00E514F4">
            <w:pPr>
              <w:spacing w:after="0"/>
              <w:jc w:val="center"/>
              <w:rPr>
                <w:bCs w:val="0"/>
                <w:color w:val="000000"/>
                <w:sz w:val="16"/>
                <w:szCs w:val="16"/>
                <w:lang w:eastAsia="fr-FR"/>
              </w:rPr>
            </w:pPr>
            <w:r w:rsidRPr="00A774DA">
              <w:rPr>
                <w:bCs w:val="0"/>
                <w:color w:val="000000"/>
                <w:sz w:val="16"/>
                <w:szCs w:val="16"/>
                <w:lang w:eastAsia="fr-FR"/>
              </w:rPr>
              <w:t>-</w:t>
            </w:r>
          </w:p>
        </w:tc>
        <w:tc>
          <w:tcPr>
            <w:tcW w:w="1705" w:type="pct"/>
            <w:tcBorders>
              <w:top w:val="single" w:sz="4" w:space="0" w:color="4F81BD" w:themeColor="accent1"/>
              <w:bottom w:val="single" w:sz="4" w:space="0" w:color="4F81BD" w:themeColor="accent1"/>
              <w:right w:val="nil"/>
            </w:tcBorders>
            <w:shd w:val="clear" w:color="000000" w:fill="B8CCE4"/>
            <w:vAlign w:val="center"/>
            <w:hideMark/>
          </w:tcPr>
          <w:p w:rsidR="00A81382" w:rsidRPr="00A774DA" w:rsidRDefault="00A81382" w:rsidP="00E514F4">
            <w:pPr>
              <w:spacing w:after="0"/>
              <w:jc w:val="left"/>
              <w:rPr>
                <w:bCs w:val="0"/>
                <w:color w:val="000000"/>
                <w:sz w:val="16"/>
                <w:szCs w:val="16"/>
                <w:lang w:eastAsia="fr-FR"/>
              </w:rPr>
            </w:pPr>
            <w:r w:rsidRPr="00A774DA">
              <w:rPr>
                <w:bCs w:val="0"/>
                <w:color w:val="000000"/>
                <w:sz w:val="16"/>
                <w:szCs w:val="16"/>
                <w:lang w:eastAsia="fr-FR"/>
              </w:rPr>
              <w:t>Le bloc est abandonné depuis 2013 et rendu à l’Etat congolais.</w:t>
            </w:r>
          </w:p>
        </w:tc>
      </w:tr>
      <w:tr w:rsidR="00A81382" w:rsidRPr="00A774DA" w:rsidTr="00E514F4">
        <w:trPr>
          <w:trHeight w:val="2160"/>
        </w:trPr>
        <w:tc>
          <w:tcPr>
            <w:tcW w:w="1073" w:type="pct"/>
            <w:tcBorders>
              <w:top w:val="single" w:sz="4" w:space="0" w:color="4F81BD" w:themeColor="accent1"/>
              <w:left w:val="nil"/>
              <w:bottom w:val="single" w:sz="4" w:space="0" w:color="4F81BD" w:themeColor="accent1"/>
            </w:tcBorders>
            <w:shd w:val="clear" w:color="auto" w:fill="auto"/>
            <w:noWrap/>
            <w:vAlign w:val="center"/>
            <w:hideMark/>
          </w:tcPr>
          <w:p w:rsidR="00A81382" w:rsidRPr="00A774DA" w:rsidRDefault="00A81382" w:rsidP="00E514F4">
            <w:pPr>
              <w:spacing w:after="0"/>
              <w:jc w:val="center"/>
              <w:rPr>
                <w:bCs w:val="0"/>
                <w:color w:val="000000"/>
                <w:sz w:val="16"/>
                <w:szCs w:val="16"/>
                <w:lang w:eastAsia="fr-FR"/>
              </w:rPr>
            </w:pPr>
            <w:r w:rsidRPr="00A774DA">
              <w:rPr>
                <w:bCs w:val="0"/>
                <w:color w:val="000000"/>
                <w:sz w:val="16"/>
                <w:szCs w:val="16"/>
                <w:lang w:eastAsia="fr-FR"/>
              </w:rPr>
              <w:t>YEMA / MATAMBA-MANKANZI</w:t>
            </w:r>
          </w:p>
        </w:tc>
        <w:tc>
          <w:tcPr>
            <w:tcW w:w="951" w:type="pct"/>
            <w:tcBorders>
              <w:top w:val="single" w:sz="4" w:space="0" w:color="4F81BD" w:themeColor="accent1"/>
              <w:bottom w:val="single" w:sz="4" w:space="0" w:color="4F81BD" w:themeColor="accent1"/>
            </w:tcBorders>
            <w:shd w:val="clear" w:color="auto" w:fill="auto"/>
            <w:vAlign w:val="center"/>
            <w:hideMark/>
          </w:tcPr>
          <w:p w:rsidR="00A81382" w:rsidRPr="00A774DA" w:rsidRDefault="00A81382" w:rsidP="00E514F4">
            <w:pPr>
              <w:spacing w:after="0"/>
              <w:jc w:val="left"/>
              <w:rPr>
                <w:bCs w:val="0"/>
                <w:color w:val="000000"/>
                <w:sz w:val="16"/>
                <w:szCs w:val="16"/>
                <w:lang w:eastAsia="fr-FR"/>
              </w:rPr>
            </w:pPr>
            <w:r w:rsidRPr="00A774DA">
              <w:rPr>
                <w:bCs w:val="0"/>
                <w:color w:val="000000"/>
                <w:sz w:val="16"/>
                <w:szCs w:val="16"/>
                <w:lang w:eastAsia="fr-FR"/>
              </w:rPr>
              <w:t>SURESTREAM RDC</w:t>
            </w:r>
            <w:r w:rsidRPr="00A774DA">
              <w:rPr>
                <w:bCs w:val="0"/>
                <w:color w:val="000000"/>
                <w:sz w:val="16"/>
                <w:szCs w:val="16"/>
                <w:lang w:eastAsia="fr-FR"/>
              </w:rPr>
              <w:br/>
              <w:t>COHYDRO SA</w:t>
            </w:r>
            <w:r w:rsidRPr="00A774DA">
              <w:rPr>
                <w:bCs w:val="0"/>
                <w:color w:val="000000"/>
                <w:sz w:val="16"/>
                <w:szCs w:val="16"/>
                <w:lang w:eastAsia="fr-FR"/>
              </w:rPr>
              <w:br/>
              <w:t>SOGEMIP</w:t>
            </w:r>
          </w:p>
        </w:tc>
        <w:tc>
          <w:tcPr>
            <w:tcW w:w="1270" w:type="pct"/>
            <w:tcBorders>
              <w:top w:val="single" w:sz="4" w:space="0" w:color="4F81BD" w:themeColor="accent1"/>
              <w:bottom w:val="single" w:sz="4" w:space="0" w:color="4F81BD" w:themeColor="accent1"/>
            </w:tcBorders>
            <w:shd w:val="clear" w:color="auto" w:fill="auto"/>
            <w:vAlign w:val="center"/>
            <w:hideMark/>
          </w:tcPr>
          <w:p w:rsidR="00A81382" w:rsidRPr="00A774DA" w:rsidRDefault="00A81382" w:rsidP="00E514F4">
            <w:pPr>
              <w:spacing w:after="0"/>
              <w:jc w:val="left"/>
              <w:rPr>
                <w:bCs w:val="0"/>
                <w:color w:val="000000"/>
                <w:sz w:val="16"/>
                <w:szCs w:val="16"/>
                <w:lang w:eastAsia="fr-FR"/>
              </w:rPr>
            </w:pPr>
            <w:r w:rsidRPr="00A774DA">
              <w:rPr>
                <w:bCs w:val="0"/>
                <w:color w:val="000000"/>
                <w:sz w:val="16"/>
                <w:szCs w:val="16"/>
                <w:lang w:eastAsia="fr-FR"/>
              </w:rPr>
              <w:t>Initialement, les parts d’intérêt des parties s’établissaient comme suit </w:t>
            </w:r>
            <w:proofErr w:type="gramStart"/>
            <w:r w:rsidRPr="00A774DA">
              <w:rPr>
                <w:bCs w:val="0"/>
                <w:color w:val="000000"/>
                <w:sz w:val="16"/>
                <w:szCs w:val="16"/>
                <w:lang w:eastAsia="fr-FR"/>
              </w:rPr>
              <w:t>:</w:t>
            </w:r>
            <w:proofErr w:type="gramEnd"/>
            <w:r w:rsidRPr="00A774DA">
              <w:rPr>
                <w:bCs w:val="0"/>
                <w:color w:val="000000"/>
                <w:sz w:val="16"/>
                <w:szCs w:val="16"/>
                <w:lang w:eastAsia="fr-FR"/>
              </w:rPr>
              <w:br/>
            </w:r>
            <w:r w:rsidRPr="00A774DA">
              <w:rPr>
                <w:bCs w:val="0"/>
                <w:color w:val="000000"/>
                <w:sz w:val="16"/>
                <w:szCs w:val="16"/>
                <w:lang w:eastAsia="fr-FR"/>
              </w:rPr>
              <w:br/>
            </w:r>
            <w:r w:rsidRPr="000022F4">
              <w:rPr>
                <w:bCs w:val="0"/>
                <w:color w:val="000000"/>
                <w:sz w:val="16"/>
                <w:szCs w:val="16"/>
                <w:lang w:eastAsia="fr-FR"/>
              </w:rPr>
              <w:t>SURESTREAM RDC  : 43 %</w:t>
            </w:r>
            <w:r w:rsidRPr="000022F4">
              <w:rPr>
                <w:bCs w:val="0"/>
                <w:color w:val="000000"/>
                <w:sz w:val="16"/>
                <w:szCs w:val="16"/>
                <w:lang w:eastAsia="fr-FR"/>
              </w:rPr>
              <w:br/>
              <w:t>GLENCORE                : 42 %</w:t>
            </w:r>
            <w:r w:rsidRPr="000022F4">
              <w:rPr>
                <w:bCs w:val="0"/>
                <w:color w:val="000000"/>
                <w:sz w:val="16"/>
                <w:szCs w:val="16"/>
                <w:lang w:eastAsia="fr-FR"/>
              </w:rPr>
              <w:br/>
              <w:t>COHYDRO  SA           :   8 %</w:t>
            </w:r>
            <w:r w:rsidRPr="000022F4">
              <w:rPr>
                <w:bCs w:val="0"/>
                <w:color w:val="000000"/>
                <w:sz w:val="16"/>
                <w:szCs w:val="16"/>
                <w:lang w:eastAsia="fr-FR"/>
              </w:rPr>
              <w:br/>
              <w:t>IBOS (SOGEMIP)       :    7 %</w:t>
            </w:r>
          </w:p>
        </w:tc>
        <w:tc>
          <w:tcPr>
            <w:tcW w:w="1705" w:type="pct"/>
            <w:tcBorders>
              <w:top w:val="single" w:sz="4" w:space="0" w:color="4F81BD" w:themeColor="accent1"/>
              <w:bottom w:val="single" w:sz="4" w:space="0" w:color="4F81BD" w:themeColor="accent1"/>
              <w:right w:val="nil"/>
            </w:tcBorders>
            <w:shd w:val="clear" w:color="auto" w:fill="auto"/>
            <w:vAlign w:val="center"/>
            <w:hideMark/>
          </w:tcPr>
          <w:p w:rsidR="00A81382" w:rsidRPr="00A774DA" w:rsidRDefault="00A81382" w:rsidP="00E514F4">
            <w:pPr>
              <w:spacing w:after="0"/>
              <w:jc w:val="left"/>
              <w:rPr>
                <w:bCs w:val="0"/>
                <w:color w:val="000000"/>
                <w:sz w:val="16"/>
                <w:szCs w:val="16"/>
                <w:lang w:eastAsia="fr-FR"/>
              </w:rPr>
            </w:pPr>
            <w:r w:rsidRPr="00A774DA">
              <w:rPr>
                <w:bCs w:val="0"/>
                <w:color w:val="000000"/>
                <w:sz w:val="16"/>
                <w:szCs w:val="16"/>
                <w:lang w:eastAsia="fr-FR"/>
              </w:rPr>
              <w:t>En juin 2012, GLENCORE a annoncé sa décision de renoncer volontairement à sa part d’intérêt sur le permis et de se retirer de l’Association.</w:t>
            </w:r>
            <w:r w:rsidRPr="00A774DA">
              <w:rPr>
                <w:bCs w:val="0"/>
                <w:color w:val="000000"/>
                <w:sz w:val="16"/>
                <w:szCs w:val="16"/>
                <w:lang w:eastAsia="fr-FR"/>
              </w:rPr>
              <w:br/>
              <w:t xml:space="preserve">SOGEMIP a remplacé IBOS qui lui a cédé ses parts. </w:t>
            </w:r>
            <w:r w:rsidRPr="00A774DA">
              <w:rPr>
                <w:bCs w:val="0"/>
                <w:color w:val="000000"/>
                <w:sz w:val="16"/>
                <w:szCs w:val="16"/>
                <w:lang w:eastAsia="fr-FR"/>
              </w:rPr>
              <w:br/>
              <w:t xml:space="preserve">SURESTREAM RDC et COHYDRO SA ont exprimé leur droit de </w:t>
            </w:r>
            <w:r>
              <w:rPr>
                <w:bCs w:val="0"/>
                <w:color w:val="000000"/>
                <w:sz w:val="16"/>
                <w:szCs w:val="16"/>
                <w:lang w:eastAsia="fr-FR"/>
              </w:rPr>
              <w:t>p</w:t>
            </w:r>
            <w:r w:rsidRPr="00A774DA">
              <w:rPr>
                <w:bCs w:val="0"/>
                <w:color w:val="000000"/>
                <w:sz w:val="16"/>
                <w:szCs w:val="16"/>
                <w:lang w:eastAsia="fr-FR"/>
              </w:rPr>
              <w:t>réemption et ont amorcé des négociations relatives à la redistribution des parts d’intérêt suite au départ de GLENCORE.</w:t>
            </w:r>
            <w:r w:rsidRPr="00A774DA">
              <w:rPr>
                <w:bCs w:val="0"/>
                <w:color w:val="000000"/>
                <w:sz w:val="16"/>
                <w:szCs w:val="16"/>
                <w:lang w:eastAsia="fr-FR"/>
              </w:rPr>
              <w:br/>
              <w:t>Le permis a été renouvelé en 2014.</w:t>
            </w:r>
          </w:p>
        </w:tc>
      </w:tr>
      <w:tr w:rsidR="00A81382" w:rsidRPr="00A774DA" w:rsidTr="00E514F4">
        <w:trPr>
          <w:trHeight w:val="960"/>
        </w:trPr>
        <w:tc>
          <w:tcPr>
            <w:tcW w:w="1073" w:type="pct"/>
            <w:tcBorders>
              <w:top w:val="single" w:sz="4" w:space="0" w:color="4F81BD" w:themeColor="accent1"/>
              <w:left w:val="nil"/>
              <w:bottom w:val="single" w:sz="4" w:space="0" w:color="4F81BD" w:themeColor="accent1"/>
            </w:tcBorders>
            <w:shd w:val="clear" w:color="000000" w:fill="B8CCE4"/>
            <w:noWrap/>
            <w:vAlign w:val="center"/>
            <w:hideMark/>
          </w:tcPr>
          <w:p w:rsidR="00A81382" w:rsidRPr="00A774DA" w:rsidRDefault="00A81382" w:rsidP="00E514F4">
            <w:pPr>
              <w:spacing w:after="0"/>
              <w:jc w:val="center"/>
              <w:rPr>
                <w:bCs w:val="0"/>
                <w:color w:val="000000"/>
                <w:sz w:val="16"/>
                <w:szCs w:val="16"/>
                <w:lang w:eastAsia="fr-FR"/>
              </w:rPr>
            </w:pPr>
            <w:r w:rsidRPr="00A774DA">
              <w:rPr>
                <w:bCs w:val="0"/>
                <w:color w:val="000000"/>
                <w:sz w:val="16"/>
                <w:szCs w:val="16"/>
                <w:lang w:eastAsia="fr-FR"/>
              </w:rPr>
              <w:t xml:space="preserve"> NDUNDA</w:t>
            </w:r>
          </w:p>
        </w:tc>
        <w:tc>
          <w:tcPr>
            <w:tcW w:w="951" w:type="pct"/>
            <w:tcBorders>
              <w:top w:val="single" w:sz="4" w:space="0" w:color="4F81BD" w:themeColor="accent1"/>
              <w:bottom w:val="single" w:sz="4" w:space="0" w:color="4F81BD" w:themeColor="accent1"/>
            </w:tcBorders>
            <w:shd w:val="clear" w:color="000000" w:fill="B8CCE4"/>
            <w:vAlign w:val="center"/>
            <w:hideMark/>
          </w:tcPr>
          <w:p w:rsidR="00A81382" w:rsidRPr="00A774DA" w:rsidRDefault="00A81382" w:rsidP="00E514F4">
            <w:pPr>
              <w:spacing w:after="0"/>
              <w:jc w:val="left"/>
              <w:rPr>
                <w:bCs w:val="0"/>
                <w:color w:val="000000"/>
                <w:sz w:val="16"/>
                <w:szCs w:val="16"/>
                <w:lang w:val="en-GB" w:eastAsia="fr-FR"/>
              </w:rPr>
            </w:pPr>
            <w:r w:rsidRPr="00A774DA">
              <w:rPr>
                <w:bCs w:val="0"/>
                <w:color w:val="000000"/>
                <w:sz w:val="16"/>
                <w:szCs w:val="16"/>
                <w:lang w:val="en-GB" w:eastAsia="fr-FR"/>
              </w:rPr>
              <w:t>ENI RD Congo</w:t>
            </w:r>
            <w:r w:rsidRPr="00A774DA">
              <w:rPr>
                <w:bCs w:val="0"/>
                <w:color w:val="000000"/>
                <w:sz w:val="16"/>
                <w:szCs w:val="16"/>
                <w:lang w:val="en-GB" w:eastAsia="fr-FR"/>
              </w:rPr>
              <w:br/>
              <w:t>SURESTREAM RDC</w:t>
            </w:r>
            <w:r w:rsidRPr="00A774DA">
              <w:rPr>
                <w:bCs w:val="0"/>
                <w:color w:val="000000"/>
                <w:sz w:val="16"/>
                <w:szCs w:val="16"/>
                <w:lang w:val="en-GB" w:eastAsia="fr-FR"/>
              </w:rPr>
              <w:br/>
              <w:t>COHYDRO</w:t>
            </w:r>
            <w:r w:rsidRPr="00A774DA">
              <w:rPr>
                <w:bCs w:val="0"/>
                <w:color w:val="000000"/>
                <w:sz w:val="16"/>
                <w:szCs w:val="16"/>
                <w:lang w:val="en-GB" w:eastAsia="fr-FR"/>
              </w:rPr>
              <w:br/>
              <w:t>IBOS</w:t>
            </w:r>
          </w:p>
        </w:tc>
        <w:tc>
          <w:tcPr>
            <w:tcW w:w="1270" w:type="pct"/>
            <w:tcBorders>
              <w:top w:val="single" w:sz="4" w:space="0" w:color="4F81BD" w:themeColor="accent1"/>
              <w:bottom w:val="single" w:sz="4" w:space="0" w:color="4F81BD" w:themeColor="accent1"/>
            </w:tcBorders>
            <w:shd w:val="clear" w:color="000000" w:fill="B8CCE4"/>
            <w:vAlign w:val="center"/>
            <w:hideMark/>
          </w:tcPr>
          <w:p w:rsidR="00A81382" w:rsidRPr="00572035" w:rsidRDefault="00A81382" w:rsidP="00E514F4">
            <w:pPr>
              <w:spacing w:after="0"/>
              <w:jc w:val="left"/>
              <w:rPr>
                <w:bCs w:val="0"/>
                <w:color w:val="000000"/>
                <w:sz w:val="16"/>
                <w:szCs w:val="16"/>
                <w:highlight w:val="yellow"/>
                <w:lang w:val="en-GB" w:eastAsia="fr-FR"/>
              </w:rPr>
            </w:pPr>
            <w:r w:rsidRPr="000022F4">
              <w:rPr>
                <w:bCs w:val="0"/>
                <w:color w:val="000000"/>
                <w:sz w:val="16"/>
                <w:szCs w:val="16"/>
                <w:lang w:val="en-GB" w:eastAsia="fr-FR"/>
              </w:rPr>
              <w:t xml:space="preserve">ENI RD </w:t>
            </w:r>
            <w:proofErr w:type="gramStart"/>
            <w:r w:rsidRPr="000022F4">
              <w:rPr>
                <w:bCs w:val="0"/>
                <w:color w:val="000000"/>
                <w:sz w:val="16"/>
                <w:szCs w:val="16"/>
                <w:lang w:val="en-GB" w:eastAsia="fr-FR"/>
              </w:rPr>
              <w:t>Congo             :</w:t>
            </w:r>
            <w:proofErr w:type="gramEnd"/>
            <w:r w:rsidRPr="000022F4">
              <w:rPr>
                <w:bCs w:val="0"/>
                <w:color w:val="000000"/>
                <w:sz w:val="16"/>
                <w:szCs w:val="16"/>
                <w:lang w:val="en-GB" w:eastAsia="fr-FR"/>
              </w:rPr>
              <w:t xml:space="preserve"> 55 %</w:t>
            </w:r>
            <w:r w:rsidRPr="000022F4">
              <w:rPr>
                <w:bCs w:val="0"/>
                <w:color w:val="000000"/>
                <w:sz w:val="16"/>
                <w:szCs w:val="16"/>
                <w:lang w:val="en-GB" w:eastAsia="fr-FR"/>
              </w:rPr>
              <w:br/>
              <w:t>SURESTREAM RDC   : 30 %</w:t>
            </w:r>
            <w:r w:rsidRPr="000022F4">
              <w:rPr>
                <w:bCs w:val="0"/>
                <w:color w:val="000000"/>
                <w:sz w:val="16"/>
                <w:szCs w:val="16"/>
                <w:lang w:val="en-GB" w:eastAsia="fr-FR"/>
              </w:rPr>
              <w:br/>
              <w:t>COHYDRO SA             :  8 %</w:t>
            </w:r>
            <w:r w:rsidRPr="000022F4">
              <w:rPr>
                <w:bCs w:val="0"/>
                <w:color w:val="000000"/>
                <w:sz w:val="16"/>
                <w:szCs w:val="16"/>
                <w:lang w:val="en-GB" w:eastAsia="fr-FR"/>
              </w:rPr>
              <w:br/>
              <w:t>IBOS                            :   7 %</w:t>
            </w:r>
          </w:p>
        </w:tc>
        <w:tc>
          <w:tcPr>
            <w:tcW w:w="1705" w:type="pct"/>
            <w:tcBorders>
              <w:top w:val="single" w:sz="4" w:space="0" w:color="4F81BD" w:themeColor="accent1"/>
              <w:bottom w:val="single" w:sz="4" w:space="0" w:color="4F81BD" w:themeColor="accent1"/>
              <w:right w:val="nil"/>
            </w:tcBorders>
            <w:shd w:val="clear" w:color="000000" w:fill="B8CCE4"/>
            <w:vAlign w:val="center"/>
            <w:hideMark/>
          </w:tcPr>
          <w:p w:rsidR="00A81382" w:rsidRPr="00A774DA" w:rsidRDefault="00A81382" w:rsidP="00E514F4">
            <w:pPr>
              <w:spacing w:after="0"/>
              <w:rPr>
                <w:bCs w:val="0"/>
                <w:color w:val="000000"/>
                <w:sz w:val="16"/>
                <w:szCs w:val="16"/>
                <w:lang w:eastAsia="fr-FR"/>
              </w:rPr>
            </w:pPr>
            <w:r w:rsidRPr="00A774DA">
              <w:rPr>
                <w:bCs w:val="0"/>
                <w:color w:val="000000"/>
                <w:sz w:val="16"/>
                <w:szCs w:val="16"/>
                <w:lang w:eastAsia="fr-FR"/>
              </w:rPr>
              <w:t xml:space="preserve">En attente de la signature de l’Avenant au CPP pour consacrer l’entrée d’ENI ainsi que la </w:t>
            </w:r>
            <w:r>
              <w:rPr>
                <w:bCs w:val="0"/>
                <w:color w:val="000000"/>
                <w:sz w:val="16"/>
                <w:szCs w:val="16"/>
                <w:lang w:eastAsia="fr-FR"/>
              </w:rPr>
              <w:t>c</w:t>
            </w:r>
            <w:r w:rsidRPr="00A774DA">
              <w:rPr>
                <w:bCs w:val="0"/>
                <w:color w:val="000000"/>
                <w:sz w:val="16"/>
                <w:szCs w:val="16"/>
                <w:lang w:eastAsia="fr-FR"/>
              </w:rPr>
              <w:t>ession des parts d’IBOS à SOGEMIP.</w:t>
            </w:r>
          </w:p>
          <w:p w:rsidR="00A81382" w:rsidRPr="00A774DA" w:rsidRDefault="00A81382" w:rsidP="00E514F4">
            <w:pPr>
              <w:spacing w:after="0"/>
              <w:rPr>
                <w:bCs w:val="0"/>
                <w:color w:val="000000"/>
                <w:sz w:val="16"/>
                <w:szCs w:val="16"/>
                <w:lang w:eastAsia="fr-FR"/>
              </w:rPr>
            </w:pPr>
            <w:r w:rsidRPr="00A774DA">
              <w:rPr>
                <w:bCs w:val="0"/>
                <w:color w:val="000000"/>
                <w:sz w:val="16"/>
                <w:szCs w:val="16"/>
                <w:lang w:eastAsia="fr-FR"/>
              </w:rPr>
              <w:t>Le 25 mars 2015 ENI RD Congo a annoncé sa décision de renoncer volontairement à sa part d'intérêt sur le permis et de se retirer de l'Association.</w:t>
            </w:r>
          </w:p>
        </w:tc>
      </w:tr>
      <w:tr w:rsidR="00A81382" w:rsidRPr="00A774DA" w:rsidTr="00E514F4">
        <w:trPr>
          <w:trHeight w:val="1680"/>
        </w:trPr>
        <w:tc>
          <w:tcPr>
            <w:tcW w:w="1073" w:type="pct"/>
            <w:tcBorders>
              <w:top w:val="single" w:sz="4" w:space="0" w:color="4F81BD" w:themeColor="accent1"/>
              <w:left w:val="nil"/>
              <w:bottom w:val="single" w:sz="4" w:space="0" w:color="4F81BD" w:themeColor="accent1"/>
            </w:tcBorders>
            <w:shd w:val="clear" w:color="auto" w:fill="auto"/>
            <w:noWrap/>
            <w:vAlign w:val="center"/>
            <w:hideMark/>
          </w:tcPr>
          <w:p w:rsidR="00A81382" w:rsidRPr="00A774DA" w:rsidRDefault="00A81382" w:rsidP="00E514F4">
            <w:pPr>
              <w:spacing w:after="0"/>
              <w:jc w:val="center"/>
              <w:rPr>
                <w:bCs w:val="0"/>
                <w:color w:val="000000"/>
                <w:sz w:val="16"/>
                <w:szCs w:val="16"/>
                <w:lang w:eastAsia="fr-FR"/>
              </w:rPr>
            </w:pPr>
            <w:r w:rsidRPr="00A774DA">
              <w:rPr>
                <w:bCs w:val="0"/>
                <w:color w:val="000000"/>
                <w:sz w:val="16"/>
                <w:szCs w:val="16"/>
                <w:lang w:eastAsia="fr-FR"/>
              </w:rPr>
              <w:t>LOTSHI</w:t>
            </w:r>
          </w:p>
        </w:tc>
        <w:tc>
          <w:tcPr>
            <w:tcW w:w="951" w:type="pct"/>
            <w:tcBorders>
              <w:top w:val="single" w:sz="4" w:space="0" w:color="4F81BD" w:themeColor="accent1"/>
              <w:bottom w:val="single" w:sz="4" w:space="0" w:color="4F81BD" w:themeColor="accent1"/>
            </w:tcBorders>
            <w:shd w:val="clear" w:color="auto" w:fill="auto"/>
            <w:vAlign w:val="center"/>
            <w:hideMark/>
          </w:tcPr>
          <w:p w:rsidR="00A81382" w:rsidRPr="00A774DA" w:rsidRDefault="00A81382" w:rsidP="00E514F4">
            <w:pPr>
              <w:spacing w:after="0"/>
              <w:jc w:val="left"/>
              <w:rPr>
                <w:bCs w:val="0"/>
                <w:color w:val="000000"/>
                <w:sz w:val="16"/>
                <w:szCs w:val="16"/>
                <w:lang w:eastAsia="fr-FR"/>
              </w:rPr>
            </w:pPr>
            <w:r w:rsidRPr="00A774DA">
              <w:rPr>
                <w:bCs w:val="0"/>
                <w:color w:val="000000"/>
                <w:sz w:val="16"/>
                <w:szCs w:val="16"/>
                <w:lang w:eastAsia="fr-FR"/>
              </w:rPr>
              <w:t>ENERGULF RDC</w:t>
            </w:r>
            <w:r w:rsidRPr="00A774DA">
              <w:rPr>
                <w:bCs w:val="0"/>
                <w:color w:val="000000"/>
                <w:sz w:val="16"/>
                <w:szCs w:val="16"/>
                <w:lang w:eastAsia="fr-FR"/>
              </w:rPr>
              <w:br/>
              <w:t>COHYDRO SA</w:t>
            </w:r>
          </w:p>
        </w:tc>
        <w:tc>
          <w:tcPr>
            <w:tcW w:w="1270" w:type="pct"/>
            <w:tcBorders>
              <w:top w:val="single" w:sz="4" w:space="0" w:color="4F81BD" w:themeColor="accent1"/>
              <w:bottom w:val="single" w:sz="4" w:space="0" w:color="4F81BD" w:themeColor="accent1"/>
            </w:tcBorders>
            <w:shd w:val="clear" w:color="auto" w:fill="auto"/>
            <w:vAlign w:val="center"/>
            <w:hideMark/>
          </w:tcPr>
          <w:p w:rsidR="00A81382" w:rsidRPr="00572035" w:rsidRDefault="00A81382" w:rsidP="00E514F4">
            <w:pPr>
              <w:spacing w:after="0"/>
              <w:jc w:val="left"/>
              <w:rPr>
                <w:bCs w:val="0"/>
                <w:color w:val="000000"/>
                <w:sz w:val="16"/>
                <w:szCs w:val="16"/>
                <w:highlight w:val="yellow"/>
                <w:lang w:eastAsia="fr-FR"/>
              </w:rPr>
            </w:pPr>
            <w:r w:rsidRPr="000022F4">
              <w:rPr>
                <w:bCs w:val="0"/>
                <w:color w:val="000000"/>
                <w:sz w:val="16"/>
                <w:szCs w:val="16"/>
                <w:lang w:eastAsia="fr-FR"/>
              </w:rPr>
              <w:t xml:space="preserve">ENERGULF RDC       : 90 % </w:t>
            </w:r>
            <w:r w:rsidRPr="000022F4">
              <w:rPr>
                <w:bCs w:val="0"/>
                <w:color w:val="000000"/>
                <w:sz w:val="16"/>
                <w:szCs w:val="16"/>
                <w:lang w:eastAsia="fr-FR"/>
              </w:rPr>
              <w:br/>
              <w:t>COHYDRO SA           : 10 %.</w:t>
            </w:r>
          </w:p>
        </w:tc>
        <w:tc>
          <w:tcPr>
            <w:tcW w:w="1705" w:type="pct"/>
            <w:tcBorders>
              <w:top w:val="single" w:sz="4" w:space="0" w:color="4F81BD" w:themeColor="accent1"/>
              <w:bottom w:val="single" w:sz="4" w:space="0" w:color="4F81BD" w:themeColor="accent1"/>
              <w:right w:val="nil"/>
            </w:tcBorders>
            <w:shd w:val="clear" w:color="auto" w:fill="auto"/>
            <w:vAlign w:val="center"/>
            <w:hideMark/>
          </w:tcPr>
          <w:p w:rsidR="00A81382" w:rsidRPr="00A774DA" w:rsidRDefault="00A81382" w:rsidP="00E514F4">
            <w:pPr>
              <w:spacing w:after="0"/>
              <w:rPr>
                <w:bCs w:val="0"/>
                <w:color w:val="000000"/>
                <w:sz w:val="16"/>
                <w:szCs w:val="16"/>
                <w:lang w:eastAsia="fr-FR"/>
              </w:rPr>
            </w:pPr>
            <w:r w:rsidRPr="00A774DA">
              <w:rPr>
                <w:bCs w:val="0"/>
                <w:color w:val="000000"/>
                <w:sz w:val="16"/>
                <w:szCs w:val="16"/>
                <w:lang w:eastAsia="fr-FR"/>
              </w:rPr>
              <w:t>Le permis est déjà arrivé à la fin de la première période d’exploration depuis octobre 2014 et n’</w:t>
            </w:r>
            <w:r>
              <w:rPr>
                <w:bCs w:val="0"/>
                <w:color w:val="000000"/>
                <w:sz w:val="16"/>
                <w:szCs w:val="16"/>
                <w:lang w:eastAsia="fr-FR"/>
              </w:rPr>
              <w:t>a</w:t>
            </w:r>
            <w:r w:rsidRPr="00A774DA">
              <w:rPr>
                <w:bCs w:val="0"/>
                <w:color w:val="000000"/>
                <w:sz w:val="16"/>
                <w:szCs w:val="16"/>
                <w:lang w:eastAsia="fr-FR"/>
              </w:rPr>
              <w:t xml:space="preserve"> pas encore </w:t>
            </w:r>
            <w:r>
              <w:rPr>
                <w:bCs w:val="0"/>
                <w:color w:val="000000"/>
                <w:sz w:val="16"/>
                <w:szCs w:val="16"/>
                <w:lang w:eastAsia="fr-FR"/>
              </w:rPr>
              <w:t xml:space="preserve">été </w:t>
            </w:r>
            <w:r w:rsidRPr="00A774DA">
              <w:rPr>
                <w:bCs w:val="0"/>
                <w:color w:val="000000"/>
                <w:sz w:val="16"/>
                <w:szCs w:val="16"/>
                <w:lang w:eastAsia="fr-FR"/>
              </w:rPr>
              <w:t>renouvelé.</w:t>
            </w:r>
            <w:r w:rsidRPr="00A774DA">
              <w:rPr>
                <w:bCs w:val="0"/>
                <w:color w:val="000000"/>
                <w:sz w:val="16"/>
                <w:szCs w:val="16"/>
                <w:lang w:eastAsia="fr-FR"/>
              </w:rPr>
              <w:br/>
              <w:t>ENRGULF RDC a obtenu la prolongation, de 8 mois de la première période d'exploration.</w:t>
            </w:r>
          </w:p>
        </w:tc>
      </w:tr>
    </w:tbl>
    <w:p w:rsidR="00A81382" w:rsidRPr="00A774DA" w:rsidRDefault="00A81382" w:rsidP="00A81382">
      <w:pPr>
        <w:rPr>
          <w:szCs w:val="20"/>
        </w:rPr>
      </w:pPr>
    </w:p>
    <w:p w:rsidR="00A81382" w:rsidRPr="00A774DA" w:rsidRDefault="00A81382" w:rsidP="007B0F6C">
      <w:pPr>
        <w:pStyle w:val="ListParagraph"/>
        <w:numPr>
          <w:ilvl w:val="0"/>
          <w:numId w:val="42"/>
        </w:numPr>
        <w:rPr>
          <w:szCs w:val="20"/>
          <w:u w:val="single"/>
        </w:rPr>
      </w:pPr>
      <w:r w:rsidRPr="00A774DA">
        <w:rPr>
          <w:szCs w:val="20"/>
          <w:u w:val="single"/>
        </w:rPr>
        <w:t>Le Graben Albertine</w:t>
      </w:r>
    </w:p>
    <w:p w:rsidR="00A81382" w:rsidRPr="00A774DA" w:rsidRDefault="00A81382" w:rsidP="00A81382">
      <w:pPr>
        <w:rPr>
          <w:szCs w:val="20"/>
        </w:rPr>
      </w:pPr>
      <w:r w:rsidRPr="00A774DA">
        <w:rPr>
          <w:szCs w:val="20"/>
        </w:rPr>
        <w:t>Le Graben Albertine est subdivisé en 5 blocs et est concédé aux groupes pétroliers comme suit :</w:t>
      </w:r>
    </w:p>
    <w:tbl>
      <w:tblPr>
        <w:tblW w:w="8856" w:type="dxa"/>
        <w:jc w:val="center"/>
        <w:tblCellMar>
          <w:left w:w="70" w:type="dxa"/>
          <w:right w:w="70" w:type="dxa"/>
        </w:tblCellMar>
        <w:tblLook w:val="04A0" w:firstRow="1" w:lastRow="0" w:firstColumn="1" w:lastColumn="0" w:noHBand="0" w:noVBand="1"/>
      </w:tblPr>
      <w:tblGrid>
        <w:gridCol w:w="960"/>
        <w:gridCol w:w="4660"/>
        <w:gridCol w:w="3236"/>
      </w:tblGrid>
      <w:tr w:rsidR="00A81382" w:rsidRPr="00A774DA" w:rsidTr="00E514F4">
        <w:trPr>
          <w:trHeight w:val="300"/>
          <w:jc w:val="center"/>
        </w:trPr>
        <w:tc>
          <w:tcPr>
            <w:tcW w:w="960" w:type="dxa"/>
            <w:tcBorders>
              <w:top w:val="nil"/>
              <w:left w:val="nil"/>
              <w:bottom w:val="nil"/>
              <w:right w:val="nil"/>
            </w:tcBorders>
            <w:shd w:val="clear" w:color="000000" w:fill="16365C"/>
            <w:vAlign w:val="center"/>
            <w:hideMark/>
          </w:tcPr>
          <w:p w:rsidR="00A81382" w:rsidRPr="00A774DA" w:rsidRDefault="00A81382" w:rsidP="00E514F4">
            <w:pPr>
              <w:spacing w:after="0"/>
              <w:jc w:val="center"/>
              <w:rPr>
                <w:b/>
                <w:color w:val="FFFFFF"/>
                <w:sz w:val="18"/>
                <w:szCs w:val="18"/>
                <w:lang w:eastAsia="fr-FR"/>
              </w:rPr>
            </w:pPr>
            <w:r w:rsidRPr="00A774DA">
              <w:rPr>
                <w:b/>
                <w:color w:val="FFFFFF"/>
                <w:sz w:val="18"/>
                <w:szCs w:val="18"/>
                <w:lang w:eastAsia="fr-FR"/>
              </w:rPr>
              <w:t>Blocs</w:t>
            </w:r>
          </w:p>
        </w:tc>
        <w:tc>
          <w:tcPr>
            <w:tcW w:w="4660" w:type="dxa"/>
            <w:tcBorders>
              <w:top w:val="nil"/>
              <w:left w:val="nil"/>
              <w:bottom w:val="nil"/>
              <w:right w:val="nil"/>
            </w:tcBorders>
            <w:shd w:val="clear" w:color="000000" w:fill="16365C"/>
            <w:vAlign w:val="center"/>
            <w:hideMark/>
          </w:tcPr>
          <w:p w:rsidR="00A81382" w:rsidRPr="00A774DA" w:rsidRDefault="00A81382" w:rsidP="00E514F4">
            <w:pPr>
              <w:spacing w:after="0"/>
              <w:jc w:val="left"/>
              <w:rPr>
                <w:b/>
                <w:color w:val="FFFFFF"/>
                <w:sz w:val="18"/>
                <w:szCs w:val="18"/>
                <w:lang w:eastAsia="fr-FR"/>
              </w:rPr>
            </w:pPr>
            <w:r w:rsidRPr="00A774DA">
              <w:rPr>
                <w:b/>
                <w:color w:val="FFFFFF"/>
                <w:sz w:val="18"/>
                <w:szCs w:val="18"/>
                <w:lang w:eastAsia="fr-FR"/>
              </w:rPr>
              <w:t>Opérateurs</w:t>
            </w:r>
          </w:p>
        </w:tc>
        <w:tc>
          <w:tcPr>
            <w:tcW w:w="3236" w:type="dxa"/>
            <w:tcBorders>
              <w:top w:val="nil"/>
              <w:left w:val="nil"/>
              <w:bottom w:val="nil"/>
              <w:right w:val="nil"/>
            </w:tcBorders>
            <w:shd w:val="clear" w:color="000000" w:fill="16365C"/>
            <w:vAlign w:val="center"/>
          </w:tcPr>
          <w:p w:rsidR="00A81382" w:rsidRPr="00A774DA" w:rsidRDefault="00A81382" w:rsidP="00E514F4">
            <w:pPr>
              <w:spacing w:after="0"/>
              <w:jc w:val="left"/>
              <w:rPr>
                <w:b/>
                <w:color w:val="FFFFFF"/>
                <w:sz w:val="18"/>
                <w:szCs w:val="18"/>
                <w:lang w:eastAsia="fr-FR"/>
              </w:rPr>
            </w:pPr>
            <w:r w:rsidRPr="00A774DA">
              <w:rPr>
                <w:b/>
                <w:color w:val="FFFFFF"/>
                <w:sz w:val="18"/>
                <w:szCs w:val="18"/>
                <w:lang w:eastAsia="fr-FR"/>
              </w:rPr>
              <w:t>Associés</w:t>
            </w:r>
          </w:p>
        </w:tc>
      </w:tr>
      <w:tr w:rsidR="00A81382" w:rsidRPr="00A774DA" w:rsidTr="00E514F4">
        <w:trPr>
          <w:trHeight w:val="300"/>
          <w:jc w:val="center"/>
        </w:trPr>
        <w:tc>
          <w:tcPr>
            <w:tcW w:w="960" w:type="dxa"/>
            <w:tcBorders>
              <w:top w:val="nil"/>
              <w:left w:val="nil"/>
              <w:bottom w:val="nil"/>
              <w:right w:val="nil"/>
            </w:tcBorders>
            <w:shd w:val="clear" w:color="000000" w:fill="B8CCE4"/>
            <w:noWrap/>
            <w:vAlign w:val="center"/>
            <w:hideMark/>
          </w:tcPr>
          <w:p w:rsidR="00A81382" w:rsidRPr="00A774DA" w:rsidRDefault="00A81382" w:rsidP="00E514F4">
            <w:pPr>
              <w:spacing w:after="0"/>
              <w:jc w:val="center"/>
              <w:rPr>
                <w:bCs w:val="0"/>
                <w:color w:val="000000"/>
                <w:sz w:val="18"/>
                <w:szCs w:val="18"/>
                <w:lang w:eastAsia="fr-FR"/>
              </w:rPr>
            </w:pPr>
            <w:r w:rsidRPr="00A774DA">
              <w:rPr>
                <w:bCs w:val="0"/>
                <w:color w:val="000000"/>
                <w:sz w:val="18"/>
                <w:szCs w:val="18"/>
                <w:lang w:eastAsia="fr-FR"/>
              </w:rPr>
              <w:t>I et II</w:t>
            </w:r>
          </w:p>
        </w:tc>
        <w:tc>
          <w:tcPr>
            <w:tcW w:w="4660" w:type="dxa"/>
            <w:tcBorders>
              <w:top w:val="nil"/>
              <w:left w:val="nil"/>
              <w:bottom w:val="nil"/>
              <w:right w:val="nil"/>
            </w:tcBorders>
            <w:shd w:val="clear" w:color="000000" w:fill="B8CCE4"/>
            <w:noWrap/>
            <w:vAlign w:val="center"/>
            <w:hideMark/>
          </w:tcPr>
          <w:p w:rsidR="00A81382" w:rsidRPr="00A774DA" w:rsidRDefault="00A81382" w:rsidP="00E514F4">
            <w:pPr>
              <w:spacing w:after="0"/>
              <w:jc w:val="left"/>
              <w:rPr>
                <w:bCs w:val="0"/>
                <w:color w:val="000000"/>
                <w:sz w:val="18"/>
                <w:szCs w:val="18"/>
                <w:lang w:eastAsia="fr-FR"/>
              </w:rPr>
            </w:pPr>
            <w:r w:rsidRPr="00A774DA">
              <w:rPr>
                <w:bCs w:val="0"/>
                <w:color w:val="000000"/>
                <w:sz w:val="18"/>
                <w:szCs w:val="18"/>
                <w:lang w:eastAsia="fr-FR"/>
              </w:rPr>
              <w:t xml:space="preserve">OIL OF DRC </w:t>
            </w:r>
          </w:p>
        </w:tc>
        <w:tc>
          <w:tcPr>
            <w:tcW w:w="3236" w:type="dxa"/>
            <w:tcBorders>
              <w:top w:val="nil"/>
              <w:left w:val="nil"/>
              <w:bottom w:val="nil"/>
              <w:right w:val="nil"/>
            </w:tcBorders>
            <w:shd w:val="clear" w:color="000000" w:fill="B8CCE4"/>
            <w:vAlign w:val="center"/>
          </w:tcPr>
          <w:p w:rsidR="00A81382" w:rsidRPr="00A774DA" w:rsidRDefault="00A81382" w:rsidP="00E514F4">
            <w:pPr>
              <w:spacing w:after="0"/>
              <w:jc w:val="left"/>
              <w:rPr>
                <w:bCs w:val="0"/>
                <w:color w:val="000000"/>
                <w:sz w:val="18"/>
                <w:szCs w:val="18"/>
                <w:lang w:eastAsia="fr-FR"/>
              </w:rPr>
            </w:pPr>
            <w:r w:rsidRPr="00A774DA">
              <w:rPr>
                <w:bCs w:val="0"/>
                <w:color w:val="000000"/>
                <w:sz w:val="18"/>
                <w:szCs w:val="18"/>
                <w:lang w:eastAsia="fr-FR"/>
              </w:rPr>
              <w:t>CAPRIKAT</w:t>
            </w:r>
          </w:p>
          <w:p w:rsidR="00A81382" w:rsidRPr="00A774DA" w:rsidRDefault="00A81382" w:rsidP="00E514F4">
            <w:pPr>
              <w:spacing w:after="0"/>
              <w:jc w:val="left"/>
              <w:rPr>
                <w:bCs w:val="0"/>
                <w:color w:val="000000"/>
                <w:sz w:val="18"/>
                <w:szCs w:val="18"/>
                <w:lang w:eastAsia="fr-FR"/>
              </w:rPr>
            </w:pPr>
            <w:r w:rsidRPr="00A774DA">
              <w:rPr>
                <w:bCs w:val="0"/>
                <w:color w:val="000000"/>
                <w:sz w:val="18"/>
                <w:szCs w:val="18"/>
                <w:lang w:eastAsia="fr-FR"/>
              </w:rPr>
              <w:t>FOXWHELP</w:t>
            </w:r>
          </w:p>
        </w:tc>
      </w:tr>
      <w:tr w:rsidR="00A81382" w:rsidRPr="00A774DA" w:rsidTr="00E514F4">
        <w:trPr>
          <w:trHeight w:val="300"/>
          <w:jc w:val="center"/>
        </w:trPr>
        <w:tc>
          <w:tcPr>
            <w:tcW w:w="960" w:type="dxa"/>
            <w:tcBorders>
              <w:top w:val="nil"/>
              <w:left w:val="nil"/>
              <w:bottom w:val="nil"/>
              <w:right w:val="nil"/>
            </w:tcBorders>
            <w:shd w:val="clear" w:color="auto" w:fill="auto"/>
            <w:noWrap/>
            <w:vAlign w:val="center"/>
            <w:hideMark/>
          </w:tcPr>
          <w:p w:rsidR="00A81382" w:rsidRPr="00A774DA" w:rsidRDefault="00A81382" w:rsidP="00E514F4">
            <w:pPr>
              <w:spacing w:after="0"/>
              <w:jc w:val="center"/>
              <w:rPr>
                <w:bCs w:val="0"/>
                <w:color w:val="000000"/>
                <w:sz w:val="18"/>
                <w:szCs w:val="18"/>
                <w:lang w:eastAsia="fr-FR"/>
              </w:rPr>
            </w:pPr>
            <w:r w:rsidRPr="00A774DA">
              <w:rPr>
                <w:bCs w:val="0"/>
                <w:color w:val="000000"/>
                <w:sz w:val="18"/>
                <w:szCs w:val="18"/>
                <w:lang w:eastAsia="fr-FR"/>
              </w:rPr>
              <w:t>III</w:t>
            </w:r>
          </w:p>
        </w:tc>
        <w:tc>
          <w:tcPr>
            <w:tcW w:w="4660" w:type="dxa"/>
            <w:tcBorders>
              <w:top w:val="nil"/>
              <w:left w:val="nil"/>
              <w:bottom w:val="nil"/>
              <w:right w:val="nil"/>
            </w:tcBorders>
            <w:shd w:val="clear" w:color="auto" w:fill="auto"/>
            <w:noWrap/>
            <w:vAlign w:val="center"/>
            <w:hideMark/>
          </w:tcPr>
          <w:p w:rsidR="00A81382" w:rsidRPr="00A774DA" w:rsidRDefault="00A81382" w:rsidP="00E514F4">
            <w:pPr>
              <w:spacing w:after="0"/>
              <w:jc w:val="left"/>
              <w:rPr>
                <w:bCs w:val="0"/>
                <w:color w:val="000000"/>
                <w:sz w:val="18"/>
                <w:szCs w:val="18"/>
                <w:lang w:eastAsia="fr-FR"/>
              </w:rPr>
            </w:pPr>
            <w:r w:rsidRPr="00A774DA">
              <w:rPr>
                <w:bCs w:val="0"/>
                <w:color w:val="000000"/>
                <w:sz w:val="18"/>
                <w:szCs w:val="18"/>
                <w:lang w:eastAsia="fr-FR"/>
              </w:rPr>
              <w:t>TOTAL E&amp;P RDC</w:t>
            </w:r>
          </w:p>
        </w:tc>
        <w:tc>
          <w:tcPr>
            <w:tcW w:w="3236" w:type="dxa"/>
            <w:tcBorders>
              <w:top w:val="nil"/>
              <w:left w:val="nil"/>
              <w:bottom w:val="nil"/>
              <w:right w:val="nil"/>
            </w:tcBorders>
            <w:vAlign w:val="center"/>
          </w:tcPr>
          <w:p w:rsidR="00A81382" w:rsidRPr="00A774DA" w:rsidRDefault="00A81382" w:rsidP="00E514F4">
            <w:pPr>
              <w:spacing w:after="0"/>
              <w:jc w:val="left"/>
              <w:rPr>
                <w:bCs w:val="0"/>
                <w:color w:val="000000"/>
                <w:sz w:val="18"/>
                <w:szCs w:val="18"/>
                <w:lang w:eastAsia="fr-FR"/>
              </w:rPr>
            </w:pPr>
            <w:r w:rsidRPr="00A774DA">
              <w:rPr>
                <w:bCs w:val="0"/>
                <w:color w:val="000000"/>
                <w:sz w:val="18"/>
                <w:szCs w:val="18"/>
                <w:lang w:eastAsia="fr-FR"/>
              </w:rPr>
              <w:t>SEMLIKI</w:t>
            </w:r>
          </w:p>
        </w:tc>
      </w:tr>
      <w:tr w:rsidR="00A81382" w:rsidRPr="00A774DA" w:rsidTr="00E514F4">
        <w:trPr>
          <w:trHeight w:val="300"/>
          <w:jc w:val="center"/>
        </w:trPr>
        <w:tc>
          <w:tcPr>
            <w:tcW w:w="960" w:type="dxa"/>
            <w:tcBorders>
              <w:top w:val="nil"/>
              <w:left w:val="nil"/>
              <w:bottom w:val="nil"/>
              <w:right w:val="nil"/>
            </w:tcBorders>
            <w:shd w:val="clear" w:color="000000" w:fill="B8CCE4"/>
            <w:noWrap/>
            <w:vAlign w:val="center"/>
            <w:hideMark/>
          </w:tcPr>
          <w:p w:rsidR="00A81382" w:rsidRPr="00A774DA" w:rsidRDefault="00A81382" w:rsidP="00E514F4">
            <w:pPr>
              <w:spacing w:after="0"/>
              <w:jc w:val="center"/>
              <w:rPr>
                <w:bCs w:val="0"/>
                <w:color w:val="000000"/>
                <w:sz w:val="18"/>
                <w:szCs w:val="18"/>
                <w:lang w:eastAsia="fr-FR"/>
              </w:rPr>
            </w:pPr>
            <w:r w:rsidRPr="00A774DA">
              <w:rPr>
                <w:bCs w:val="0"/>
                <w:color w:val="000000"/>
                <w:sz w:val="18"/>
                <w:szCs w:val="18"/>
                <w:lang w:eastAsia="fr-FR"/>
              </w:rPr>
              <w:t>IV</w:t>
            </w:r>
          </w:p>
        </w:tc>
        <w:tc>
          <w:tcPr>
            <w:tcW w:w="4660" w:type="dxa"/>
            <w:tcBorders>
              <w:top w:val="nil"/>
              <w:left w:val="nil"/>
              <w:bottom w:val="nil"/>
              <w:right w:val="nil"/>
            </w:tcBorders>
            <w:shd w:val="clear" w:color="000000" w:fill="B8CCE4"/>
            <w:noWrap/>
            <w:vAlign w:val="center"/>
            <w:hideMark/>
          </w:tcPr>
          <w:p w:rsidR="00A81382" w:rsidRPr="00A774DA" w:rsidRDefault="00A81382" w:rsidP="00E514F4">
            <w:pPr>
              <w:spacing w:after="0"/>
              <w:jc w:val="left"/>
              <w:rPr>
                <w:bCs w:val="0"/>
                <w:color w:val="000000"/>
                <w:sz w:val="18"/>
                <w:szCs w:val="18"/>
                <w:lang w:eastAsia="fr-FR"/>
              </w:rPr>
            </w:pPr>
            <w:r w:rsidRPr="00A774DA">
              <w:rPr>
                <w:bCs w:val="0"/>
                <w:color w:val="000000"/>
                <w:sz w:val="18"/>
                <w:szCs w:val="18"/>
                <w:lang w:eastAsia="fr-FR"/>
              </w:rPr>
              <w:t>Le bloc est libre (un début de négociation avec TOTAL)</w:t>
            </w:r>
          </w:p>
        </w:tc>
        <w:tc>
          <w:tcPr>
            <w:tcW w:w="3236" w:type="dxa"/>
            <w:tcBorders>
              <w:top w:val="nil"/>
              <w:left w:val="nil"/>
              <w:bottom w:val="nil"/>
              <w:right w:val="nil"/>
            </w:tcBorders>
            <w:shd w:val="clear" w:color="000000" w:fill="B8CCE4"/>
            <w:vAlign w:val="center"/>
          </w:tcPr>
          <w:p w:rsidR="00A81382" w:rsidRPr="00A774DA" w:rsidRDefault="00A81382" w:rsidP="00E514F4">
            <w:pPr>
              <w:spacing w:after="0"/>
              <w:jc w:val="left"/>
              <w:rPr>
                <w:bCs w:val="0"/>
                <w:color w:val="000000"/>
                <w:sz w:val="18"/>
                <w:szCs w:val="18"/>
                <w:lang w:eastAsia="fr-FR"/>
              </w:rPr>
            </w:pPr>
            <w:r w:rsidRPr="00A774DA">
              <w:rPr>
                <w:bCs w:val="0"/>
                <w:color w:val="000000"/>
                <w:sz w:val="18"/>
                <w:szCs w:val="18"/>
                <w:lang w:eastAsia="fr-FR"/>
              </w:rPr>
              <w:t>-</w:t>
            </w:r>
          </w:p>
        </w:tc>
      </w:tr>
      <w:tr w:rsidR="00A81382" w:rsidRPr="00A774DA" w:rsidTr="00E514F4">
        <w:trPr>
          <w:trHeight w:val="300"/>
          <w:jc w:val="center"/>
        </w:trPr>
        <w:tc>
          <w:tcPr>
            <w:tcW w:w="960" w:type="dxa"/>
            <w:tcBorders>
              <w:top w:val="nil"/>
              <w:left w:val="nil"/>
              <w:bottom w:val="nil"/>
              <w:right w:val="nil"/>
            </w:tcBorders>
            <w:shd w:val="clear" w:color="auto" w:fill="auto"/>
            <w:noWrap/>
            <w:vAlign w:val="center"/>
            <w:hideMark/>
          </w:tcPr>
          <w:p w:rsidR="00A81382" w:rsidRPr="00A774DA" w:rsidRDefault="00A81382" w:rsidP="00E514F4">
            <w:pPr>
              <w:spacing w:after="0"/>
              <w:jc w:val="center"/>
              <w:rPr>
                <w:bCs w:val="0"/>
                <w:color w:val="000000"/>
                <w:sz w:val="18"/>
                <w:szCs w:val="18"/>
                <w:lang w:eastAsia="fr-FR"/>
              </w:rPr>
            </w:pPr>
            <w:r w:rsidRPr="00A774DA">
              <w:rPr>
                <w:bCs w:val="0"/>
                <w:color w:val="000000"/>
                <w:sz w:val="18"/>
                <w:szCs w:val="18"/>
                <w:lang w:eastAsia="fr-FR"/>
              </w:rPr>
              <w:t>V</w:t>
            </w:r>
          </w:p>
        </w:tc>
        <w:tc>
          <w:tcPr>
            <w:tcW w:w="4660" w:type="dxa"/>
            <w:tcBorders>
              <w:top w:val="nil"/>
              <w:left w:val="nil"/>
              <w:bottom w:val="nil"/>
              <w:right w:val="nil"/>
            </w:tcBorders>
            <w:shd w:val="clear" w:color="auto" w:fill="auto"/>
            <w:noWrap/>
            <w:vAlign w:val="center"/>
            <w:hideMark/>
          </w:tcPr>
          <w:p w:rsidR="00A81382" w:rsidRPr="00A774DA" w:rsidRDefault="00A81382" w:rsidP="00E514F4">
            <w:pPr>
              <w:spacing w:after="0"/>
              <w:jc w:val="left"/>
              <w:rPr>
                <w:bCs w:val="0"/>
                <w:color w:val="000000"/>
                <w:sz w:val="18"/>
                <w:szCs w:val="18"/>
                <w:lang w:eastAsia="fr-FR"/>
              </w:rPr>
            </w:pPr>
            <w:r w:rsidRPr="00A774DA">
              <w:rPr>
                <w:bCs w:val="0"/>
                <w:color w:val="000000"/>
                <w:sz w:val="18"/>
                <w:szCs w:val="18"/>
                <w:lang w:eastAsia="fr-FR"/>
              </w:rPr>
              <w:t>SOCO E&amp;P RDC</w:t>
            </w:r>
          </w:p>
        </w:tc>
        <w:tc>
          <w:tcPr>
            <w:tcW w:w="3236" w:type="dxa"/>
            <w:tcBorders>
              <w:top w:val="nil"/>
              <w:left w:val="nil"/>
              <w:bottom w:val="nil"/>
              <w:right w:val="nil"/>
            </w:tcBorders>
            <w:vAlign w:val="center"/>
          </w:tcPr>
          <w:p w:rsidR="00A81382" w:rsidRPr="00A774DA" w:rsidRDefault="00A81382" w:rsidP="00E514F4">
            <w:pPr>
              <w:spacing w:after="0"/>
              <w:jc w:val="left"/>
              <w:rPr>
                <w:bCs w:val="0"/>
                <w:color w:val="000000"/>
                <w:sz w:val="18"/>
                <w:szCs w:val="18"/>
                <w:lang w:eastAsia="fr-FR"/>
              </w:rPr>
            </w:pPr>
            <w:r w:rsidRPr="00A774DA">
              <w:rPr>
                <w:bCs w:val="0"/>
                <w:color w:val="000000"/>
                <w:sz w:val="18"/>
                <w:szCs w:val="18"/>
                <w:lang w:eastAsia="fr-FR"/>
              </w:rPr>
              <w:t>-</w:t>
            </w:r>
          </w:p>
        </w:tc>
      </w:tr>
    </w:tbl>
    <w:p w:rsidR="00E94DC2" w:rsidRDefault="00E94DC2" w:rsidP="00E94DC2">
      <w:pPr>
        <w:pStyle w:val="ListParagraph"/>
        <w:ind w:left="720"/>
        <w:rPr>
          <w:szCs w:val="20"/>
          <w:u w:val="single"/>
        </w:rPr>
      </w:pPr>
    </w:p>
    <w:p w:rsidR="00A81382" w:rsidRPr="00A774DA" w:rsidRDefault="00A81382" w:rsidP="007B0F6C">
      <w:pPr>
        <w:pStyle w:val="ListParagraph"/>
        <w:numPr>
          <w:ilvl w:val="0"/>
          <w:numId w:val="42"/>
        </w:numPr>
        <w:rPr>
          <w:szCs w:val="20"/>
          <w:u w:val="single"/>
        </w:rPr>
      </w:pPr>
      <w:r w:rsidRPr="00A774DA">
        <w:rPr>
          <w:szCs w:val="20"/>
          <w:u w:val="single"/>
        </w:rPr>
        <w:t>Graben Tanganyika</w:t>
      </w:r>
    </w:p>
    <w:p w:rsidR="00A81382" w:rsidRPr="00A774DA" w:rsidRDefault="00A81382" w:rsidP="00A81382">
      <w:pPr>
        <w:rPr>
          <w:szCs w:val="20"/>
        </w:rPr>
      </w:pPr>
      <w:r w:rsidRPr="00A774DA">
        <w:rPr>
          <w:szCs w:val="20"/>
        </w:rPr>
        <w:t>Il est divisé en 11 blocs qui seront ouverts à l’exploration après l’adoption et la promulgation de la nouvelle loi générale sur les hydrocarbures.</w:t>
      </w:r>
    </w:p>
    <w:p w:rsidR="00A81382" w:rsidRPr="00A774DA" w:rsidRDefault="00A81382" w:rsidP="007B0F6C">
      <w:pPr>
        <w:pStyle w:val="ListParagraph"/>
        <w:numPr>
          <w:ilvl w:val="0"/>
          <w:numId w:val="42"/>
        </w:numPr>
        <w:rPr>
          <w:szCs w:val="20"/>
          <w:u w:val="single"/>
        </w:rPr>
      </w:pPr>
      <w:r w:rsidRPr="00A774DA">
        <w:rPr>
          <w:szCs w:val="20"/>
          <w:u w:val="single"/>
        </w:rPr>
        <w:t xml:space="preserve">Bassin de la Cuvette Centrale </w:t>
      </w:r>
    </w:p>
    <w:p w:rsidR="00A81382" w:rsidRPr="00A774DA" w:rsidRDefault="00A81382" w:rsidP="00A81382">
      <w:pPr>
        <w:rPr>
          <w:szCs w:val="20"/>
        </w:rPr>
      </w:pPr>
      <w:r w:rsidRPr="00A774DA">
        <w:rPr>
          <w:szCs w:val="20"/>
        </w:rPr>
        <w:lastRenderedPageBreak/>
        <w:t xml:space="preserve">Ce bassin, qui couvre 800 000 km2, est délimité en quatre principaux sous-bassins : LOKORO, BUSIRA, LOMAMI et BUSHIMAYI. Ces quatre sous-bassins sont actuellement </w:t>
      </w:r>
      <w:proofErr w:type="spellStart"/>
      <w:r w:rsidRPr="00A774DA">
        <w:rPr>
          <w:szCs w:val="20"/>
        </w:rPr>
        <w:t>sub</w:t>
      </w:r>
      <w:r>
        <w:rPr>
          <w:szCs w:val="20"/>
        </w:rPr>
        <w:t>-</w:t>
      </w:r>
      <w:r w:rsidRPr="00A774DA">
        <w:rPr>
          <w:szCs w:val="20"/>
        </w:rPr>
        <w:t>divisés</w:t>
      </w:r>
      <w:proofErr w:type="spellEnd"/>
      <w:r w:rsidRPr="00A774DA">
        <w:rPr>
          <w:szCs w:val="20"/>
        </w:rPr>
        <w:t xml:space="preserve"> en 32 blocs libres.</w:t>
      </w:r>
    </w:p>
    <w:p w:rsidR="00A81382" w:rsidRPr="00A774DA" w:rsidRDefault="00A81382" w:rsidP="007B0F6C">
      <w:pPr>
        <w:pStyle w:val="ListParagraph"/>
        <w:numPr>
          <w:ilvl w:val="0"/>
          <w:numId w:val="42"/>
        </w:numPr>
        <w:rPr>
          <w:szCs w:val="20"/>
          <w:u w:val="single"/>
        </w:rPr>
      </w:pPr>
      <w:r w:rsidRPr="00A774DA">
        <w:rPr>
          <w:szCs w:val="20"/>
          <w:u w:val="single"/>
        </w:rPr>
        <w:t>Sous-Bassin de l’</w:t>
      </w:r>
      <w:proofErr w:type="spellStart"/>
      <w:r w:rsidRPr="00A774DA">
        <w:rPr>
          <w:szCs w:val="20"/>
          <w:u w:val="single"/>
        </w:rPr>
        <w:t>Upemba</w:t>
      </w:r>
      <w:proofErr w:type="spellEnd"/>
      <w:r w:rsidRPr="00A774DA">
        <w:rPr>
          <w:szCs w:val="20"/>
          <w:u w:val="single"/>
        </w:rPr>
        <w:t xml:space="preserve"> et du Lac Moero </w:t>
      </w:r>
    </w:p>
    <w:p w:rsidR="00A81382" w:rsidRPr="00A774DA" w:rsidRDefault="00A81382" w:rsidP="00A81382">
      <w:pPr>
        <w:rPr>
          <w:szCs w:val="20"/>
        </w:rPr>
      </w:pPr>
      <w:r w:rsidRPr="00A774DA">
        <w:rPr>
          <w:szCs w:val="20"/>
        </w:rPr>
        <w:t>Ces sous-bassins sont actuellement en phase de pré-exploration pétrolière.</w:t>
      </w:r>
    </w:p>
    <w:p w:rsidR="00A81382" w:rsidRDefault="00A81382" w:rsidP="00A81382">
      <w:pPr>
        <w:rPr>
          <w:szCs w:val="20"/>
        </w:rPr>
      </w:pPr>
      <w:r w:rsidRPr="00A774DA">
        <w:rPr>
          <w:szCs w:val="20"/>
        </w:rPr>
        <w:t xml:space="preserve">La carte des blocs pétroliers des bassins sédimentaires de la RDC est présentée au niveau de </w:t>
      </w:r>
      <w:r w:rsidRPr="00852FA2">
        <w:rPr>
          <w:szCs w:val="20"/>
        </w:rPr>
        <w:t xml:space="preserve">l’Annexe </w:t>
      </w:r>
      <w:r w:rsidR="000576C1" w:rsidRPr="00852FA2">
        <w:rPr>
          <w:szCs w:val="20"/>
        </w:rPr>
        <w:t>3</w:t>
      </w:r>
      <w:r w:rsidRPr="00A774DA">
        <w:rPr>
          <w:szCs w:val="20"/>
        </w:rPr>
        <w:t xml:space="preserve"> du présent rapport.</w:t>
      </w:r>
    </w:p>
    <w:p w:rsidR="00512473" w:rsidRPr="00A774DA" w:rsidRDefault="00512473" w:rsidP="00A81382">
      <w:pPr>
        <w:rPr>
          <w:szCs w:val="20"/>
        </w:rPr>
      </w:pPr>
    </w:p>
    <w:p w:rsidR="00A81382" w:rsidRPr="004D0BD6" w:rsidRDefault="00A81382" w:rsidP="007B0F6C">
      <w:pPr>
        <w:pStyle w:val="Heading3"/>
        <w:numPr>
          <w:ilvl w:val="0"/>
          <w:numId w:val="38"/>
        </w:numPr>
        <w:tabs>
          <w:tab w:val="left" w:pos="800"/>
        </w:tabs>
        <w:rPr>
          <w:rFonts w:cs="Arial"/>
          <w:b/>
          <w:bCs w:val="0"/>
          <w:i w:val="0"/>
          <w:iCs w:val="0"/>
          <w:color w:val="0070C0"/>
        </w:rPr>
      </w:pPr>
      <w:r w:rsidRPr="004D0BD6">
        <w:rPr>
          <w:rFonts w:cs="Arial"/>
          <w:b/>
          <w:bCs w:val="0"/>
          <w:i w:val="0"/>
          <w:iCs w:val="0"/>
          <w:color w:val="0070C0"/>
        </w:rPr>
        <w:t>Organes de régulation du Secteur des Hydrocarbures</w:t>
      </w:r>
    </w:p>
    <w:p w:rsidR="00A81382" w:rsidRPr="00A774DA" w:rsidRDefault="00A81382" w:rsidP="00A81382">
      <w:pPr>
        <w:rPr>
          <w:szCs w:val="20"/>
        </w:rPr>
      </w:pPr>
      <w:r w:rsidRPr="00A774DA">
        <w:rPr>
          <w:b/>
          <w:szCs w:val="20"/>
        </w:rPr>
        <w:t>Le Ministère des Hydrocarbures</w:t>
      </w:r>
      <w:r w:rsidRPr="00A774DA">
        <w:rPr>
          <w:szCs w:val="20"/>
        </w:rPr>
        <w:t xml:space="preserve"> est l’organe de conception et d’exécution de la politique du Gouvernement dans le domaine des Hydrocarbures.</w:t>
      </w:r>
    </w:p>
    <w:p w:rsidR="00A81382" w:rsidRPr="00A774DA" w:rsidRDefault="00A81382" w:rsidP="00A81382">
      <w:pPr>
        <w:rPr>
          <w:szCs w:val="20"/>
        </w:rPr>
      </w:pPr>
      <w:r w:rsidRPr="00A774DA">
        <w:rPr>
          <w:szCs w:val="20"/>
        </w:rPr>
        <w:t xml:space="preserve">Son rôle et ses attributions sont définies par l’Ordonnance N° 08/074 du 24 </w:t>
      </w:r>
      <w:r>
        <w:rPr>
          <w:szCs w:val="20"/>
        </w:rPr>
        <w:t>d</w:t>
      </w:r>
      <w:r w:rsidRPr="00A774DA">
        <w:rPr>
          <w:szCs w:val="20"/>
        </w:rPr>
        <w:t>écembre 2008 fixant les attributions des Ministères. Il est chargé essentiellement de :</w:t>
      </w:r>
    </w:p>
    <w:p w:rsidR="00A81382" w:rsidRPr="00A774DA" w:rsidRDefault="00A81382" w:rsidP="00A81382">
      <w:pPr>
        <w:pStyle w:val="onecomwebmail-msonormal"/>
        <w:numPr>
          <w:ilvl w:val="0"/>
          <w:numId w:val="6"/>
        </w:numPr>
        <w:spacing w:before="0" w:beforeAutospacing="0" w:after="120" w:afterAutospacing="0"/>
        <w:ind w:left="714" w:hanging="357"/>
        <w:jc w:val="both"/>
        <w:rPr>
          <w:rFonts w:ascii="Arial" w:hAnsi="Arial" w:cs="Arial"/>
          <w:sz w:val="20"/>
          <w:szCs w:val="20"/>
        </w:rPr>
      </w:pPr>
      <w:r w:rsidRPr="00A774DA">
        <w:rPr>
          <w:rFonts w:ascii="Arial" w:hAnsi="Arial" w:cs="Arial"/>
          <w:sz w:val="20"/>
          <w:szCs w:val="20"/>
        </w:rPr>
        <w:t>promouvoir et développer le secteur des hydrocarbures ;</w:t>
      </w:r>
    </w:p>
    <w:p w:rsidR="00A81382" w:rsidRPr="00A774DA" w:rsidRDefault="00A81382" w:rsidP="00A81382">
      <w:pPr>
        <w:pStyle w:val="onecomwebmail-msonormal"/>
        <w:numPr>
          <w:ilvl w:val="0"/>
          <w:numId w:val="6"/>
        </w:numPr>
        <w:spacing w:before="0" w:beforeAutospacing="0" w:after="120" w:afterAutospacing="0"/>
        <w:ind w:left="714" w:hanging="357"/>
        <w:jc w:val="both"/>
        <w:rPr>
          <w:rFonts w:ascii="Arial" w:hAnsi="Arial" w:cs="Arial"/>
          <w:sz w:val="20"/>
          <w:szCs w:val="20"/>
        </w:rPr>
      </w:pPr>
      <w:r w:rsidRPr="0053772D">
        <w:rPr>
          <w:rFonts w:ascii="Arial" w:hAnsi="Arial" w:cs="Arial"/>
          <w:sz w:val="20"/>
          <w:szCs w:val="20"/>
        </w:rPr>
        <w:t>suivre</w:t>
      </w:r>
      <w:r w:rsidRPr="00A774DA">
        <w:rPr>
          <w:rFonts w:ascii="Arial" w:hAnsi="Arial" w:cs="Arial"/>
          <w:sz w:val="20"/>
          <w:szCs w:val="20"/>
        </w:rPr>
        <w:t xml:space="preserve"> et appliquer les protocoles d’accord, des conventions et des Contrats de partage de production conclus avec les tiers dans le domaine des Hydrocarbures ; </w:t>
      </w:r>
    </w:p>
    <w:p w:rsidR="00A81382" w:rsidRPr="00A774DA" w:rsidRDefault="00A81382" w:rsidP="00A81382">
      <w:pPr>
        <w:pStyle w:val="onecomwebmail-msonormal"/>
        <w:numPr>
          <w:ilvl w:val="0"/>
          <w:numId w:val="6"/>
        </w:numPr>
        <w:spacing w:before="0" w:beforeAutospacing="0" w:after="120" w:afterAutospacing="0"/>
        <w:ind w:left="714" w:hanging="357"/>
        <w:jc w:val="both"/>
        <w:rPr>
          <w:rFonts w:ascii="Arial" w:hAnsi="Arial" w:cs="Arial"/>
          <w:sz w:val="20"/>
          <w:szCs w:val="20"/>
        </w:rPr>
      </w:pPr>
      <w:r w:rsidRPr="00A774DA">
        <w:rPr>
          <w:rFonts w:ascii="Arial" w:hAnsi="Arial" w:cs="Arial"/>
          <w:sz w:val="20"/>
          <w:szCs w:val="20"/>
        </w:rPr>
        <w:t>gérer le patrimoine national en matière des Hydrocarbures ;</w:t>
      </w:r>
    </w:p>
    <w:p w:rsidR="00A81382" w:rsidRPr="00A774DA" w:rsidRDefault="00A81382" w:rsidP="00A81382">
      <w:pPr>
        <w:pStyle w:val="onecomwebmail-msonormal"/>
        <w:numPr>
          <w:ilvl w:val="0"/>
          <w:numId w:val="6"/>
        </w:numPr>
        <w:spacing w:before="0" w:beforeAutospacing="0" w:after="120" w:afterAutospacing="0"/>
        <w:ind w:left="714" w:hanging="357"/>
        <w:jc w:val="both"/>
        <w:rPr>
          <w:rFonts w:ascii="Arial" w:hAnsi="Arial" w:cs="Arial"/>
          <w:sz w:val="20"/>
          <w:szCs w:val="20"/>
        </w:rPr>
      </w:pPr>
      <w:r w:rsidRPr="00A774DA">
        <w:rPr>
          <w:rFonts w:ascii="Arial" w:hAnsi="Arial" w:cs="Arial"/>
          <w:sz w:val="20"/>
          <w:szCs w:val="20"/>
        </w:rPr>
        <w:t>définir et élaborer la politique nationale en vue d’une gestion efficiente des ressources pétrolières et gazières ;</w:t>
      </w:r>
    </w:p>
    <w:p w:rsidR="00A81382" w:rsidRPr="00A774DA" w:rsidRDefault="00A81382" w:rsidP="00A81382">
      <w:pPr>
        <w:pStyle w:val="onecomwebmail-msonormal"/>
        <w:numPr>
          <w:ilvl w:val="0"/>
          <w:numId w:val="6"/>
        </w:numPr>
        <w:spacing w:before="0" w:beforeAutospacing="0" w:after="120" w:afterAutospacing="0"/>
        <w:ind w:left="714" w:hanging="357"/>
        <w:jc w:val="both"/>
        <w:rPr>
          <w:rFonts w:ascii="Arial" w:hAnsi="Arial" w:cs="Arial"/>
          <w:sz w:val="20"/>
          <w:szCs w:val="20"/>
        </w:rPr>
      </w:pPr>
      <w:r w:rsidRPr="00A774DA">
        <w:rPr>
          <w:rFonts w:ascii="Arial" w:hAnsi="Arial" w:cs="Arial"/>
          <w:sz w:val="20"/>
          <w:szCs w:val="20"/>
        </w:rPr>
        <w:t>suivre et analyser le marché pétrolier en vue d’une meilleure valorisation des ressources en Hydrocarbures ;</w:t>
      </w:r>
    </w:p>
    <w:p w:rsidR="00A81382" w:rsidRPr="00A774DA" w:rsidRDefault="00A81382" w:rsidP="00A81382">
      <w:pPr>
        <w:pStyle w:val="onecomwebmail-msonormal"/>
        <w:numPr>
          <w:ilvl w:val="0"/>
          <w:numId w:val="6"/>
        </w:numPr>
        <w:spacing w:before="0" w:beforeAutospacing="0" w:after="120" w:afterAutospacing="0"/>
        <w:ind w:left="714" w:hanging="357"/>
        <w:jc w:val="both"/>
        <w:rPr>
          <w:rFonts w:ascii="Arial" w:hAnsi="Arial" w:cs="Arial"/>
          <w:sz w:val="20"/>
          <w:szCs w:val="20"/>
        </w:rPr>
      </w:pPr>
      <w:r w:rsidRPr="00A774DA">
        <w:rPr>
          <w:rFonts w:ascii="Arial" w:hAnsi="Arial" w:cs="Arial"/>
          <w:sz w:val="20"/>
          <w:szCs w:val="20"/>
        </w:rPr>
        <w:t>accroître les capacités de l’Etat dans le contrôle de la qualité et dans la distribution des produits pétroliers ;</w:t>
      </w:r>
    </w:p>
    <w:p w:rsidR="00A81382" w:rsidRPr="00A774DA" w:rsidRDefault="00A81382" w:rsidP="00A81382">
      <w:pPr>
        <w:pStyle w:val="onecomwebmail-msonormal"/>
        <w:numPr>
          <w:ilvl w:val="0"/>
          <w:numId w:val="6"/>
        </w:numPr>
        <w:spacing w:before="0" w:beforeAutospacing="0" w:after="120" w:afterAutospacing="0"/>
        <w:ind w:left="714" w:hanging="357"/>
        <w:jc w:val="both"/>
        <w:rPr>
          <w:rFonts w:ascii="Arial" w:hAnsi="Arial" w:cs="Arial"/>
          <w:sz w:val="20"/>
          <w:szCs w:val="20"/>
        </w:rPr>
      </w:pPr>
      <w:r w:rsidRPr="00A774DA">
        <w:rPr>
          <w:rFonts w:ascii="Arial" w:hAnsi="Arial" w:cs="Arial"/>
          <w:sz w:val="20"/>
          <w:szCs w:val="20"/>
        </w:rPr>
        <w:t>orienter et contrôler les actions de l’Entreprise nationale des Hydrocarbures ; et</w:t>
      </w:r>
    </w:p>
    <w:p w:rsidR="00A81382" w:rsidRPr="00A774DA" w:rsidRDefault="00A81382" w:rsidP="00A81382">
      <w:pPr>
        <w:pStyle w:val="onecomwebmail-msonormal"/>
        <w:numPr>
          <w:ilvl w:val="0"/>
          <w:numId w:val="6"/>
        </w:numPr>
        <w:spacing w:before="0" w:beforeAutospacing="0" w:after="240" w:afterAutospacing="0"/>
        <w:jc w:val="both"/>
        <w:rPr>
          <w:rFonts w:ascii="Arial" w:hAnsi="Arial" w:cs="Arial"/>
          <w:sz w:val="20"/>
          <w:szCs w:val="20"/>
        </w:rPr>
      </w:pPr>
      <w:r w:rsidRPr="00A774DA">
        <w:rPr>
          <w:rFonts w:ascii="Arial" w:hAnsi="Arial" w:cs="Arial"/>
          <w:sz w:val="20"/>
          <w:szCs w:val="20"/>
        </w:rPr>
        <w:t>contrôler les sociétés privées et les organismes dont les activités relèvent des Hydrocarbures.</w:t>
      </w:r>
    </w:p>
    <w:p w:rsidR="00A81382" w:rsidRPr="00A774DA" w:rsidRDefault="00A81382" w:rsidP="00A81382">
      <w:pPr>
        <w:pStyle w:val="onecomwebmail-msonormal"/>
        <w:spacing w:before="0" w:beforeAutospacing="0" w:after="240" w:afterAutospacing="0"/>
        <w:jc w:val="both"/>
        <w:rPr>
          <w:rFonts w:ascii="Arial" w:hAnsi="Arial" w:cs="Arial"/>
          <w:sz w:val="20"/>
          <w:szCs w:val="20"/>
        </w:rPr>
      </w:pPr>
      <w:r w:rsidRPr="00A774DA">
        <w:rPr>
          <w:rFonts w:ascii="Arial" w:hAnsi="Arial" w:cs="Arial"/>
          <w:sz w:val="20"/>
          <w:szCs w:val="20"/>
        </w:rPr>
        <w:t xml:space="preserve">Le Ministère des Hydrocarbures est doté d’un </w:t>
      </w:r>
      <w:r w:rsidRPr="00A774DA">
        <w:rPr>
          <w:rFonts w:ascii="Arial" w:hAnsi="Arial" w:cs="Arial"/>
          <w:b/>
          <w:sz w:val="20"/>
          <w:szCs w:val="20"/>
        </w:rPr>
        <w:t>Secrétariat Général</w:t>
      </w:r>
      <w:r w:rsidRPr="00A774DA">
        <w:rPr>
          <w:rFonts w:ascii="Arial" w:hAnsi="Arial" w:cs="Arial"/>
          <w:sz w:val="20"/>
          <w:szCs w:val="20"/>
        </w:rPr>
        <w:t xml:space="preserve"> qui constitue l’organe technique qui assiste le Ministre dans l’exercice de ses fonctions. Il est chargé essentiellement de :</w:t>
      </w:r>
    </w:p>
    <w:p w:rsidR="00A81382" w:rsidRPr="00A774DA" w:rsidRDefault="00A81382" w:rsidP="00D650D7">
      <w:pPr>
        <w:pStyle w:val="onecomwebmail-msonormal"/>
        <w:numPr>
          <w:ilvl w:val="0"/>
          <w:numId w:val="6"/>
        </w:numPr>
        <w:spacing w:before="0" w:beforeAutospacing="0" w:after="0" w:afterAutospacing="0"/>
        <w:ind w:left="714" w:hanging="357"/>
        <w:jc w:val="both"/>
        <w:rPr>
          <w:rFonts w:ascii="Arial" w:hAnsi="Arial" w:cs="Arial"/>
          <w:sz w:val="20"/>
          <w:szCs w:val="20"/>
        </w:rPr>
      </w:pPr>
      <w:r w:rsidRPr="00A774DA">
        <w:rPr>
          <w:rFonts w:ascii="Arial" w:hAnsi="Arial" w:cs="Arial"/>
          <w:sz w:val="20"/>
          <w:szCs w:val="20"/>
        </w:rPr>
        <w:t>gérer le patrimoine national en matière d’Hydrocarbures ;</w:t>
      </w:r>
    </w:p>
    <w:p w:rsidR="00A81382" w:rsidRPr="00A774DA" w:rsidRDefault="00A81382" w:rsidP="00D650D7">
      <w:pPr>
        <w:pStyle w:val="onecomwebmail-msonormal"/>
        <w:numPr>
          <w:ilvl w:val="0"/>
          <w:numId w:val="6"/>
        </w:numPr>
        <w:spacing w:before="0" w:beforeAutospacing="0" w:after="0" w:afterAutospacing="0"/>
        <w:ind w:left="714" w:hanging="357"/>
        <w:jc w:val="both"/>
        <w:rPr>
          <w:rFonts w:ascii="Arial" w:hAnsi="Arial" w:cs="Arial"/>
          <w:sz w:val="20"/>
          <w:szCs w:val="20"/>
        </w:rPr>
      </w:pPr>
      <w:r w:rsidRPr="00A774DA">
        <w:rPr>
          <w:rFonts w:ascii="Arial" w:hAnsi="Arial" w:cs="Arial"/>
          <w:sz w:val="20"/>
          <w:szCs w:val="20"/>
        </w:rPr>
        <w:t xml:space="preserve">veiller à l’application des lois, arrêtés, et règlements signés par les autorités ; </w:t>
      </w:r>
    </w:p>
    <w:p w:rsidR="00A81382" w:rsidRPr="00A774DA" w:rsidRDefault="00A81382" w:rsidP="00D650D7">
      <w:pPr>
        <w:pStyle w:val="onecomwebmail-msonormal"/>
        <w:numPr>
          <w:ilvl w:val="0"/>
          <w:numId w:val="6"/>
        </w:numPr>
        <w:spacing w:before="0" w:beforeAutospacing="0" w:after="0" w:afterAutospacing="0"/>
        <w:ind w:left="714" w:hanging="357"/>
        <w:jc w:val="both"/>
        <w:rPr>
          <w:rFonts w:ascii="Arial" w:hAnsi="Arial" w:cs="Arial"/>
          <w:sz w:val="20"/>
          <w:szCs w:val="20"/>
        </w:rPr>
      </w:pPr>
      <w:r w:rsidRPr="00A774DA">
        <w:rPr>
          <w:rFonts w:ascii="Arial" w:hAnsi="Arial" w:cs="Arial"/>
          <w:sz w:val="20"/>
          <w:szCs w:val="20"/>
        </w:rPr>
        <w:t>assurer le contrôle technique des installations et équipements pétroliers ; et</w:t>
      </w:r>
    </w:p>
    <w:p w:rsidR="00A81382" w:rsidRPr="00A774DA" w:rsidRDefault="00A81382" w:rsidP="00D650D7">
      <w:pPr>
        <w:pStyle w:val="onecomwebmail-msonormal"/>
        <w:numPr>
          <w:ilvl w:val="0"/>
          <w:numId w:val="6"/>
        </w:numPr>
        <w:spacing w:before="0" w:beforeAutospacing="0" w:after="0" w:afterAutospacing="0"/>
        <w:jc w:val="both"/>
        <w:rPr>
          <w:rFonts w:ascii="Arial" w:hAnsi="Arial" w:cs="Arial"/>
          <w:sz w:val="20"/>
          <w:szCs w:val="20"/>
        </w:rPr>
      </w:pPr>
      <w:r w:rsidRPr="00A774DA">
        <w:rPr>
          <w:rFonts w:ascii="Arial" w:hAnsi="Arial" w:cs="Arial"/>
          <w:sz w:val="20"/>
          <w:szCs w:val="20"/>
        </w:rPr>
        <w:t>assurer la promotion des blocs pétroliers dans les bassins sédimentaires non encore attribués en vue de l’octroi d’un permis de recherche.</w:t>
      </w:r>
    </w:p>
    <w:p w:rsidR="00A81382" w:rsidRDefault="00A81382" w:rsidP="00D650D7">
      <w:pPr>
        <w:pStyle w:val="onecomwebmail-msonormal"/>
        <w:spacing w:before="120" w:beforeAutospacing="0" w:after="0" w:afterAutospacing="0"/>
        <w:jc w:val="both"/>
        <w:rPr>
          <w:rFonts w:ascii="Arial" w:hAnsi="Arial" w:cs="Arial"/>
          <w:sz w:val="20"/>
          <w:szCs w:val="20"/>
        </w:rPr>
      </w:pPr>
      <w:r w:rsidRPr="00A774DA">
        <w:rPr>
          <w:rFonts w:ascii="Arial" w:hAnsi="Arial" w:cs="Arial"/>
          <w:sz w:val="20"/>
          <w:szCs w:val="20"/>
        </w:rPr>
        <w:t xml:space="preserve">La Société Pétrolière Nationale (COHYDRO SA) créée par le </w:t>
      </w:r>
      <w:r>
        <w:rPr>
          <w:rFonts w:ascii="Arial" w:hAnsi="Arial" w:cs="Arial"/>
          <w:sz w:val="20"/>
          <w:szCs w:val="20"/>
        </w:rPr>
        <w:t>D</w:t>
      </w:r>
      <w:r w:rsidRPr="00A774DA">
        <w:rPr>
          <w:rFonts w:ascii="Arial" w:hAnsi="Arial" w:cs="Arial"/>
          <w:sz w:val="20"/>
          <w:szCs w:val="20"/>
        </w:rPr>
        <w:t>écret-</w:t>
      </w:r>
      <w:r>
        <w:rPr>
          <w:rFonts w:ascii="Arial" w:hAnsi="Arial" w:cs="Arial"/>
          <w:sz w:val="20"/>
          <w:szCs w:val="20"/>
        </w:rPr>
        <w:t>L</w:t>
      </w:r>
      <w:r w:rsidRPr="00A774DA">
        <w:rPr>
          <w:rFonts w:ascii="Arial" w:hAnsi="Arial" w:cs="Arial"/>
          <w:sz w:val="20"/>
          <w:szCs w:val="20"/>
        </w:rPr>
        <w:t>oi n° 245 du </w:t>
      </w:r>
      <w:hyperlink r:id="rId11" w:tooltip="9 août" w:history="1">
        <w:r w:rsidRPr="00A774DA">
          <w:rPr>
            <w:rFonts w:ascii="Arial" w:hAnsi="Arial" w:cs="Arial"/>
            <w:sz w:val="20"/>
            <w:szCs w:val="20"/>
          </w:rPr>
          <w:t>9 août</w:t>
        </w:r>
      </w:hyperlink>
      <w:r w:rsidRPr="00A774DA">
        <w:rPr>
          <w:rFonts w:ascii="Arial" w:hAnsi="Arial" w:cs="Arial"/>
          <w:sz w:val="20"/>
          <w:szCs w:val="20"/>
        </w:rPr>
        <w:t> </w:t>
      </w:r>
      <w:hyperlink r:id="rId12" w:tooltip="1999" w:history="1">
        <w:r w:rsidRPr="00A774DA">
          <w:rPr>
            <w:rFonts w:ascii="Arial" w:hAnsi="Arial" w:cs="Arial"/>
            <w:sz w:val="20"/>
            <w:szCs w:val="20"/>
          </w:rPr>
          <w:t>1999</w:t>
        </w:r>
      </w:hyperlink>
      <w:r w:rsidRPr="00A774DA">
        <w:rPr>
          <w:rFonts w:ascii="Arial" w:hAnsi="Arial" w:cs="Arial"/>
          <w:sz w:val="20"/>
          <w:szCs w:val="20"/>
        </w:rPr>
        <w:t>, est une société spécialisée dans l’importation, l’achat, l’exportation, la commercialisation et la transformation industrielle du pétrole brute et des produits dérivés. Elle intervient en amont dans le secteur par la prise des participations propres à la production pétrolière en passant par l’exploration, les recherches et les études.</w:t>
      </w:r>
    </w:p>
    <w:p w:rsidR="00A81382" w:rsidRPr="004D0BD6" w:rsidRDefault="00A81382" w:rsidP="007B0F6C">
      <w:pPr>
        <w:pStyle w:val="Heading3"/>
        <w:numPr>
          <w:ilvl w:val="0"/>
          <w:numId w:val="38"/>
        </w:numPr>
        <w:tabs>
          <w:tab w:val="left" w:pos="800"/>
        </w:tabs>
        <w:rPr>
          <w:rFonts w:cs="Arial"/>
          <w:b/>
          <w:bCs w:val="0"/>
          <w:i w:val="0"/>
          <w:iCs w:val="0"/>
          <w:color w:val="0070C0"/>
        </w:rPr>
      </w:pPr>
      <w:r w:rsidRPr="004D0BD6">
        <w:rPr>
          <w:rFonts w:cs="Arial"/>
          <w:b/>
          <w:bCs w:val="0"/>
          <w:i w:val="0"/>
          <w:iCs w:val="0"/>
          <w:color w:val="0070C0"/>
        </w:rPr>
        <w:t>Schéma de circulation des flux</w:t>
      </w:r>
    </w:p>
    <w:p w:rsidR="00A81382" w:rsidRPr="009F14B2" w:rsidRDefault="00A81382" w:rsidP="00A81382">
      <w:r w:rsidRPr="00DE77F2">
        <w:t xml:space="preserve">Le schéma de circulation des flux de paiements provenant du secteur </w:t>
      </w:r>
      <w:r>
        <w:t>pétrolier</w:t>
      </w:r>
      <w:r w:rsidRPr="00DE77F2">
        <w:t xml:space="preserve"> peut être présenté comme suit</w:t>
      </w:r>
    </w:p>
    <w:p w:rsidR="00A81382" w:rsidRPr="009F14B2" w:rsidRDefault="00A81382" w:rsidP="00A81382">
      <w:r w:rsidRPr="008F155B">
        <w:rPr>
          <w:noProof/>
          <w:lang w:val="en-US"/>
        </w:rPr>
        <w:lastRenderedPageBreak/>
        <w:drawing>
          <wp:inline distT="0" distB="0" distL="0" distR="0">
            <wp:extent cx="5579110" cy="2481588"/>
            <wp:effectExtent l="0" t="0" r="254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79110" cy="2481588"/>
                    </a:xfrm>
                    <a:prstGeom prst="rect">
                      <a:avLst/>
                    </a:prstGeom>
                    <a:noFill/>
                    <a:ln>
                      <a:noFill/>
                    </a:ln>
                  </pic:spPr>
                </pic:pic>
              </a:graphicData>
            </a:graphic>
          </wp:inline>
        </w:drawing>
      </w:r>
    </w:p>
    <w:p w:rsidR="00A81382" w:rsidRPr="0037403E" w:rsidRDefault="00C52967" w:rsidP="0037403E">
      <w:pPr>
        <w:pStyle w:val="Heading3"/>
        <w:numPr>
          <w:ilvl w:val="2"/>
          <w:numId w:val="2"/>
        </w:numPr>
        <w:tabs>
          <w:tab w:val="left" w:pos="800"/>
        </w:tabs>
        <w:ind w:left="800" w:hanging="800"/>
        <w:rPr>
          <w:rFonts w:cs="Arial"/>
          <w:b/>
          <w:bCs w:val="0"/>
          <w:i w:val="0"/>
          <w:iCs w:val="0"/>
          <w:color w:val="0070C0"/>
        </w:rPr>
      </w:pPr>
      <w:bookmarkStart w:id="15" w:name="_Toc361245101"/>
      <w:bookmarkStart w:id="16" w:name="_Toc373673701"/>
      <w:bookmarkStart w:id="17" w:name="_Toc429359775"/>
      <w:r>
        <w:rPr>
          <w:rFonts w:cs="Arial"/>
          <w:b/>
          <w:bCs w:val="0"/>
          <w:i w:val="0"/>
          <w:iCs w:val="0"/>
          <w:color w:val="0070C0"/>
        </w:rPr>
        <w:t xml:space="preserve">Le </w:t>
      </w:r>
      <w:r w:rsidR="00A81382" w:rsidRPr="0037403E">
        <w:rPr>
          <w:rFonts w:cs="Arial"/>
          <w:b/>
          <w:bCs w:val="0"/>
          <w:i w:val="0"/>
          <w:iCs w:val="0"/>
          <w:color w:val="0070C0"/>
        </w:rPr>
        <w:t xml:space="preserve">secteur </w:t>
      </w:r>
      <w:bookmarkEnd w:id="15"/>
      <w:bookmarkEnd w:id="16"/>
      <w:bookmarkEnd w:id="17"/>
      <w:r>
        <w:rPr>
          <w:rFonts w:cs="Arial"/>
          <w:b/>
          <w:bCs w:val="0"/>
          <w:i w:val="0"/>
          <w:iCs w:val="0"/>
          <w:color w:val="0070C0"/>
        </w:rPr>
        <w:t>des Mines</w:t>
      </w:r>
      <w:r w:rsidR="00A81382" w:rsidRPr="0037403E">
        <w:rPr>
          <w:rFonts w:cs="Arial"/>
          <w:b/>
          <w:bCs w:val="0"/>
          <w:i w:val="0"/>
          <w:iCs w:val="0"/>
          <w:color w:val="0070C0"/>
        </w:rPr>
        <w:t xml:space="preserve"> </w:t>
      </w:r>
    </w:p>
    <w:p w:rsidR="0037403E" w:rsidRDefault="00A81382" w:rsidP="007B0F6C">
      <w:pPr>
        <w:pStyle w:val="Heading3"/>
        <w:numPr>
          <w:ilvl w:val="4"/>
          <w:numId w:val="39"/>
        </w:numPr>
        <w:tabs>
          <w:tab w:val="left" w:pos="800"/>
        </w:tabs>
        <w:rPr>
          <w:b/>
          <w:bCs w:val="0"/>
          <w:i w:val="0"/>
          <w:iCs w:val="0"/>
          <w:color w:val="0070C0"/>
          <w:szCs w:val="20"/>
        </w:rPr>
      </w:pPr>
      <w:r w:rsidRPr="00A774DA">
        <w:rPr>
          <w:b/>
          <w:bCs w:val="0"/>
          <w:i w:val="0"/>
          <w:iCs w:val="0"/>
          <w:color w:val="0070C0"/>
          <w:szCs w:val="20"/>
        </w:rPr>
        <w:t xml:space="preserve">Contexte général du secteur </w:t>
      </w:r>
      <w:r w:rsidR="00C52967">
        <w:rPr>
          <w:b/>
          <w:bCs w:val="0"/>
          <w:i w:val="0"/>
          <w:iCs w:val="0"/>
          <w:color w:val="0070C0"/>
          <w:szCs w:val="20"/>
        </w:rPr>
        <w:t>des Mines</w:t>
      </w:r>
    </w:p>
    <w:p w:rsidR="00A81382" w:rsidRPr="0037403E" w:rsidRDefault="00A81382" w:rsidP="007B0F6C">
      <w:pPr>
        <w:pStyle w:val="ListParagraph"/>
        <w:numPr>
          <w:ilvl w:val="0"/>
          <w:numId w:val="40"/>
        </w:numPr>
        <w:ind w:left="1036" w:hanging="238"/>
        <w:rPr>
          <w:rFonts w:eastAsia="+mn-ea"/>
          <w:b/>
          <w:bCs w:val="0"/>
          <w:szCs w:val="20"/>
        </w:rPr>
      </w:pPr>
      <w:r w:rsidRPr="0037403E">
        <w:rPr>
          <w:rFonts w:eastAsia="+mn-ea"/>
          <w:b/>
          <w:bCs w:val="0"/>
          <w:szCs w:val="20"/>
        </w:rPr>
        <w:t>Contexte et potentiel minier</w:t>
      </w:r>
    </w:p>
    <w:p w:rsidR="00A81382" w:rsidRPr="00A774DA" w:rsidRDefault="00A81382" w:rsidP="00A81382">
      <w:pPr>
        <w:tabs>
          <w:tab w:val="left" w:pos="720"/>
        </w:tabs>
        <w:spacing w:before="120" w:after="120"/>
        <w:rPr>
          <w:szCs w:val="20"/>
        </w:rPr>
      </w:pPr>
      <w:r w:rsidRPr="00A774DA">
        <w:rPr>
          <w:szCs w:val="20"/>
        </w:rPr>
        <w:t xml:space="preserve">La République Démocratique du Congo recèle un potentiel minier très diversifié et inégalement réparti dans toutes les provinces du pays. </w:t>
      </w:r>
    </w:p>
    <w:p w:rsidR="00A81382" w:rsidRPr="00A774DA" w:rsidRDefault="00A81382" w:rsidP="00A81382">
      <w:pPr>
        <w:tabs>
          <w:tab w:val="left" w:pos="720"/>
        </w:tabs>
        <w:spacing w:before="120" w:after="120"/>
        <w:rPr>
          <w:szCs w:val="20"/>
        </w:rPr>
      </w:pPr>
      <w:r w:rsidRPr="00A774DA">
        <w:rPr>
          <w:szCs w:val="20"/>
        </w:rPr>
        <w:t xml:space="preserve">Depuis la promulgation de l’actuel Code Minier en 2002, la situation de la recherche géologique et minière en RDC a notablement évolué. Ce code minier et ses mesures d’application ont attiré un nombre croissant d’explorateurs et exploitants miniers. </w:t>
      </w:r>
    </w:p>
    <w:p w:rsidR="00A81382" w:rsidRPr="00A774DA" w:rsidRDefault="00A81382" w:rsidP="00A81382">
      <w:pPr>
        <w:tabs>
          <w:tab w:val="left" w:pos="720"/>
        </w:tabs>
        <w:spacing w:before="120" w:after="120"/>
        <w:rPr>
          <w:szCs w:val="20"/>
        </w:rPr>
      </w:pPr>
      <w:r w:rsidRPr="00A774DA">
        <w:rPr>
          <w:szCs w:val="20"/>
        </w:rPr>
        <w:t>Les différentes campagnes géologiques menées jusqu’ici ont démontré que les ressources minérales congolaises sont immenses et variées ; elles ont en fait permis d’identifier plus de 1.100 substances minérales dont 22, économiquement exploitables, sont groupées en 7 filières : la filière du cuivre, les substances précieuses et semi-précieuses, la filière de la cassitérite, les métaux rares, les métaux ferreux, le couple nickel-chrome et les minéraux non métalliques.</w:t>
      </w:r>
    </w:p>
    <w:p w:rsidR="00A81382" w:rsidRPr="00A774DA" w:rsidRDefault="00A81382" w:rsidP="00A81382">
      <w:pPr>
        <w:tabs>
          <w:tab w:val="left" w:pos="720"/>
        </w:tabs>
        <w:spacing w:before="120" w:after="120"/>
        <w:rPr>
          <w:szCs w:val="20"/>
        </w:rPr>
      </w:pPr>
      <w:r w:rsidRPr="00A774DA">
        <w:rPr>
          <w:szCs w:val="20"/>
        </w:rPr>
        <w:t>L’exploitation industrielle est assurée par des sociétés minières publiques, mixtes et privées. L’exploitation artisanale est aussi dévelo</w:t>
      </w:r>
      <w:r>
        <w:rPr>
          <w:szCs w:val="20"/>
        </w:rPr>
        <w:t>p</w:t>
      </w:r>
      <w:r w:rsidRPr="00A774DA">
        <w:rPr>
          <w:szCs w:val="20"/>
        </w:rPr>
        <w:t>pée en RDC.</w:t>
      </w:r>
    </w:p>
    <w:p w:rsidR="00A81382" w:rsidRPr="00A774DA" w:rsidRDefault="00A81382" w:rsidP="00A81382">
      <w:pPr>
        <w:tabs>
          <w:tab w:val="left" w:pos="720"/>
        </w:tabs>
        <w:spacing w:before="120" w:after="120"/>
        <w:rPr>
          <w:szCs w:val="20"/>
        </w:rPr>
      </w:pPr>
      <w:r w:rsidRPr="00A774DA">
        <w:rPr>
          <w:szCs w:val="20"/>
        </w:rPr>
        <w:t>La production industrielle à grande échelle se concentre principalement au Katanga, Sud-Kivu, Maniema et dans la Province Orientale.</w:t>
      </w:r>
    </w:p>
    <w:p w:rsidR="00A81382" w:rsidRPr="00A774DA" w:rsidRDefault="00A81382" w:rsidP="007B0F6C">
      <w:pPr>
        <w:pStyle w:val="ListParagraph"/>
        <w:numPr>
          <w:ilvl w:val="0"/>
          <w:numId w:val="40"/>
        </w:numPr>
        <w:ind w:left="1036" w:hanging="238"/>
        <w:rPr>
          <w:rFonts w:eastAsia="+mn-ea"/>
          <w:b/>
          <w:bCs w:val="0"/>
          <w:szCs w:val="20"/>
        </w:rPr>
      </w:pPr>
      <w:r w:rsidRPr="00A774DA">
        <w:rPr>
          <w:rFonts w:eastAsia="+mn-ea"/>
          <w:b/>
          <w:bCs w:val="0"/>
          <w:szCs w:val="20"/>
        </w:rPr>
        <w:t>Les types d’opérateurs miniers</w:t>
      </w:r>
    </w:p>
    <w:p w:rsidR="00A81382" w:rsidRPr="00A774DA" w:rsidRDefault="00A81382" w:rsidP="00A81382">
      <w:pPr>
        <w:tabs>
          <w:tab w:val="left" w:pos="720"/>
        </w:tabs>
        <w:spacing w:before="120" w:after="120"/>
        <w:rPr>
          <w:szCs w:val="20"/>
        </w:rPr>
      </w:pPr>
      <w:r w:rsidRPr="00A774DA">
        <w:rPr>
          <w:szCs w:val="20"/>
        </w:rPr>
        <w:t>Selon le Code Minier, les activités minières sont exercées par les titulaires d’un droit minier (PR, PE, PER, PEPM), par les titulaires des autorisations pour les entités de traitement ou de transformation, les comptoirs agréés pour l’achat, la vente et l’exportation des minerais d’exploitation artisanale, et enfin par les Artisanaux et les Négociants.</w:t>
      </w:r>
    </w:p>
    <w:p w:rsidR="00A81382" w:rsidRPr="00A774DA" w:rsidRDefault="00A81382" w:rsidP="007B0F6C">
      <w:pPr>
        <w:pStyle w:val="ListParagraph"/>
        <w:numPr>
          <w:ilvl w:val="0"/>
          <w:numId w:val="40"/>
        </w:numPr>
        <w:ind w:left="1036" w:hanging="238"/>
        <w:rPr>
          <w:rFonts w:eastAsia="+mn-ea"/>
          <w:b/>
          <w:bCs w:val="0"/>
          <w:szCs w:val="20"/>
        </w:rPr>
      </w:pPr>
      <w:r w:rsidRPr="00A774DA">
        <w:rPr>
          <w:rFonts w:eastAsia="+mn-ea"/>
          <w:b/>
          <w:bCs w:val="0"/>
          <w:szCs w:val="20"/>
        </w:rPr>
        <w:t>L’exploitation artisanale</w:t>
      </w:r>
    </w:p>
    <w:p w:rsidR="00A81382" w:rsidRPr="00A774DA" w:rsidRDefault="00A81382" w:rsidP="00A81382">
      <w:pPr>
        <w:tabs>
          <w:tab w:val="left" w:pos="720"/>
        </w:tabs>
        <w:spacing w:before="120" w:after="120"/>
        <w:rPr>
          <w:szCs w:val="20"/>
        </w:rPr>
      </w:pPr>
      <w:r w:rsidRPr="00A774DA">
        <w:rPr>
          <w:szCs w:val="20"/>
        </w:rPr>
        <w:t>L’exploitation minière artisanale concerne les provinces du Kasaï Oriental, du Kasaï Occidental, du Katanga, du Maniema, du Nord Kivu, du Sud Kivu et la Province Orientale.</w:t>
      </w:r>
    </w:p>
    <w:p w:rsidR="00A81382" w:rsidRPr="00A774DA" w:rsidRDefault="00A81382" w:rsidP="00A81382">
      <w:pPr>
        <w:tabs>
          <w:tab w:val="left" w:pos="720"/>
        </w:tabs>
        <w:spacing w:before="120" w:after="120"/>
        <w:rPr>
          <w:szCs w:val="20"/>
        </w:rPr>
      </w:pPr>
      <w:r w:rsidRPr="00A774DA">
        <w:rPr>
          <w:szCs w:val="20"/>
        </w:rPr>
        <w:t>La majeure partie de la production artisanale, principalement à l’Est du pays, est exportée en contrebande via des pays limitrophes de la RDC du fait des différentes guerres. L’exploitation et le commerce des minerais issus du secteur artisanal échappent en partie au contrôle de l’État et les recettes fiscales qui en sont tirées ne contribuent pas significativement aux finances publiques.</w:t>
      </w:r>
    </w:p>
    <w:p w:rsidR="00A81382" w:rsidRPr="00A774DA" w:rsidRDefault="00A81382" w:rsidP="00A81382">
      <w:pPr>
        <w:tabs>
          <w:tab w:val="left" w:pos="720"/>
        </w:tabs>
        <w:spacing w:before="120" w:after="120"/>
        <w:rPr>
          <w:szCs w:val="20"/>
        </w:rPr>
      </w:pPr>
      <w:r w:rsidRPr="00A774DA">
        <w:rPr>
          <w:szCs w:val="20"/>
        </w:rPr>
        <w:t xml:space="preserve">Le Rapport ITIE-RDC 2010 (p.30) avait déjà décrit les péripéties de l’exploitation artisanale en RDC qui a connu un temps d’interdiction d’activités en 2010 et de réouverture en 2011. Il avait aussi évoqué les raisons pour lesquelles l’exploitation artisanale, déjà couverte par le Rapport ITIE-RDC 2008-2009, ne l’a plus été dans les rapports subséquents. </w:t>
      </w:r>
    </w:p>
    <w:p w:rsidR="00A81382" w:rsidRPr="00A774DA" w:rsidRDefault="00A81382" w:rsidP="007B0F6C">
      <w:pPr>
        <w:pStyle w:val="Heading3"/>
        <w:numPr>
          <w:ilvl w:val="4"/>
          <w:numId w:val="39"/>
        </w:numPr>
        <w:tabs>
          <w:tab w:val="left" w:pos="800"/>
        </w:tabs>
        <w:rPr>
          <w:b/>
          <w:bCs w:val="0"/>
          <w:i w:val="0"/>
          <w:iCs w:val="0"/>
          <w:color w:val="0070C0"/>
          <w:szCs w:val="20"/>
        </w:rPr>
      </w:pPr>
      <w:r w:rsidRPr="00A774DA">
        <w:rPr>
          <w:b/>
          <w:bCs w:val="0"/>
          <w:i w:val="0"/>
          <w:iCs w:val="0"/>
          <w:color w:val="0070C0"/>
          <w:szCs w:val="20"/>
        </w:rPr>
        <w:lastRenderedPageBreak/>
        <w:t>Organes de régulation du secteur minier</w:t>
      </w:r>
    </w:p>
    <w:p w:rsidR="00A81382" w:rsidRPr="00A774DA" w:rsidRDefault="00A81382" w:rsidP="00A81382">
      <w:pPr>
        <w:spacing w:before="120" w:after="120"/>
      </w:pPr>
      <w:r w:rsidRPr="00A774DA">
        <w:t xml:space="preserve">Les organes de régulation dans le secteur minier ainsi que les répartitions de leurs compétences sont stipulées dans les Articles 8 à 16 du Code </w:t>
      </w:r>
      <w:r>
        <w:t>M</w:t>
      </w:r>
      <w:r w:rsidRPr="00A774DA">
        <w:t>inier.</w:t>
      </w:r>
    </w:p>
    <w:p w:rsidR="00A81382" w:rsidRPr="00A774DA" w:rsidRDefault="00A81382" w:rsidP="00A81382">
      <w:pPr>
        <w:spacing w:before="120" w:after="120"/>
      </w:pPr>
      <w:r w:rsidRPr="00A774DA">
        <w:t>Les différents intervenants sont décrits comme suit:</w:t>
      </w:r>
    </w:p>
    <w:p w:rsidR="00A81382" w:rsidRPr="00A774DA" w:rsidRDefault="00A81382" w:rsidP="007B0F6C">
      <w:pPr>
        <w:pStyle w:val="ListParagraph"/>
        <w:numPr>
          <w:ilvl w:val="0"/>
          <w:numId w:val="41"/>
        </w:numPr>
        <w:autoSpaceDE w:val="0"/>
        <w:autoSpaceDN w:val="0"/>
        <w:adjustRightInd w:val="0"/>
        <w:spacing w:before="120" w:after="120"/>
        <w:ind w:left="980" w:hanging="182"/>
        <w:rPr>
          <w:rFonts w:ascii="TimesNewRoman" w:eastAsiaTheme="minorHAnsi" w:hAnsi="TimesNewRoman" w:cs="TimesNewRoman"/>
          <w:bCs w:val="0"/>
          <w:sz w:val="22"/>
        </w:rPr>
      </w:pPr>
      <w:r w:rsidRPr="00A774DA">
        <w:rPr>
          <w:b/>
          <w:bCs w:val="0"/>
          <w:szCs w:val="20"/>
        </w:rPr>
        <w:t xml:space="preserve">Président de la République : </w:t>
      </w:r>
      <w:r w:rsidRPr="00A774DA">
        <w:rPr>
          <w:bCs w:val="0"/>
          <w:szCs w:val="20"/>
        </w:rPr>
        <w:t xml:space="preserve">Les prérogatives du Président de la République sont prévues par l’Article 9 du Code </w:t>
      </w:r>
      <w:r>
        <w:rPr>
          <w:bCs w:val="0"/>
          <w:szCs w:val="20"/>
        </w:rPr>
        <w:t>M</w:t>
      </w:r>
      <w:r w:rsidRPr="00A774DA">
        <w:rPr>
          <w:bCs w:val="0"/>
          <w:szCs w:val="20"/>
        </w:rPr>
        <w:t>inier et concernent essentiellement l’édiction du Règlement Minier, le classement, déclassement, reclassement et la réservation des substances minérales et des zones.</w:t>
      </w:r>
    </w:p>
    <w:p w:rsidR="00A81382" w:rsidRPr="0037403E" w:rsidRDefault="00A81382" w:rsidP="007B0F6C">
      <w:pPr>
        <w:pStyle w:val="ListParagraph"/>
        <w:numPr>
          <w:ilvl w:val="0"/>
          <w:numId w:val="41"/>
        </w:numPr>
        <w:autoSpaceDE w:val="0"/>
        <w:autoSpaceDN w:val="0"/>
        <w:adjustRightInd w:val="0"/>
        <w:spacing w:before="120" w:after="120"/>
        <w:ind w:left="980" w:hanging="182"/>
        <w:rPr>
          <w:bCs w:val="0"/>
          <w:szCs w:val="20"/>
        </w:rPr>
      </w:pPr>
      <w:r w:rsidRPr="00A774DA">
        <w:rPr>
          <w:b/>
          <w:bCs w:val="0"/>
          <w:szCs w:val="20"/>
        </w:rPr>
        <w:t>Ministre des Mines</w:t>
      </w:r>
      <w:r w:rsidRPr="0037403E">
        <w:rPr>
          <w:b/>
          <w:bCs w:val="0"/>
          <w:szCs w:val="20"/>
        </w:rPr>
        <w:t xml:space="preserve"> : </w:t>
      </w:r>
      <w:r w:rsidRPr="0037403E">
        <w:rPr>
          <w:bCs w:val="0"/>
          <w:szCs w:val="20"/>
        </w:rPr>
        <w:t>Les prérogatives du Ministre des Mines sont prévues par l’Article 10 du Code Minier et concernent essentiellement l’octroi, l’extension, le retrait, et la déchéance des droits miniers et de carrières, les autorisations des exportations des minerais à l’état brut, l’agrément des comptoirs d’achat des produits de l’exploitation artisanale, la réservation des gisements à soumettre à l’appel d’offres et établir les zones d’interdiction.</w:t>
      </w:r>
    </w:p>
    <w:p w:rsidR="00A81382" w:rsidRPr="0037403E" w:rsidRDefault="00A81382" w:rsidP="007B0F6C">
      <w:pPr>
        <w:pStyle w:val="ListParagraph"/>
        <w:numPr>
          <w:ilvl w:val="0"/>
          <w:numId w:val="41"/>
        </w:numPr>
        <w:autoSpaceDE w:val="0"/>
        <w:autoSpaceDN w:val="0"/>
        <w:adjustRightInd w:val="0"/>
        <w:spacing w:before="120" w:after="120"/>
        <w:ind w:left="980" w:hanging="182"/>
        <w:rPr>
          <w:b/>
          <w:bCs w:val="0"/>
          <w:szCs w:val="20"/>
        </w:rPr>
      </w:pPr>
      <w:r w:rsidRPr="00A774DA">
        <w:rPr>
          <w:b/>
          <w:bCs w:val="0"/>
          <w:szCs w:val="20"/>
        </w:rPr>
        <w:t>Gouverneur de Province</w:t>
      </w:r>
      <w:r w:rsidRPr="0037403E">
        <w:rPr>
          <w:b/>
          <w:bCs w:val="0"/>
          <w:szCs w:val="20"/>
        </w:rPr>
        <w:t xml:space="preserve"> : </w:t>
      </w:r>
      <w:r w:rsidRPr="0037403E">
        <w:rPr>
          <w:bCs w:val="0"/>
          <w:szCs w:val="20"/>
        </w:rPr>
        <w:t>Les prérogatives du Gouverneur de Province sont prévues par l’Article 11 du Code Minier et concernent essentiellement la délivrance des cartes de négociants des produits d’exploitation artisanale.</w:t>
      </w:r>
    </w:p>
    <w:p w:rsidR="00A81382" w:rsidRPr="0037403E" w:rsidRDefault="00A81382" w:rsidP="007B0F6C">
      <w:pPr>
        <w:pStyle w:val="ListParagraph"/>
        <w:numPr>
          <w:ilvl w:val="0"/>
          <w:numId w:val="41"/>
        </w:numPr>
        <w:autoSpaceDE w:val="0"/>
        <w:autoSpaceDN w:val="0"/>
        <w:adjustRightInd w:val="0"/>
        <w:spacing w:before="120" w:after="120"/>
        <w:ind w:left="980" w:hanging="182"/>
        <w:rPr>
          <w:bCs w:val="0"/>
          <w:szCs w:val="20"/>
        </w:rPr>
      </w:pPr>
      <w:r w:rsidRPr="00A774DA">
        <w:rPr>
          <w:b/>
          <w:bCs w:val="0"/>
          <w:szCs w:val="20"/>
        </w:rPr>
        <w:t>Cadastre Minier </w:t>
      </w:r>
      <w:r w:rsidRPr="0037403E">
        <w:rPr>
          <w:b/>
          <w:bCs w:val="0"/>
          <w:szCs w:val="20"/>
        </w:rPr>
        <w:t xml:space="preserve">: </w:t>
      </w:r>
      <w:r w:rsidRPr="0037403E">
        <w:rPr>
          <w:bCs w:val="0"/>
          <w:szCs w:val="20"/>
        </w:rPr>
        <w:t>Les attributions du Cadastre Minier sont prévues par l’Article 12 du Code Minier. Il est essentiellement chargé de l’inscription des demandes d’octroi, de retrait, annulation et déchéance des droits miniers et des carrières, des mutations, amodiations et suretés minières ; de l’instruction cadastrale ; de la certification de la capacité financière minimum des requérants de droits miniers et de carrières de recherche ; de la conservation des titres miniers et de carrières ; et de la tenue régulière de ses registres et des cartes de retombes minières suivant un cadastre spécifique national ouvert à la consultation du public.</w:t>
      </w:r>
    </w:p>
    <w:p w:rsidR="0037403E" w:rsidRPr="0037403E" w:rsidRDefault="00A81382" w:rsidP="007B0F6C">
      <w:pPr>
        <w:pStyle w:val="ListParagraph"/>
        <w:numPr>
          <w:ilvl w:val="0"/>
          <w:numId w:val="41"/>
        </w:numPr>
        <w:autoSpaceDE w:val="0"/>
        <w:autoSpaceDN w:val="0"/>
        <w:adjustRightInd w:val="0"/>
        <w:spacing w:before="120" w:after="120"/>
        <w:ind w:left="980" w:hanging="182"/>
      </w:pPr>
      <w:r w:rsidRPr="0037403E">
        <w:rPr>
          <w:b/>
          <w:bCs w:val="0"/>
          <w:szCs w:val="20"/>
        </w:rPr>
        <w:t xml:space="preserve">Chef de Division Provinciale des Mines </w:t>
      </w:r>
    </w:p>
    <w:p w:rsidR="00A81382" w:rsidRPr="00A774DA" w:rsidRDefault="00A81382" w:rsidP="0037403E">
      <w:pPr>
        <w:pStyle w:val="ListParagraph"/>
        <w:autoSpaceDE w:val="0"/>
        <w:autoSpaceDN w:val="0"/>
        <w:adjustRightInd w:val="0"/>
        <w:spacing w:before="120" w:after="120"/>
        <w:ind w:left="980"/>
      </w:pPr>
      <w:r w:rsidRPr="0037403E">
        <w:rPr>
          <w:bCs w:val="0"/>
          <w:szCs w:val="20"/>
        </w:rPr>
        <w:t>Les prérogatives du Chef de Division Provinciale des Mines sont prévues par l’Article 11 du Code Minier et concernent essentiellement la délivrance des cartes d’exploitant artisanal et l’octroi des droits de recherche des produits de carrières et d’exploitation des carrières permanentes ou temporaires pour les matériaux de construction à usage courant</w:t>
      </w:r>
      <w:r w:rsidRPr="00A774DA">
        <w:rPr>
          <w:bCs w:val="0"/>
          <w:szCs w:val="20"/>
        </w:rPr>
        <w:t>.</w:t>
      </w:r>
    </w:p>
    <w:p w:rsidR="0037403E" w:rsidRPr="0037403E" w:rsidRDefault="00A81382" w:rsidP="007B0F6C">
      <w:pPr>
        <w:pStyle w:val="ListParagraph"/>
        <w:numPr>
          <w:ilvl w:val="0"/>
          <w:numId w:val="41"/>
        </w:numPr>
        <w:autoSpaceDE w:val="0"/>
        <w:autoSpaceDN w:val="0"/>
        <w:adjustRightInd w:val="0"/>
        <w:spacing w:before="120" w:after="120"/>
        <w:ind w:left="980" w:hanging="182"/>
      </w:pPr>
      <w:r w:rsidRPr="00A774DA">
        <w:rPr>
          <w:rFonts w:eastAsia="PMingLiU"/>
          <w:b/>
          <w:bCs w:val="0"/>
          <w:color w:val="000000"/>
          <w:spacing w:val="1"/>
          <w:szCs w:val="20"/>
        </w:rPr>
        <w:t>Direction des Mines</w:t>
      </w:r>
      <w:r w:rsidRPr="00A774DA">
        <w:rPr>
          <w:bCs w:val="0"/>
          <w:szCs w:val="20"/>
        </w:rPr>
        <w:t xml:space="preserve"> : </w:t>
      </w:r>
    </w:p>
    <w:p w:rsidR="00A81382" w:rsidRPr="00A774DA" w:rsidRDefault="00A81382" w:rsidP="0037403E">
      <w:pPr>
        <w:pStyle w:val="ListParagraph"/>
        <w:autoSpaceDE w:val="0"/>
        <w:autoSpaceDN w:val="0"/>
        <w:adjustRightInd w:val="0"/>
        <w:spacing w:before="120" w:after="120"/>
        <w:ind w:left="980"/>
      </w:pPr>
      <w:r w:rsidRPr="00A774DA">
        <w:rPr>
          <w:bCs w:val="0"/>
          <w:szCs w:val="20"/>
        </w:rPr>
        <w:t>Les attributions de la Direction des Mines sont prévues par l’Article 14 du Code Minier. Elle est essentiellement chargée de l’inspection et du contrôle des activités minières et des travaux de carrières en matières de sécurité, d’hygiène, de conduite de travail, de production, de transport, de commercialisation et en matière sociale. Elle est chargée aussi de la compilation et de la publication des statistiques et informations sur la production et la commercialisation des produits des mines et de carrières. La Direction des Mines est la seule habilitée à contrôler et à inspecter l’exploitation minière industrielle, l’exploitation minière à petite échelle et l’exploitation artisanale</w:t>
      </w:r>
      <w:r w:rsidRPr="00A774DA">
        <w:rPr>
          <w:rFonts w:ascii="TimesNewRoman" w:hAnsi="TimesNewRoman" w:cs="TimesNewRoman"/>
          <w:bCs w:val="0"/>
          <w:sz w:val="22"/>
          <w:lang w:eastAsia="fr-FR"/>
        </w:rPr>
        <w:t>.</w:t>
      </w:r>
    </w:p>
    <w:p w:rsidR="0037403E" w:rsidRPr="0037403E" w:rsidRDefault="00A81382" w:rsidP="007B0F6C">
      <w:pPr>
        <w:pStyle w:val="ListParagraph"/>
        <w:numPr>
          <w:ilvl w:val="0"/>
          <w:numId w:val="41"/>
        </w:numPr>
        <w:autoSpaceDE w:val="0"/>
        <w:autoSpaceDN w:val="0"/>
        <w:adjustRightInd w:val="0"/>
        <w:spacing w:before="120" w:after="120"/>
        <w:ind w:left="980" w:hanging="182"/>
      </w:pPr>
      <w:r w:rsidRPr="00A774DA">
        <w:rPr>
          <w:rFonts w:eastAsia="PMingLiU"/>
          <w:b/>
          <w:bCs w:val="0"/>
          <w:color w:val="000000"/>
          <w:spacing w:val="1"/>
          <w:szCs w:val="20"/>
        </w:rPr>
        <w:t xml:space="preserve">Direction de Géologie : </w:t>
      </w:r>
    </w:p>
    <w:p w:rsidR="00A81382" w:rsidRPr="00A774DA" w:rsidRDefault="00A81382" w:rsidP="0037403E">
      <w:pPr>
        <w:pStyle w:val="ListParagraph"/>
        <w:autoSpaceDE w:val="0"/>
        <w:autoSpaceDN w:val="0"/>
        <w:adjustRightInd w:val="0"/>
        <w:spacing w:before="120" w:after="120"/>
        <w:ind w:left="980"/>
      </w:pPr>
      <w:r w:rsidRPr="00A774DA">
        <w:rPr>
          <w:bCs w:val="0"/>
          <w:szCs w:val="20"/>
        </w:rPr>
        <w:t xml:space="preserve">Les attributions de la Direction de Géologie sont prévues par l’Article 13 du Code Minier. Elle est chargée de la promotion du secteur minier à travers la recherche géologique de base, la compilation et la publication des informations sur la géologie ainsi que de la publication et de la vulgarisation desdites informations. Elle est seule habilitée à recevoir ou à réclamer le dépôt des échantillons témoins de tout échantillon ou de lot d’échantillons prélevés sur le Territoire National pour analyse ou essai en donnant visa. </w:t>
      </w:r>
    </w:p>
    <w:p w:rsidR="0037403E" w:rsidRPr="0037403E" w:rsidRDefault="00A81382" w:rsidP="007B0F6C">
      <w:pPr>
        <w:pStyle w:val="ListParagraph"/>
        <w:numPr>
          <w:ilvl w:val="0"/>
          <w:numId w:val="41"/>
        </w:numPr>
        <w:autoSpaceDE w:val="0"/>
        <w:autoSpaceDN w:val="0"/>
        <w:adjustRightInd w:val="0"/>
        <w:spacing w:before="120" w:after="120"/>
        <w:ind w:left="980" w:hanging="182"/>
      </w:pPr>
      <w:r w:rsidRPr="00A774DA">
        <w:rPr>
          <w:rFonts w:eastAsia="PMingLiU"/>
          <w:b/>
          <w:bCs w:val="0"/>
          <w:color w:val="000000"/>
          <w:spacing w:val="1"/>
          <w:szCs w:val="20"/>
        </w:rPr>
        <w:t xml:space="preserve">Service </w:t>
      </w:r>
      <w:proofErr w:type="gramStart"/>
      <w:r w:rsidRPr="00A774DA">
        <w:rPr>
          <w:rFonts w:eastAsia="PMingLiU"/>
          <w:b/>
          <w:bCs w:val="0"/>
          <w:color w:val="000000"/>
          <w:spacing w:val="1"/>
          <w:szCs w:val="20"/>
        </w:rPr>
        <w:t>chargée</w:t>
      </w:r>
      <w:proofErr w:type="gramEnd"/>
      <w:r w:rsidRPr="00A774DA">
        <w:rPr>
          <w:rFonts w:eastAsia="PMingLiU"/>
          <w:b/>
          <w:bCs w:val="0"/>
          <w:color w:val="000000"/>
          <w:spacing w:val="1"/>
          <w:szCs w:val="20"/>
        </w:rPr>
        <w:t xml:space="preserve"> de la protection de l’Environnement minier : </w:t>
      </w:r>
    </w:p>
    <w:p w:rsidR="00A81382" w:rsidRDefault="00A81382" w:rsidP="0037403E">
      <w:pPr>
        <w:pStyle w:val="ListParagraph"/>
        <w:autoSpaceDE w:val="0"/>
        <w:autoSpaceDN w:val="0"/>
        <w:adjustRightInd w:val="0"/>
        <w:spacing w:before="120" w:after="120"/>
        <w:ind w:left="980"/>
        <w:rPr>
          <w:bCs w:val="0"/>
          <w:szCs w:val="20"/>
        </w:rPr>
      </w:pPr>
      <w:r w:rsidRPr="00A774DA">
        <w:rPr>
          <w:bCs w:val="0"/>
          <w:szCs w:val="20"/>
        </w:rPr>
        <w:t xml:space="preserve">Les prérogatives de ce Service sont prévues par l’Article 15 du Code Minier et concernent essentiellement la définition et la mise en œuvre de la réglementation minière en matière de protection de l’environnement, l’instruction technique du PAR en relation avec les opérations de recherches des substances minérales classées en mines et en carrières et </w:t>
      </w:r>
      <w:r w:rsidRPr="00A774DA">
        <w:rPr>
          <w:bCs w:val="0"/>
          <w:szCs w:val="20"/>
        </w:rPr>
        <w:lastRenderedPageBreak/>
        <w:t>l’instruction technique de l’Etude d’Impact Environnemental (EIE) et du Plan de Gestion Environnementale de son Projet (PGEP) présentés par les requérants des droits miniers et/ou de carrières.</w:t>
      </w:r>
    </w:p>
    <w:p w:rsidR="00D650D7" w:rsidRDefault="00D650D7" w:rsidP="0037403E">
      <w:pPr>
        <w:pStyle w:val="ListParagraph"/>
        <w:autoSpaceDE w:val="0"/>
        <w:autoSpaceDN w:val="0"/>
        <w:adjustRightInd w:val="0"/>
        <w:spacing w:before="120" w:after="120"/>
        <w:ind w:left="980"/>
        <w:rPr>
          <w:bCs w:val="0"/>
          <w:szCs w:val="20"/>
        </w:rPr>
      </w:pPr>
    </w:p>
    <w:p w:rsidR="00D650D7" w:rsidRDefault="00D650D7" w:rsidP="0037403E">
      <w:pPr>
        <w:pStyle w:val="ListParagraph"/>
        <w:autoSpaceDE w:val="0"/>
        <w:autoSpaceDN w:val="0"/>
        <w:adjustRightInd w:val="0"/>
        <w:spacing w:before="120" w:after="120"/>
        <w:ind w:left="980"/>
        <w:rPr>
          <w:bCs w:val="0"/>
          <w:szCs w:val="20"/>
        </w:rPr>
      </w:pPr>
    </w:p>
    <w:p w:rsidR="00D650D7" w:rsidRDefault="00D650D7" w:rsidP="0037403E">
      <w:pPr>
        <w:pStyle w:val="ListParagraph"/>
        <w:autoSpaceDE w:val="0"/>
        <w:autoSpaceDN w:val="0"/>
        <w:adjustRightInd w:val="0"/>
        <w:spacing w:before="120" w:after="120"/>
        <w:ind w:left="980"/>
        <w:rPr>
          <w:bCs w:val="0"/>
          <w:szCs w:val="20"/>
        </w:rPr>
      </w:pPr>
    </w:p>
    <w:p w:rsidR="00D650D7" w:rsidRDefault="00D650D7" w:rsidP="0037403E">
      <w:pPr>
        <w:pStyle w:val="ListParagraph"/>
        <w:autoSpaceDE w:val="0"/>
        <w:autoSpaceDN w:val="0"/>
        <w:adjustRightInd w:val="0"/>
        <w:spacing w:before="120" w:after="120"/>
        <w:ind w:left="980"/>
        <w:rPr>
          <w:bCs w:val="0"/>
          <w:szCs w:val="20"/>
        </w:rPr>
      </w:pPr>
    </w:p>
    <w:p w:rsidR="00D650D7" w:rsidRDefault="00D650D7" w:rsidP="0037403E">
      <w:pPr>
        <w:pStyle w:val="ListParagraph"/>
        <w:autoSpaceDE w:val="0"/>
        <w:autoSpaceDN w:val="0"/>
        <w:adjustRightInd w:val="0"/>
        <w:spacing w:before="120" w:after="120"/>
        <w:ind w:left="980"/>
        <w:rPr>
          <w:bCs w:val="0"/>
          <w:szCs w:val="20"/>
        </w:rPr>
      </w:pPr>
    </w:p>
    <w:p w:rsidR="00D650D7" w:rsidRDefault="00D650D7" w:rsidP="0037403E">
      <w:pPr>
        <w:pStyle w:val="ListParagraph"/>
        <w:autoSpaceDE w:val="0"/>
        <w:autoSpaceDN w:val="0"/>
        <w:adjustRightInd w:val="0"/>
        <w:spacing w:before="120" w:after="120"/>
        <w:ind w:left="980"/>
        <w:rPr>
          <w:bCs w:val="0"/>
          <w:szCs w:val="20"/>
        </w:rPr>
      </w:pPr>
    </w:p>
    <w:p w:rsidR="00D650D7" w:rsidRDefault="00D650D7" w:rsidP="0037403E">
      <w:pPr>
        <w:pStyle w:val="ListParagraph"/>
        <w:autoSpaceDE w:val="0"/>
        <w:autoSpaceDN w:val="0"/>
        <w:adjustRightInd w:val="0"/>
        <w:spacing w:before="120" w:after="120"/>
        <w:ind w:left="980"/>
        <w:rPr>
          <w:bCs w:val="0"/>
          <w:szCs w:val="20"/>
        </w:rPr>
      </w:pPr>
    </w:p>
    <w:p w:rsidR="00D650D7" w:rsidRDefault="00D650D7" w:rsidP="0037403E">
      <w:pPr>
        <w:pStyle w:val="ListParagraph"/>
        <w:autoSpaceDE w:val="0"/>
        <w:autoSpaceDN w:val="0"/>
        <w:adjustRightInd w:val="0"/>
        <w:spacing w:before="120" w:after="120"/>
        <w:ind w:left="980"/>
        <w:rPr>
          <w:bCs w:val="0"/>
          <w:szCs w:val="20"/>
        </w:rPr>
      </w:pPr>
    </w:p>
    <w:p w:rsidR="00D650D7" w:rsidRPr="009F14B2" w:rsidRDefault="00D650D7" w:rsidP="0037403E">
      <w:pPr>
        <w:pStyle w:val="ListParagraph"/>
        <w:autoSpaceDE w:val="0"/>
        <w:autoSpaceDN w:val="0"/>
        <w:adjustRightInd w:val="0"/>
        <w:spacing w:before="120" w:after="120"/>
        <w:ind w:left="980"/>
      </w:pPr>
    </w:p>
    <w:p w:rsidR="00A81382" w:rsidRDefault="00A81382" w:rsidP="007B0F6C">
      <w:pPr>
        <w:pStyle w:val="Heading3"/>
        <w:numPr>
          <w:ilvl w:val="4"/>
          <w:numId w:val="39"/>
        </w:numPr>
        <w:tabs>
          <w:tab w:val="left" w:pos="800"/>
        </w:tabs>
        <w:rPr>
          <w:b/>
          <w:bCs w:val="0"/>
          <w:i w:val="0"/>
          <w:iCs w:val="0"/>
          <w:color w:val="0070C0"/>
          <w:szCs w:val="20"/>
        </w:rPr>
      </w:pPr>
      <w:r>
        <w:rPr>
          <w:b/>
          <w:bCs w:val="0"/>
          <w:i w:val="0"/>
          <w:iCs w:val="0"/>
          <w:color w:val="0070C0"/>
          <w:szCs w:val="20"/>
        </w:rPr>
        <w:t>Schéma de circulation des flux</w:t>
      </w:r>
    </w:p>
    <w:p w:rsidR="00A81382" w:rsidRDefault="00A81382" w:rsidP="00A81382">
      <w:pPr>
        <w:autoSpaceDE w:val="0"/>
        <w:autoSpaceDN w:val="0"/>
        <w:adjustRightInd w:val="0"/>
        <w:spacing w:before="120" w:after="120"/>
      </w:pPr>
      <w:r w:rsidRPr="00DE77F2">
        <w:t xml:space="preserve">Le schéma de circulation des flux de paiements provenant du secteur </w:t>
      </w:r>
      <w:r>
        <w:t>minier</w:t>
      </w:r>
      <w:r w:rsidRPr="00DE77F2">
        <w:t xml:space="preserve"> peut être présenté comme suit</w:t>
      </w:r>
      <w:r>
        <w:t> :</w:t>
      </w:r>
    </w:p>
    <w:p w:rsidR="00A81382" w:rsidRDefault="00A81382" w:rsidP="00A81382">
      <w:pPr>
        <w:autoSpaceDE w:val="0"/>
        <w:autoSpaceDN w:val="0"/>
        <w:adjustRightInd w:val="0"/>
        <w:spacing w:before="120" w:after="120"/>
      </w:pPr>
      <w:r w:rsidRPr="008F155B">
        <w:rPr>
          <w:noProof/>
          <w:lang w:val="en-US"/>
        </w:rPr>
        <w:drawing>
          <wp:inline distT="0" distB="0" distL="0" distR="0">
            <wp:extent cx="5578885" cy="2280557"/>
            <wp:effectExtent l="0" t="0" r="2765"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79110" cy="2280649"/>
                    </a:xfrm>
                    <a:prstGeom prst="rect">
                      <a:avLst/>
                    </a:prstGeom>
                    <a:noFill/>
                    <a:ln>
                      <a:noFill/>
                    </a:ln>
                  </pic:spPr>
                </pic:pic>
              </a:graphicData>
            </a:graphic>
          </wp:inline>
        </w:drawing>
      </w:r>
    </w:p>
    <w:p w:rsidR="00BD296D" w:rsidRDefault="00BD296D" w:rsidP="00BD296D">
      <w:pPr>
        <w:pStyle w:val="Heading3"/>
        <w:numPr>
          <w:ilvl w:val="0"/>
          <w:numId w:val="0"/>
        </w:numPr>
        <w:tabs>
          <w:tab w:val="left" w:pos="800"/>
        </w:tabs>
        <w:ind w:left="1440"/>
        <w:rPr>
          <w:b/>
          <w:bCs w:val="0"/>
          <w:i w:val="0"/>
          <w:iCs w:val="0"/>
          <w:color w:val="0070C0"/>
          <w:szCs w:val="20"/>
        </w:rPr>
      </w:pPr>
    </w:p>
    <w:p w:rsidR="00A81382" w:rsidRPr="00A774DA" w:rsidRDefault="00A81382" w:rsidP="007B0F6C">
      <w:pPr>
        <w:pStyle w:val="Heading3"/>
        <w:numPr>
          <w:ilvl w:val="4"/>
          <w:numId w:val="39"/>
        </w:numPr>
        <w:tabs>
          <w:tab w:val="left" w:pos="800"/>
        </w:tabs>
        <w:rPr>
          <w:b/>
          <w:bCs w:val="0"/>
          <w:i w:val="0"/>
          <w:iCs w:val="0"/>
          <w:color w:val="0070C0"/>
          <w:szCs w:val="20"/>
        </w:rPr>
      </w:pPr>
      <w:r w:rsidRPr="00A774DA">
        <w:rPr>
          <w:b/>
          <w:bCs w:val="0"/>
          <w:i w:val="0"/>
          <w:iCs w:val="0"/>
          <w:color w:val="0070C0"/>
          <w:szCs w:val="20"/>
        </w:rPr>
        <w:t>Types de droits miniers</w:t>
      </w:r>
    </w:p>
    <w:p w:rsidR="00A81382" w:rsidRDefault="00A81382" w:rsidP="005F6AD3">
      <w:pPr>
        <w:pStyle w:val="ListParagraph"/>
        <w:autoSpaceDE w:val="0"/>
        <w:autoSpaceDN w:val="0"/>
        <w:adjustRightInd w:val="0"/>
        <w:spacing w:after="120"/>
        <w:ind w:left="360"/>
        <w:rPr>
          <w:rFonts w:eastAsia="+mn-ea"/>
        </w:rPr>
      </w:pPr>
      <w:r w:rsidRPr="00A774DA">
        <w:rPr>
          <w:rFonts w:eastAsia="+mn-ea"/>
          <w:b/>
          <w:bCs w:val="0"/>
        </w:rPr>
        <w:t>Les droits miniers</w:t>
      </w:r>
      <w:r w:rsidRPr="00A774DA">
        <w:rPr>
          <w:rFonts w:eastAsia="+mn-ea"/>
        </w:rPr>
        <w:t xml:space="preserve"> </w:t>
      </w:r>
      <w:r w:rsidRPr="00A774DA">
        <w:t>organisés par le Code Minier sont le Permis de Recherches, le Permis d’Exploitation, le Permis d’Exploitation de Petite Mine et le Permis d’Exploitation des Rejets, lesquels sont constatés par le Certificat de Recherches, le Certificat d’Exploitation, le Certificat d’Exploitation de Petite Mines et le Certificat d’Exploitation des Rejets</w:t>
      </w:r>
      <w:r w:rsidRPr="00A774DA">
        <w:rPr>
          <w:rFonts w:eastAsia="+mn-ea"/>
        </w:rPr>
        <w:t xml:space="preserve">: </w:t>
      </w:r>
    </w:p>
    <w:p w:rsidR="00BD296D" w:rsidRPr="00A774DA" w:rsidRDefault="00BD296D" w:rsidP="005F6AD3">
      <w:pPr>
        <w:pStyle w:val="ListParagraph"/>
        <w:autoSpaceDE w:val="0"/>
        <w:autoSpaceDN w:val="0"/>
        <w:adjustRightInd w:val="0"/>
        <w:spacing w:after="120"/>
        <w:ind w:left="360"/>
        <w:rPr>
          <w:rFonts w:ascii="TimesNewRoman" w:hAnsi="TimesNewRoman" w:cs="TimesNewRoman"/>
          <w:bCs w:val="0"/>
          <w:sz w:val="22"/>
          <w:lang w:eastAsia="fr-FR"/>
        </w:rPr>
      </w:pPr>
    </w:p>
    <w:tbl>
      <w:tblPr>
        <w:tblW w:w="5000" w:type="pct"/>
        <w:tblLayout w:type="fixed"/>
        <w:tblCellMar>
          <w:left w:w="70" w:type="dxa"/>
          <w:right w:w="70" w:type="dxa"/>
        </w:tblCellMar>
        <w:tblLook w:val="04A0" w:firstRow="1" w:lastRow="0" w:firstColumn="1" w:lastColumn="0" w:noHBand="0" w:noVBand="1"/>
      </w:tblPr>
      <w:tblGrid>
        <w:gridCol w:w="2120"/>
        <w:gridCol w:w="4389"/>
        <w:gridCol w:w="2703"/>
      </w:tblGrid>
      <w:tr w:rsidR="00A81382" w:rsidRPr="00A774DA" w:rsidTr="00E514F4">
        <w:trPr>
          <w:trHeight w:val="300"/>
          <w:tblHeader/>
        </w:trPr>
        <w:tc>
          <w:tcPr>
            <w:tcW w:w="1151" w:type="pct"/>
            <w:tcBorders>
              <w:top w:val="nil"/>
              <w:left w:val="nil"/>
              <w:bottom w:val="nil"/>
              <w:right w:val="nil"/>
            </w:tcBorders>
            <w:shd w:val="clear" w:color="000000" w:fill="16365C"/>
            <w:vAlign w:val="center"/>
            <w:hideMark/>
          </w:tcPr>
          <w:p w:rsidR="00A81382" w:rsidRPr="00A774DA" w:rsidRDefault="00A81382" w:rsidP="00E514F4">
            <w:pPr>
              <w:spacing w:after="0"/>
              <w:jc w:val="center"/>
              <w:rPr>
                <w:b/>
                <w:color w:val="FFFFFF"/>
                <w:sz w:val="16"/>
                <w:szCs w:val="16"/>
                <w:lang w:eastAsia="fr-FR"/>
              </w:rPr>
            </w:pPr>
            <w:r w:rsidRPr="00A774DA">
              <w:rPr>
                <w:b/>
                <w:color w:val="FFFFFF"/>
                <w:sz w:val="16"/>
                <w:szCs w:val="16"/>
                <w:lang w:eastAsia="fr-FR"/>
              </w:rPr>
              <w:t>Type</w:t>
            </w:r>
          </w:p>
        </w:tc>
        <w:tc>
          <w:tcPr>
            <w:tcW w:w="2382" w:type="pct"/>
            <w:tcBorders>
              <w:top w:val="nil"/>
              <w:left w:val="nil"/>
              <w:bottom w:val="nil"/>
              <w:right w:val="nil"/>
            </w:tcBorders>
            <w:shd w:val="clear" w:color="000000" w:fill="16365C"/>
            <w:vAlign w:val="center"/>
            <w:hideMark/>
          </w:tcPr>
          <w:p w:rsidR="00A81382" w:rsidRPr="00A774DA" w:rsidRDefault="00A81382" w:rsidP="00E514F4">
            <w:pPr>
              <w:spacing w:after="0"/>
              <w:jc w:val="center"/>
              <w:rPr>
                <w:b/>
                <w:color w:val="FFFFFF"/>
                <w:sz w:val="16"/>
                <w:szCs w:val="16"/>
                <w:lang w:eastAsia="fr-FR"/>
              </w:rPr>
            </w:pPr>
            <w:r w:rsidRPr="00A774DA">
              <w:rPr>
                <w:b/>
                <w:color w:val="FFFFFF"/>
                <w:sz w:val="16"/>
                <w:szCs w:val="16"/>
                <w:lang w:eastAsia="fr-FR"/>
              </w:rPr>
              <w:t>Portée</w:t>
            </w:r>
          </w:p>
        </w:tc>
        <w:tc>
          <w:tcPr>
            <w:tcW w:w="1467" w:type="pct"/>
            <w:tcBorders>
              <w:top w:val="nil"/>
              <w:left w:val="nil"/>
              <w:bottom w:val="nil"/>
              <w:right w:val="nil"/>
            </w:tcBorders>
            <w:shd w:val="clear" w:color="000000" w:fill="16365C"/>
            <w:vAlign w:val="center"/>
            <w:hideMark/>
          </w:tcPr>
          <w:p w:rsidR="00A81382" w:rsidRPr="00A774DA" w:rsidRDefault="00A81382" w:rsidP="00E514F4">
            <w:pPr>
              <w:spacing w:after="0"/>
              <w:jc w:val="center"/>
              <w:rPr>
                <w:b/>
                <w:color w:val="FFFFFF"/>
                <w:sz w:val="16"/>
                <w:szCs w:val="16"/>
                <w:lang w:eastAsia="fr-FR"/>
              </w:rPr>
            </w:pPr>
            <w:r w:rsidRPr="00A774DA">
              <w:rPr>
                <w:b/>
                <w:color w:val="FFFFFF"/>
                <w:sz w:val="16"/>
                <w:szCs w:val="16"/>
                <w:lang w:eastAsia="fr-FR"/>
              </w:rPr>
              <w:t>Durée</w:t>
            </w:r>
          </w:p>
        </w:tc>
      </w:tr>
      <w:tr w:rsidR="00A81382" w:rsidRPr="00A774DA" w:rsidTr="00E514F4">
        <w:trPr>
          <w:trHeight w:val="1575"/>
        </w:trPr>
        <w:tc>
          <w:tcPr>
            <w:tcW w:w="1151" w:type="pct"/>
            <w:tcBorders>
              <w:top w:val="single" w:sz="4" w:space="0" w:color="4F81BD"/>
              <w:left w:val="nil"/>
              <w:bottom w:val="single" w:sz="4" w:space="0" w:color="4F81BD"/>
              <w:right w:val="nil"/>
            </w:tcBorders>
            <w:shd w:val="clear" w:color="000000" w:fill="B8CCE4"/>
            <w:noWrap/>
            <w:vAlign w:val="center"/>
            <w:hideMark/>
          </w:tcPr>
          <w:p w:rsidR="00A81382" w:rsidRPr="00A774DA" w:rsidRDefault="00A81382" w:rsidP="00E514F4">
            <w:pPr>
              <w:spacing w:after="0"/>
              <w:jc w:val="left"/>
              <w:rPr>
                <w:b/>
                <w:color w:val="000000"/>
                <w:sz w:val="16"/>
                <w:szCs w:val="16"/>
                <w:lang w:eastAsia="fr-FR"/>
              </w:rPr>
            </w:pPr>
            <w:r w:rsidRPr="00A774DA">
              <w:rPr>
                <w:b/>
                <w:color w:val="000000"/>
                <w:sz w:val="16"/>
                <w:szCs w:val="16"/>
                <w:lang w:eastAsia="fr-FR"/>
              </w:rPr>
              <w:t>Permis de Recherche (PR)</w:t>
            </w:r>
          </w:p>
        </w:tc>
        <w:tc>
          <w:tcPr>
            <w:tcW w:w="2382" w:type="pct"/>
            <w:tcBorders>
              <w:top w:val="single" w:sz="4" w:space="0" w:color="4F81BD"/>
              <w:left w:val="nil"/>
              <w:bottom w:val="single" w:sz="4" w:space="0" w:color="4F81BD"/>
              <w:right w:val="nil"/>
            </w:tcBorders>
            <w:shd w:val="clear" w:color="000000" w:fill="B8CCE4"/>
            <w:vAlign w:val="center"/>
            <w:hideMark/>
          </w:tcPr>
          <w:p w:rsidR="00A81382" w:rsidRPr="00A774DA" w:rsidRDefault="00A81382" w:rsidP="00E514F4">
            <w:pPr>
              <w:spacing w:after="0"/>
              <w:rPr>
                <w:bCs w:val="0"/>
                <w:color w:val="000000"/>
                <w:sz w:val="16"/>
                <w:szCs w:val="16"/>
                <w:lang w:eastAsia="fr-FR"/>
              </w:rPr>
            </w:pPr>
            <w:r w:rsidRPr="00A774DA">
              <w:rPr>
                <w:bCs w:val="0"/>
                <w:color w:val="000000"/>
                <w:sz w:val="16"/>
                <w:szCs w:val="16"/>
                <w:lang w:eastAsia="fr-FR"/>
              </w:rPr>
              <w:t>Le Permis de Recherches confère à son titulaire le droit exclusif d’effectuer, à l’intérieur du Périmètre sur lequel il est établi et pendant la durée de sa validité, les travaux de recherches des substances minérales classées en mines pour lesquelles le permis est accordé et les substances associées si le titulaire demande l’extension du permis à ces substances</w:t>
            </w:r>
          </w:p>
        </w:tc>
        <w:tc>
          <w:tcPr>
            <w:tcW w:w="1467" w:type="pct"/>
            <w:tcBorders>
              <w:top w:val="single" w:sz="4" w:space="0" w:color="4F81BD"/>
              <w:left w:val="nil"/>
              <w:bottom w:val="single" w:sz="4" w:space="0" w:color="4F81BD"/>
              <w:right w:val="nil"/>
            </w:tcBorders>
            <w:shd w:val="clear" w:color="000000" w:fill="B8CCE4"/>
            <w:vAlign w:val="center"/>
            <w:hideMark/>
          </w:tcPr>
          <w:p w:rsidR="00A81382" w:rsidRPr="00A774DA" w:rsidRDefault="00A81382" w:rsidP="00E514F4">
            <w:pPr>
              <w:spacing w:after="0"/>
              <w:rPr>
                <w:bCs w:val="0"/>
                <w:color w:val="000000"/>
                <w:sz w:val="16"/>
                <w:szCs w:val="16"/>
                <w:lang w:eastAsia="fr-FR"/>
              </w:rPr>
            </w:pPr>
            <w:r w:rsidRPr="00A774DA">
              <w:rPr>
                <w:bCs w:val="0"/>
                <w:color w:val="000000"/>
                <w:sz w:val="16"/>
                <w:szCs w:val="16"/>
                <w:lang w:eastAsia="fr-FR"/>
              </w:rPr>
              <w:t>Quatre ans renouvelables deux fois pour une période de deux ans à chaque renouvellement pour les pierres précieuses.</w:t>
            </w:r>
          </w:p>
          <w:p w:rsidR="00A81382" w:rsidRPr="00A774DA" w:rsidRDefault="00A81382" w:rsidP="00E514F4">
            <w:pPr>
              <w:spacing w:after="0"/>
              <w:rPr>
                <w:bCs w:val="0"/>
                <w:color w:val="000000"/>
                <w:sz w:val="16"/>
                <w:szCs w:val="16"/>
                <w:lang w:eastAsia="fr-FR"/>
              </w:rPr>
            </w:pPr>
            <w:r w:rsidRPr="00A774DA">
              <w:rPr>
                <w:bCs w:val="0"/>
                <w:color w:val="000000"/>
                <w:sz w:val="16"/>
                <w:szCs w:val="16"/>
                <w:lang w:eastAsia="fr-FR"/>
              </w:rPr>
              <w:t xml:space="preserve"> Cinq ans renouvelables deux fois pour une durée de cinq ans à chaque renouvellement pour les autres substances minérales</w:t>
            </w:r>
          </w:p>
        </w:tc>
      </w:tr>
      <w:tr w:rsidR="00A81382" w:rsidRPr="00A774DA" w:rsidTr="00E514F4">
        <w:trPr>
          <w:trHeight w:val="1350"/>
        </w:trPr>
        <w:tc>
          <w:tcPr>
            <w:tcW w:w="1151" w:type="pct"/>
            <w:tcBorders>
              <w:top w:val="nil"/>
              <w:left w:val="nil"/>
              <w:bottom w:val="single" w:sz="4" w:space="0" w:color="4F81BD"/>
              <w:right w:val="nil"/>
            </w:tcBorders>
            <w:shd w:val="clear" w:color="auto" w:fill="auto"/>
            <w:noWrap/>
            <w:vAlign w:val="center"/>
            <w:hideMark/>
          </w:tcPr>
          <w:p w:rsidR="00A81382" w:rsidRPr="00A774DA" w:rsidRDefault="00A81382" w:rsidP="00E514F4">
            <w:pPr>
              <w:spacing w:after="0"/>
              <w:jc w:val="left"/>
              <w:rPr>
                <w:b/>
                <w:color w:val="000000"/>
                <w:sz w:val="16"/>
                <w:szCs w:val="16"/>
                <w:lang w:eastAsia="fr-FR"/>
              </w:rPr>
            </w:pPr>
            <w:r w:rsidRPr="00A774DA">
              <w:rPr>
                <w:b/>
                <w:color w:val="000000"/>
                <w:sz w:val="16"/>
                <w:szCs w:val="16"/>
                <w:lang w:eastAsia="fr-FR"/>
              </w:rPr>
              <w:lastRenderedPageBreak/>
              <w:t>Permis d'Exploitation (PE)</w:t>
            </w:r>
          </w:p>
        </w:tc>
        <w:tc>
          <w:tcPr>
            <w:tcW w:w="2382" w:type="pct"/>
            <w:tcBorders>
              <w:top w:val="nil"/>
              <w:left w:val="nil"/>
              <w:bottom w:val="single" w:sz="4" w:space="0" w:color="4F81BD"/>
              <w:right w:val="nil"/>
            </w:tcBorders>
            <w:shd w:val="clear" w:color="auto" w:fill="auto"/>
            <w:vAlign w:val="center"/>
            <w:hideMark/>
          </w:tcPr>
          <w:p w:rsidR="00A81382" w:rsidRPr="00A774DA" w:rsidRDefault="00A81382" w:rsidP="00E514F4">
            <w:pPr>
              <w:spacing w:after="0"/>
              <w:rPr>
                <w:bCs w:val="0"/>
                <w:color w:val="000000"/>
                <w:sz w:val="16"/>
                <w:szCs w:val="16"/>
                <w:lang w:eastAsia="fr-FR"/>
              </w:rPr>
            </w:pPr>
            <w:r w:rsidRPr="00A774DA">
              <w:rPr>
                <w:bCs w:val="0"/>
                <w:color w:val="000000"/>
                <w:sz w:val="16"/>
                <w:szCs w:val="16"/>
                <w:lang w:eastAsia="fr-FR"/>
              </w:rPr>
              <w:t>Le Permis d’Exploitation confère à son titulaire le droit exclusif d’effectuer, à l’intérieur du Périmètre sur lequel il est établi et pendant la durée de sa validité, les travaux de recherche, de développement, de construction et d’exploitation visant les substances minérales pour lesquelles le permis est établi et les substances associées s’il en a demandé l’extension</w:t>
            </w:r>
          </w:p>
        </w:tc>
        <w:tc>
          <w:tcPr>
            <w:tcW w:w="1467" w:type="pct"/>
            <w:tcBorders>
              <w:top w:val="nil"/>
              <w:left w:val="nil"/>
              <w:bottom w:val="single" w:sz="4" w:space="0" w:color="4F81BD"/>
              <w:right w:val="nil"/>
            </w:tcBorders>
            <w:shd w:val="clear" w:color="auto" w:fill="auto"/>
            <w:vAlign w:val="center"/>
            <w:hideMark/>
          </w:tcPr>
          <w:p w:rsidR="00A81382" w:rsidRPr="00A774DA" w:rsidRDefault="00A81382" w:rsidP="00E514F4">
            <w:pPr>
              <w:spacing w:after="0"/>
              <w:jc w:val="left"/>
              <w:rPr>
                <w:bCs w:val="0"/>
                <w:color w:val="000000"/>
                <w:sz w:val="16"/>
                <w:szCs w:val="16"/>
                <w:lang w:eastAsia="fr-FR"/>
              </w:rPr>
            </w:pPr>
            <w:r w:rsidRPr="00A774DA">
              <w:rPr>
                <w:bCs w:val="0"/>
                <w:color w:val="000000"/>
                <w:sz w:val="16"/>
                <w:szCs w:val="16"/>
                <w:lang w:eastAsia="fr-FR"/>
              </w:rPr>
              <w:t xml:space="preserve">Trente ans renouvelables plusieurs fois pour une durée de quinze ans. </w:t>
            </w:r>
          </w:p>
        </w:tc>
      </w:tr>
      <w:tr w:rsidR="00A81382" w:rsidRPr="00A774DA" w:rsidTr="00E514F4">
        <w:trPr>
          <w:trHeight w:val="2925"/>
        </w:trPr>
        <w:tc>
          <w:tcPr>
            <w:tcW w:w="1151" w:type="pct"/>
            <w:tcBorders>
              <w:top w:val="nil"/>
              <w:left w:val="nil"/>
              <w:bottom w:val="single" w:sz="4" w:space="0" w:color="4F81BD"/>
              <w:right w:val="nil"/>
            </w:tcBorders>
            <w:shd w:val="clear" w:color="000000" w:fill="B8CCE4"/>
            <w:vAlign w:val="center"/>
            <w:hideMark/>
          </w:tcPr>
          <w:p w:rsidR="00A81382" w:rsidRPr="00A774DA" w:rsidRDefault="00A81382" w:rsidP="00E514F4">
            <w:pPr>
              <w:spacing w:after="0"/>
              <w:jc w:val="left"/>
              <w:rPr>
                <w:b/>
                <w:color w:val="000000"/>
                <w:sz w:val="16"/>
                <w:szCs w:val="16"/>
                <w:lang w:eastAsia="fr-FR"/>
              </w:rPr>
            </w:pPr>
            <w:r w:rsidRPr="00A774DA">
              <w:rPr>
                <w:b/>
                <w:color w:val="000000"/>
                <w:sz w:val="16"/>
                <w:szCs w:val="16"/>
                <w:lang w:eastAsia="fr-FR"/>
              </w:rPr>
              <w:t>Permis d’Exploitation des Rejets (PER)</w:t>
            </w:r>
          </w:p>
        </w:tc>
        <w:tc>
          <w:tcPr>
            <w:tcW w:w="2382" w:type="pct"/>
            <w:tcBorders>
              <w:top w:val="nil"/>
              <w:left w:val="nil"/>
              <w:bottom w:val="single" w:sz="4" w:space="0" w:color="4F81BD"/>
              <w:right w:val="nil"/>
            </w:tcBorders>
            <w:shd w:val="clear" w:color="000000" w:fill="B8CCE4"/>
            <w:vAlign w:val="center"/>
            <w:hideMark/>
          </w:tcPr>
          <w:p w:rsidR="00A81382" w:rsidRPr="00A774DA" w:rsidRDefault="00A81382" w:rsidP="00E514F4">
            <w:pPr>
              <w:spacing w:after="0"/>
              <w:rPr>
                <w:bCs w:val="0"/>
                <w:color w:val="000000"/>
                <w:sz w:val="16"/>
                <w:szCs w:val="16"/>
                <w:lang w:eastAsia="fr-FR"/>
              </w:rPr>
            </w:pPr>
            <w:r w:rsidRPr="00A774DA">
              <w:rPr>
                <w:bCs w:val="0"/>
                <w:color w:val="000000"/>
                <w:sz w:val="16"/>
                <w:szCs w:val="16"/>
                <w:lang w:eastAsia="fr-FR"/>
              </w:rPr>
              <w:t>Le Permis d’Exploitation emporte le droit d’exploiter les gisements artificiels situés dans le Périmètre minier couvert par le permis, à moins que ce Permis d’Exploitation n’exclue expressément l’exploitation des gisements artificiels.</w:t>
            </w:r>
          </w:p>
          <w:p w:rsidR="00A81382" w:rsidRPr="00A774DA" w:rsidRDefault="00A81382" w:rsidP="00E514F4">
            <w:pPr>
              <w:spacing w:after="0"/>
              <w:rPr>
                <w:bCs w:val="0"/>
                <w:color w:val="000000"/>
                <w:sz w:val="16"/>
                <w:szCs w:val="16"/>
                <w:lang w:eastAsia="fr-FR"/>
              </w:rPr>
            </w:pPr>
            <w:r w:rsidRPr="00A774DA">
              <w:rPr>
                <w:bCs w:val="0"/>
                <w:color w:val="000000"/>
                <w:sz w:val="16"/>
                <w:szCs w:val="16"/>
                <w:lang w:eastAsia="fr-FR"/>
              </w:rPr>
              <w:t>Le titulaire d’un Permis d’Exploitation peut céder le droit d’exploiter des gisements artificiels situés dans son Périmètre minier au tiers tout en gardant ses droits sur le sous-sol. Dans ce cas, il sollicite la transformation partielle de son Permis d’Exploitation en Permis d’Exploitation des Rejets des Mines ainsi que le transfert de ce permis au cessionnaire.</w:t>
            </w:r>
          </w:p>
          <w:p w:rsidR="00A81382" w:rsidRPr="00A774DA" w:rsidRDefault="00A81382" w:rsidP="00E514F4">
            <w:pPr>
              <w:spacing w:after="0"/>
              <w:rPr>
                <w:bCs w:val="0"/>
                <w:color w:val="000000"/>
                <w:sz w:val="16"/>
                <w:szCs w:val="16"/>
                <w:lang w:eastAsia="fr-FR"/>
              </w:rPr>
            </w:pPr>
            <w:r w:rsidRPr="00A774DA">
              <w:rPr>
                <w:bCs w:val="0"/>
                <w:color w:val="000000"/>
                <w:sz w:val="16"/>
                <w:szCs w:val="16"/>
                <w:lang w:eastAsia="fr-FR"/>
              </w:rPr>
              <w:t>Un Permis d’Exploitation des Rejets peut également être octroyé par le Ministre des Mines sur un gisement artificiel qui ne fait pas l’objet d’un Permis d’Exploitation</w:t>
            </w:r>
          </w:p>
        </w:tc>
        <w:tc>
          <w:tcPr>
            <w:tcW w:w="1467" w:type="pct"/>
            <w:tcBorders>
              <w:top w:val="nil"/>
              <w:left w:val="nil"/>
              <w:bottom w:val="single" w:sz="4" w:space="0" w:color="4F81BD"/>
              <w:right w:val="nil"/>
            </w:tcBorders>
            <w:shd w:val="clear" w:color="000000" w:fill="B8CCE4"/>
            <w:vAlign w:val="center"/>
            <w:hideMark/>
          </w:tcPr>
          <w:p w:rsidR="00A81382" w:rsidRPr="00A774DA" w:rsidRDefault="00A81382" w:rsidP="00E514F4">
            <w:pPr>
              <w:spacing w:after="0"/>
              <w:rPr>
                <w:bCs w:val="0"/>
                <w:color w:val="000000"/>
                <w:sz w:val="16"/>
                <w:szCs w:val="16"/>
                <w:lang w:eastAsia="fr-FR"/>
              </w:rPr>
            </w:pPr>
            <w:r w:rsidRPr="00A774DA">
              <w:rPr>
                <w:bCs w:val="0"/>
                <w:color w:val="000000"/>
                <w:sz w:val="16"/>
                <w:szCs w:val="16"/>
                <w:lang w:eastAsia="fr-FR"/>
              </w:rPr>
              <w:t>Cinq ans renouvelables plusieurs fois pour la même durée</w:t>
            </w:r>
          </w:p>
        </w:tc>
      </w:tr>
      <w:tr w:rsidR="00A81382" w:rsidRPr="00A774DA" w:rsidTr="00E514F4">
        <w:trPr>
          <w:trHeight w:val="2250"/>
        </w:trPr>
        <w:tc>
          <w:tcPr>
            <w:tcW w:w="1151" w:type="pct"/>
            <w:tcBorders>
              <w:top w:val="nil"/>
              <w:left w:val="nil"/>
              <w:bottom w:val="single" w:sz="4" w:space="0" w:color="4F81BD"/>
              <w:right w:val="nil"/>
            </w:tcBorders>
            <w:shd w:val="clear" w:color="auto" w:fill="auto"/>
            <w:vAlign w:val="center"/>
            <w:hideMark/>
          </w:tcPr>
          <w:p w:rsidR="00A81382" w:rsidRPr="00A774DA" w:rsidRDefault="00A81382" w:rsidP="00E514F4">
            <w:pPr>
              <w:spacing w:after="0"/>
              <w:jc w:val="left"/>
              <w:rPr>
                <w:b/>
                <w:color w:val="000000"/>
                <w:sz w:val="16"/>
                <w:szCs w:val="16"/>
                <w:lang w:eastAsia="fr-FR"/>
              </w:rPr>
            </w:pPr>
            <w:r w:rsidRPr="00A774DA">
              <w:rPr>
                <w:b/>
                <w:color w:val="000000"/>
                <w:sz w:val="16"/>
                <w:szCs w:val="16"/>
                <w:lang w:eastAsia="fr-FR"/>
              </w:rPr>
              <w:t>Permis d’Exploitation de Petite Mine (PEPM)</w:t>
            </w:r>
          </w:p>
        </w:tc>
        <w:tc>
          <w:tcPr>
            <w:tcW w:w="2382" w:type="pct"/>
            <w:tcBorders>
              <w:top w:val="nil"/>
              <w:left w:val="nil"/>
              <w:bottom w:val="single" w:sz="4" w:space="0" w:color="4F81BD"/>
              <w:right w:val="nil"/>
            </w:tcBorders>
            <w:shd w:val="clear" w:color="auto" w:fill="auto"/>
            <w:vAlign w:val="center"/>
            <w:hideMark/>
          </w:tcPr>
          <w:p w:rsidR="00A81382" w:rsidRPr="00A774DA" w:rsidRDefault="00A81382" w:rsidP="00E514F4">
            <w:pPr>
              <w:spacing w:after="0"/>
              <w:rPr>
                <w:bCs w:val="0"/>
                <w:color w:val="000000"/>
                <w:sz w:val="16"/>
                <w:szCs w:val="16"/>
                <w:lang w:eastAsia="fr-FR"/>
              </w:rPr>
            </w:pPr>
            <w:r w:rsidRPr="00A774DA">
              <w:rPr>
                <w:bCs w:val="0"/>
                <w:color w:val="000000"/>
                <w:sz w:val="16"/>
                <w:szCs w:val="16"/>
                <w:lang w:eastAsia="fr-FR"/>
              </w:rPr>
              <w:t>Lorsque les conditions techniques caractérisant certains gisements des substances minérales ne permettent pas d’en faire une exploitation à grande échelle économiquement rentable, mais permettent une exploitation minière de petite taille avec un minimum d’installations fixes utilisant des procédés semi-industriels ou industriels, ceux-ci sont considérés comme gisements d’exploitation minière à petite échelle.</w:t>
            </w:r>
            <w:r w:rsidRPr="00A774DA">
              <w:rPr>
                <w:bCs w:val="0"/>
                <w:color w:val="000000"/>
                <w:sz w:val="16"/>
                <w:szCs w:val="16"/>
                <w:lang w:eastAsia="fr-FR"/>
              </w:rPr>
              <w:br/>
              <w:t>Le Permis d’Exploitation de Petite Mine confère à son titulaire le droit d’exploiter les substances minérales pour lesquelles il est spécialement établi et dont le titulaire a identifié et démontré l’existence d’un gisement.</w:t>
            </w:r>
          </w:p>
        </w:tc>
        <w:tc>
          <w:tcPr>
            <w:tcW w:w="1467" w:type="pct"/>
            <w:tcBorders>
              <w:top w:val="nil"/>
              <w:left w:val="nil"/>
              <w:bottom w:val="single" w:sz="4" w:space="0" w:color="4F81BD"/>
              <w:right w:val="nil"/>
            </w:tcBorders>
            <w:shd w:val="clear" w:color="auto" w:fill="auto"/>
            <w:vAlign w:val="center"/>
            <w:hideMark/>
          </w:tcPr>
          <w:p w:rsidR="00A81382" w:rsidRPr="00A774DA" w:rsidRDefault="00A81382" w:rsidP="00E514F4">
            <w:pPr>
              <w:spacing w:after="0"/>
              <w:rPr>
                <w:bCs w:val="0"/>
                <w:color w:val="000000"/>
                <w:sz w:val="16"/>
                <w:szCs w:val="16"/>
                <w:lang w:eastAsia="fr-FR"/>
              </w:rPr>
            </w:pPr>
            <w:r w:rsidRPr="00A774DA">
              <w:rPr>
                <w:bCs w:val="0"/>
                <w:color w:val="000000"/>
                <w:sz w:val="16"/>
                <w:szCs w:val="16"/>
                <w:lang w:eastAsia="fr-FR"/>
              </w:rPr>
              <w:t>La durée de validité du Permis d’Exploitation de Petite Mine est variable, mais ne peut excéder dix ans, y compris les renouvellements.</w:t>
            </w:r>
            <w:r w:rsidRPr="00A774DA">
              <w:rPr>
                <w:bCs w:val="0"/>
                <w:color w:val="000000"/>
                <w:sz w:val="16"/>
                <w:szCs w:val="16"/>
                <w:lang w:eastAsia="fr-FR"/>
              </w:rPr>
              <w:br/>
              <w:t>Toutefois, moyennant l’avis de la Direction des Mines, le Ministre peut proroger le Permis d’Exploitation de Petite Mine suivant le cas et pour les substances dont l’exploitation dépasse dix ans.</w:t>
            </w:r>
          </w:p>
        </w:tc>
      </w:tr>
    </w:tbl>
    <w:p w:rsidR="005F6AD3" w:rsidRPr="005F6AD3" w:rsidRDefault="005F6AD3" w:rsidP="005F6AD3">
      <w:pPr>
        <w:pStyle w:val="Heading3"/>
        <w:numPr>
          <w:ilvl w:val="0"/>
          <w:numId w:val="0"/>
        </w:numPr>
        <w:tabs>
          <w:tab w:val="left" w:pos="800"/>
        </w:tabs>
        <w:ind w:left="1440"/>
        <w:rPr>
          <w:b/>
          <w:bCs w:val="0"/>
          <w:i w:val="0"/>
          <w:iCs w:val="0"/>
          <w:color w:val="0070C0"/>
          <w:sz w:val="2"/>
          <w:szCs w:val="20"/>
        </w:rPr>
      </w:pPr>
    </w:p>
    <w:p w:rsidR="00A079F7" w:rsidRPr="0067513F" w:rsidRDefault="00A079F7" w:rsidP="007B0F6C">
      <w:pPr>
        <w:pStyle w:val="Heading3"/>
        <w:numPr>
          <w:ilvl w:val="4"/>
          <w:numId w:val="39"/>
        </w:numPr>
        <w:tabs>
          <w:tab w:val="left" w:pos="800"/>
        </w:tabs>
        <w:rPr>
          <w:b/>
          <w:bCs w:val="0"/>
          <w:i w:val="0"/>
          <w:iCs w:val="0"/>
          <w:color w:val="0070C0"/>
          <w:szCs w:val="20"/>
        </w:rPr>
      </w:pPr>
      <w:r w:rsidRPr="0067513F">
        <w:rPr>
          <w:b/>
          <w:bCs w:val="0"/>
          <w:i w:val="0"/>
          <w:iCs w:val="0"/>
          <w:color w:val="0070C0"/>
          <w:szCs w:val="20"/>
        </w:rPr>
        <w:t>Registre des titres miniers</w:t>
      </w:r>
    </w:p>
    <w:p w:rsidR="00A079F7" w:rsidRPr="00A774DA" w:rsidRDefault="00A079F7" w:rsidP="00A079F7">
      <w:pPr>
        <w:spacing w:after="120"/>
        <w:rPr>
          <w:rFonts w:eastAsia="+mn-ea"/>
          <w:szCs w:val="20"/>
        </w:rPr>
      </w:pPr>
      <w:bookmarkStart w:id="18" w:name="_Toc407571022"/>
      <w:r w:rsidRPr="00A774DA">
        <w:rPr>
          <w:rFonts w:eastAsia="+mn-ea"/>
          <w:szCs w:val="20"/>
        </w:rPr>
        <w:t>Le Cadastre Minier dispose d’une base de données bilingue (française et anglaise):</w:t>
      </w:r>
    </w:p>
    <w:p w:rsidR="00A079F7" w:rsidRPr="00A774DA" w:rsidRDefault="00A079F7" w:rsidP="005F6AD3">
      <w:pPr>
        <w:spacing w:after="0"/>
      </w:pPr>
      <w:r w:rsidRPr="00A774DA">
        <w:t>La consultation de retombes minières ainsi que les autres informations afférentes aux droits miniers et des carrières peuvent être lu</w:t>
      </w:r>
      <w:r>
        <w:t>e</w:t>
      </w:r>
      <w:r w:rsidRPr="00A774DA">
        <w:t>s sur le site web www.cami.cd du Cadastre Minier (CAMI) qui renvoie sur le lien suivant de leur base des données :</w:t>
      </w:r>
    </w:p>
    <w:p w:rsidR="00A079F7" w:rsidRPr="0060704D" w:rsidRDefault="00B023DC" w:rsidP="005F6AD3">
      <w:pPr>
        <w:spacing w:after="0"/>
        <w:rPr>
          <w:lang w:val="fr-BE"/>
        </w:rPr>
      </w:pPr>
      <w:hyperlink w:history="1">
        <w:r w:rsidR="0060704D">
          <w:rPr>
            <w:b/>
            <w:bCs w:val="0"/>
          </w:rPr>
          <w:t>Erreur ! Référence de lien hypertexte non valide.</w:t>
        </w:r>
      </w:hyperlink>
    </w:p>
    <w:p w:rsidR="005F6AD3" w:rsidRPr="0060704D" w:rsidRDefault="005F6AD3" w:rsidP="005F6AD3">
      <w:pPr>
        <w:spacing w:after="0"/>
        <w:rPr>
          <w:sz w:val="8"/>
          <w:lang w:val="fr-BE"/>
        </w:rPr>
      </w:pPr>
    </w:p>
    <w:p w:rsidR="00A079F7" w:rsidRPr="00A774DA" w:rsidRDefault="00A079F7" w:rsidP="005F6AD3">
      <w:pPr>
        <w:spacing w:after="0"/>
        <w:rPr>
          <w:rFonts w:eastAsia="+mn-ea"/>
          <w:szCs w:val="20"/>
        </w:rPr>
      </w:pPr>
      <w:r w:rsidRPr="00A774DA">
        <w:rPr>
          <w:rFonts w:eastAsia="+mn-ea"/>
          <w:szCs w:val="20"/>
        </w:rPr>
        <w:t>La base de données permet une recherche par n° de titre et par nom de société. Elle permet de consulter pour chaque titre minier :</w:t>
      </w:r>
    </w:p>
    <w:p w:rsidR="00A079F7" w:rsidRPr="00A774DA" w:rsidRDefault="00A079F7" w:rsidP="007B0F6C">
      <w:pPr>
        <w:pStyle w:val="ListParagraph"/>
        <w:numPr>
          <w:ilvl w:val="0"/>
          <w:numId w:val="7"/>
        </w:numPr>
        <w:spacing w:after="0"/>
        <w:rPr>
          <w:rFonts w:eastAsia="+mn-ea"/>
          <w:szCs w:val="20"/>
        </w:rPr>
      </w:pPr>
      <w:r w:rsidRPr="00A774DA">
        <w:rPr>
          <w:rFonts w:eastAsia="+mn-ea"/>
          <w:szCs w:val="20"/>
        </w:rPr>
        <w:t>le propriétaire ;</w:t>
      </w:r>
    </w:p>
    <w:p w:rsidR="00A079F7" w:rsidRPr="00A774DA" w:rsidRDefault="00A079F7" w:rsidP="007B0F6C">
      <w:pPr>
        <w:pStyle w:val="ListParagraph"/>
        <w:numPr>
          <w:ilvl w:val="0"/>
          <w:numId w:val="7"/>
        </w:numPr>
        <w:spacing w:after="0"/>
        <w:rPr>
          <w:rFonts w:eastAsia="+mn-ea"/>
          <w:szCs w:val="20"/>
        </w:rPr>
      </w:pPr>
      <w:r w:rsidRPr="00A774DA">
        <w:rPr>
          <w:rFonts w:eastAsia="+mn-ea"/>
          <w:szCs w:val="20"/>
        </w:rPr>
        <w:t>la superficie ;</w:t>
      </w:r>
    </w:p>
    <w:p w:rsidR="00A079F7" w:rsidRPr="00A774DA" w:rsidRDefault="00A079F7" w:rsidP="007B0F6C">
      <w:pPr>
        <w:pStyle w:val="ListParagraph"/>
        <w:numPr>
          <w:ilvl w:val="0"/>
          <w:numId w:val="7"/>
        </w:numPr>
        <w:spacing w:after="0"/>
        <w:rPr>
          <w:rFonts w:eastAsia="+mn-ea"/>
          <w:szCs w:val="20"/>
        </w:rPr>
      </w:pPr>
      <w:r w:rsidRPr="00A774DA">
        <w:rPr>
          <w:rFonts w:eastAsia="+mn-ea"/>
          <w:szCs w:val="20"/>
        </w:rPr>
        <w:t>les substances minières ;</w:t>
      </w:r>
    </w:p>
    <w:p w:rsidR="00A079F7" w:rsidRPr="00A774DA" w:rsidRDefault="00A079F7" w:rsidP="007B0F6C">
      <w:pPr>
        <w:pStyle w:val="ListParagraph"/>
        <w:numPr>
          <w:ilvl w:val="0"/>
          <w:numId w:val="7"/>
        </w:numPr>
        <w:spacing w:after="0"/>
        <w:rPr>
          <w:rFonts w:eastAsia="+mn-ea"/>
          <w:szCs w:val="20"/>
        </w:rPr>
      </w:pPr>
      <w:r w:rsidRPr="00A774DA">
        <w:rPr>
          <w:rFonts w:eastAsia="+mn-ea"/>
          <w:szCs w:val="20"/>
        </w:rPr>
        <w:t xml:space="preserve">la carte géologique et </w:t>
      </w:r>
      <w:r w:rsidRPr="00A774DA">
        <w:rPr>
          <w:bCs w:val="0"/>
          <w:szCs w:val="20"/>
          <w:lang w:eastAsia="fr-FR"/>
        </w:rPr>
        <w:t>le positionnement sur cette carte ;</w:t>
      </w:r>
    </w:p>
    <w:p w:rsidR="00A079F7" w:rsidRPr="00A774DA" w:rsidRDefault="00A079F7" w:rsidP="007B0F6C">
      <w:pPr>
        <w:pStyle w:val="ListParagraph"/>
        <w:numPr>
          <w:ilvl w:val="0"/>
          <w:numId w:val="7"/>
        </w:numPr>
        <w:spacing w:after="0"/>
        <w:rPr>
          <w:rFonts w:eastAsia="+mn-ea"/>
          <w:szCs w:val="20"/>
        </w:rPr>
      </w:pPr>
      <w:r w:rsidRPr="00A774DA">
        <w:rPr>
          <w:bCs w:val="0"/>
          <w:szCs w:val="20"/>
          <w:lang w:eastAsia="fr-FR"/>
        </w:rPr>
        <w:t>la date d'application et la date d’octroi ; et</w:t>
      </w:r>
    </w:p>
    <w:p w:rsidR="00A079F7" w:rsidRPr="00A774DA" w:rsidRDefault="00A079F7" w:rsidP="007B0F6C">
      <w:pPr>
        <w:pStyle w:val="ListParagraph"/>
        <w:numPr>
          <w:ilvl w:val="0"/>
          <w:numId w:val="7"/>
        </w:numPr>
        <w:spacing w:after="0"/>
        <w:rPr>
          <w:rFonts w:eastAsia="+mn-ea"/>
          <w:szCs w:val="20"/>
        </w:rPr>
      </w:pPr>
      <w:r w:rsidRPr="00A774DA">
        <w:rPr>
          <w:bCs w:val="0"/>
          <w:szCs w:val="20"/>
          <w:lang w:eastAsia="fr-FR"/>
        </w:rPr>
        <w:t>la durée de validité.</w:t>
      </w:r>
    </w:p>
    <w:p w:rsidR="00A079F7" w:rsidRPr="00A774DA" w:rsidRDefault="00A079F7" w:rsidP="00A079F7">
      <w:pPr>
        <w:pStyle w:val="Heading2"/>
        <w:numPr>
          <w:ilvl w:val="1"/>
          <w:numId w:val="2"/>
        </w:numPr>
        <w:shd w:val="clear" w:color="auto" w:fill="BFBFBF"/>
        <w:spacing w:before="240"/>
        <w:ind w:left="567" w:hanging="567"/>
        <w:rPr>
          <w:sz w:val="24"/>
          <w:szCs w:val="24"/>
        </w:rPr>
      </w:pPr>
      <w:bookmarkStart w:id="19" w:name="_Toc429359776"/>
      <w:bookmarkStart w:id="20" w:name="_Toc451431098"/>
      <w:r w:rsidRPr="00A774DA">
        <w:rPr>
          <w:sz w:val="24"/>
          <w:szCs w:val="24"/>
        </w:rPr>
        <w:t>Participation de l’Etat dans le Secteur Extractif</w:t>
      </w:r>
      <w:bookmarkEnd w:id="18"/>
      <w:bookmarkEnd w:id="19"/>
      <w:bookmarkEnd w:id="20"/>
    </w:p>
    <w:p w:rsidR="00A079F7" w:rsidRPr="00A774DA" w:rsidRDefault="00A079F7" w:rsidP="00A079F7">
      <w:pPr>
        <w:pStyle w:val="Heading3"/>
        <w:numPr>
          <w:ilvl w:val="2"/>
          <w:numId w:val="2"/>
        </w:numPr>
        <w:tabs>
          <w:tab w:val="left" w:pos="800"/>
        </w:tabs>
        <w:spacing w:before="240"/>
        <w:ind w:left="799" w:hanging="799"/>
        <w:rPr>
          <w:b/>
          <w:bCs w:val="0"/>
          <w:i w:val="0"/>
          <w:iCs w:val="0"/>
          <w:color w:val="0070C0"/>
          <w:szCs w:val="20"/>
        </w:rPr>
      </w:pPr>
      <w:r w:rsidRPr="00A774DA">
        <w:rPr>
          <w:b/>
          <w:bCs w:val="0"/>
          <w:i w:val="0"/>
          <w:iCs w:val="0"/>
          <w:color w:val="0070C0"/>
          <w:szCs w:val="20"/>
        </w:rPr>
        <w:t>Cadre légal des Entreprises d’Etat</w:t>
      </w:r>
    </w:p>
    <w:p w:rsidR="00A079F7" w:rsidRPr="00A774DA" w:rsidRDefault="00A079F7" w:rsidP="00A079F7">
      <w:pPr>
        <w:spacing w:after="120"/>
        <w:rPr>
          <w:rFonts w:eastAsia="+mn-ea"/>
          <w:szCs w:val="20"/>
        </w:rPr>
      </w:pPr>
      <w:r w:rsidRPr="00A774DA">
        <w:rPr>
          <w:rFonts w:eastAsia="+mn-ea"/>
          <w:szCs w:val="20"/>
        </w:rPr>
        <w:t>Les dispositions pertinentes aux entreprises du portefeuille de l’Etat sont contenues dans les textes règlementaires suivants :</w:t>
      </w:r>
    </w:p>
    <w:p w:rsidR="00A079F7" w:rsidRPr="00A774DA" w:rsidRDefault="00A079F7" w:rsidP="007B0F6C">
      <w:pPr>
        <w:pStyle w:val="ListParagraph"/>
        <w:numPr>
          <w:ilvl w:val="0"/>
          <w:numId w:val="9"/>
        </w:numPr>
        <w:spacing w:before="120" w:after="120"/>
      </w:pPr>
      <w:r w:rsidRPr="00A774DA">
        <w:t>Loi n° 08/007 du 07 juillet 2008 portant dispositions générales relatives à la transformation des entreprises publiques ;</w:t>
      </w:r>
    </w:p>
    <w:p w:rsidR="00A079F7" w:rsidRPr="00A774DA" w:rsidRDefault="00A079F7" w:rsidP="007B0F6C">
      <w:pPr>
        <w:pStyle w:val="ListParagraph"/>
        <w:numPr>
          <w:ilvl w:val="0"/>
          <w:numId w:val="9"/>
        </w:numPr>
        <w:spacing w:before="120" w:after="120"/>
      </w:pPr>
      <w:r w:rsidRPr="00A774DA">
        <w:t>Loi n° 08/008 du 07 juillet 2008 portant dispositions générales relatives au désengagement de l’Etat des entreprises du portefeuille ;</w:t>
      </w:r>
    </w:p>
    <w:p w:rsidR="00A079F7" w:rsidRPr="00A774DA" w:rsidRDefault="00A079F7" w:rsidP="007B0F6C">
      <w:pPr>
        <w:pStyle w:val="ListParagraph"/>
        <w:numPr>
          <w:ilvl w:val="0"/>
          <w:numId w:val="9"/>
        </w:numPr>
        <w:spacing w:before="120" w:after="120"/>
      </w:pPr>
      <w:r w:rsidRPr="00A774DA">
        <w:lastRenderedPageBreak/>
        <w:t>Loi n°</w:t>
      </w:r>
      <w:r w:rsidR="006336B2">
        <w:t xml:space="preserve"> </w:t>
      </w:r>
      <w:r w:rsidRPr="00A774DA">
        <w:t>08/009 du 07 juillet 2008 portant dispositions générales applicables aux établissements publics ;</w:t>
      </w:r>
    </w:p>
    <w:p w:rsidR="00A079F7" w:rsidRPr="00A774DA" w:rsidRDefault="00A079F7" w:rsidP="007B0F6C">
      <w:pPr>
        <w:pStyle w:val="ListParagraph"/>
        <w:numPr>
          <w:ilvl w:val="0"/>
          <w:numId w:val="9"/>
        </w:numPr>
        <w:spacing w:before="120" w:after="120"/>
      </w:pPr>
      <w:r w:rsidRPr="00A774DA">
        <w:t>Loi n° 08/010 du 07 juillet 2008 fixant les règles relatives à l’organisation et à la gestion du portefeuille de l’Etat ;</w:t>
      </w:r>
    </w:p>
    <w:p w:rsidR="00A079F7" w:rsidRPr="00A774DA" w:rsidRDefault="00A079F7" w:rsidP="007B0F6C">
      <w:pPr>
        <w:pStyle w:val="ListParagraph"/>
        <w:numPr>
          <w:ilvl w:val="0"/>
          <w:numId w:val="9"/>
        </w:numPr>
        <w:spacing w:before="120" w:after="120"/>
      </w:pPr>
      <w:r w:rsidRPr="00A774DA">
        <w:t>Décret n° 13/003 du 15 janvier 2013 relatif aux conditions et modalités de cession des parts sociales ou actions de l'Etat aux personnes physiques ou morales de nationalité congolaise et/ou aux salariés ;</w:t>
      </w:r>
    </w:p>
    <w:p w:rsidR="00A079F7" w:rsidRPr="00A774DA" w:rsidRDefault="00A079F7" w:rsidP="007B0F6C">
      <w:pPr>
        <w:pStyle w:val="ListParagraph"/>
        <w:numPr>
          <w:ilvl w:val="0"/>
          <w:numId w:val="9"/>
        </w:numPr>
        <w:spacing w:before="120" w:after="120"/>
        <w:rPr>
          <w:rFonts w:eastAsia="+mn-ea"/>
          <w:szCs w:val="20"/>
        </w:rPr>
      </w:pPr>
      <w:r w:rsidRPr="00A774DA">
        <w:t>Décret n° 13/002 du 15 janvier 2013 portant organisation de la représentation de l'Etat-actionnaire unique au sein de l'Assemblée Générale d'une entreprise publique transformée en société commerciale ; et</w:t>
      </w:r>
    </w:p>
    <w:p w:rsidR="00A079F7" w:rsidRDefault="00A079F7" w:rsidP="007B0F6C">
      <w:pPr>
        <w:pStyle w:val="ListParagraph"/>
        <w:numPr>
          <w:ilvl w:val="0"/>
          <w:numId w:val="9"/>
        </w:numPr>
        <w:spacing w:after="120"/>
      </w:pPr>
      <w:r w:rsidRPr="00A774DA">
        <w:t xml:space="preserve">Loi n°007 du 11 juillet 2002 portant </w:t>
      </w:r>
      <w:r w:rsidR="00D12B31">
        <w:fldChar w:fldCharType="begin"/>
      </w:r>
      <w:r w:rsidR="00D12B31">
        <w:instrText xml:space="preserve"> HYPERLINK "http://mines-rdc.cd/fr/documents/codeminier_fr.pdf" \t "_blank" </w:instrText>
      </w:r>
      <w:r w:rsidR="00D12B31">
        <w:fldChar w:fldCharType="separate"/>
      </w:r>
      <w:r w:rsidRPr="00A774DA">
        <w:t>Code Minier</w:t>
      </w:r>
      <w:r w:rsidR="00D12B31">
        <w:fldChar w:fldCharType="end"/>
      </w:r>
      <w:r w:rsidRPr="00A774DA">
        <w:t xml:space="preserve"> qui prévoit dans son article 71 que l’octroi du permis d’exploitation est subordonné à certaines conditions. Parmi ces conditions, la cession à  l’Etat de 5% des parts du capital social de la société requérante. Ces parts sont libres de toutes charges et ne sont pas </w:t>
      </w:r>
      <w:proofErr w:type="spellStart"/>
      <w:r w:rsidRPr="00A774DA">
        <w:t>di</w:t>
      </w:r>
      <w:r>
        <w:t>l</w:t>
      </w:r>
      <w:r w:rsidRPr="00A774DA">
        <w:t>luables</w:t>
      </w:r>
      <w:proofErr w:type="spellEnd"/>
      <w:r w:rsidRPr="00A774DA">
        <w:t>.</w:t>
      </w:r>
    </w:p>
    <w:p w:rsidR="0055745D" w:rsidRDefault="0055745D" w:rsidP="0055745D">
      <w:pPr>
        <w:spacing w:after="120"/>
      </w:pPr>
    </w:p>
    <w:p w:rsidR="0055745D" w:rsidRDefault="0055745D" w:rsidP="0055745D">
      <w:pPr>
        <w:spacing w:after="120"/>
      </w:pPr>
    </w:p>
    <w:p w:rsidR="0055745D" w:rsidRPr="00A774DA" w:rsidRDefault="0055745D" w:rsidP="0055745D">
      <w:pPr>
        <w:spacing w:after="120"/>
      </w:pPr>
    </w:p>
    <w:p w:rsidR="00A079F7" w:rsidRPr="00A774DA" w:rsidRDefault="00A079F7" w:rsidP="00A079F7">
      <w:pPr>
        <w:pStyle w:val="Heading3"/>
        <w:numPr>
          <w:ilvl w:val="2"/>
          <w:numId w:val="2"/>
        </w:numPr>
        <w:tabs>
          <w:tab w:val="left" w:pos="800"/>
        </w:tabs>
        <w:spacing w:before="240"/>
        <w:ind w:left="799" w:hanging="799"/>
        <w:rPr>
          <w:b/>
          <w:bCs w:val="0"/>
          <w:i w:val="0"/>
          <w:iCs w:val="0"/>
          <w:color w:val="0070C0"/>
          <w:szCs w:val="20"/>
        </w:rPr>
      </w:pPr>
      <w:r w:rsidRPr="00A774DA">
        <w:rPr>
          <w:b/>
          <w:bCs w:val="0"/>
          <w:i w:val="0"/>
          <w:iCs w:val="0"/>
          <w:color w:val="0070C0"/>
          <w:szCs w:val="20"/>
        </w:rPr>
        <w:t>Définition des Entreprises d’Etat</w:t>
      </w:r>
    </w:p>
    <w:p w:rsidR="00A079F7" w:rsidRPr="00A774DA" w:rsidRDefault="00A079F7" w:rsidP="00A079F7">
      <w:pPr>
        <w:rPr>
          <w:szCs w:val="20"/>
        </w:rPr>
      </w:pPr>
      <w:r w:rsidRPr="00A774DA">
        <w:rPr>
          <w:szCs w:val="20"/>
        </w:rPr>
        <w:t>Aux termes de l’Article 2 de la Loi n° 08/010 du 07 juillet 2008 fixant les règles relatives à l’organisation et à la gestion du Portefeuille de l’Etat, une entreprise publique est « toute entreprise du Portefeuille de l’Etat dans laquelle l’Etat ou toute autre personne morale de droit public détient la totalité ou la majorité absolue du capital social ».</w:t>
      </w:r>
    </w:p>
    <w:p w:rsidR="00A079F7" w:rsidRPr="00A774DA" w:rsidRDefault="00A079F7" w:rsidP="00A079F7">
      <w:pPr>
        <w:rPr>
          <w:szCs w:val="20"/>
        </w:rPr>
      </w:pPr>
      <w:r w:rsidRPr="00A774DA">
        <w:rPr>
          <w:szCs w:val="20"/>
        </w:rPr>
        <w:t>Le même article définit une Entreprise du Portefeuille de l’Etat (EPE) comme « toute société dans laquelle l’Etat ou toute autre personne morale de droit public détient la totalité du capital social ou une participation ».</w:t>
      </w:r>
    </w:p>
    <w:p w:rsidR="00A079F7" w:rsidRPr="00A774DA" w:rsidRDefault="00A079F7" w:rsidP="00A079F7">
      <w:pPr>
        <w:spacing w:after="120"/>
        <w:rPr>
          <w:szCs w:val="20"/>
        </w:rPr>
      </w:pPr>
      <w:r>
        <w:rPr>
          <w:szCs w:val="20"/>
        </w:rPr>
        <w:t>En ce qui concerne</w:t>
      </w:r>
      <w:r w:rsidRPr="00A774DA">
        <w:rPr>
          <w:szCs w:val="20"/>
        </w:rPr>
        <w:t xml:space="preserve"> le Référentiel ITIE 201</w:t>
      </w:r>
      <w:r w:rsidR="00572035">
        <w:rPr>
          <w:szCs w:val="20"/>
        </w:rPr>
        <w:t>5</w:t>
      </w:r>
      <w:r w:rsidRPr="00A774DA">
        <w:rPr>
          <w:szCs w:val="20"/>
        </w:rPr>
        <w:t>:</w:t>
      </w:r>
    </w:p>
    <w:p w:rsidR="00A079F7" w:rsidRPr="00A774DA" w:rsidRDefault="00A079F7" w:rsidP="00A079F7">
      <w:pPr>
        <w:spacing w:after="120"/>
        <w:rPr>
          <w:szCs w:val="20"/>
        </w:rPr>
      </w:pPr>
      <w:r w:rsidRPr="00A774DA">
        <w:rPr>
          <w:szCs w:val="20"/>
        </w:rPr>
        <w:t>- les entreprises d’Etat retenues sont celles du Portefeuille de l’Etat ; et</w:t>
      </w:r>
    </w:p>
    <w:p w:rsidR="00A079F7" w:rsidRPr="00A774DA" w:rsidRDefault="00A079F7" w:rsidP="00A079F7">
      <w:pPr>
        <w:rPr>
          <w:szCs w:val="20"/>
        </w:rPr>
      </w:pPr>
      <w:r w:rsidRPr="00A774DA">
        <w:rPr>
          <w:szCs w:val="20"/>
        </w:rPr>
        <w:t>- les joint-ventures sont les entreprises créées en participation avec une entreprise d’Etat.</w:t>
      </w:r>
    </w:p>
    <w:p w:rsidR="00A079F7" w:rsidRPr="00A774DA" w:rsidRDefault="00A079F7" w:rsidP="00A079F7">
      <w:pPr>
        <w:pStyle w:val="Heading3"/>
        <w:numPr>
          <w:ilvl w:val="2"/>
          <w:numId w:val="2"/>
        </w:numPr>
        <w:tabs>
          <w:tab w:val="left" w:pos="800"/>
        </w:tabs>
        <w:spacing w:before="240"/>
        <w:ind w:left="799" w:hanging="799"/>
        <w:rPr>
          <w:b/>
          <w:bCs w:val="0"/>
          <w:i w:val="0"/>
          <w:iCs w:val="0"/>
          <w:color w:val="0070C0"/>
          <w:szCs w:val="20"/>
        </w:rPr>
      </w:pPr>
      <w:r w:rsidRPr="00A774DA">
        <w:rPr>
          <w:b/>
          <w:bCs w:val="0"/>
          <w:i w:val="0"/>
          <w:iCs w:val="0"/>
          <w:color w:val="0070C0"/>
          <w:szCs w:val="20"/>
        </w:rPr>
        <w:t>Aspects juridiques et fiscaux</w:t>
      </w:r>
    </w:p>
    <w:p w:rsidR="00A079F7" w:rsidRPr="00A774DA" w:rsidRDefault="00A079F7" w:rsidP="00A079F7">
      <w:pPr>
        <w:spacing w:after="120"/>
        <w:rPr>
          <w:szCs w:val="20"/>
        </w:rPr>
      </w:pPr>
      <w:r w:rsidRPr="00A774DA">
        <w:rPr>
          <w:szCs w:val="20"/>
        </w:rPr>
        <w:t>Les entreprises du Portefeuille de l’Etat sont, au sens de l’Article 1 de l’Acte Uniforme relatif au droit des Sociétés Commerciales et du Groupement d’Intérêt Economique, des Personne Morales de Droit Privé et sont à ce titre soumises à la règlementation commerciale. Elles sont également soumises au régime fiscal de droit commun au sens de l’Article 4 de la Loi n° 08/007 du 07 juillet 2008 portant dispositions générales relatives à la transformation des entreprises publiques.</w:t>
      </w:r>
    </w:p>
    <w:p w:rsidR="00A079F7" w:rsidRPr="00A774DA" w:rsidRDefault="00A079F7" w:rsidP="00A079F7">
      <w:pPr>
        <w:spacing w:after="120"/>
        <w:rPr>
          <w:szCs w:val="20"/>
        </w:rPr>
      </w:pPr>
      <w:r w:rsidRPr="00A774DA">
        <w:rPr>
          <w:szCs w:val="20"/>
        </w:rPr>
        <w:t>L’administration et la gestion du Portefeuille de l’Etat sont assurées par le Ministère du Portefeuille.</w:t>
      </w:r>
    </w:p>
    <w:p w:rsidR="00A079F7" w:rsidRPr="00A774DA" w:rsidRDefault="00A079F7" w:rsidP="00A079F7">
      <w:pPr>
        <w:pStyle w:val="Heading3"/>
        <w:numPr>
          <w:ilvl w:val="2"/>
          <w:numId w:val="2"/>
        </w:numPr>
        <w:tabs>
          <w:tab w:val="left" w:pos="800"/>
        </w:tabs>
        <w:spacing w:before="240"/>
        <w:ind w:left="799" w:hanging="799"/>
        <w:rPr>
          <w:b/>
          <w:bCs w:val="0"/>
          <w:i w:val="0"/>
          <w:iCs w:val="0"/>
          <w:color w:val="0070C0"/>
          <w:szCs w:val="20"/>
        </w:rPr>
      </w:pPr>
      <w:r w:rsidRPr="00A774DA">
        <w:rPr>
          <w:b/>
          <w:bCs w:val="0"/>
          <w:i w:val="0"/>
          <w:iCs w:val="0"/>
          <w:color w:val="0070C0"/>
          <w:szCs w:val="20"/>
        </w:rPr>
        <w:t>Revenus générés par les Entreprises d’Etat</w:t>
      </w:r>
    </w:p>
    <w:p w:rsidR="00A079F7" w:rsidRPr="00A774DA" w:rsidRDefault="00A079F7" w:rsidP="00A079F7">
      <w:pPr>
        <w:spacing w:after="120"/>
        <w:rPr>
          <w:szCs w:val="20"/>
        </w:rPr>
      </w:pPr>
      <w:r w:rsidRPr="00A774DA">
        <w:rPr>
          <w:szCs w:val="20"/>
        </w:rPr>
        <w:t>Au sens de l’Article 7 de la Loi n° 08/010 du 07 juillet 2008 fixant les règles relatives à l’organisation et à la gestion du Portefeuille de l’Etat, les revenus du Portefeuille de l’Etat incluent :</w:t>
      </w:r>
    </w:p>
    <w:p w:rsidR="00A079F7" w:rsidRPr="00A774DA" w:rsidRDefault="00A079F7" w:rsidP="00A079F7">
      <w:pPr>
        <w:spacing w:after="120"/>
        <w:rPr>
          <w:szCs w:val="20"/>
        </w:rPr>
      </w:pPr>
      <w:r w:rsidRPr="00A774DA">
        <w:rPr>
          <w:szCs w:val="20"/>
        </w:rPr>
        <w:t>1. Les dividendes décrétés ;</w:t>
      </w:r>
    </w:p>
    <w:p w:rsidR="00A079F7" w:rsidRPr="00A774DA" w:rsidRDefault="00A079F7" w:rsidP="00A079F7">
      <w:pPr>
        <w:spacing w:after="120"/>
        <w:rPr>
          <w:szCs w:val="20"/>
        </w:rPr>
      </w:pPr>
      <w:r w:rsidRPr="00A774DA">
        <w:rPr>
          <w:szCs w:val="20"/>
        </w:rPr>
        <w:t>2. Les remboursements du capital investi ;</w:t>
      </w:r>
    </w:p>
    <w:p w:rsidR="00A079F7" w:rsidRPr="00A774DA" w:rsidRDefault="00A079F7" w:rsidP="00A079F7">
      <w:pPr>
        <w:spacing w:after="120"/>
        <w:rPr>
          <w:szCs w:val="20"/>
        </w:rPr>
      </w:pPr>
      <w:r w:rsidRPr="00A774DA">
        <w:rPr>
          <w:szCs w:val="20"/>
        </w:rPr>
        <w:t>3. Le produit de la cession des titres ;</w:t>
      </w:r>
    </w:p>
    <w:p w:rsidR="00A079F7" w:rsidRPr="00A774DA" w:rsidRDefault="00A079F7" w:rsidP="00A079F7">
      <w:pPr>
        <w:spacing w:after="120"/>
        <w:rPr>
          <w:szCs w:val="20"/>
        </w:rPr>
      </w:pPr>
      <w:r w:rsidRPr="00A774DA">
        <w:rPr>
          <w:szCs w:val="20"/>
        </w:rPr>
        <w:t>4. Le produit de liquidation d’une entreprise du Portefeuille de l’Etat ; et</w:t>
      </w:r>
    </w:p>
    <w:p w:rsidR="00A079F7" w:rsidRPr="00A774DA" w:rsidRDefault="00A079F7" w:rsidP="00A079F7">
      <w:pPr>
        <w:rPr>
          <w:szCs w:val="20"/>
        </w:rPr>
      </w:pPr>
      <w:r w:rsidRPr="00A774DA">
        <w:rPr>
          <w:szCs w:val="20"/>
        </w:rPr>
        <w:t>5. Les revenus générés par d’autres droits.</w:t>
      </w:r>
    </w:p>
    <w:p w:rsidR="00A079F7" w:rsidRPr="00A774DA" w:rsidRDefault="00A079F7" w:rsidP="00A079F7">
      <w:pPr>
        <w:pStyle w:val="Heading3"/>
        <w:numPr>
          <w:ilvl w:val="2"/>
          <w:numId w:val="2"/>
        </w:numPr>
        <w:tabs>
          <w:tab w:val="left" w:pos="800"/>
        </w:tabs>
        <w:spacing w:before="240"/>
        <w:ind w:left="799" w:hanging="799"/>
        <w:rPr>
          <w:b/>
          <w:bCs w:val="0"/>
          <w:i w:val="0"/>
          <w:iCs w:val="0"/>
          <w:color w:val="0070C0"/>
          <w:szCs w:val="20"/>
        </w:rPr>
      </w:pPr>
      <w:r w:rsidRPr="00A774DA">
        <w:rPr>
          <w:b/>
          <w:bCs w:val="0"/>
          <w:i w:val="0"/>
          <w:iCs w:val="0"/>
          <w:color w:val="0070C0"/>
          <w:szCs w:val="20"/>
        </w:rPr>
        <w:lastRenderedPageBreak/>
        <w:t>Présentation des Entreprises d’Etat et des Joint-Ventures</w:t>
      </w:r>
    </w:p>
    <w:p w:rsidR="00A079F7" w:rsidRPr="00A774DA" w:rsidRDefault="00A079F7" w:rsidP="007B0F6C">
      <w:pPr>
        <w:pStyle w:val="ListParagraph"/>
        <w:numPr>
          <w:ilvl w:val="0"/>
          <w:numId w:val="8"/>
        </w:numPr>
        <w:ind w:left="426" w:hanging="426"/>
        <w:rPr>
          <w:rFonts w:eastAsia="+mn-ea"/>
          <w:b/>
          <w:bCs w:val="0"/>
          <w:szCs w:val="20"/>
        </w:rPr>
      </w:pPr>
      <w:r w:rsidRPr="00A774DA">
        <w:rPr>
          <w:rFonts w:eastAsia="+mn-ea"/>
          <w:b/>
          <w:bCs w:val="0"/>
          <w:szCs w:val="20"/>
        </w:rPr>
        <w:t>Secteur Pétrolier</w:t>
      </w:r>
    </w:p>
    <w:p w:rsidR="00A079F7" w:rsidRPr="00A774DA" w:rsidRDefault="00A079F7" w:rsidP="00A079F7">
      <w:pPr>
        <w:rPr>
          <w:szCs w:val="20"/>
          <w:u w:val="single"/>
        </w:rPr>
      </w:pPr>
      <w:r w:rsidRPr="00A774DA">
        <w:rPr>
          <w:szCs w:val="20"/>
          <w:u w:val="single"/>
        </w:rPr>
        <w:t>Entreprises d’Etat</w:t>
      </w:r>
    </w:p>
    <w:p w:rsidR="00A079F7" w:rsidRPr="00A774DA" w:rsidRDefault="00A079F7" w:rsidP="00A079F7">
      <w:pPr>
        <w:rPr>
          <w:szCs w:val="20"/>
        </w:rPr>
      </w:pPr>
      <w:r w:rsidRPr="00A774DA">
        <w:rPr>
          <w:szCs w:val="20"/>
        </w:rPr>
        <w:t>La participation de l’Etat dans le secteur des hydrocarbures se matérialise à travers les Conventions et les CPP signés avec les opérateurs dans le secteur des hydrocarbures et l’entreprise de l’Etat « COHYDRO SA».</w:t>
      </w:r>
    </w:p>
    <w:p w:rsidR="00A079F7" w:rsidRPr="00A774DA" w:rsidRDefault="00A079F7" w:rsidP="00A079F7">
      <w:pPr>
        <w:rPr>
          <w:szCs w:val="20"/>
        </w:rPr>
      </w:pPr>
      <w:r w:rsidRPr="00A774DA">
        <w:rPr>
          <w:szCs w:val="20"/>
        </w:rPr>
        <w:t>Les CPP consignent les modalités de partage de la production entre l’Etat, l’opérateur et ses différents partenaires, ainsi que les dispositions fiscales négociées. En vertu des CPP, l’Etat dispose d’une part dans la production des hydrocarbures après déduction des coûts pétroliers (Profit-</w:t>
      </w:r>
      <w:proofErr w:type="spellStart"/>
      <w:r w:rsidRPr="00A774DA">
        <w:rPr>
          <w:szCs w:val="20"/>
        </w:rPr>
        <w:t>oil</w:t>
      </w:r>
      <w:proofErr w:type="spellEnd"/>
      <w:r w:rsidRPr="00A774DA">
        <w:rPr>
          <w:szCs w:val="20"/>
        </w:rPr>
        <w:t xml:space="preserve">). </w:t>
      </w:r>
    </w:p>
    <w:p w:rsidR="00A079F7" w:rsidRPr="00A774DA" w:rsidRDefault="00A079F7" w:rsidP="00A079F7">
      <w:pPr>
        <w:rPr>
          <w:szCs w:val="20"/>
        </w:rPr>
      </w:pPr>
      <w:r w:rsidRPr="00A774DA">
        <w:rPr>
          <w:szCs w:val="20"/>
        </w:rPr>
        <w:t>COHYDRO SA, partie importante du dispositif institutionnel du secteur des hydrocarbures de la RDC est détenue à 100% par l’Etat Congolais.</w:t>
      </w:r>
    </w:p>
    <w:p w:rsidR="0055745D" w:rsidRDefault="0055745D" w:rsidP="00A079F7">
      <w:pPr>
        <w:rPr>
          <w:szCs w:val="20"/>
          <w:u w:val="single"/>
        </w:rPr>
      </w:pPr>
    </w:p>
    <w:p w:rsidR="0055745D" w:rsidRDefault="0055745D" w:rsidP="00A079F7">
      <w:pPr>
        <w:rPr>
          <w:szCs w:val="20"/>
          <w:u w:val="single"/>
        </w:rPr>
      </w:pPr>
    </w:p>
    <w:p w:rsidR="0055745D" w:rsidRDefault="0055745D" w:rsidP="00A079F7">
      <w:pPr>
        <w:rPr>
          <w:szCs w:val="20"/>
          <w:u w:val="single"/>
        </w:rPr>
      </w:pPr>
    </w:p>
    <w:p w:rsidR="00A079F7" w:rsidRPr="00A774DA" w:rsidRDefault="00A079F7" w:rsidP="00A079F7">
      <w:pPr>
        <w:rPr>
          <w:szCs w:val="20"/>
          <w:u w:val="single"/>
        </w:rPr>
      </w:pPr>
      <w:r w:rsidRPr="00A774DA">
        <w:rPr>
          <w:szCs w:val="20"/>
          <w:u w:val="single"/>
        </w:rPr>
        <w:t>Entreprises en partenariat</w:t>
      </w:r>
    </w:p>
    <w:p w:rsidR="00A079F7" w:rsidRDefault="00A079F7" w:rsidP="00A079F7">
      <w:pPr>
        <w:spacing w:after="120"/>
        <w:rPr>
          <w:szCs w:val="20"/>
        </w:rPr>
      </w:pPr>
      <w:r w:rsidRPr="00A774DA">
        <w:rPr>
          <w:szCs w:val="20"/>
        </w:rPr>
        <w:t>En se basant sur les informations reçues du Ministère du Portefeuille (qui se limitent aux participations direct</w:t>
      </w:r>
      <w:r>
        <w:rPr>
          <w:szCs w:val="20"/>
        </w:rPr>
        <w:t>e</w:t>
      </w:r>
      <w:r w:rsidRPr="00A774DA">
        <w:rPr>
          <w:szCs w:val="20"/>
        </w:rPr>
        <w:t>s de l’Etat) et complétées par celles déclarées par les sociétés pétrolières et la COHYDRO SA, les participations directes et indirectes de l’Etat dans le secteur pétrolier se présentent comme suit :</w:t>
      </w:r>
    </w:p>
    <w:tbl>
      <w:tblPr>
        <w:tblW w:w="5240" w:type="dxa"/>
        <w:jc w:val="center"/>
        <w:tblCellMar>
          <w:left w:w="70" w:type="dxa"/>
          <w:right w:w="70" w:type="dxa"/>
        </w:tblCellMar>
        <w:tblLook w:val="04A0" w:firstRow="1" w:lastRow="0" w:firstColumn="1" w:lastColumn="0" w:noHBand="0" w:noVBand="1"/>
      </w:tblPr>
      <w:tblGrid>
        <w:gridCol w:w="1780"/>
        <w:gridCol w:w="1640"/>
        <w:gridCol w:w="1820"/>
      </w:tblGrid>
      <w:tr w:rsidR="00A079F7" w:rsidRPr="00547DA6" w:rsidTr="00E514F4">
        <w:trPr>
          <w:trHeight w:val="315"/>
          <w:tblHeader/>
          <w:jc w:val="center"/>
        </w:trPr>
        <w:tc>
          <w:tcPr>
            <w:tcW w:w="1780" w:type="dxa"/>
            <w:tcBorders>
              <w:top w:val="nil"/>
              <w:left w:val="nil"/>
              <w:bottom w:val="nil"/>
              <w:right w:val="nil"/>
            </w:tcBorders>
            <w:shd w:val="clear" w:color="000000" w:fill="244061"/>
            <w:vAlign w:val="center"/>
            <w:hideMark/>
          </w:tcPr>
          <w:p w:rsidR="00A079F7" w:rsidRPr="00547DA6" w:rsidRDefault="00A079F7" w:rsidP="00E514F4">
            <w:pPr>
              <w:spacing w:after="0"/>
              <w:jc w:val="left"/>
              <w:rPr>
                <w:b/>
                <w:color w:val="FFFFFF"/>
                <w:sz w:val="16"/>
                <w:szCs w:val="16"/>
                <w:lang w:eastAsia="fr-FR"/>
              </w:rPr>
            </w:pPr>
            <w:r w:rsidRPr="00547DA6">
              <w:rPr>
                <w:b/>
                <w:color w:val="FFFFFF"/>
                <w:sz w:val="16"/>
                <w:szCs w:val="16"/>
                <w:lang w:eastAsia="fr-FR"/>
              </w:rPr>
              <w:t>Société</w:t>
            </w:r>
          </w:p>
        </w:tc>
        <w:tc>
          <w:tcPr>
            <w:tcW w:w="1640" w:type="dxa"/>
            <w:tcBorders>
              <w:top w:val="nil"/>
              <w:left w:val="nil"/>
              <w:bottom w:val="nil"/>
              <w:right w:val="nil"/>
            </w:tcBorders>
            <w:shd w:val="clear" w:color="000000" w:fill="244061"/>
            <w:vAlign w:val="center"/>
            <w:hideMark/>
          </w:tcPr>
          <w:p w:rsidR="00A079F7" w:rsidRPr="00547DA6" w:rsidRDefault="00A079F7" w:rsidP="00E514F4">
            <w:pPr>
              <w:spacing w:after="0"/>
              <w:jc w:val="left"/>
              <w:rPr>
                <w:b/>
                <w:color w:val="FFFFFF"/>
                <w:sz w:val="16"/>
                <w:szCs w:val="16"/>
                <w:lang w:eastAsia="fr-FR"/>
              </w:rPr>
            </w:pPr>
            <w:r w:rsidRPr="00547DA6">
              <w:rPr>
                <w:b/>
                <w:color w:val="FFFFFF"/>
                <w:sz w:val="16"/>
                <w:szCs w:val="16"/>
                <w:lang w:eastAsia="fr-FR"/>
              </w:rPr>
              <w:t xml:space="preserve">Actionnaire </w:t>
            </w:r>
          </w:p>
        </w:tc>
        <w:tc>
          <w:tcPr>
            <w:tcW w:w="1820" w:type="dxa"/>
            <w:tcBorders>
              <w:top w:val="nil"/>
              <w:left w:val="nil"/>
              <w:bottom w:val="nil"/>
              <w:right w:val="nil"/>
            </w:tcBorders>
            <w:shd w:val="clear" w:color="000000" w:fill="244061"/>
            <w:vAlign w:val="center"/>
            <w:hideMark/>
          </w:tcPr>
          <w:p w:rsidR="00A079F7" w:rsidRPr="00547DA6" w:rsidRDefault="00A079F7" w:rsidP="00E514F4">
            <w:pPr>
              <w:spacing w:after="0"/>
              <w:jc w:val="center"/>
              <w:rPr>
                <w:b/>
                <w:color w:val="FFFFFF"/>
                <w:sz w:val="16"/>
                <w:szCs w:val="16"/>
                <w:lang w:eastAsia="fr-FR"/>
              </w:rPr>
            </w:pPr>
            <w:r w:rsidRPr="00547DA6">
              <w:rPr>
                <w:b/>
                <w:color w:val="FFFFFF"/>
                <w:sz w:val="16"/>
                <w:szCs w:val="16"/>
                <w:lang w:eastAsia="fr-FR"/>
              </w:rPr>
              <w:t>% Participation</w:t>
            </w:r>
          </w:p>
        </w:tc>
      </w:tr>
      <w:tr w:rsidR="00A079F7" w:rsidRPr="00547DA6" w:rsidTr="00E514F4">
        <w:trPr>
          <w:trHeight w:val="300"/>
          <w:jc w:val="center"/>
        </w:trPr>
        <w:tc>
          <w:tcPr>
            <w:tcW w:w="1780" w:type="dxa"/>
            <w:tcBorders>
              <w:top w:val="nil"/>
              <w:left w:val="nil"/>
              <w:bottom w:val="nil"/>
              <w:right w:val="nil"/>
            </w:tcBorders>
            <w:shd w:val="clear" w:color="auto" w:fill="auto"/>
            <w:vAlign w:val="center"/>
            <w:hideMark/>
          </w:tcPr>
          <w:p w:rsidR="00A079F7" w:rsidRPr="00547DA6" w:rsidRDefault="00A079F7" w:rsidP="00E514F4">
            <w:pPr>
              <w:spacing w:after="0"/>
              <w:jc w:val="left"/>
              <w:rPr>
                <w:bCs w:val="0"/>
                <w:color w:val="000000"/>
                <w:sz w:val="16"/>
                <w:szCs w:val="16"/>
                <w:lang w:eastAsia="fr-FR"/>
              </w:rPr>
            </w:pPr>
            <w:r w:rsidRPr="00547DA6">
              <w:rPr>
                <w:bCs w:val="0"/>
                <w:color w:val="000000"/>
                <w:sz w:val="16"/>
                <w:szCs w:val="16"/>
                <w:lang w:eastAsia="fr-FR"/>
              </w:rPr>
              <w:t>CAPRIKAT CONGO</w:t>
            </w:r>
          </w:p>
        </w:tc>
        <w:tc>
          <w:tcPr>
            <w:tcW w:w="1640" w:type="dxa"/>
            <w:tcBorders>
              <w:top w:val="nil"/>
              <w:left w:val="nil"/>
              <w:bottom w:val="nil"/>
              <w:right w:val="nil"/>
            </w:tcBorders>
            <w:shd w:val="clear" w:color="auto" w:fill="auto"/>
            <w:vAlign w:val="center"/>
            <w:hideMark/>
          </w:tcPr>
          <w:p w:rsidR="00A079F7" w:rsidRPr="00547DA6" w:rsidRDefault="00A079F7" w:rsidP="00E514F4">
            <w:pPr>
              <w:spacing w:after="0"/>
              <w:jc w:val="left"/>
              <w:rPr>
                <w:bCs w:val="0"/>
                <w:color w:val="000000"/>
                <w:sz w:val="16"/>
                <w:szCs w:val="16"/>
                <w:lang w:eastAsia="fr-FR"/>
              </w:rPr>
            </w:pPr>
            <w:r w:rsidRPr="00547DA6">
              <w:rPr>
                <w:bCs w:val="0"/>
                <w:color w:val="000000"/>
                <w:sz w:val="16"/>
                <w:szCs w:val="16"/>
                <w:lang w:eastAsia="fr-FR"/>
              </w:rPr>
              <w:t>Etat Congolais</w:t>
            </w:r>
          </w:p>
        </w:tc>
        <w:tc>
          <w:tcPr>
            <w:tcW w:w="1820" w:type="dxa"/>
            <w:tcBorders>
              <w:top w:val="nil"/>
              <w:left w:val="nil"/>
              <w:bottom w:val="nil"/>
              <w:right w:val="nil"/>
            </w:tcBorders>
            <w:shd w:val="clear" w:color="auto" w:fill="auto"/>
            <w:vAlign w:val="center"/>
            <w:hideMark/>
          </w:tcPr>
          <w:p w:rsidR="00A079F7" w:rsidRPr="00547DA6" w:rsidRDefault="00A079F7" w:rsidP="00E514F4">
            <w:pPr>
              <w:spacing w:after="0"/>
              <w:jc w:val="center"/>
              <w:rPr>
                <w:bCs w:val="0"/>
                <w:color w:val="000000"/>
                <w:sz w:val="16"/>
                <w:szCs w:val="16"/>
                <w:lang w:eastAsia="fr-FR"/>
              </w:rPr>
            </w:pPr>
            <w:r w:rsidRPr="00547DA6">
              <w:rPr>
                <w:bCs w:val="0"/>
                <w:color w:val="000000"/>
                <w:sz w:val="16"/>
                <w:szCs w:val="16"/>
                <w:lang w:eastAsia="fr-FR"/>
              </w:rPr>
              <w:t>15%</w:t>
            </w:r>
          </w:p>
        </w:tc>
      </w:tr>
      <w:tr w:rsidR="00A079F7" w:rsidRPr="00547DA6" w:rsidTr="00E514F4">
        <w:trPr>
          <w:trHeight w:val="300"/>
          <w:jc w:val="center"/>
        </w:trPr>
        <w:tc>
          <w:tcPr>
            <w:tcW w:w="1780" w:type="dxa"/>
            <w:tcBorders>
              <w:top w:val="nil"/>
              <w:left w:val="nil"/>
              <w:bottom w:val="nil"/>
              <w:right w:val="nil"/>
            </w:tcBorders>
            <w:shd w:val="clear" w:color="000000" w:fill="C5D9F1"/>
            <w:vAlign w:val="center"/>
            <w:hideMark/>
          </w:tcPr>
          <w:p w:rsidR="00A079F7" w:rsidRPr="00547DA6" w:rsidRDefault="00A079F7" w:rsidP="00E514F4">
            <w:pPr>
              <w:spacing w:after="0"/>
              <w:jc w:val="left"/>
              <w:rPr>
                <w:bCs w:val="0"/>
                <w:color w:val="000000"/>
                <w:sz w:val="16"/>
                <w:szCs w:val="16"/>
                <w:lang w:eastAsia="fr-FR"/>
              </w:rPr>
            </w:pPr>
            <w:r w:rsidRPr="00547DA6">
              <w:rPr>
                <w:bCs w:val="0"/>
                <w:color w:val="000000"/>
                <w:sz w:val="16"/>
                <w:szCs w:val="16"/>
                <w:lang w:eastAsia="fr-FR"/>
              </w:rPr>
              <w:t>FOXWELP CONGO</w:t>
            </w:r>
          </w:p>
        </w:tc>
        <w:tc>
          <w:tcPr>
            <w:tcW w:w="1640" w:type="dxa"/>
            <w:tcBorders>
              <w:top w:val="nil"/>
              <w:left w:val="nil"/>
              <w:bottom w:val="nil"/>
              <w:right w:val="nil"/>
            </w:tcBorders>
            <w:shd w:val="clear" w:color="000000" w:fill="C5D9F1"/>
            <w:vAlign w:val="center"/>
            <w:hideMark/>
          </w:tcPr>
          <w:p w:rsidR="00A079F7" w:rsidRPr="00547DA6" w:rsidRDefault="00A079F7" w:rsidP="00E514F4">
            <w:pPr>
              <w:spacing w:after="0"/>
              <w:jc w:val="left"/>
              <w:rPr>
                <w:bCs w:val="0"/>
                <w:color w:val="000000"/>
                <w:sz w:val="16"/>
                <w:szCs w:val="16"/>
                <w:lang w:eastAsia="fr-FR"/>
              </w:rPr>
            </w:pPr>
            <w:r w:rsidRPr="00547DA6">
              <w:rPr>
                <w:bCs w:val="0"/>
                <w:color w:val="000000"/>
                <w:sz w:val="16"/>
                <w:szCs w:val="16"/>
                <w:lang w:eastAsia="fr-FR"/>
              </w:rPr>
              <w:t>Etat Congolais</w:t>
            </w:r>
          </w:p>
        </w:tc>
        <w:tc>
          <w:tcPr>
            <w:tcW w:w="1820" w:type="dxa"/>
            <w:tcBorders>
              <w:top w:val="nil"/>
              <w:left w:val="nil"/>
              <w:bottom w:val="nil"/>
              <w:right w:val="nil"/>
            </w:tcBorders>
            <w:shd w:val="clear" w:color="000000" w:fill="C5D9F1"/>
            <w:vAlign w:val="center"/>
            <w:hideMark/>
          </w:tcPr>
          <w:p w:rsidR="00A079F7" w:rsidRPr="00547DA6" w:rsidRDefault="00A079F7" w:rsidP="00E514F4">
            <w:pPr>
              <w:spacing w:after="0"/>
              <w:jc w:val="center"/>
              <w:rPr>
                <w:bCs w:val="0"/>
                <w:color w:val="000000"/>
                <w:sz w:val="16"/>
                <w:szCs w:val="16"/>
                <w:lang w:eastAsia="fr-FR"/>
              </w:rPr>
            </w:pPr>
            <w:r w:rsidRPr="00547DA6">
              <w:rPr>
                <w:bCs w:val="0"/>
                <w:color w:val="000000"/>
                <w:sz w:val="16"/>
                <w:szCs w:val="16"/>
                <w:lang w:eastAsia="fr-FR"/>
              </w:rPr>
              <w:t>15%</w:t>
            </w:r>
          </w:p>
        </w:tc>
      </w:tr>
      <w:tr w:rsidR="00A079F7" w:rsidRPr="00547DA6" w:rsidTr="00E514F4">
        <w:trPr>
          <w:trHeight w:val="300"/>
          <w:jc w:val="center"/>
        </w:trPr>
        <w:tc>
          <w:tcPr>
            <w:tcW w:w="1780" w:type="dxa"/>
            <w:tcBorders>
              <w:top w:val="nil"/>
              <w:left w:val="nil"/>
              <w:bottom w:val="nil"/>
              <w:right w:val="nil"/>
            </w:tcBorders>
            <w:shd w:val="clear" w:color="000000" w:fill="C5D9F1"/>
            <w:vAlign w:val="center"/>
            <w:hideMark/>
          </w:tcPr>
          <w:p w:rsidR="00A079F7" w:rsidRPr="00547DA6" w:rsidRDefault="00A079F7" w:rsidP="00E514F4">
            <w:pPr>
              <w:spacing w:after="0"/>
              <w:jc w:val="left"/>
              <w:rPr>
                <w:bCs w:val="0"/>
                <w:color w:val="000000"/>
                <w:sz w:val="16"/>
                <w:szCs w:val="16"/>
                <w:lang w:eastAsia="fr-FR"/>
              </w:rPr>
            </w:pPr>
            <w:r w:rsidRPr="00547DA6">
              <w:rPr>
                <w:bCs w:val="0"/>
                <w:color w:val="000000"/>
                <w:sz w:val="16"/>
                <w:szCs w:val="16"/>
                <w:lang w:eastAsia="fr-FR"/>
              </w:rPr>
              <w:t>KINREX</w:t>
            </w:r>
          </w:p>
        </w:tc>
        <w:tc>
          <w:tcPr>
            <w:tcW w:w="1640" w:type="dxa"/>
            <w:tcBorders>
              <w:top w:val="nil"/>
              <w:left w:val="nil"/>
              <w:bottom w:val="nil"/>
              <w:right w:val="nil"/>
            </w:tcBorders>
            <w:shd w:val="clear" w:color="000000" w:fill="C5D9F1"/>
            <w:vAlign w:val="center"/>
            <w:hideMark/>
          </w:tcPr>
          <w:p w:rsidR="00A079F7" w:rsidRPr="00547DA6" w:rsidRDefault="00A079F7" w:rsidP="00E514F4">
            <w:pPr>
              <w:spacing w:after="0"/>
              <w:jc w:val="left"/>
              <w:rPr>
                <w:bCs w:val="0"/>
                <w:color w:val="000000"/>
                <w:sz w:val="16"/>
                <w:szCs w:val="16"/>
                <w:lang w:eastAsia="fr-FR"/>
              </w:rPr>
            </w:pPr>
            <w:r w:rsidRPr="00547DA6">
              <w:rPr>
                <w:bCs w:val="0"/>
                <w:color w:val="000000"/>
                <w:sz w:val="16"/>
                <w:szCs w:val="16"/>
                <w:lang w:eastAsia="fr-FR"/>
              </w:rPr>
              <w:t>Etat Congolais</w:t>
            </w:r>
          </w:p>
        </w:tc>
        <w:tc>
          <w:tcPr>
            <w:tcW w:w="1820" w:type="dxa"/>
            <w:tcBorders>
              <w:top w:val="nil"/>
              <w:left w:val="nil"/>
              <w:bottom w:val="nil"/>
              <w:right w:val="nil"/>
            </w:tcBorders>
            <w:shd w:val="clear" w:color="000000" w:fill="C5D9F1"/>
            <w:vAlign w:val="center"/>
            <w:hideMark/>
          </w:tcPr>
          <w:p w:rsidR="00A079F7" w:rsidRPr="00547DA6" w:rsidRDefault="00A079F7" w:rsidP="00E514F4">
            <w:pPr>
              <w:spacing w:after="0"/>
              <w:jc w:val="center"/>
              <w:rPr>
                <w:bCs w:val="0"/>
                <w:color w:val="000000"/>
                <w:sz w:val="16"/>
                <w:szCs w:val="16"/>
                <w:lang w:eastAsia="fr-FR"/>
              </w:rPr>
            </w:pPr>
            <w:r w:rsidRPr="00547DA6">
              <w:rPr>
                <w:bCs w:val="0"/>
                <w:color w:val="000000"/>
                <w:sz w:val="16"/>
                <w:szCs w:val="16"/>
                <w:lang w:eastAsia="fr-FR"/>
              </w:rPr>
              <w:t>15%</w:t>
            </w:r>
          </w:p>
        </w:tc>
      </w:tr>
      <w:tr w:rsidR="00A079F7" w:rsidRPr="00547DA6" w:rsidTr="00E514F4">
        <w:trPr>
          <w:trHeight w:val="300"/>
          <w:jc w:val="center"/>
        </w:trPr>
        <w:tc>
          <w:tcPr>
            <w:tcW w:w="1780" w:type="dxa"/>
            <w:tcBorders>
              <w:top w:val="nil"/>
              <w:left w:val="nil"/>
              <w:bottom w:val="nil"/>
              <w:right w:val="nil"/>
            </w:tcBorders>
            <w:shd w:val="clear" w:color="auto" w:fill="auto"/>
            <w:vAlign w:val="center"/>
            <w:hideMark/>
          </w:tcPr>
          <w:p w:rsidR="00A079F7" w:rsidRPr="00547DA6" w:rsidRDefault="00A079F7" w:rsidP="00E514F4">
            <w:pPr>
              <w:spacing w:after="0"/>
              <w:jc w:val="left"/>
              <w:rPr>
                <w:bCs w:val="0"/>
                <w:color w:val="000000"/>
                <w:sz w:val="16"/>
                <w:szCs w:val="16"/>
                <w:lang w:eastAsia="fr-FR"/>
              </w:rPr>
            </w:pPr>
            <w:r w:rsidRPr="00547DA6">
              <w:rPr>
                <w:bCs w:val="0"/>
                <w:color w:val="000000"/>
                <w:sz w:val="16"/>
                <w:szCs w:val="16"/>
                <w:lang w:eastAsia="fr-FR"/>
              </w:rPr>
              <w:t>KINREX</w:t>
            </w:r>
          </w:p>
        </w:tc>
        <w:tc>
          <w:tcPr>
            <w:tcW w:w="1640" w:type="dxa"/>
            <w:tcBorders>
              <w:top w:val="nil"/>
              <w:left w:val="nil"/>
              <w:bottom w:val="nil"/>
              <w:right w:val="nil"/>
            </w:tcBorders>
            <w:shd w:val="clear" w:color="auto" w:fill="auto"/>
            <w:vAlign w:val="center"/>
            <w:hideMark/>
          </w:tcPr>
          <w:p w:rsidR="00A079F7" w:rsidRPr="00547DA6" w:rsidRDefault="00A079F7" w:rsidP="00E514F4">
            <w:pPr>
              <w:spacing w:after="0"/>
              <w:jc w:val="left"/>
              <w:rPr>
                <w:bCs w:val="0"/>
                <w:color w:val="000000"/>
                <w:sz w:val="16"/>
                <w:szCs w:val="16"/>
                <w:lang w:eastAsia="fr-FR"/>
              </w:rPr>
            </w:pPr>
            <w:r w:rsidRPr="00547DA6">
              <w:rPr>
                <w:bCs w:val="0"/>
                <w:color w:val="000000"/>
                <w:sz w:val="16"/>
                <w:szCs w:val="16"/>
                <w:lang w:eastAsia="fr-FR"/>
              </w:rPr>
              <w:t>COHYDRO SA</w:t>
            </w:r>
          </w:p>
        </w:tc>
        <w:tc>
          <w:tcPr>
            <w:tcW w:w="1820" w:type="dxa"/>
            <w:tcBorders>
              <w:top w:val="nil"/>
              <w:left w:val="nil"/>
              <w:bottom w:val="nil"/>
              <w:right w:val="nil"/>
            </w:tcBorders>
            <w:shd w:val="clear" w:color="auto" w:fill="auto"/>
            <w:vAlign w:val="center"/>
            <w:hideMark/>
          </w:tcPr>
          <w:p w:rsidR="00A079F7" w:rsidRPr="00547DA6" w:rsidRDefault="00A079F7" w:rsidP="00E514F4">
            <w:pPr>
              <w:spacing w:after="0"/>
              <w:jc w:val="center"/>
              <w:rPr>
                <w:bCs w:val="0"/>
                <w:color w:val="000000"/>
                <w:sz w:val="16"/>
                <w:szCs w:val="16"/>
                <w:lang w:eastAsia="fr-FR"/>
              </w:rPr>
            </w:pPr>
            <w:r w:rsidRPr="00547DA6">
              <w:rPr>
                <w:bCs w:val="0"/>
                <w:color w:val="000000"/>
                <w:sz w:val="16"/>
                <w:szCs w:val="16"/>
                <w:lang w:eastAsia="fr-FR"/>
              </w:rPr>
              <w:t>12.75%</w:t>
            </w:r>
          </w:p>
        </w:tc>
      </w:tr>
      <w:tr w:rsidR="00A079F7" w:rsidRPr="00547DA6" w:rsidTr="00E514F4">
        <w:trPr>
          <w:trHeight w:val="300"/>
          <w:jc w:val="center"/>
        </w:trPr>
        <w:tc>
          <w:tcPr>
            <w:tcW w:w="1780" w:type="dxa"/>
            <w:tcBorders>
              <w:top w:val="nil"/>
              <w:left w:val="nil"/>
              <w:bottom w:val="nil"/>
              <w:right w:val="nil"/>
            </w:tcBorders>
            <w:shd w:val="clear" w:color="000000" w:fill="C5D9F1"/>
            <w:vAlign w:val="center"/>
            <w:hideMark/>
          </w:tcPr>
          <w:p w:rsidR="00A079F7" w:rsidRPr="00547DA6" w:rsidRDefault="00A079F7" w:rsidP="00E514F4">
            <w:pPr>
              <w:spacing w:after="0"/>
              <w:jc w:val="left"/>
              <w:rPr>
                <w:bCs w:val="0"/>
                <w:color w:val="000000"/>
                <w:sz w:val="16"/>
                <w:szCs w:val="16"/>
                <w:lang w:eastAsia="fr-FR"/>
              </w:rPr>
            </w:pPr>
            <w:r w:rsidRPr="00547DA6">
              <w:rPr>
                <w:bCs w:val="0"/>
                <w:color w:val="000000"/>
                <w:sz w:val="16"/>
                <w:szCs w:val="16"/>
                <w:lang w:eastAsia="fr-FR"/>
              </w:rPr>
              <w:t>LIREX</w:t>
            </w:r>
          </w:p>
        </w:tc>
        <w:tc>
          <w:tcPr>
            <w:tcW w:w="1640" w:type="dxa"/>
            <w:tcBorders>
              <w:top w:val="nil"/>
              <w:left w:val="nil"/>
              <w:bottom w:val="nil"/>
              <w:right w:val="nil"/>
            </w:tcBorders>
            <w:shd w:val="clear" w:color="000000" w:fill="C5D9F1"/>
            <w:vAlign w:val="center"/>
            <w:hideMark/>
          </w:tcPr>
          <w:p w:rsidR="00A079F7" w:rsidRPr="00547DA6" w:rsidRDefault="00A079F7" w:rsidP="00E514F4">
            <w:pPr>
              <w:spacing w:after="0"/>
              <w:jc w:val="left"/>
              <w:rPr>
                <w:bCs w:val="0"/>
                <w:color w:val="000000"/>
                <w:sz w:val="16"/>
                <w:szCs w:val="16"/>
                <w:lang w:eastAsia="fr-FR"/>
              </w:rPr>
            </w:pPr>
            <w:r w:rsidRPr="00547DA6">
              <w:rPr>
                <w:bCs w:val="0"/>
                <w:color w:val="000000"/>
                <w:sz w:val="16"/>
                <w:szCs w:val="16"/>
                <w:lang w:eastAsia="fr-FR"/>
              </w:rPr>
              <w:t>COHYDRO SA</w:t>
            </w:r>
          </w:p>
        </w:tc>
        <w:tc>
          <w:tcPr>
            <w:tcW w:w="1820" w:type="dxa"/>
            <w:tcBorders>
              <w:top w:val="nil"/>
              <w:left w:val="nil"/>
              <w:bottom w:val="nil"/>
              <w:right w:val="nil"/>
            </w:tcBorders>
            <w:shd w:val="clear" w:color="000000" w:fill="C5D9F1"/>
            <w:vAlign w:val="center"/>
            <w:hideMark/>
          </w:tcPr>
          <w:p w:rsidR="00A079F7" w:rsidRPr="00547DA6" w:rsidRDefault="00A079F7" w:rsidP="00E514F4">
            <w:pPr>
              <w:spacing w:after="0"/>
              <w:jc w:val="center"/>
              <w:rPr>
                <w:bCs w:val="0"/>
                <w:color w:val="000000"/>
                <w:sz w:val="16"/>
                <w:szCs w:val="16"/>
                <w:lang w:eastAsia="fr-FR"/>
              </w:rPr>
            </w:pPr>
            <w:r w:rsidRPr="00547DA6">
              <w:rPr>
                <w:bCs w:val="0"/>
                <w:color w:val="000000"/>
                <w:sz w:val="16"/>
                <w:szCs w:val="16"/>
                <w:lang w:eastAsia="fr-FR"/>
              </w:rPr>
              <w:t>15%</w:t>
            </w:r>
          </w:p>
        </w:tc>
      </w:tr>
      <w:tr w:rsidR="00A079F7" w:rsidRPr="00547DA6" w:rsidTr="00E514F4">
        <w:trPr>
          <w:trHeight w:val="300"/>
          <w:jc w:val="center"/>
        </w:trPr>
        <w:tc>
          <w:tcPr>
            <w:tcW w:w="1780" w:type="dxa"/>
            <w:tcBorders>
              <w:top w:val="nil"/>
              <w:left w:val="nil"/>
              <w:right w:val="nil"/>
            </w:tcBorders>
            <w:shd w:val="clear" w:color="auto" w:fill="auto"/>
            <w:vAlign w:val="center"/>
            <w:hideMark/>
          </w:tcPr>
          <w:p w:rsidR="00A079F7" w:rsidRPr="00547DA6" w:rsidRDefault="00A079F7" w:rsidP="00E514F4">
            <w:pPr>
              <w:spacing w:after="0"/>
              <w:jc w:val="left"/>
              <w:rPr>
                <w:bCs w:val="0"/>
                <w:color w:val="000000"/>
                <w:sz w:val="16"/>
                <w:szCs w:val="16"/>
                <w:lang w:eastAsia="fr-FR"/>
              </w:rPr>
            </w:pPr>
            <w:r w:rsidRPr="00547DA6">
              <w:rPr>
                <w:bCs w:val="0"/>
                <w:color w:val="000000"/>
                <w:sz w:val="16"/>
                <w:szCs w:val="16"/>
                <w:lang w:eastAsia="fr-FR"/>
              </w:rPr>
              <w:t>ENERGULF</w:t>
            </w:r>
          </w:p>
        </w:tc>
        <w:tc>
          <w:tcPr>
            <w:tcW w:w="1640" w:type="dxa"/>
            <w:tcBorders>
              <w:top w:val="nil"/>
              <w:left w:val="nil"/>
              <w:right w:val="nil"/>
            </w:tcBorders>
            <w:shd w:val="clear" w:color="auto" w:fill="auto"/>
            <w:vAlign w:val="center"/>
            <w:hideMark/>
          </w:tcPr>
          <w:p w:rsidR="00A079F7" w:rsidRPr="00547DA6" w:rsidRDefault="00A079F7" w:rsidP="00E514F4">
            <w:pPr>
              <w:spacing w:after="0"/>
              <w:jc w:val="left"/>
              <w:rPr>
                <w:bCs w:val="0"/>
                <w:color w:val="000000"/>
                <w:sz w:val="16"/>
                <w:szCs w:val="16"/>
                <w:lang w:eastAsia="fr-FR"/>
              </w:rPr>
            </w:pPr>
            <w:r w:rsidRPr="00547DA6">
              <w:rPr>
                <w:bCs w:val="0"/>
                <w:color w:val="000000"/>
                <w:sz w:val="16"/>
                <w:szCs w:val="16"/>
                <w:lang w:eastAsia="fr-FR"/>
              </w:rPr>
              <w:t>COHYDRO SA</w:t>
            </w:r>
          </w:p>
        </w:tc>
        <w:tc>
          <w:tcPr>
            <w:tcW w:w="1820" w:type="dxa"/>
            <w:tcBorders>
              <w:top w:val="nil"/>
              <w:left w:val="nil"/>
              <w:right w:val="nil"/>
            </w:tcBorders>
            <w:shd w:val="clear" w:color="auto" w:fill="auto"/>
            <w:vAlign w:val="center"/>
            <w:hideMark/>
          </w:tcPr>
          <w:p w:rsidR="00A079F7" w:rsidRPr="00547DA6" w:rsidRDefault="00A079F7" w:rsidP="00E514F4">
            <w:pPr>
              <w:spacing w:after="0"/>
              <w:jc w:val="center"/>
              <w:rPr>
                <w:bCs w:val="0"/>
                <w:color w:val="000000"/>
                <w:sz w:val="16"/>
                <w:szCs w:val="16"/>
                <w:lang w:eastAsia="fr-FR"/>
              </w:rPr>
            </w:pPr>
            <w:r w:rsidRPr="00547DA6">
              <w:rPr>
                <w:bCs w:val="0"/>
                <w:color w:val="000000"/>
                <w:sz w:val="16"/>
                <w:szCs w:val="16"/>
                <w:lang w:eastAsia="fr-FR"/>
              </w:rPr>
              <w:t>10%</w:t>
            </w:r>
          </w:p>
        </w:tc>
      </w:tr>
      <w:tr w:rsidR="00A079F7" w:rsidRPr="00A774DA" w:rsidTr="00E514F4">
        <w:trPr>
          <w:trHeight w:val="300"/>
          <w:jc w:val="center"/>
        </w:trPr>
        <w:tc>
          <w:tcPr>
            <w:tcW w:w="1780" w:type="dxa"/>
            <w:tcBorders>
              <w:top w:val="nil"/>
              <w:left w:val="nil"/>
              <w:right w:val="nil"/>
            </w:tcBorders>
            <w:shd w:val="clear" w:color="auto" w:fill="DBE5F1" w:themeFill="accent1" w:themeFillTint="33"/>
            <w:vAlign w:val="center"/>
            <w:hideMark/>
          </w:tcPr>
          <w:p w:rsidR="00A079F7" w:rsidRPr="00547DA6" w:rsidRDefault="00A079F7" w:rsidP="00E514F4">
            <w:pPr>
              <w:spacing w:after="0"/>
              <w:jc w:val="left"/>
              <w:rPr>
                <w:bCs w:val="0"/>
                <w:color w:val="000000"/>
                <w:sz w:val="16"/>
                <w:szCs w:val="16"/>
                <w:lang w:eastAsia="fr-FR"/>
              </w:rPr>
            </w:pPr>
            <w:r w:rsidRPr="00547DA6">
              <w:rPr>
                <w:bCs w:val="0"/>
                <w:color w:val="000000"/>
                <w:sz w:val="16"/>
                <w:szCs w:val="16"/>
                <w:lang w:eastAsia="fr-FR"/>
              </w:rPr>
              <w:t>SOCO</w:t>
            </w:r>
          </w:p>
        </w:tc>
        <w:tc>
          <w:tcPr>
            <w:tcW w:w="1640" w:type="dxa"/>
            <w:tcBorders>
              <w:top w:val="nil"/>
              <w:left w:val="nil"/>
              <w:right w:val="nil"/>
            </w:tcBorders>
            <w:shd w:val="clear" w:color="auto" w:fill="DBE5F1" w:themeFill="accent1" w:themeFillTint="33"/>
            <w:vAlign w:val="center"/>
            <w:hideMark/>
          </w:tcPr>
          <w:p w:rsidR="00A079F7" w:rsidRPr="00547DA6" w:rsidRDefault="00A079F7" w:rsidP="00E514F4">
            <w:pPr>
              <w:spacing w:after="0"/>
              <w:jc w:val="left"/>
              <w:rPr>
                <w:bCs w:val="0"/>
                <w:color w:val="000000"/>
                <w:sz w:val="16"/>
                <w:szCs w:val="16"/>
                <w:lang w:eastAsia="fr-FR"/>
              </w:rPr>
            </w:pPr>
            <w:r w:rsidRPr="00547DA6">
              <w:rPr>
                <w:bCs w:val="0"/>
                <w:color w:val="000000"/>
                <w:sz w:val="16"/>
                <w:szCs w:val="16"/>
                <w:lang w:eastAsia="fr-FR"/>
              </w:rPr>
              <w:t>COHYDRO SA</w:t>
            </w:r>
          </w:p>
        </w:tc>
        <w:tc>
          <w:tcPr>
            <w:tcW w:w="1820" w:type="dxa"/>
            <w:tcBorders>
              <w:top w:val="nil"/>
              <w:left w:val="nil"/>
              <w:right w:val="nil"/>
            </w:tcBorders>
            <w:shd w:val="clear" w:color="auto" w:fill="DBE5F1" w:themeFill="accent1" w:themeFillTint="33"/>
            <w:vAlign w:val="center"/>
            <w:hideMark/>
          </w:tcPr>
          <w:p w:rsidR="00A079F7" w:rsidRPr="00092D7E" w:rsidRDefault="00A079F7" w:rsidP="00E514F4">
            <w:pPr>
              <w:spacing w:after="0"/>
              <w:jc w:val="center"/>
              <w:rPr>
                <w:bCs w:val="0"/>
                <w:color w:val="000000"/>
                <w:sz w:val="16"/>
                <w:szCs w:val="16"/>
                <w:lang w:eastAsia="fr-FR"/>
              </w:rPr>
            </w:pPr>
            <w:r w:rsidRPr="00547DA6">
              <w:rPr>
                <w:bCs w:val="0"/>
                <w:color w:val="000000"/>
                <w:sz w:val="16"/>
                <w:szCs w:val="16"/>
                <w:lang w:eastAsia="fr-FR"/>
              </w:rPr>
              <w:t>15%</w:t>
            </w:r>
          </w:p>
        </w:tc>
      </w:tr>
    </w:tbl>
    <w:p w:rsidR="00A079F7" w:rsidRDefault="00A079F7" w:rsidP="00A079F7">
      <w:pPr>
        <w:spacing w:after="120"/>
        <w:rPr>
          <w:szCs w:val="20"/>
        </w:rPr>
      </w:pPr>
    </w:p>
    <w:p w:rsidR="00A079F7" w:rsidRPr="00A774DA" w:rsidRDefault="00A079F7" w:rsidP="007B0F6C">
      <w:pPr>
        <w:pStyle w:val="ListParagraph"/>
        <w:numPr>
          <w:ilvl w:val="0"/>
          <w:numId w:val="8"/>
        </w:numPr>
        <w:spacing w:before="240"/>
        <w:ind w:left="426" w:hanging="426"/>
        <w:rPr>
          <w:rFonts w:eastAsia="+mn-ea"/>
          <w:b/>
          <w:bCs w:val="0"/>
          <w:szCs w:val="20"/>
        </w:rPr>
      </w:pPr>
      <w:r w:rsidRPr="00A774DA">
        <w:rPr>
          <w:rFonts w:eastAsia="+mn-ea"/>
          <w:b/>
          <w:bCs w:val="0"/>
          <w:szCs w:val="20"/>
        </w:rPr>
        <w:t>Secteur Minier</w:t>
      </w:r>
    </w:p>
    <w:p w:rsidR="00A079F7" w:rsidRPr="00A774DA" w:rsidRDefault="00A079F7" w:rsidP="00A079F7">
      <w:pPr>
        <w:rPr>
          <w:szCs w:val="20"/>
          <w:u w:val="single"/>
        </w:rPr>
      </w:pPr>
      <w:r w:rsidRPr="00A774DA">
        <w:rPr>
          <w:szCs w:val="20"/>
          <w:u w:val="single"/>
        </w:rPr>
        <w:t>Entreprises d’Etat</w:t>
      </w:r>
    </w:p>
    <w:p w:rsidR="00A079F7" w:rsidRPr="00A774DA" w:rsidRDefault="00A079F7" w:rsidP="00A079F7">
      <w:pPr>
        <w:rPr>
          <w:szCs w:val="20"/>
        </w:rPr>
      </w:pPr>
      <w:r w:rsidRPr="00A774DA">
        <w:rPr>
          <w:szCs w:val="20"/>
        </w:rPr>
        <w:t>Les Entreprises Publiques dans le Secteur Minier avec les pourcentages de participation sont présentées dans le tableau ci-dessous :</w:t>
      </w:r>
    </w:p>
    <w:tbl>
      <w:tblPr>
        <w:tblW w:w="3423" w:type="pct"/>
        <w:jc w:val="center"/>
        <w:tblCellMar>
          <w:left w:w="70" w:type="dxa"/>
          <w:right w:w="70" w:type="dxa"/>
        </w:tblCellMar>
        <w:tblLook w:val="04A0" w:firstRow="1" w:lastRow="0" w:firstColumn="1" w:lastColumn="0" w:noHBand="0" w:noVBand="1"/>
      </w:tblPr>
      <w:tblGrid>
        <w:gridCol w:w="1922"/>
        <w:gridCol w:w="2260"/>
        <w:gridCol w:w="2125"/>
      </w:tblGrid>
      <w:tr w:rsidR="00A079F7" w:rsidRPr="00A774DA" w:rsidTr="00E514F4">
        <w:trPr>
          <w:trHeight w:val="420"/>
          <w:tblHeader/>
          <w:jc w:val="center"/>
        </w:trPr>
        <w:tc>
          <w:tcPr>
            <w:tcW w:w="1523" w:type="pct"/>
            <w:tcBorders>
              <w:top w:val="nil"/>
              <w:left w:val="nil"/>
              <w:bottom w:val="single" w:sz="12" w:space="0" w:color="4F81BD"/>
              <w:right w:val="nil"/>
            </w:tcBorders>
            <w:shd w:val="clear" w:color="000000" w:fill="244061"/>
            <w:vAlign w:val="center"/>
            <w:hideMark/>
          </w:tcPr>
          <w:p w:rsidR="00A079F7" w:rsidRPr="00A774DA" w:rsidRDefault="00A079F7" w:rsidP="00E514F4">
            <w:pPr>
              <w:spacing w:after="0"/>
              <w:jc w:val="left"/>
              <w:rPr>
                <w:b/>
                <w:color w:val="FFFFFF"/>
                <w:sz w:val="16"/>
                <w:szCs w:val="16"/>
                <w:lang w:eastAsia="fr-FR"/>
              </w:rPr>
            </w:pPr>
            <w:r w:rsidRPr="00A774DA">
              <w:rPr>
                <w:b/>
                <w:color w:val="FFFFFF"/>
                <w:sz w:val="16"/>
                <w:szCs w:val="16"/>
                <w:lang w:eastAsia="fr-FR"/>
              </w:rPr>
              <w:t>Entreprise</w:t>
            </w:r>
          </w:p>
        </w:tc>
        <w:tc>
          <w:tcPr>
            <w:tcW w:w="1792" w:type="pct"/>
            <w:tcBorders>
              <w:top w:val="nil"/>
              <w:left w:val="nil"/>
              <w:bottom w:val="single" w:sz="12" w:space="0" w:color="4F81BD"/>
              <w:right w:val="nil"/>
            </w:tcBorders>
            <w:shd w:val="clear" w:color="000000" w:fill="244061"/>
            <w:vAlign w:val="center"/>
            <w:hideMark/>
          </w:tcPr>
          <w:p w:rsidR="00A079F7" w:rsidRPr="00A774DA" w:rsidRDefault="00A079F7" w:rsidP="00E514F4">
            <w:pPr>
              <w:spacing w:after="0"/>
              <w:jc w:val="center"/>
              <w:rPr>
                <w:b/>
                <w:color w:val="FFFFFF"/>
                <w:sz w:val="16"/>
                <w:szCs w:val="16"/>
                <w:lang w:eastAsia="fr-FR"/>
              </w:rPr>
            </w:pPr>
            <w:r w:rsidRPr="00A774DA">
              <w:rPr>
                <w:b/>
                <w:color w:val="FFFFFF"/>
                <w:sz w:val="16"/>
                <w:szCs w:val="16"/>
                <w:lang w:eastAsia="fr-FR"/>
              </w:rPr>
              <w:t>% Participation Etat</w:t>
            </w:r>
          </w:p>
        </w:tc>
        <w:tc>
          <w:tcPr>
            <w:tcW w:w="1685" w:type="pct"/>
            <w:tcBorders>
              <w:top w:val="nil"/>
              <w:left w:val="nil"/>
              <w:bottom w:val="single" w:sz="12" w:space="0" w:color="4F81BD"/>
              <w:right w:val="nil"/>
            </w:tcBorders>
            <w:shd w:val="clear" w:color="000000" w:fill="244061"/>
            <w:vAlign w:val="center"/>
            <w:hideMark/>
          </w:tcPr>
          <w:p w:rsidR="00A079F7" w:rsidRPr="00A774DA" w:rsidRDefault="00A079F7" w:rsidP="00E514F4">
            <w:pPr>
              <w:spacing w:after="0"/>
              <w:jc w:val="center"/>
              <w:rPr>
                <w:b/>
                <w:color w:val="FFFFFF"/>
                <w:sz w:val="16"/>
                <w:szCs w:val="16"/>
                <w:lang w:eastAsia="fr-FR"/>
              </w:rPr>
            </w:pPr>
            <w:r w:rsidRPr="00A774DA">
              <w:rPr>
                <w:b/>
                <w:color w:val="FFFFFF"/>
                <w:sz w:val="16"/>
                <w:szCs w:val="16"/>
                <w:lang w:eastAsia="fr-FR"/>
              </w:rPr>
              <w:t>Autres participations publiques</w:t>
            </w:r>
          </w:p>
        </w:tc>
      </w:tr>
      <w:tr w:rsidR="00A079F7" w:rsidRPr="00A774DA" w:rsidTr="00E514F4">
        <w:trPr>
          <w:trHeight w:val="300"/>
          <w:jc w:val="center"/>
        </w:trPr>
        <w:tc>
          <w:tcPr>
            <w:tcW w:w="1523" w:type="pct"/>
            <w:tcBorders>
              <w:top w:val="nil"/>
              <w:left w:val="nil"/>
              <w:bottom w:val="nil"/>
              <w:right w:val="nil"/>
            </w:tcBorders>
            <w:shd w:val="clear" w:color="000000" w:fill="B8CCE4"/>
            <w:vAlign w:val="center"/>
            <w:hideMark/>
          </w:tcPr>
          <w:p w:rsidR="00A079F7" w:rsidRPr="00A774DA" w:rsidRDefault="00A079F7" w:rsidP="00E514F4">
            <w:pPr>
              <w:spacing w:after="0"/>
              <w:jc w:val="left"/>
              <w:rPr>
                <w:bCs w:val="0"/>
                <w:color w:val="000000"/>
                <w:sz w:val="16"/>
                <w:szCs w:val="16"/>
                <w:lang w:eastAsia="fr-FR"/>
              </w:rPr>
            </w:pPr>
            <w:r w:rsidRPr="00A774DA">
              <w:rPr>
                <w:bCs w:val="0"/>
                <w:color w:val="000000"/>
                <w:sz w:val="16"/>
                <w:szCs w:val="16"/>
                <w:lang w:eastAsia="fr-FR"/>
              </w:rPr>
              <w:t>GECAMINES</w:t>
            </w:r>
          </w:p>
        </w:tc>
        <w:tc>
          <w:tcPr>
            <w:tcW w:w="1792" w:type="pct"/>
            <w:tcBorders>
              <w:top w:val="nil"/>
              <w:left w:val="nil"/>
              <w:bottom w:val="nil"/>
              <w:right w:val="nil"/>
            </w:tcBorders>
            <w:shd w:val="clear" w:color="000000" w:fill="B8CCE4"/>
            <w:vAlign w:val="center"/>
            <w:hideMark/>
          </w:tcPr>
          <w:p w:rsidR="00A079F7" w:rsidRPr="00A774DA" w:rsidRDefault="00A079F7" w:rsidP="00E514F4">
            <w:pPr>
              <w:spacing w:after="0"/>
              <w:jc w:val="center"/>
              <w:rPr>
                <w:bCs w:val="0"/>
                <w:color w:val="000000"/>
                <w:sz w:val="16"/>
                <w:szCs w:val="16"/>
                <w:lang w:eastAsia="fr-FR"/>
              </w:rPr>
            </w:pPr>
            <w:r w:rsidRPr="00A774DA">
              <w:rPr>
                <w:bCs w:val="0"/>
                <w:color w:val="000000"/>
                <w:sz w:val="16"/>
                <w:szCs w:val="16"/>
                <w:lang w:eastAsia="fr-FR"/>
              </w:rPr>
              <w:t>100%</w:t>
            </w:r>
          </w:p>
        </w:tc>
        <w:tc>
          <w:tcPr>
            <w:tcW w:w="1685" w:type="pct"/>
            <w:tcBorders>
              <w:top w:val="nil"/>
              <w:left w:val="nil"/>
              <w:bottom w:val="nil"/>
              <w:right w:val="nil"/>
            </w:tcBorders>
            <w:shd w:val="clear" w:color="000000" w:fill="B8CCE4"/>
            <w:vAlign w:val="center"/>
            <w:hideMark/>
          </w:tcPr>
          <w:p w:rsidR="00A079F7" w:rsidRPr="00A774DA" w:rsidRDefault="00A079F7" w:rsidP="00E514F4">
            <w:pPr>
              <w:spacing w:after="0"/>
              <w:jc w:val="center"/>
              <w:rPr>
                <w:bCs w:val="0"/>
                <w:color w:val="000000"/>
                <w:sz w:val="16"/>
                <w:szCs w:val="16"/>
                <w:lang w:eastAsia="fr-FR"/>
              </w:rPr>
            </w:pPr>
            <w:r w:rsidRPr="00A774DA">
              <w:rPr>
                <w:bCs w:val="0"/>
                <w:color w:val="000000"/>
                <w:sz w:val="16"/>
                <w:szCs w:val="16"/>
                <w:lang w:eastAsia="fr-FR"/>
              </w:rPr>
              <w:t>-</w:t>
            </w:r>
          </w:p>
        </w:tc>
      </w:tr>
      <w:tr w:rsidR="00A079F7" w:rsidRPr="00A774DA" w:rsidTr="00E514F4">
        <w:trPr>
          <w:trHeight w:val="288"/>
          <w:jc w:val="center"/>
        </w:trPr>
        <w:tc>
          <w:tcPr>
            <w:tcW w:w="1523" w:type="pct"/>
            <w:tcBorders>
              <w:top w:val="nil"/>
              <w:left w:val="nil"/>
              <w:bottom w:val="nil"/>
              <w:right w:val="nil"/>
            </w:tcBorders>
            <w:shd w:val="clear" w:color="auto" w:fill="auto"/>
            <w:vAlign w:val="center"/>
            <w:hideMark/>
          </w:tcPr>
          <w:p w:rsidR="00A079F7" w:rsidRPr="00A774DA" w:rsidRDefault="00A079F7" w:rsidP="00E514F4">
            <w:pPr>
              <w:spacing w:after="0"/>
              <w:jc w:val="left"/>
              <w:rPr>
                <w:bCs w:val="0"/>
                <w:color w:val="000000"/>
                <w:sz w:val="16"/>
                <w:szCs w:val="16"/>
                <w:lang w:eastAsia="fr-FR"/>
              </w:rPr>
            </w:pPr>
            <w:r w:rsidRPr="00A774DA">
              <w:rPr>
                <w:bCs w:val="0"/>
                <w:color w:val="000000"/>
                <w:sz w:val="16"/>
                <w:szCs w:val="16"/>
                <w:lang w:eastAsia="fr-FR"/>
              </w:rPr>
              <w:t>SODIMICO</w:t>
            </w:r>
          </w:p>
        </w:tc>
        <w:tc>
          <w:tcPr>
            <w:tcW w:w="1792" w:type="pct"/>
            <w:tcBorders>
              <w:top w:val="nil"/>
              <w:left w:val="nil"/>
              <w:bottom w:val="nil"/>
              <w:right w:val="nil"/>
            </w:tcBorders>
            <w:shd w:val="clear" w:color="auto" w:fill="auto"/>
            <w:vAlign w:val="center"/>
            <w:hideMark/>
          </w:tcPr>
          <w:p w:rsidR="00A079F7" w:rsidRPr="00A774DA" w:rsidRDefault="00A079F7" w:rsidP="00E514F4">
            <w:pPr>
              <w:spacing w:after="0"/>
              <w:jc w:val="center"/>
              <w:rPr>
                <w:bCs w:val="0"/>
                <w:color w:val="000000"/>
                <w:sz w:val="16"/>
                <w:szCs w:val="16"/>
                <w:lang w:eastAsia="fr-FR"/>
              </w:rPr>
            </w:pPr>
            <w:r w:rsidRPr="00A774DA">
              <w:rPr>
                <w:bCs w:val="0"/>
                <w:color w:val="000000"/>
                <w:sz w:val="16"/>
                <w:szCs w:val="16"/>
                <w:lang w:eastAsia="fr-FR"/>
              </w:rPr>
              <w:t>100%</w:t>
            </w:r>
          </w:p>
        </w:tc>
        <w:tc>
          <w:tcPr>
            <w:tcW w:w="1685" w:type="pct"/>
            <w:tcBorders>
              <w:top w:val="nil"/>
              <w:left w:val="nil"/>
              <w:bottom w:val="nil"/>
              <w:right w:val="nil"/>
            </w:tcBorders>
            <w:shd w:val="clear" w:color="auto" w:fill="auto"/>
            <w:vAlign w:val="center"/>
            <w:hideMark/>
          </w:tcPr>
          <w:p w:rsidR="00A079F7" w:rsidRPr="00A774DA" w:rsidRDefault="00A079F7" w:rsidP="00E514F4">
            <w:pPr>
              <w:spacing w:after="0"/>
              <w:jc w:val="center"/>
              <w:rPr>
                <w:bCs w:val="0"/>
                <w:color w:val="000000"/>
                <w:sz w:val="16"/>
                <w:szCs w:val="16"/>
                <w:lang w:eastAsia="fr-FR"/>
              </w:rPr>
            </w:pPr>
            <w:r w:rsidRPr="00A774DA">
              <w:rPr>
                <w:bCs w:val="0"/>
                <w:color w:val="000000"/>
                <w:sz w:val="16"/>
                <w:szCs w:val="16"/>
                <w:lang w:eastAsia="fr-FR"/>
              </w:rPr>
              <w:t>-</w:t>
            </w:r>
          </w:p>
        </w:tc>
      </w:tr>
      <w:tr w:rsidR="00A079F7" w:rsidRPr="00A774DA" w:rsidTr="00E514F4">
        <w:trPr>
          <w:trHeight w:val="288"/>
          <w:jc w:val="center"/>
        </w:trPr>
        <w:tc>
          <w:tcPr>
            <w:tcW w:w="1523" w:type="pct"/>
            <w:tcBorders>
              <w:top w:val="nil"/>
              <w:left w:val="nil"/>
              <w:bottom w:val="nil"/>
              <w:right w:val="nil"/>
            </w:tcBorders>
            <w:shd w:val="clear" w:color="000000" w:fill="B8CCE4"/>
            <w:vAlign w:val="center"/>
            <w:hideMark/>
          </w:tcPr>
          <w:p w:rsidR="00A079F7" w:rsidRPr="00A774DA" w:rsidRDefault="00A079F7" w:rsidP="00E514F4">
            <w:pPr>
              <w:spacing w:after="0"/>
              <w:jc w:val="left"/>
              <w:rPr>
                <w:bCs w:val="0"/>
                <w:color w:val="000000"/>
                <w:sz w:val="16"/>
                <w:szCs w:val="16"/>
                <w:lang w:eastAsia="fr-FR"/>
              </w:rPr>
            </w:pPr>
            <w:r w:rsidRPr="00A774DA">
              <w:rPr>
                <w:bCs w:val="0"/>
                <w:color w:val="000000"/>
                <w:sz w:val="16"/>
                <w:szCs w:val="16"/>
                <w:lang w:eastAsia="fr-FR"/>
              </w:rPr>
              <w:t>SOKIMO</w:t>
            </w:r>
          </w:p>
        </w:tc>
        <w:tc>
          <w:tcPr>
            <w:tcW w:w="1792" w:type="pct"/>
            <w:tcBorders>
              <w:top w:val="nil"/>
              <w:left w:val="nil"/>
              <w:bottom w:val="nil"/>
              <w:right w:val="nil"/>
            </w:tcBorders>
            <w:shd w:val="clear" w:color="000000" w:fill="B8CCE4"/>
            <w:vAlign w:val="center"/>
            <w:hideMark/>
          </w:tcPr>
          <w:p w:rsidR="00A079F7" w:rsidRPr="00A774DA" w:rsidRDefault="00A079F7" w:rsidP="00E514F4">
            <w:pPr>
              <w:spacing w:after="0"/>
              <w:jc w:val="center"/>
              <w:rPr>
                <w:bCs w:val="0"/>
                <w:color w:val="000000"/>
                <w:sz w:val="16"/>
                <w:szCs w:val="16"/>
                <w:lang w:eastAsia="fr-FR"/>
              </w:rPr>
            </w:pPr>
            <w:r w:rsidRPr="00A774DA">
              <w:rPr>
                <w:bCs w:val="0"/>
                <w:color w:val="000000"/>
                <w:sz w:val="16"/>
                <w:szCs w:val="16"/>
                <w:lang w:eastAsia="fr-FR"/>
              </w:rPr>
              <w:t>100%</w:t>
            </w:r>
          </w:p>
        </w:tc>
        <w:tc>
          <w:tcPr>
            <w:tcW w:w="1685" w:type="pct"/>
            <w:tcBorders>
              <w:top w:val="nil"/>
              <w:left w:val="nil"/>
              <w:bottom w:val="nil"/>
              <w:right w:val="nil"/>
            </w:tcBorders>
            <w:shd w:val="clear" w:color="000000" w:fill="B8CCE4"/>
            <w:vAlign w:val="center"/>
            <w:hideMark/>
          </w:tcPr>
          <w:p w:rsidR="00A079F7" w:rsidRPr="00A774DA" w:rsidRDefault="00A079F7" w:rsidP="00E514F4">
            <w:pPr>
              <w:spacing w:after="0"/>
              <w:jc w:val="center"/>
              <w:rPr>
                <w:bCs w:val="0"/>
                <w:color w:val="000000"/>
                <w:sz w:val="16"/>
                <w:szCs w:val="16"/>
                <w:lang w:eastAsia="fr-FR"/>
              </w:rPr>
            </w:pPr>
            <w:r w:rsidRPr="00A774DA">
              <w:rPr>
                <w:bCs w:val="0"/>
                <w:color w:val="000000"/>
                <w:sz w:val="16"/>
                <w:szCs w:val="16"/>
                <w:lang w:eastAsia="fr-FR"/>
              </w:rPr>
              <w:t>-</w:t>
            </w:r>
          </w:p>
        </w:tc>
      </w:tr>
      <w:tr w:rsidR="00A079F7" w:rsidRPr="00A774DA" w:rsidTr="00E514F4">
        <w:trPr>
          <w:trHeight w:val="288"/>
          <w:jc w:val="center"/>
        </w:trPr>
        <w:tc>
          <w:tcPr>
            <w:tcW w:w="1523" w:type="pct"/>
            <w:tcBorders>
              <w:top w:val="nil"/>
              <w:left w:val="nil"/>
              <w:bottom w:val="nil"/>
              <w:right w:val="nil"/>
            </w:tcBorders>
            <w:shd w:val="clear" w:color="auto" w:fill="auto"/>
            <w:vAlign w:val="center"/>
            <w:hideMark/>
          </w:tcPr>
          <w:p w:rsidR="00A079F7" w:rsidRPr="00A774DA" w:rsidRDefault="00A079F7" w:rsidP="00E514F4">
            <w:pPr>
              <w:spacing w:after="0"/>
              <w:jc w:val="left"/>
              <w:rPr>
                <w:bCs w:val="0"/>
                <w:color w:val="000000"/>
                <w:sz w:val="16"/>
                <w:szCs w:val="16"/>
                <w:lang w:eastAsia="fr-FR"/>
              </w:rPr>
            </w:pPr>
            <w:r w:rsidRPr="00A774DA">
              <w:rPr>
                <w:bCs w:val="0"/>
                <w:color w:val="000000"/>
                <w:sz w:val="16"/>
                <w:szCs w:val="16"/>
                <w:lang w:eastAsia="fr-FR"/>
              </w:rPr>
              <w:t>SCMK/Mn</w:t>
            </w:r>
          </w:p>
        </w:tc>
        <w:tc>
          <w:tcPr>
            <w:tcW w:w="1792" w:type="pct"/>
            <w:tcBorders>
              <w:top w:val="nil"/>
              <w:left w:val="nil"/>
              <w:bottom w:val="nil"/>
              <w:right w:val="nil"/>
            </w:tcBorders>
            <w:shd w:val="clear" w:color="auto" w:fill="auto"/>
            <w:vAlign w:val="center"/>
            <w:hideMark/>
          </w:tcPr>
          <w:p w:rsidR="00A079F7" w:rsidRPr="00A774DA" w:rsidRDefault="00A079F7" w:rsidP="00E514F4">
            <w:pPr>
              <w:spacing w:after="0"/>
              <w:jc w:val="center"/>
              <w:rPr>
                <w:bCs w:val="0"/>
                <w:color w:val="000000"/>
                <w:sz w:val="16"/>
                <w:szCs w:val="16"/>
                <w:lang w:eastAsia="fr-FR"/>
              </w:rPr>
            </w:pPr>
            <w:r w:rsidRPr="00A774DA">
              <w:rPr>
                <w:bCs w:val="0"/>
                <w:color w:val="000000"/>
                <w:sz w:val="16"/>
                <w:szCs w:val="16"/>
                <w:lang w:eastAsia="fr-FR"/>
              </w:rPr>
              <w:t>100%</w:t>
            </w:r>
          </w:p>
        </w:tc>
        <w:tc>
          <w:tcPr>
            <w:tcW w:w="1685" w:type="pct"/>
            <w:tcBorders>
              <w:top w:val="nil"/>
              <w:left w:val="nil"/>
              <w:bottom w:val="nil"/>
              <w:right w:val="nil"/>
            </w:tcBorders>
            <w:shd w:val="clear" w:color="auto" w:fill="auto"/>
            <w:vAlign w:val="center"/>
            <w:hideMark/>
          </w:tcPr>
          <w:p w:rsidR="00A079F7" w:rsidRPr="00A774DA" w:rsidRDefault="00A079F7" w:rsidP="00E514F4">
            <w:pPr>
              <w:spacing w:after="0"/>
              <w:jc w:val="center"/>
              <w:rPr>
                <w:bCs w:val="0"/>
                <w:color w:val="000000"/>
                <w:sz w:val="16"/>
                <w:szCs w:val="16"/>
                <w:lang w:eastAsia="fr-FR"/>
              </w:rPr>
            </w:pPr>
            <w:r w:rsidRPr="00A774DA">
              <w:rPr>
                <w:bCs w:val="0"/>
                <w:color w:val="000000"/>
                <w:sz w:val="16"/>
                <w:szCs w:val="16"/>
                <w:lang w:eastAsia="fr-FR"/>
              </w:rPr>
              <w:t>-</w:t>
            </w:r>
          </w:p>
        </w:tc>
      </w:tr>
      <w:tr w:rsidR="00A079F7" w:rsidRPr="00A774DA" w:rsidTr="00E514F4">
        <w:trPr>
          <w:trHeight w:val="288"/>
          <w:jc w:val="center"/>
        </w:trPr>
        <w:tc>
          <w:tcPr>
            <w:tcW w:w="1523" w:type="pct"/>
            <w:tcBorders>
              <w:top w:val="nil"/>
              <w:left w:val="nil"/>
              <w:bottom w:val="nil"/>
              <w:right w:val="nil"/>
            </w:tcBorders>
            <w:shd w:val="clear" w:color="000000" w:fill="B8CCE4"/>
            <w:vAlign w:val="center"/>
            <w:hideMark/>
          </w:tcPr>
          <w:p w:rsidR="00A079F7" w:rsidRPr="00A774DA" w:rsidRDefault="00A079F7" w:rsidP="00E514F4">
            <w:pPr>
              <w:spacing w:after="0"/>
              <w:jc w:val="left"/>
              <w:rPr>
                <w:bCs w:val="0"/>
                <w:color w:val="000000"/>
                <w:sz w:val="16"/>
                <w:szCs w:val="16"/>
                <w:lang w:eastAsia="fr-FR"/>
              </w:rPr>
            </w:pPr>
            <w:r w:rsidRPr="00A774DA">
              <w:rPr>
                <w:bCs w:val="0"/>
                <w:color w:val="000000"/>
                <w:sz w:val="16"/>
                <w:szCs w:val="16"/>
                <w:lang w:eastAsia="fr-FR"/>
              </w:rPr>
              <w:t>SAKIMA</w:t>
            </w:r>
          </w:p>
        </w:tc>
        <w:tc>
          <w:tcPr>
            <w:tcW w:w="1792" w:type="pct"/>
            <w:tcBorders>
              <w:top w:val="nil"/>
              <w:left w:val="nil"/>
              <w:bottom w:val="nil"/>
              <w:right w:val="nil"/>
            </w:tcBorders>
            <w:shd w:val="clear" w:color="000000" w:fill="B8CCE4"/>
            <w:vAlign w:val="center"/>
            <w:hideMark/>
          </w:tcPr>
          <w:p w:rsidR="00A079F7" w:rsidRPr="00A774DA" w:rsidRDefault="00A079F7" w:rsidP="00E514F4">
            <w:pPr>
              <w:spacing w:after="0"/>
              <w:jc w:val="center"/>
              <w:rPr>
                <w:bCs w:val="0"/>
                <w:color w:val="000000"/>
                <w:sz w:val="16"/>
                <w:szCs w:val="16"/>
                <w:lang w:eastAsia="fr-FR"/>
              </w:rPr>
            </w:pPr>
            <w:r w:rsidRPr="00A774DA">
              <w:rPr>
                <w:bCs w:val="0"/>
                <w:color w:val="000000"/>
                <w:sz w:val="16"/>
                <w:szCs w:val="16"/>
                <w:lang w:eastAsia="fr-FR"/>
              </w:rPr>
              <w:t>99,94%</w:t>
            </w:r>
          </w:p>
        </w:tc>
        <w:tc>
          <w:tcPr>
            <w:tcW w:w="1685" w:type="pct"/>
            <w:tcBorders>
              <w:top w:val="nil"/>
              <w:left w:val="nil"/>
              <w:bottom w:val="nil"/>
              <w:right w:val="nil"/>
            </w:tcBorders>
            <w:shd w:val="clear" w:color="000000" w:fill="B8CCE4"/>
            <w:vAlign w:val="center"/>
            <w:hideMark/>
          </w:tcPr>
          <w:p w:rsidR="00A079F7" w:rsidRPr="00A774DA" w:rsidRDefault="00A079F7" w:rsidP="00E514F4">
            <w:pPr>
              <w:spacing w:after="0"/>
              <w:jc w:val="center"/>
              <w:rPr>
                <w:bCs w:val="0"/>
                <w:color w:val="000000"/>
                <w:sz w:val="16"/>
                <w:szCs w:val="16"/>
                <w:lang w:eastAsia="fr-FR"/>
              </w:rPr>
            </w:pPr>
            <w:r w:rsidRPr="00A774DA">
              <w:rPr>
                <w:bCs w:val="0"/>
                <w:sz w:val="16"/>
                <w:szCs w:val="16"/>
                <w:lang w:eastAsia="fr-FR"/>
              </w:rPr>
              <w:t>0.06% (GECAMINES)</w:t>
            </w:r>
          </w:p>
        </w:tc>
      </w:tr>
      <w:tr w:rsidR="00A079F7" w:rsidRPr="00A774DA" w:rsidTr="00E514F4">
        <w:trPr>
          <w:trHeight w:val="288"/>
          <w:jc w:val="center"/>
        </w:trPr>
        <w:tc>
          <w:tcPr>
            <w:tcW w:w="1523" w:type="pct"/>
            <w:tcBorders>
              <w:top w:val="nil"/>
              <w:left w:val="nil"/>
              <w:bottom w:val="nil"/>
              <w:right w:val="nil"/>
            </w:tcBorders>
            <w:shd w:val="clear" w:color="auto" w:fill="auto"/>
            <w:vAlign w:val="center"/>
            <w:hideMark/>
          </w:tcPr>
          <w:p w:rsidR="00A079F7" w:rsidRPr="00A774DA" w:rsidRDefault="00A079F7" w:rsidP="00E514F4">
            <w:pPr>
              <w:spacing w:after="0"/>
              <w:jc w:val="left"/>
              <w:rPr>
                <w:bCs w:val="0"/>
                <w:color w:val="000000"/>
                <w:sz w:val="16"/>
                <w:szCs w:val="16"/>
                <w:lang w:eastAsia="fr-FR"/>
              </w:rPr>
            </w:pPr>
            <w:r w:rsidRPr="00A774DA">
              <w:rPr>
                <w:bCs w:val="0"/>
                <w:color w:val="000000"/>
                <w:sz w:val="16"/>
                <w:szCs w:val="16"/>
                <w:lang w:eastAsia="fr-FR"/>
              </w:rPr>
              <w:t>COMINIERE</w:t>
            </w:r>
          </w:p>
        </w:tc>
        <w:tc>
          <w:tcPr>
            <w:tcW w:w="1792" w:type="pct"/>
            <w:tcBorders>
              <w:top w:val="nil"/>
              <w:left w:val="nil"/>
              <w:bottom w:val="nil"/>
              <w:right w:val="nil"/>
            </w:tcBorders>
            <w:shd w:val="clear" w:color="auto" w:fill="auto"/>
            <w:vAlign w:val="center"/>
            <w:hideMark/>
          </w:tcPr>
          <w:p w:rsidR="00A079F7" w:rsidRPr="00A774DA" w:rsidRDefault="00A079F7" w:rsidP="00E514F4">
            <w:pPr>
              <w:spacing w:after="0"/>
              <w:jc w:val="center"/>
              <w:rPr>
                <w:bCs w:val="0"/>
                <w:color w:val="000000"/>
                <w:sz w:val="16"/>
                <w:szCs w:val="16"/>
                <w:lang w:eastAsia="fr-FR"/>
              </w:rPr>
            </w:pPr>
            <w:r w:rsidRPr="00A774DA">
              <w:rPr>
                <w:bCs w:val="0"/>
                <w:color w:val="000000"/>
                <w:sz w:val="16"/>
                <w:szCs w:val="16"/>
                <w:lang w:eastAsia="fr-FR"/>
              </w:rPr>
              <w:t>90%</w:t>
            </w:r>
          </w:p>
        </w:tc>
        <w:tc>
          <w:tcPr>
            <w:tcW w:w="1685" w:type="pct"/>
            <w:tcBorders>
              <w:top w:val="nil"/>
              <w:left w:val="nil"/>
              <w:bottom w:val="nil"/>
              <w:right w:val="nil"/>
            </w:tcBorders>
            <w:shd w:val="clear" w:color="auto" w:fill="auto"/>
            <w:vAlign w:val="center"/>
            <w:hideMark/>
          </w:tcPr>
          <w:p w:rsidR="00A079F7" w:rsidRPr="00A774DA" w:rsidRDefault="00A079F7" w:rsidP="00E514F4">
            <w:pPr>
              <w:spacing w:after="0"/>
              <w:jc w:val="center"/>
              <w:rPr>
                <w:bCs w:val="0"/>
                <w:color w:val="000000"/>
                <w:sz w:val="16"/>
                <w:szCs w:val="16"/>
                <w:lang w:eastAsia="fr-FR"/>
              </w:rPr>
            </w:pPr>
            <w:r w:rsidRPr="00A774DA">
              <w:rPr>
                <w:bCs w:val="0"/>
                <w:color w:val="000000"/>
                <w:sz w:val="16"/>
                <w:szCs w:val="16"/>
                <w:lang w:eastAsia="fr-FR"/>
              </w:rPr>
              <w:t>10% (INSS)</w:t>
            </w:r>
          </w:p>
        </w:tc>
      </w:tr>
      <w:tr w:rsidR="00A079F7" w:rsidRPr="00A774DA" w:rsidTr="00E514F4">
        <w:trPr>
          <w:trHeight w:val="288"/>
          <w:jc w:val="center"/>
        </w:trPr>
        <w:tc>
          <w:tcPr>
            <w:tcW w:w="1523" w:type="pct"/>
            <w:tcBorders>
              <w:top w:val="nil"/>
              <w:left w:val="nil"/>
              <w:bottom w:val="nil"/>
              <w:right w:val="nil"/>
            </w:tcBorders>
            <w:shd w:val="clear" w:color="000000" w:fill="B8CCE4"/>
            <w:vAlign w:val="center"/>
            <w:hideMark/>
          </w:tcPr>
          <w:p w:rsidR="00A079F7" w:rsidRPr="00A774DA" w:rsidRDefault="00A079F7" w:rsidP="00E514F4">
            <w:pPr>
              <w:spacing w:after="0"/>
              <w:jc w:val="left"/>
              <w:rPr>
                <w:bCs w:val="0"/>
                <w:color w:val="000000"/>
                <w:sz w:val="16"/>
                <w:szCs w:val="16"/>
                <w:lang w:eastAsia="fr-FR"/>
              </w:rPr>
            </w:pPr>
            <w:r w:rsidRPr="00A774DA">
              <w:rPr>
                <w:bCs w:val="0"/>
                <w:color w:val="000000"/>
                <w:sz w:val="16"/>
                <w:szCs w:val="16"/>
                <w:lang w:eastAsia="fr-FR"/>
              </w:rPr>
              <w:t>MIBA</w:t>
            </w:r>
          </w:p>
        </w:tc>
        <w:tc>
          <w:tcPr>
            <w:tcW w:w="1792" w:type="pct"/>
            <w:tcBorders>
              <w:top w:val="nil"/>
              <w:left w:val="nil"/>
              <w:bottom w:val="nil"/>
              <w:right w:val="nil"/>
            </w:tcBorders>
            <w:shd w:val="clear" w:color="000000" w:fill="B8CCE4"/>
            <w:vAlign w:val="center"/>
            <w:hideMark/>
          </w:tcPr>
          <w:p w:rsidR="00A079F7" w:rsidRPr="00A774DA" w:rsidRDefault="00A079F7" w:rsidP="00E514F4">
            <w:pPr>
              <w:spacing w:after="0"/>
              <w:jc w:val="center"/>
              <w:rPr>
                <w:bCs w:val="0"/>
                <w:color w:val="000000"/>
                <w:sz w:val="16"/>
                <w:szCs w:val="16"/>
                <w:lang w:eastAsia="fr-FR"/>
              </w:rPr>
            </w:pPr>
            <w:r w:rsidRPr="00A774DA">
              <w:rPr>
                <w:bCs w:val="0"/>
                <w:sz w:val="16"/>
                <w:szCs w:val="16"/>
                <w:lang w:eastAsia="fr-FR"/>
              </w:rPr>
              <w:t>80%</w:t>
            </w:r>
          </w:p>
        </w:tc>
        <w:tc>
          <w:tcPr>
            <w:tcW w:w="1685" w:type="pct"/>
            <w:tcBorders>
              <w:top w:val="nil"/>
              <w:left w:val="nil"/>
              <w:bottom w:val="nil"/>
              <w:right w:val="nil"/>
            </w:tcBorders>
            <w:shd w:val="clear" w:color="000000" w:fill="B8CCE4"/>
            <w:vAlign w:val="center"/>
            <w:hideMark/>
          </w:tcPr>
          <w:p w:rsidR="00A079F7" w:rsidRPr="00A774DA" w:rsidRDefault="00A079F7" w:rsidP="00E514F4">
            <w:pPr>
              <w:spacing w:after="0"/>
              <w:jc w:val="center"/>
              <w:rPr>
                <w:bCs w:val="0"/>
                <w:color w:val="000000"/>
                <w:sz w:val="16"/>
                <w:szCs w:val="16"/>
                <w:lang w:eastAsia="fr-FR"/>
              </w:rPr>
            </w:pPr>
            <w:r w:rsidRPr="00A774DA">
              <w:rPr>
                <w:bCs w:val="0"/>
                <w:color w:val="000000"/>
                <w:sz w:val="16"/>
                <w:szCs w:val="16"/>
                <w:lang w:eastAsia="fr-FR"/>
              </w:rPr>
              <w:t>-</w:t>
            </w:r>
          </w:p>
        </w:tc>
      </w:tr>
      <w:tr w:rsidR="00A079F7" w:rsidRPr="00A774DA" w:rsidTr="00E514F4">
        <w:trPr>
          <w:trHeight w:val="300"/>
          <w:jc w:val="center"/>
        </w:trPr>
        <w:tc>
          <w:tcPr>
            <w:tcW w:w="1523" w:type="pct"/>
            <w:tcBorders>
              <w:top w:val="nil"/>
              <w:left w:val="nil"/>
              <w:bottom w:val="single" w:sz="12" w:space="0" w:color="4F81BD"/>
              <w:right w:val="nil"/>
            </w:tcBorders>
            <w:shd w:val="clear" w:color="auto" w:fill="auto"/>
            <w:vAlign w:val="center"/>
            <w:hideMark/>
          </w:tcPr>
          <w:p w:rsidR="00A079F7" w:rsidRPr="00A774DA" w:rsidRDefault="00A079F7" w:rsidP="00E514F4">
            <w:pPr>
              <w:spacing w:after="0"/>
              <w:jc w:val="left"/>
              <w:rPr>
                <w:bCs w:val="0"/>
                <w:color w:val="000000"/>
                <w:sz w:val="16"/>
                <w:szCs w:val="16"/>
                <w:lang w:eastAsia="fr-FR"/>
              </w:rPr>
            </w:pPr>
            <w:r w:rsidRPr="00A774DA">
              <w:rPr>
                <w:bCs w:val="0"/>
                <w:color w:val="000000"/>
                <w:sz w:val="16"/>
                <w:szCs w:val="16"/>
                <w:lang w:eastAsia="fr-FR"/>
              </w:rPr>
              <w:t>SACIM</w:t>
            </w:r>
          </w:p>
        </w:tc>
        <w:tc>
          <w:tcPr>
            <w:tcW w:w="1792" w:type="pct"/>
            <w:tcBorders>
              <w:top w:val="nil"/>
              <w:left w:val="nil"/>
              <w:bottom w:val="single" w:sz="12" w:space="0" w:color="4F81BD"/>
              <w:right w:val="nil"/>
            </w:tcBorders>
            <w:shd w:val="clear" w:color="auto" w:fill="auto"/>
            <w:vAlign w:val="center"/>
            <w:hideMark/>
          </w:tcPr>
          <w:p w:rsidR="00A079F7" w:rsidRPr="00A774DA" w:rsidRDefault="00A079F7" w:rsidP="00E514F4">
            <w:pPr>
              <w:spacing w:after="0"/>
              <w:jc w:val="center"/>
              <w:rPr>
                <w:bCs w:val="0"/>
                <w:color w:val="000000"/>
                <w:sz w:val="16"/>
                <w:szCs w:val="16"/>
                <w:lang w:eastAsia="fr-FR"/>
              </w:rPr>
            </w:pPr>
            <w:r w:rsidRPr="00A774DA">
              <w:rPr>
                <w:bCs w:val="0"/>
                <w:sz w:val="16"/>
                <w:szCs w:val="16"/>
                <w:lang w:eastAsia="fr-FR"/>
              </w:rPr>
              <w:t>50%</w:t>
            </w:r>
          </w:p>
        </w:tc>
        <w:tc>
          <w:tcPr>
            <w:tcW w:w="1685" w:type="pct"/>
            <w:tcBorders>
              <w:top w:val="nil"/>
              <w:left w:val="nil"/>
              <w:bottom w:val="single" w:sz="12" w:space="0" w:color="4F81BD"/>
              <w:right w:val="nil"/>
            </w:tcBorders>
            <w:shd w:val="clear" w:color="auto" w:fill="auto"/>
            <w:vAlign w:val="center"/>
            <w:hideMark/>
          </w:tcPr>
          <w:p w:rsidR="00A079F7" w:rsidRPr="00A774DA" w:rsidRDefault="00A079F7" w:rsidP="00E514F4">
            <w:pPr>
              <w:spacing w:after="0"/>
              <w:jc w:val="center"/>
              <w:rPr>
                <w:bCs w:val="0"/>
                <w:color w:val="000000"/>
                <w:sz w:val="16"/>
                <w:szCs w:val="16"/>
                <w:lang w:eastAsia="fr-FR"/>
              </w:rPr>
            </w:pPr>
            <w:r w:rsidRPr="00A774DA">
              <w:rPr>
                <w:bCs w:val="0"/>
                <w:color w:val="000000"/>
                <w:sz w:val="16"/>
                <w:szCs w:val="16"/>
                <w:lang w:eastAsia="fr-FR"/>
              </w:rPr>
              <w:t>-</w:t>
            </w:r>
          </w:p>
        </w:tc>
      </w:tr>
    </w:tbl>
    <w:p w:rsidR="00A079F7" w:rsidRPr="00A774DA" w:rsidRDefault="00A079F7" w:rsidP="00A079F7">
      <w:pPr>
        <w:spacing w:before="240"/>
        <w:rPr>
          <w:szCs w:val="20"/>
          <w:u w:val="single"/>
        </w:rPr>
      </w:pPr>
      <w:r w:rsidRPr="00A774DA">
        <w:rPr>
          <w:szCs w:val="20"/>
        </w:rPr>
        <w:lastRenderedPageBreak/>
        <w:t>L’Etat détient également d’autres participations minoritaires dans les sociétés suivantes :</w:t>
      </w:r>
    </w:p>
    <w:tbl>
      <w:tblPr>
        <w:tblW w:w="5000" w:type="pct"/>
        <w:tblCellMar>
          <w:left w:w="70" w:type="dxa"/>
          <w:right w:w="70" w:type="dxa"/>
        </w:tblCellMar>
        <w:tblLook w:val="04A0" w:firstRow="1" w:lastRow="0" w:firstColumn="1" w:lastColumn="0" w:noHBand="0" w:noVBand="1"/>
      </w:tblPr>
      <w:tblGrid>
        <w:gridCol w:w="3488"/>
        <w:gridCol w:w="3928"/>
        <w:gridCol w:w="1796"/>
      </w:tblGrid>
      <w:tr w:rsidR="00A079F7" w:rsidRPr="00A774DA" w:rsidTr="00E514F4">
        <w:trPr>
          <w:trHeight w:val="465"/>
          <w:tblHeader/>
        </w:trPr>
        <w:tc>
          <w:tcPr>
            <w:tcW w:w="1893" w:type="pct"/>
            <w:tcBorders>
              <w:top w:val="nil"/>
              <w:left w:val="nil"/>
              <w:bottom w:val="single" w:sz="12" w:space="0" w:color="4F81BD"/>
              <w:right w:val="nil"/>
            </w:tcBorders>
            <w:shd w:val="clear" w:color="000000" w:fill="244061"/>
            <w:vAlign w:val="center"/>
            <w:hideMark/>
          </w:tcPr>
          <w:p w:rsidR="00A079F7" w:rsidRPr="00A774DA" w:rsidRDefault="00A079F7" w:rsidP="00E514F4">
            <w:pPr>
              <w:spacing w:after="0"/>
              <w:jc w:val="left"/>
              <w:rPr>
                <w:b/>
                <w:color w:val="FFFFFF"/>
                <w:sz w:val="16"/>
                <w:szCs w:val="16"/>
                <w:lang w:eastAsia="fr-FR"/>
              </w:rPr>
            </w:pPr>
            <w:r w:rsidRPr="00A774DA">
              <w:rPr>
                <w:b/>
                <w:color w:val="FFFFFF"/>
                <w:sz w:val="16"/>
                <w:szCs w:val="16"/>
                <w:lang w:eastAsia="fr-FR"/>
              </w:rPr>
              <w:t>Entreprise</w:t>
            </w:r>
          </w:p>
        </w:tc>
        <w:tc>
          <w:tcPr>
            <w:tcW w:w="2132" w:type="pct"/>
            <w:tcBorders>
              <w:top w:val="nil"/>
              <w:left w:val="nil"/>
              <w:bottom w:val="single" w:sz="12" w:space="0" w:color="4F81BD"/>
              <w:right w:val="nil"/>
            </w:tcBorders>
            <w:shd w:val="clear" w:color="000000" w:fill="244061"/>
            <w:vAlign w:val="center"/>
            <w:hideMark/>
          </w:tcPr>
          <w:p w:rsidR="00A079F7" w:rsidRPr="00A774DA" w:rsidRDefault="00A079F7" w:rsidP="00E514F4">
            <w:pPr>
              <w:spacing w:after="0"/>
              <w:jc w:val="center"/>
              <w:rPr>
                <w:b/>
                <w:color w:val="FFFFFF"/>
                <w:sz w:val="16"/>
                <w:szCs w:val="16"/>
                <w:lang w:eastAsia="fr-FR"/>
              </w:rPr>
            </w:pPr>
            <w:r w:rsidRPr="00A774DA">
              <w:rPr>
                <w:b/>
                <w:color w:val="FFFFFF"/>
                <w:sz w:val="16"/>
                <w:szCs w:val="16"/>
                <w:lang w:eastAsia="fr-FR"/>
              </w:rPr>
              <w:t>% Participation Etat</w:t>
            </w:r>
          </w:p>
        </w:tc>
        <w:tc>
          <w:tcPr>
            <w:tcW w:w="975" w:type="pct"/>
            <w:tcBorders>
              <w:top w:val="nil"/>
              <w:left w:val="nil"/>
              <w:bottom w:val="single" w:sz="12" w:space="0" w:color="4F81BD"/>
              <w:right w:val="nil"/>
            </w:tcBorders>
            <w:shd w:val="clear" w:color="000000" w:fill="244061"/>
            <w:vAlign w:val="center"/>
            <w:hideMark/>
          </w:tcPr>
          <w:p w:rsidR="00A079F7" w:rsidRPr="00A774DA" w:rsidRDefault="00A079F7" w:rsidP="00E514F4">
            <w:pPr>
              <w:spacing w:after="0"/>
              <w:jc w:val="center"/>
              <w:rPr>
                <w:b/>
                <w:color w:val="FFFFFF"/>
                <w:sz w:val="16"/>
                <w:szCs w:val="16"/>
                <w:lang w:eastAsia="fr-FR"/>
              </w:rPr>
            </w:pPr>
            <w:proofErr w:type="gramStart"/>
            <w:r w:rsidRPr="00A774DA">
              <w:rPr>
                <w:b/>
                <w:color w:val="FFFFFF"/>
                <w:sz w:val="16"/>
                <w:szCs w:val="16"/>
                <w:lang w:eastAsia="fr-FR"/>
              </w:rPr>
              <w:t>% autres Participations Publiques</w:t>
            </w:r>
            <w:proofErr w:type="gramEnd"/>
          </w:p>
        </w:tc>
      </w:tr>
      <w:tr w:rsidR="00A079F7" w:rsidRPr="00A774DA" w:rsidTr="00E514F4">
        <w:trPr>
          <w:trHeight w:val="270"/>
        </w:trPr>
        <w:tc>
          <w:tcPr>
            <w:tcW w:w="1893" w:type="pct"/>
            <w:tcBorders>
              <w:top w:val="nil"/>
              <w:left w:val="nil"/>
              <w:bottom w:val="nil"/>
              <w:right w:val="nil"/>
            </w:tcBorders>
            <w:shd w:val="clear" w:color="auto" w:fill="auto"/>
            <w:vAlign w:val="center"/>
            <w:hideMark/>
          </w:tcPr>
          <w:p w:rsidR="00A079F7" w:rsidRPr="00A774DA" w:rsidRDefault="00A079F7" w:rsidP="00E514F4">
            <w:pPr>
              <w:spacing w:after="0"/>
              <w:jc w:val="left"/>
              <w:rPr>
                <w:bCs w:val="0"/>
                <w:sz w:val="16"/>
                <w:szCs w:val="16"/>
                <w:lang w:eastAsia="fr-FR"/>
              </w:rPr>
            </w:pPr>
            <w:r w:rsidRPr="00A774DA">
              <w:rPr>
                <w:bCs w:val="0"/>
                <w:sz w:val="16"/>
                <w:szCs w:val="16"/>
                <w:lang w:eastAsia="fr-FR"/>
              </w:rPr>
              <w:t>FRONTIER SPRL</w:t>
            </w:r>
          </w:p>
        </w:tc>
        <w:tc>
          <w:tcPr>
            <w:tcW w:w="2132" w:type="pct"/>
            <w:tcBorders>
              <w:top w:val="nil"/>
              <w:left w:val="nil"/>
              <w:bottom w:val="nil"/>
              <w:right w:val="nil"/>
            </w:tcBorders>
            <w:shd w:val="clear" w:color="auto" w:fill="auto"/>
            <w:vAlign w:val="center"/>
            <w:hideMark/>
          </w:tcPr>
          <w:p w:rsidR="00A079F7" w:rsidRPr="00A774DA" w:rsidRDefault="00A079F7" w:rsidP="00E514F4">
            <w:pPr>
              <w:spacing w:after="0"/>
              <w:jc w:val="center"/>
              <w:rPr>
                <w:bCs w:val="0"/>
                <w:color w:val="000000"/>
                <w:sz w:val="16"/>
                <w:szCs w:val="16"/>
                <w:lang w:eastAsia="fr-FR"/>
              </w:rPr>
            </w:pPr>
            <w:r w:rsidRPr="00A774DA">
              <w:rPr>
                <w:bCs w:val="0"/>
                <w:color w:val="000000"/>
                <w:sz w:val="16"/>
                <w:szCs w:val="16"/>
                <w:lang w:eastAsia="fr-FR"/>
              </w:rPr>
              <w:t>5%</w:t>
            </w:r>
          </w:p>
        </w:tc>
        <w:tc>
          <w:tcPr>
            <w:tcW w:w="975" w:type="pct"/>
            <w:tcBorders>
              <w:top w:val="nil"/>
              <w:left w:val="nil"/>
              <w:bottom w:val="nil"/>
              <w:right w:val="nil"/>
            </w:tcBorders>
            <w:shd w:val="clear" w:color="auto" w:fill="auto"/>
            <w:vAlign w:val="center"/>
            <w:hideMark/>
          </w:tcPr>
          <w:p w:rsidR="00A079F7" w:rsidRPr="00A774DA" w:rsidRDefault="00A079F7" w:rsidP="00E514F4">
            <w:pPr>
              <w:spacing w:after="0"/>
              <w:jc w:val="center"/>
              <w:rPr>
                <w:bCs w:val="0"/>
                <w:color w:val="000000"/>
                <w:sz w:val="16"/>
                <w:szCs w:val="16"/>
                <w:lang w:eastAsia="fr-FR"/>
              </w:rPr>
            </w:pPr>
            <w:r w:rsidRPr="00A774DA">
              <w:rPr>
                <w:bCs w:val="0"/>
                <w:color w:val="000000"/>
                <w:sz w:val="16"/>
                <w:szCs w:val="16"/>
                <w:lang w:eastAsia="fr-FR"/>
              </w:rPr>
              <w:t>-</w:t>
            </w:r>
          </w:p>
        </w:tc>
      </w:tr>
      <w:tr w:rsidR="00A079F7" w:rsidRPr="00A774DA" w:rsidTr="00E514F4">
        <w:trPr>
          <w:trHeight w:val="255"/>
        </w:trPr>
        <w:tc>
          <w:tcPr>
            <w:tcW w:w="1893" w:type="pct"/>
            <w:tcBorders>
              <w:top w:val="nil"/>
              <w:left w:val="nil"/>
              <w:bottom w:val="nil"/>
              <w:right w:val="nil"/>
            </w:tcBorders>
            <w:shd w:val="clear" w:color="000000" w:fill="B8CCE4"/>
            <w:vAlign w:val="center"/>
            <w:hideMark/>
          </w:tcPr>
          <w:p w:rsidR="00A079F7" w:rsidRPr="00A774DA" w:rsidRDefault="00A079F7" w:rsidP="00E514F4">
            <w:pPr>
              <w:spacing w:after="0"/>
              <w:jc w:val="left"/>
              <w:rPr>
                <w:bCs w:val="0"/>
                <w:sz w:val="16"/>
                <w:szCs w:val="16"/>
                <w:lang w:eastAsia="fr-FR"/>
              </w:rPr>
            </w:pPr>
            <w:r w:rsidRPr="00A774DA">
              <w:rPr>
                <w:bCs w:val="0"/>
                <w:sz w:val="16"/>
                <w:szCs w:val="16"/>
                <w:lang w:eastAsia="fr-FR"/>
              </w:rPr>
              <w:t>KGL SOMITURI</w:t>
            </w:r>
          </w:p>
        </w:tc>
        <w:tc>
          <w:tcPr>
            <w:tcW w:w="2132" w:type="pct"/>
            <w:tcBorders>
              <w:top w:val="nil"/>
              <w:left w:val="nil"/>
              <w:bottom w:val="nil"/>
              <w:right w:val="nil"/>
            </w:tcBorders>
            <w:shd w:val="clear" w:color="000000" w:fill="B8CCE4"/>
            <w:vAlign w:val="center"/>
            <w:hideMark/>
          </w:tcPr>
          <w:p w:rsidR="00A079F7" w:rsidRPr="00A774DA" w:rsidRDefault="00A079F7" w:rsidP="00E514F4">
            <w:pPr>
              <w:spacing w:after="0"/>
              <w:jc w:val="center"/>
              <w:rPr>
                <w:bCs w:val="0"/>
                <w:color w:val="000000"/>
                <w:sz w:val="16"/>
                <w:szCs w:val="16"/>
                <w:lang w:eastAsia="fr-FR"/>
              </w:rPr>
            </w:pPr>
            <w:r w:rsidRPr="00A774DA">
              <w:rPr>
                <w:bCs w:val="0"/>
                <w:color w:val="000000"/>
                <w:sz w:val="16"/>
                <w:szCs w:val="16"/>
                <w:lang w:eastAsia="fr-FR"/>
              </w:rPr>
              <w:t>5%</w:t>
            </w:r>
          </w:p>
        </w:tc>
        <w:tc>
          <w:tcPr>
            <w:tcW w:w="975" w:type="pct"/>
            <w:tcBorders>
              <w:top w:val="nil"/>
              <w:left w:val="nil"/>
              <w:bottom w:val="nil"/>
              <w:right w:val="nil"/>
            </w:tcBorders>
            <w:shd w:val="clear" w:color="000000" w:fill="B8CCE4"/>
            <w:vAlign w:val="center"/>
            <w:hideMark/>
          </w:tcPr>
          <w:p w:rsidR="00A079F7" w:rsidRPr="00A774DA" w:rsidRDefault="00A079F7" w:rsidP="00E514F4">
            <w:pPr>
              <w:spacing w:after="0"/>
              <w:jc w:val="center"/>
              <w:rPr>
                <w:bCs w:val="0"/>
                <w:color w:val="000000"/>
                <w:sz w:val="16"/>
                <w:szCs w:val="16"/>
                <w:lang w:eastAsia="fr-FR"/>
              </w:rPr>
            </w:pPr>
            <w:r w:rsidRPr="00A774DA">
              <w:rPr>
                <w:bCs w:val="0"/>
                <w:color w:val="000000"/>
                <w:sz w:val="16"/>
                <w:szCs w:val="16"/>
                <w:lang w:eastAsia="fr-FR"/>
              </w:rPr>
              <w:t>-</w:t>
            </w:r>
          </w:p>
        </w:tc>
      </w:tr>
      <w:tr w:rsidR="00A079F7" w:rsidRPr="00A774DA" w:rsidTr="00E514F4">
        <w:trPr>
          <w:trHeight w:val="420"/>
        </w:trPr>
        <w:tc>
          <w:tcPr>
            <w:tcW w:w="1893" w:type="pct"/>
            <w:vMerge w:val="restart"/>
            <w:tcBorders>
              <w:top w:val="nil"/>
              <w:left w:val="nil"/>
              <w:bottom w:val="nil"/>
              <w:right w:val="nil"/>
            </w:tcBorders>
            <w:shd w:val="clear" w:color="auto" w:fill="auto"/>
            <w:vAlign w:val="center"/>
            <w:hideMark/>
          </w:tcPr>
          <w:p w:rsidR="00A079F7" w:rsidRPr="00A774DA" w:rsidRDefault="00A079F7" w:rsidP="00E514F4">
            <w:pPr>
              <w:spacing w:after="0"/>
              <w:jc w:val="left"/>
              <w:rPr>
                <w:bCs w:val="0"/>
                <w:sz w:val="16"/>
                <w:szCs w:val="16"/>
                <w:lang w:eastAsia="fr-FR"/>
              </w:rPr>
            </w:pPr>
            <w:r w:rsidRPr="00A774DA">
              <w:rPr>
                <w:bCs w:val="0"/>
                <w:sz w:val="16"/>
                <w:szCs w:val="16"/>
                <w:lang w:eastAsia="fr-FR"/>
              </w:rPr>
              <w:t>SOCIETE D’EXPLOITATION DES REJETS DE KINGAMYAMBO (METALKOL)</w:t>
            </w:r>
          </w:p>
        </w:tc>
        <w:tc>
          <w:tcPr>
            <w:tcW w:w="2132" w:type="pct"/>
            <w:vMerge w:val="restart"/>
            <w:tcBorders>
              <w:top w:val="nil"/>
              <w:left w:val="nil"/>
              <w:bottom w:val="nil"/>
              <w:right w:val="nil"/>
            </w:tcBorders>
            <w:shd w:val="clear" w:color="auto" w:fill="auto"/>
            <w:vAlign w:val="center"/>
            <w:hideMark/>
          </w:tcPr>
          <w:p w:rsidR="00A079F7" w:rsidRPr="00A774DA" w:rsidRDefault="00A079F7" w:rsidP="00E514F4">
            <w:pPr>
              <w:spacing w:after="0"/>
              <w:jc w:val="center"/>
              <w:rPr>
                <w:bCs w:val="0"/>
                <w:sz w:val="16"/>
                <w:szCs w:val="16"/>
                <w:lang w:eastAsia="fr-FR"/>
              </w:rPr>
            </w:pPr>
            <w:r w:rsidRPr="00A774DA">
              <w:rPr>
                <w:bCs w:val="0"/>
                <w:sz w:val="16"/>
                <w:szCs w:val="16"/>
                <w:lang w:eastAsia="fr-FR"/>
              </w:rPr>
              <w:t>5%</w:t>
            </w:r>
          </w:p>
        </w:tc>
        <w:tc>
          <w:tcPr>
            <w:tcW w:w="975" w:type="pct"/>
            <w:tcBorders>
              <w:top w:val="nil"/>
              <w:left w:val="nil"/>
              <w:bottom w:val="nil"/>
              <w:right w:val="nil"/>
            </w:tcBorders>
            <w:shd w:val="clear" w:color="auto" w:fill="auto"/>
            <w:vAlign w:val="center"/>
            <w:hideMark/>
          </w:tcPr>
          <w:p w:rsidR="00A079F7" w:rsidRPr="00A774DA" w:rsidRDefault="00A079F7" w:rsidP="00E514F4">
            <w:pPr>
              <w:spacing w:after="0"/>
              <w:jc w:val="center"/>
              <w:rPr>
                <w:bCs w:val="0"/>
                <w:sz w:val="16"/>
                <w:szCs w:val="16"/>
                <w:lang w:eastAsia="fr-FR"/>
              </w:rPr>
            </w:pPr>
            <w:r w:rsidRPr="00A774DA">
              <w:rPr>
                <w:bCs w:val="0"/>
                <w:sz w:val="16"/>
                <w:szCs w:val="16"/>
                <w:lang w:eastAsia="fr-FR"/>
              </w:rPr>
              <w:t>GECAMINES (20%)</w:t>
            </w:r>
          </w:p>
        </w:tc>
      </w:tr>
      <w:tr w:rsidR="00A079F7" w:rsidRPr="00A774DA" w:rsidTr="00E514F4">
        <w:trPr>
          <w:trHeight w:val="255"/>
        </w:trPr>
        <w:tc>
          <w:tcPr>
            <w:tcW w:w="1893" w:type="pct"/>
            <w:vMerge/>
            <w:tcBorders>
              <w:top w:val="nil"/>
              <w:left w:val="nil"/>
              <w:bottom w:val="nil"/>
              <w:right w:val="nil"/>
            </w:tcBorders>
            <w:vAlign w:val="center"/>
            <w:hideMark/>
          </w:tcPr>
          <w:p w:rsidR="00A079F7" w:rsidRPr="00A774DA" w:rsidRDefault="00A079F7" w:rsidP="00E514F4">
            <w:pPr>
              <w:spacing w:after="0"/>
              <w:jc w:val="left"/>
              <w:rPr>
                <w:bCs w:val="0"/>
                <w:sz w:val="16"/>
                <w:szCs w:val="16"/>
                <w:lang w:eastAsia="fr-FR"/>
              </w:rPr>
            </w:pPr>
          </w:p>
        </w:tc>
        <w:tc>
          <w:tcPr>
            <w:tcW w:w="2132" w:type="pct"/>
            <w:vMerge/>
            <w:tcBorders>
              <w:top w:val="nil"/>
              <w:left w:val="nil"/>
              <w:bottom w:val="nil"/>
              <w:right w:val="nil"/>
            </w:tcBorders>
            <w:vAlign w:val="center"/>
            <w:hideMark/>
          </w:tcPr>
          <w:p w:rsidR="00A079F7" w:rsidRPr="00A774DA" w:rsidRDefault="00A079F7" w:rsidP="00E514F4">
            <w:pPr>
              <w:spacing w:after="0"/>
              <w:jc w:val="left"/>
              <w:rPr>
                <w:bCs w:val="0"/>
                <w:sz w:val="16"/>
                <w:szCs w:val="16"/>
                <w:lang w:eastAsia="fr-FR"/>
              </w:rPr>
            </w:pPr>
          </w:p>
        </w:tc>
        <w:tc>
          <w:tcPr>
            <w:tcW w:w="975" w:type="pct"/>
            <w:tcBorders>
              <w:top w:val="nil"/>
              <w:left w:val="nil"/>
              <w:bottom w:val="nil"/>
              <w:right w:val="nil"/>
            </w:tcBorders>
            <w:shd w:val="clear" w:color="auto" w:fill="auto"/>
            <w:vAlign w:val="center"/>
            <w:hideMark/>
          </w:tcPr>
          <w:p w:rsidR="00A079F7" w:rsidRPr="00A774DA" w:rsidRDefault="00A079F7" w:rsidP="00E514F4">
            <w:pPr>
              <w:spacing w:after="0"/>
              <w:jc w:val="center"/>
              <w:rPr>
                <w:bCs w:val="0"/>
                <w:sz w:val="16"/>
                <w:szCs w:val="16"/>
                <w:lang w:eastAsia="fr-FR"/>
              </w:rPr>
            </w:pPr>
            <w:r w:rsidRPr="00A774DA">
              <w:rPr>
                <w:bCs w:val="0"/>
                <w:sz w:val="16"/>
                <w:szCs w:val="16"/>
                <w:lang w:eastAsia="fr-FR"/>
              </w:rPr>
              <w:t>SIMCO (5%)</w:t>
            </w:r>
          </w:p>
        </w:tc>
      </w:tr>
      <w:tr w:rsidR="00A079F7" w:rsidRPr="00A774DA" w:rsidTr="00E514F4">
        <w:trPr>
          <w:trHeight w:val="442"/>
        </w:trPr>
        <w:tc>
          <w:tcPr>
            <w:tcW w:w="1893" w:type="pct"/>
            <w:tcBorders>
              <w:top w:val="nil"/>
              <w:left w:val="nil"/>
              <w:bottom w:val="nil"/>
              <w:right w:val="nil"/>
            </w:tcBorders>
            <w:shd w:val="clear" w:color="000000" w:fill="B8CCE4"/>
            <w:vAlign w:val="center"/>
            <w:hideMark/>
          </w:tcPr>
          <w:p w:rsidR="00A079F7" w:rsidRPr="00A774DA" w:rsidRDefault="00A079F7" w:rsidP="00E514F4">
            <w:pPr>
              <w:spacing w:after="0"/>
              <w:jc w:val="left"/>
              <w:rPr>
                <w:bCs w:val="0"/>
                <w:sz w:val="16"/>
                <w:szCs w:val="16"/>
                <w:lang w:eastAsia="fr-FR"/>
              </w:rPr>
            </w:pPr>
            <w:r w:rsidRPr="00A774DA">
              <w:rPr>
                <w:bCs w:val="0"/>
                <w:sz w:val="16"/>
                <w:szCs w:val="16"/>
                <w:lang w:eastAsia="fr-FR"/>
              </w:rPr>
              <w:t xml:space="preserve">AFRICAN MINERALS BARBADOS (KAMOA Copper SA) </w:t>
            </w:r>
            <w:r w:rsidR="00D12B31">
              <w:rPr>
                <w:bCs w:val="0"/>
                <w:sz w:val="16"/>
                <w:szCs w:val="16"/>
                <w:lang w:eastAsia="fr-FR"/>
              </w:rPr>
              <w:t>–</w:t>
            </w:r>
            <w:r w:rsidRPr="00A774DA">
              <w:rPr>
                <w:bCs w:val="0"/>
                <w:sz w:val="16"/>
                <w:szCs w:val="16"/>
                <w:lang w:eastAsia="fr-FR"/>
              </w:rPr>
              <w:t xml:space="preserve"> AMBL</w:t>
            </w:r>
          </w:p>
        </w:tc>
        <w:tc>
          <w:tcPr>
            <w:tcW w:w="2132" w:type="pct"/>
            <w:tcBorders>
              <w:top w:val="nil"/>
              <w:left w:val="nil"/>
              <w:bottom w:val="nil"/>
              <w:right w:val="nil"/>
            </w:tcBorders>
            <w:shd w:val="clear" w:color="000000" w:fill="B8CCE4"/>
            <w:vAlign w:val="center"/>
            <w:hideMark/>
          </w:tcPr>
          <w:p w:rsidR="00A079F7" w:rsidRPr="00A774DA" w:rsidRDefault="00A079F7" w:rsidP="00E514F4">
            <w:pPr>
              <w:spacing w:after="0"/>
              <w:jc w:val="center"/>
              <w:rPr>
                <w:bCs w:val="0"/>
                <w:color w:val="000000"/>
                <w:sz w:val="16"/>
                <w:szCs w:val="16"/>
                <w:lang w:eastAsia="fr-FR"/>
              </w:rPr>
            </w:pPr>
            <w:r w:rsidRPr="00A774DA">
              <w:rPr>
                <w:bCs w:val="0"/>
                <w:color w:val="000000"/>
                <w:sz w:val="16"/>
                <w:szCs w:val="16"/>
                <w:lang w:eastAsia="fr-FR"/>
              </w:rPr>
              <w:t>5%</w:t>
            </w:r>
          </w:p>
        </w:tc>
        <w:tc>
          <w:tcPr>
            <w:tcW w:w="975" w:type="pct"/>
            <w:tcBorders>
              <w:top w:val="nil"/>
              <w:left w:val="nil"/>
              <w:bottom w:val="nil"/>
              <w:right w:val="nil"/>
            </w:tcBorders>
            <w:shd w:val="clear" w:color="000000" w:fill="B8CCE4"/>
            <w:vAlign w:val="center"/>
            <w:hideMark/>
          </w:tcPr>
          <w:p w:rsidR="00A079F7" w:rsidRPr="00A774DA" w:rsidRDefault="00A079F7" w:rsidP="00E514F4">
            <w:pPr>
              <w:spacing w:after="0"/>
              <w:jc w:val="center"/>
              <w:rPr>
                <w:bCs w:val="0"/>
                <w:color w:val="000000"/>
                <w:sz w:val="16"/>
                <w:szCs w:val="16"/>
                <w:lang w:eastAsia="fr-FR"/>
              </w:rPr>
            </w:pPr>
            <w:r w:rsidRPr="00A774DA">
              <w:rPr>
                <w:bCs w:val="0"/>
                <w:color w:val="000000"/>
                <w:sz w:val="16"/>
                <w:szCs w:val="16"/>
                <w:lang w:eastAsia="fr-FR"/>
              </w:rPr>
              <w:t>-</w:t>
            </w:r>
          </w:p>
        </w:tc>
      </w:tr>
      <w:tr w:rsidR="00A079F7" w:rsidRPr="00A774DA" w:rsidTr="00E514F4">
        <w:trPr>
          <w:trHeight w:val="255"/>
        </w:trPr>
        <w:tc>
          <w:tcPr>
            <w:tcW w:w="1893" w:type="pct"/>
            <w:tcBorders>
              <w:top w:val="nil"/>
              <w:left w:val="nil"/>
              <w:bottom w:val="nil"/>
              <w:right w:val="nil"/>
            </w:tcBorders>
            <w:shd w:val="clear" w:color="auto" w:fill="auto"/>
            <w:vAlign w:val="center"/>
            <w:hideMark/>
          </w:tcPr>
          <w:p w:rsidR="00A079F7" w:rsidRPr="00A774DA" w:rsidRDefault="00A079F7" w:rsidP="00E514F4">
            <w:pPr>
              <w:spacing w:after="0"/>
              <w:jc w:val="left"/>
              <w:rPr>
                <w:bCs w:val="0"/>
                <w:sz w:val="16"/>
                <w:szCs w:val="16"/>
                <w:lang w:eastAsia="fr-FR"/>
              </w:rPr>
            </w:pPr>
            <w:r w:rsidRPr="00A774DA">
              <w:rPr>
                <w:bCs w:val="0"/>
                <w:sz w:val="16"/>
                <w:szCs w:val="16"/>
                <w:lang w:eastAsia="fr-FR"/>
              </w:rPr>
              <w:t>CROWN MINING</w:t>
            </w:r>
          </w:p>
        </w:tc>
        <w:tc>
          <w:tcPr>
            <w:tcW w:w="2132" w:type="pct"/>
            <w:tcBorders>
              <w:top w:val="nil"/>
              <w:left w:val="nil"/>
              <w:bottom w:val="nil"/>
              <w:right w:val="nil"/>
            </w:tcBorders>
            <w:shd w:val="clear" w:color="auto" w:fill="auto"/>
            <w:vAlign w:val="center"/>
            <w:hideMark/>
          </w:tcPr>
          <w:p w:rsidR="00A079F7" w:rsidRPr="00A774DA" w:rsidRDefault="00A079F7" w:rsidP="00E514F4">
            <w:pPr>
              <w:spacing w:after="0"/>
              <w:jc w:val="center"/>
              <w:rPr>
                <w:bCs w:val="0"/>
                <w:color w:val="000000"/>
                <w:sz w:val="16"/>
                <w:szCs w:val="16"/>
                <w:lang w:eastAsia="fr-FR"/>
              </w:rPr>
            </w:pPr>
            <w:r w:rsidRPr="00A774DA">
              <w:rPr>
                <w:bCs w:val="0"/>
                <w:color w:val="000000"/>
                <w:sz w:val="16"/>
                <w:szCs w:val="16"/>
                <w:lang w:eastAsia="fr-FR"/>
              </w:rPr>
              <w:t>5%</w:t>
            </w:r>
          </w:p>
        </w:tc>
        <w:tc>
          <w:tcPr>
            <w:tcW w:w="975" w:type="pct"/>
            <w:tcBorders>
              <w:top w:val="nil"/>
              <w:left w:val="nil"/>
              <w:bottom w:val="nil"/>
              <w:right w:val="nil"/>
            </w:tcBorders>
            <w:shd w:val="clear" w:color="auto" w:fill="auto"/>
            <w:vAlign w:val="center"/>
            <w:hideMark/>
          </w:tcPr>
          <w:p w:rsidR="00A079F7" w:rsidRPr="00A774DA" w:rsidRDefault="00A079F7" w:rsidP="00E514F4">
            <w:pPr>
              <w:spacing w:after="0"/>
              <w:jc w:val="center"/>
              <w:rPr>
                <w:bCs w:val="0"/>
                <w:color w:val="000000"/>
                <w:sz w:val="16"/>
                <w:szCs w:val="16"/>
                <w:lang w:eastAsia="fr-FR"/>
              </w:rPr>
            </w:pPr>
            <w:r w:rsidRPr="00A774DA">
              <w:rPr>
                <w:bCs w:val="0"/>
                <w:color w:val="000000"/>
                <w:sz w:val="16"/>
                <w:szCs w:val="16"/>
                <w:lang w:eastAsia="fr-FR"/>
              </w:rPr>
              <w:t>-</w:t>
            </w:r>
          </w:p>
        </w:tc>
      </w:tr>
      <w:tr w:rsidR="00A079F7" w:rsidRPr="00A774DA" w:rsidTr="00E514F4">
        <w:trPr>
          <w:trHeight w:val="255"/>
        </w:trPr>
        <w:tc>
          <w:tcPr>
            <w:tcW w:w="1893" w:type="pct"/>
            <w:tcBorders>
              <w:top w:val="nil"/>
              <w:left w:val="nil"/>
              <w:right w:val="nil"/>
            </w:tcBorders>
            <w:shd w:val="clear" w:color="000000" w:fill="B8CCE4"/>
            <w:vAlign w:val="center"/>
            <w:hideMark/>
          </w:tcPr>
          <w:p w:rsidR="00A079F7" w:rsidRPr="00A774DA" w:rsidRDefault="00A079F7" w:rsidP="00E514F4">
            <w:pPr>
              <w:spacing w:after="0"/>
              <w:jc w:val="left"/>
              <w:rPr>
                <w:bCs w:val="0"/>
                <w:sz w:val="16"/>
                <w:szCs w:val="16"/>
                <w:lang w:eastAsia="fr-FR"/>
              </w:rPr>
            </w:pPr>
            <w:r w:rsidRPr="00A774DA">
              <w:rPr>
                <w:bCs w:val="0"/>
                <w:sz w:val="16"/>
                <w:szCs w:val="16"/>
                <w:lang w:eastAsia="fr-FR"/>
              </w:rPr>
              <w:t>GOLDEN DRAGON RESOURCES</w:t>
            </w:r>
          </w:p>
        </w:tc>
        <w:tc>
          <w:tcPr>
            <w:tcW w:w="2132" w:type="pct"/>
            <w:tcBorders>
              <w:top w:val="nil"/>
              <w:left w:val="nil"/>
              <w:right w:val="nil"/>
            </w:tcBorders>
            <w:shd w:val="clear" w:color="000000" w:fill="B8CCE4"/>
            <w:vAlign w:val="center"/>
            <w:hideMark/>
          </w:tcPr>
          <w:p w:rsidR="00A079F7" w:rsidRPr="00A774DA" w:rsidRDefault="00A079F7" w:rsidP="00E514F4">
            <w:pPr>
              <w:spacing w:after="0"/>
              <w:jc w:val="center"/>
              <w:rPr>
                <w:bCs w:val="0"/>
                <w:color w:val="000000"/>
                <w:sz w:val="16"/>
                <w:szCs w:val="16"/>
                <w:lang w:eastAsia="fr-FR"/>
              </w:rPr>
            </w:pPr>
            <w:r w:rsidRPr="00A774DA">
              <w:rPr>
                <w:bCs w:val="0"/>
                <w:color w:val="000000"/>
                <w:sz w:val="16"/>
                <w:szCs w:val="16"/>
                <w:lang w:eastAsia="fr-FR"/>
              </w:rPr>
              <w:t>5%</w:t>
            </w:r>
          </w:p>
        </w:tc>
        <w:tc>
          <w:tcPr>
            <w:tcW w:w="975" w:type="pct"/>
            <w:tcBorders>
              <w:top w:val="nil"/>
              <w:left w:val="nil"/>
              <w:right w:val="nil"/>
            </w:tcBorders>
            <w:shd w:val="clear" w:color="000000" w:fill="B8CCE4"/>
            <w:vAlign w:val="center"/>
            <w:hideMark/>
          </w:tcPr>
          <w:p w:rsidR="00A079F7" w:rsidRPr="00A774DA" w:rsidRDefault="00A079F7" w:rsidP="00E514F4">
            <w:pPr>
              <w:spacing w:after="0"/>
              <w:jc w:val="center"/>
              <w:rPr>
                <w:bCs w:val="0"/>
                <w:color w:val="000000"/>
                <w:sz w:val="16"/>
                <w:szCs w:val="16"/>
                <w:lang w:eastAsia="fr-FR"/>
              </w:rPr>
            </w:pPr>
            <w:r w:rsidRPr="00A774DA">
              <w:rPr>
                <w:bCs w:val="0"/>
                <w:color w:val="000000"/>
                <w:sz w:val="16"/>
                <w:szCs w:val="16"/>
                <w:lang w:eastAsia="fr-FR"/>
              </w:rPr>
              <w:t>-</w:t>
            </w:r>
          </w:p>
        </w:tc>
      </w:tr>
      <w:tr w:rsidR="00A079F7" w:rsidRPr="00A774DA" w:rsidTr="00E514F4">
        <w:trPr>
          <w:trHeight w:val="450"/>
        </w:trPr>
        <w:tc>
          <w:tcPr>
            <w:tcW w:w="1893" w:type="pct"/>
            <w:tcBorders>
              <w:top w:val="nil"/>
              <w:left w:val="nil"/>
              <w:bottom w:val="single" w:sz="4" w:space="0" w:color="4F81BD" w:themeColor="accent1"/>
              <w:right w:val="nil"/>
            </w:tcBorders>
            <w:shd w:val="clear" w:color="auto" w:fill="auto"/>
            <w:vAlign w:val="center"/>
            <w:hideMark/>
          </w:tcPr>
          <w:p w:rsidR="00A079F7" w:rsidRPr="00A774DA" w:rsidRDefault="00A079F7" w:rsidP="00E514F4">
            <w:pPr>
              <w:spacing w:after="0"/>
              <w:jc w:val="left"/>
              <w:rPr>
                <w:bCs w:val="0"/>
                <w:sz w:val="16"/>
                <w:szCs w:val="16"/>
                <w:lang w:eastAsia="fr-FR"/>
              </w:rPr>
            </w:pPr>
            <w:r w:rsidRPr="00A774DA">
              <w:rPr>
                <w:bCs w:val="0"/>
                <w:sz w:val="16"/>
                <w:szCs w:val="16"/>
                <w:lang w:eastAsia="fr-FR"/>
              </w:rPr>
              <w:t>SOCIETE D’EXPLOITATION DE KIPOI (SEK)</w:t>
            </w:r>
          </w:p>
        </w:tc>
        <w:tc>
          <w:tcPr>
            <w:tcW w:w="2132" w:type="pct"/>
            <w:tcBorders>
              <w:top w:val="nil"/>
              <w:left w:val="nil"/>
              <w:bottom w:val="single" w:sz="4" w:space="0" w:color="4F81BD" w:themeColor="accent1"/>
              <w:right w:val="nil"/>
            </w:tcBorders>
            <w:shd w:val="clear" w:color="auto" w:fill="auto"/>
            <w:vAlign w:val="center"/>
            <w:hideMark/>
          </w:tcPr>
          <w:p w:rsidR="00A079F7" w:rsidRPr="00A774DA" w:rsidRDefault="00A079F7" w:rsidP="00E514F4">
            <w:pPr>
              <w:spacing w:after="0"/>
              <w:jc w:val="center"/>
              <w:rPr>
                <w:bCs w:val="0"/>
                <w:color w:val="000000"/>
                <w:sz w:val="16"/>
                <w:szCs w:val="16"/>
                <w:lang w:eastAsia="fr-FR"/>
              </w:rPr>
            </w:pPr>
            <w:r w:rsidRPr="00A774DA">
              <w:rPr>
                <w:bCs w:val="0"/>
                <w:color w:val="000000"/>
                <w:sz w:val="16"/>
                <w:szCs w:val="16"/>
                <w:lang w:eastAsia="fr-FR"/>
              </w:rPr>
              <w:t>5%</w:t>
            </w:r>
          </w:p>
        </w:tc>
        <w:tc>
          <w:tcPr>
            <w:tcW w:w="975" w:type="pct"/>
            <w:tcBorders>
              <w:top w:val="nil"/>
              <w:left w:val="nil"/>
              <w:bottom w:val="single" w:sz="4" w:space="0" w:color="4F81BD" w:themeColor="accent1"/>
              <w:right w:val="nil"/>
            </w:tcBorders>
            <w:shd w:val="clear" w:color="auto" w:fill="auto"/>
            <w:vAlign w:val="center"/>
            <w:hideMark/>
          </w:tcPr>
          <w:p w:rsidR="00A079F7" w:rsidRPr="00A774DA" w:rsidRDefault="00A079F7" w:rsidP="00E514F4">
            <w:pPr>
              <w:spacing w:after="0"/>
              <w:jc w:val="center"/>
              <w:rPr>
                <w:bCs w:val="0"/>
                <w:color w:val="000000"/>
                <w:sz w:val="16"/>
                <w:szCs w:val="16"/>
                <w:lang w:eastAsia="fr-FR"/>
              </w:rPr>
            </w:pPr>
            <w:r w:rsidRPr="00A774DA">
              <w:rPr>
                <w:bCs w:val="0"/>
                <w:color w:val="000000"/>
                <w:sz w:val="16"/>
                <w:szCs w:val="16"/>
                <w:lang w:eastAsia="fr-FR"/>
              </w:rPr>
              <w:t>-</w:t>
            </w:r>
          </w:p>
        </w:tc>
      </w:tr>
    </w:tbl>
    <w:p w:rsidR="00A079F7" w:rsidRPr="00A774DA" w:rsidRDefault="00A079F7" w:rsidP="00A079F7">
      <w:pPr>
        <w:spacing w:before="240"/>
        <w:rPr>
          <w:szCs w:val="20"/>
          <w:u w:val="single"/>
        </w:rPr>
      </w:pPr>
      <w:r w:rsidRPr="00A774DA">
        <w:rPr>
          <w:szCs w:val="20"/>
          <w:u w:val="single"/>
        </w:rPr>
        <w:t>Joint-ventures</w:t>
      </w:r>
    </w:p>
    <w:p w:rsidR="00A079F7" w:rsidRDefault="00A079F7" w:rsidP="00A079F7">
      <w:pPr>
        <w:spacing w:after="120"/>
        <w:rPr>
          <w:szCs w:val="20"/>
        </w:rPr>
      </w:pPr>
      <w:r w:rsidRPr="00A774DA">
        <w:rPr>
          <w:szCs w:val="20"/>
        </w:rPr>
        <w:t>Sur la base des informations sur la structure de capital communiquées par les entreprises minières</w:t>
      </w:r>
      <w:r w:rsidR="00BD296D">
        <w:rPr>
          <w:szCs w:val="20"/>
        </w:rPr>
        <w:t xml:space="preserve"> </w:t>
      </w:r>
      <w:r w:rsidR="00AD5B89">
        <w:rPr>
          <w:szCs w:val="20"/>
        </w:rPr>
        <w:t>du Portefeuille de l'Etat</w:t>
      </w:r>
      <w:r w:rsidR="00D3490A">
        <w:rPr>
          <w:szCs w:val="20"/>
        </w:rPr>
        <w:t>,</w:t>
      </w:r>
      <w:r w:rsidRPr="00A774DA">
        <w:rPr>
          <w:szCs w:val="20"/>
        </w:rPr>
        <w:t xml:space="preserve"> </w:t>
      </w:r>
      <w:r w:rsidR="00D3490A">
        <w:rPr>
          <w:szCs w:val="20"/>
        </w:rPr>
        <w:t>n</w:t>
      </w:r>
      <w:r w:rsidRPr="00A774DA">
        <w:rPr>
          <w:szCs w:val="20"/>
        </w:rPr>
        <w:t>ous présentons dans le tableau suivant les participations détenues par les entreprises publiques ainsi que le pourcentage de ces participations:</w:t>
      </w:r>
    </w:p>
    <w:tbl>
      <w:tblPr>
        <w:tblW w:w="5000" w:type="pct"/>
        <w:tblCellMar>
          <w:left w:w="70" w:type="dxa"/>
          <w:right w:w="70" w:type="dxa"/>
        </w:tblCellMar>
        <w:tblLook w:val="04A0" w:firstRow="1" w:lastRow="0" w:firstColumn="1" w:lastColumn="0" w:noHBand="0" w:noVBand="1"/>
      </w:tblPr>
      <w:tblGrid>
        <w:gridCol w:w="6666"/>
        <w:gridCol w:w="1253"/>
        <w:gridCol w:w="1293"/>
      </w:tblGrid>
      <w:tr w:rsidR="00A079F7" w:rsidRPr="00A774DA" w:rsidTr="00E514F4">
        <w:trPr>
          <w:trHeight w:val="408"/>
          <w:tblHeader/>
        </w:trPr>
        <w:tc>
          <w:tcPr>
            <w:tcW w:w="3618" w:type="pct"/>
            <w:tcBorders>
              <w:top w:val="nil"/>
              <w:left w:val="nil"/>
              <w:bottom w:val="nil"/>
              <w:right w:val="nil"/>
            </w:tcBorders>
            <w:shd w:val="clear" w:color="000000" w:fill="244061"/>
            <w:vAlign w:val="center"/>
            <w:hideMark/>
          </w:tcPr>
          <w:p w:rsidR="00A079F7" w:rsidRPr="00A774DA" w:rsidRDefault="00A079F7" w:rsidP="00E514F4">
            <w:pPr>
              <w:spacing w:after="0"/>
              <w:jc w:val="left"/>
              <w:rPr>
                <w:b/>
                <w:color w:val="FFFFFF"/>
                <w:sz w:val="16"/>
                <w:szCs w:val="16"/>
                <w:lang w:eastAsia="fr-FR"/>
              </w:rPr>
            </w:pPr>
            <w:r w:rsidRPr="00A774DA">
              <w:rPr>
                <w:b/>
                <w:color w:val="FFFFFF"/>
                <w:sz w:val="16"/>
                <w:szCs w:val="16"/>
                <w:lang w:eastAsia="fr-FR"/>
              </w:rPr>
              <w:t>Entreprise</w:t>
            </w:r>
          </w:p>
        </w:tc>
        <w:tc>
          <w:tcPr>
            <w:tcW w:w="680" w:type="pct"/>
            <w:tcBorders>
              <w:top w:val="nil"/>
              <w:left w:val="nil"/>
              <w:bottom w:val="nil"/>
              <w:right w:val="nil"/>
            </w:tcBorders>
            <w:shd w:val="clear" w:color="000000" w:fill="244061"/>
            <w:vAlign w:val="center"/>
            <w:hideMark/>
          </w:tcPr>
          <w:p w:rsidR="00A079F7" w:rsidRPr="00A774DA" w:rsidRDefault="00A079F7" w:rsidP="00E514F4">
            <w:pPr>
              <w:spacing w:after="0"/>
              <w:jc w:val="left"/>
              <w:rPr>
                <w:b/>
                <w:color w:val="FFFFFF"/>
                <w:sz w:val="16"/>
                <w:szCs w:val="16"/>
                <w:lang w:eastAsia="fr-FR"/>
              </w:rPr>
            </w:pPr>
            <w:r w:rsidRPr="00A774DA">
              <w:rPr>
                <w:b/>
                <w:color w:val="FFFFFF"/>
                <w:sz w:val="16"/>
                <w:szCs w:val="16"/>
                <w:lang w:eastAsia="fr-FR"/>
              </w:rPr>
              <w:t>Actionnaire Public</w:t>
            </w:r>
          </w:p>
        </w:tc>
        <w:tc>
          <w:tcPr>
            <w:tcW w:w="702" w:type="pct"/>
            <w:tcBorders>
              <w:top w:val="nil"/>
              <w:left w:val="nil"/>
              <w:bottom w:val="nil"/>
              <w:right w:val="nil"/>
            </w:tcBorders>
            <w:shd w:val="clear" w:color="000000" w:fill="244061"/>
            <w:vAlign w:val="center"/>
            <w:hideMark/>
          </w:tcPr>
          <w:p w:rsidR="00A079F7" w:rsidRPr="00A774DA" w:rsidRDefault="00A079F7" w:rsidP="00E514F4">
            <w:pPr>
              <w:spacing w:after="0"/>
              <w:jc w:val="center"/>
              <w:rPr>
                <w:b/>
                <w:color w:val="FFFFFF"/>
                <w:sz w:val="16"/>
                <w:szCs w:val="16"/>
                <w:lang w:eastAsia="fr-FR"/>
              </w:rPr>
            </w:pPr>
            <w:r w:rsidRPr="00A774DA">
              <w:rPr>
                <w:b/>
                <w:color w:val="FFFFFF"/>
                <w:sz w:val="16"/>
                <w:szCs w:val="16"/>
                <w:lang w:eastAsia="fr-FR"/>
              </w:rPr>
              <w:t>% Participation Publique</w:t>
            </w:r>
          </w:p>
        </w:tc>
      </w:tr>
      <w:tr w:rsidR="00A079F7" w:rsidRPr="00A774DA" w:rsidTr="00E514F4">
        <w:trPr>
          <w:trHeight w:val="288"/>
        </w:trPr>
        <w:tc>
          <w:tcPr>
            <w:tcW w:w="3618" w:type="pct"/>
            <w:tcBorders>
              <w:top w:val="nil"/>
              <w:left w:val="nil"/>
              <w:bottom w:val="nil"/>
              <w:right w:val="nil"/>
            </w:tcBorders>
            <w:shd w:val="clear" w:color="auto" w:fill="auto"/>
            <w:vAlign w:val="center"/>
            <w:hideMark/>
          </w:tcPr>
          <w:p w:rsidR="00A079F7" w:rsidRPr="009D36EE" w:rsidRDefault="00A079F7" w:rsidP="00E514F4">
            <w:pPr>
              <w:spacing w:after="0"/>
              <w:jc w:val="left"/>
              <w:rPr>
                <w:bCs w:val="0"/>
                <w:sz w:val="16"/>
                <w:szCs w:val="16"/>
                <w:lang w:eastAsia="fr-FR"/>
              </w:rPr>
            </w:pPr>
            <w:r w:rsidRPr="009D36EE">
              <w:rPr>
                <w:bCs w:val="0"/>
                <w:sz w:val="16"/>
                <w:szCs w:val="16"/>
                <w:lang w:eastAsia="fr-FR"/>
              </w:rPr>
              <w:t>TENKE FUNGURUME MINING (TFM)</w:t>
            </w:r>
          </w:p>
        </w:tc>
        <w:tc>
          <w:tcPr>
            <w:tcW w:w="680" w:type="pct"/>
            <w:tcBorders>
              <w:top w:val="nil"/>
              <w:left w:val="nil"/>
              <w:bottom w:val="nil"/>
              <w:right w:val="nil"/>
            </w:tcBorders>
            <w:shd w:val="clear" w:color="auto" w:fill="auto"/>
            <w:vAlign w:val="center"/>
            <w:hideMark/>
          </w:tcPr>
          <w:p w:rsidR="00A079F7" w:rsidRPr="009D36EE" w:rsidRDefault="00A079F7" w:rsidP="00E514F4">
            <w:pPr>
              <w:spacing w:after="0"/>
              <w:jc w:val="left"/>
              <w:rPr>
                <w:bCs w:val="0"/>
                <w:sz w:val="16"/>
                <w:szCs w:val="16"/>
                <w:lang w:eastAsia="fr-FR"/>
              </w:rPr>
            </w:pPr>
            <w:r w:rsidRPr="009D36EE">
              <w:rPr>
                <w:bCs w:val="0"/>
                <w:sz w:val="16"/>
                <w:szCs w:val="16"/>
                <w:lang w:eastAsia="fr-FR"/>
              </w:rPr>
              <w:t>GECAMINES</w:t>
            </w:r>
          </w:p>
        </w:tc>
        <w:tc>
          <w:tcPr>
            <w:tcW w:w="702" w:type="pct"/>
            <w:tcBorders>
              <w:top w:val="nil"/>
              <w:left w:val="nil"/>
              <w:bottom w:val="nil"/>
              <w:right w:val="nil"/>
            </w:tcBorders>
            <w:shd w:val="clear" w:color="auto" w:fill="auto"/>
            <w:vAlign w:val="center"/>
            <w:hideMark/>
          </w:tcPr>
          <w:p w:rsidR="00A079F7" w:rsidRPr="009D36EE" w:rsidRDefault="00A079F7" w:rsidP="00E514F4">
            <w:pPr>
              <w:spacing w:after="0"/>
              <w:jc w:val="center"/>
              <w:rPr>
                <w:bCs w:val="0"/>
                <w:sz w:val="16"/>
                <w:szCs w:val="16"/>
                <w:lang w:eastAsia="fr-FR"/>
              </w:rPr>
            </w:pPr>
            <w:r w:rsidRPr="009D36EE">
              <w:rPr>
                <w:bCs w:val="0"/>
                <w:sz w:val="16"/>
                <w:szCs w:val="16"/>
                <w:lang w:eastAsia="fr-FR"/>
              </w:rPr>
              <w:t>20,00%</w:t>
            </w:r>
          </w:p>
        </w:tc>
      </w:tr>
      <w:tr w:rsidR="00A079F7" w:rsidRPr="00A774DA" w:rsidTr="00E514F4">
        <w:trPr>
          <w:trHeight w:val="288"/>
        </w:trPr>
        <w:tc>
          <w:tcPr>
            <w:tcW w:w="3618" w:type="pct"/>
            <w:vMerge w:val="restart"/>
            <w:tcBorders>
              <w:top w:val="nil"/>
              <w:left w:val="nil"/>
              <w:right w:val="nil"/>
            </w:tcBorders>
            <w:shd w:val="clear" w:color="000000" w:fill="B8CCE4"/>
            <w:vAlign w:val="center"/>
            <w:hideMark/>
          </w:tcPr>
          <w:p w:rsidR="00A079F7" w:rsidRPr="009D36EE" w:rsidRDefault="00A079F7" w:rsidP="00E514F4">
            <w:pPr>
              <w:spacing w:after="0"/>
              <w:jc w:val="left"/>
              <w:rPr>
                <w:bCs w:val="0"/>
                <w:color w:val="000000"/>
                <w:sz w:val="16"/>
                <w:szCs w:val="16"/>
                <w:lang w:eastAsia="fr-FR"/>
              </w:rPr>
            </w:pPr>
            <w:r w:rsidRPr="009D36EE">
              <w:rPr>
                <w:bCs w:val="0"/>
                <w:color w:val="000000"/>
                <w:sz w:val="16"/>
                <w:szCs w:val="16"/>
                <w:lang w:eastAsia="fr-FR"/>
              </w:rPr>
              <w:t>KAMOTO COPPER COMPANY (KCC)</w:t>
            </w:r>
          </w:p>
        </w:tc>
        <w:tc>
          <w:tcPr>
            <w:tcW w:w="680" w:type="pct"/>
            <w:tcBorders>
              <w:top w:val="nil"/>
              <w:left w:val="nil"/>
              <w:bottom w:val="nil"/>
              <w:right w:val="nil"/>
            </w:tcBorders>
            <w:shd w:val="clear" w:color="000000" w:fill="B8CCE4"/>
            <w:vAlign w:val="center"/>
            <w:hideMark/>
          </w:tcPr>
          <w:p w:rsidR="00A079F7" w:rsidRPr="009D36EE" w:rsidRDefault="00A079F7" w:rsidP="00E514F4">
            <w:pPr>
              <w:spacing w:after="0"/>
              <w:jc w:val="left"/>
              <w:rPr>
                <w:bCs w:val="0"/>
                <w:color w:val="000000"/>
                <w:sz w:val="16"/>
                <w:szCs w:val="16"/>
                <w:lang w:eastAsia="fr-FR"/>
              </w:rPr>
            </w:pPr>
            <w:r w:rsidRPr="009D36EE">
              <w:rPr>
                <w:bCs w:val="0"/>
                <w:sz w:val="16"/>
                <w:szCs w:val="16"/>
                <w:lang w:eastAsia="fr-FR"/>
              </w:rPr>
              <w:t>GECAMINES</w:t>
            </w:r>
          </w:p>
        </w:tc>
        <w:tc>
          <w:tcPr>
            <w:tcW w:w="702" w:type="pct"/>
            <w:tcBorders>
              <w:top w:val="nil"/>
              <w:left w:val="nil"/>
              <w:bottom w:val="nil"/>
              <w:right w:val="nil"/>
            </w:tcBorders>
            <w:shd w:val="clear" w:color="000000" w:fill="B8CCE4"/>
            <w:vAlign w:val="center"/>
            <w:hideMark/>
          </w:tcPr>
          <w:p w:rsidR="00A079F7" w:rsidRPr="009D36EE" w:rsidRDefault="00A079F7" w:rsidP="00E514F4">
            <w:pPr>
              <w:spacing w:after="0"/>
              <w:jc w:val="center"/>
              <w:rPr>
                <w:bCs w:val="0"/>
                <w:sz w:val="16"/>
                <w:szCs w:val="16"/>
                <w:lang w:eastAsia="fr-FR"/>
              </w:rPr>
            </w:pPr>
            <w:r w:rsidRPr="009D36EE">
              <w:rPr>
                <w:bCs w:val="0"/>
                <w:sz w:val="16"/>
                <w:szCs w:val="16"/>
                <w:lang w:eastAsia="fr-FR"/>
              </w:rPr>
              <w:t>20,00%</w:t>
            </w:r>
          </w:p>
        </w:tc>
      </w:tr>
      <w:tr w:rsidR="00A079F7" w:rsidRPr="00A774DA" w:rsidTr="00E514F4">
        <w:trPr>
          <w:trHeight w:val="288"/>
        </w:trPr>
        <w:tc>
          <w:tcPr>
            <w:tcW w:w="3618" w:type="pct"/>
            <w:vMerge/>
            <w:tcBorders>
              <w:left w:val="nil"/>
              <w:bottom w:val="nil"/>
              <w:right w:val="nil"/>
            </w:tcBorders>
            <w:shd w:val="clear" w:color="000000" w:fill="B8CCE4"/>
            <w:vAlign w:val="center"/>
          </w:tcPr>
          <w:p w:rsidR="00A079F7" w:rsidRPr="009D36EE" w:rsidRDefault="00A079F7" w:rsidP="00E514F4">
            <w:pPr>
              <w:spacing w:after="0"/>
              <w:jc w:val="left"/>
              <w:rPr>
                <w:bCs w:val="0"/>
                <w:color w:val="000000"/>
                <w:sz w:val="16"/>
                <w:szCs w:val="16"/>
                <w:lang w:eastAsia="fr-FR"/>
              </w:rPr>
            </w:pPr>
          </w:p>
        </w:tc>
        <w:tc>
          <w:tcPr>
            <w:tcW w:w="680" w:type="pct"/>
            <w:tcBorders>
              <w:top w:val="nil"/>
              <w:left w:val="nil"/>
              <w:bottom w:val="nil"/>
              <w:right w:val="nil"/>
            </w:tcBorders>
            <w:shd w:val="clear" w:color="000000" w:fill="B8CCE4"/>
            <w:vAlign w:val="center"/>
          </w:tcPr>
          <w:p w:rsidR="00A079F7" w:rsidRPr="009D36EE" w:rsidRDefault="00A079F7" w:rsidP="00E514F4">
            <w:pPr>
              <w:spacing w:after="0"/>
              <w:jc w:val="left"/>
              <w:rPr>
                <w:bCs w:val="0"/>
                <w:sz w:val="16"/>
                <w:szCs w:val="16"/>
                <w:lang w:eastAsia="fr-FR"/>
              </w:rPr>
            </w:pPr>
            <w:r w:rsidRPr="009D36EE">
              <w:rPr>
                <w:bCs w:val="0"/>
                <w:sz w:val="16"/>
                <w:szCs w:val="16"/>
                <w:lang w:eastAsia="fr-FR"/>
              </w:rPr>
              <w:t>SIMCO</w:t>
            </w:r>
          </w:p>
        </w:tc>
        <w:tc>
          <w:tcPr>
            <w:tcW w:w="702" w:type="pct"/>
            <w:tcBorders>
              <w:top w:val="nil"/>
              <w:left w:val="nil"/>
              <w:bottom w:val="nil"/>
              <w:right w:val="nil"/>
            </w:tcBorders>
            <w:shd w:val="clear" w:color="000000" w:fill="B8CCE4"/>
            <w:vAlign w:val="center"/>
          </w:tcPr>
          <w:p w:rsidR="00A079F7" w:rsidRPr="009D36EE" w:rsidRDefault="00A079F7" w:rsidP="00E514F4">
            <w:pPr>
              <w:spacing w:after="0"/>
              <w:jc w:val="center"/>
              <w:rPr>
                <w:bCs w:val="0"/>
                <w:sz w:val="16"/>
                <w:szCs w:val="16"/>
                <w:lang w:eastAsia="fr-FR"/>
              </w:rPr>
            </w:pPr>
            <w:r>
              <w:rPr>
                <w:bCs w:val="0"/>
                <w:sz w:val="16"/>
                <w:szCs w:val="16"/>
                <w:lang w:eastAsia="fr-FR"/>
              </w:rPr>
              <w:t>5</w:t>
            </w:r>
            <w:r w:rsidRPr="009D36EE">
              <w:rPr>
                <w:bCs w:val="0"/>
                <w:sz w:val="16"/>
                <w:szCs w:val="16"/>
                <w:lang w:eastAsia="fr-FR"/>
              </w:rPr>
              <w:t>,00%</w:t>
            </w:r>
          </w:p>
        </w:tc>
      </w:tr>
      <w:tr w:rsidR="00A079F7" w:rsidRPr="00A774DA" w:rsidTr="00E514F4">
        <w:trPr>
          <w:trHeight w:val="288"/>
        </w:trPr>
        <w:tc>
          <w:tcPr>
            <w:tcW w:w="3618" w:type="pct"/>
            <w:tcBorders>
              <w:top w:val="nil"/>
              <w:left w:val="nil"/>
              <w:bottom w:val="nil"/>
              <w:right w:val="nil"/>
            </w:tcBorders>
            <w:shd w:val="clear" w:color="auto" w:fill="auto"/>
            <w:vAlign w:val="center"/>
            <w:hideMark/>
          </w:tcPr>
          <w:p w:rsidR="00A079F7" w:rsidRPr="009D36EE" w:rsidRDefault="00A079F7" w:rsidP="00E514F4">
            <w:pPr>
              <w:spacing w:after="0"/>
              <w:jc w:val="left"/>
              <w:rPr>
                <w:bCs w:val="0"/>
                <w:sz w:val="16"/>
                <w:szCs w:val="16"/>
                <w:lang w:eastAsia="fr-FR"/>
              </w:rPr>
            </w:pPr>
            <w:r w:rsidRPr="009D36EE">
              <w:rPr>
                <w:bCs w:val="0"/>
                <w:sz w:val="16"/>
                <w:szCs w:val="16"/>
                <w:lang w:eastAsia="fr-FR"/>
              </w:rPr>
              <w:t>BOSS MINING (BOSS)</w:t>
            </w:r>
          </w:p>
        </w:tc>
        <w:tc>
          <w:tcPr>
            <w:tcW w:w="680" w:type="pct"/>
            <w:tcBorders>
              <w:top w:val="nil"/>
              <w:left w:val="nil"/>
              <w:bottom w:val="nil"/>
              <w:right w:val="nil"/>
            </w:tcBorders>
            <w:shd w:val="clear" w:color="auto" w:fill="auto"/>
            <w:vAlign w:val="center"/>
            <w:hideMark/>
          </w:tcPr>
          <w:p w:rsidR="00A079F7" w:rsidRPr="009D36EE" w:rsidRDefault="00A079F7" w:rsidP="00E514F4">
            <w:pPr>
              <w:spacing w:after="0"/>
              <w:jc w:val="left"/>
              <w:rPr>
                <w:bCs w:val="0"/>
                <w:sz w:val="16"/>
                <w:szCs w:val="16"/>
                <w:lang w:eastAsia="fr-FR"/>
              </w:rPr>
            </w:pPr>
            <w:r w:rsidRPr="009D36EE">
              <w:rPr>
                <w:bCs w:val="0"/>
                <w:sz w:val="16"/>
                <w:szCs w:val="16"/>
                <w:lang w:eastAsia="fr-FR"/>
              </w:rPr>
              <w:t>GECAMINES</w:t>
            </w:r>
          </w:p>
        </w:tc>
        <w:tc>
          <w:tcPr>
            <w:tcW w:w="702" w:type="pct"/>
            <w:tcBorders>
              <w:top w:val="nil"/>
              <w:left w:val="nil"/>
              <w:bottom w:val="nil"/>
              <w:right w:val="nil"/>
            </w:tcBorders>
            <w:shd w:val="clear" w:color="auto" w:fill="auto"/>
            <w:vAlign w:val="center"/>
            <w:hideMark/>
          </w:tcPr>
          <w:p w:rsidR="00A079F7" w:rsidRPr="009D36EE" w:rsidRDefault="00A079F7" w:rsidP="00E514F4">
            <w:pPr>
              <w:spacing w:after="0"/>
              <w:jc w:val="center"/>
              <w:rPr>
                <w:bCs w:val="0"/>
                <w:sz w:val="16"/>
                <w:szCs w:val="16"/>
                <w:lang w:eastAsia="fr-FR"/>
              </w:rPr>
            </w:pPr>
            <w:r w:rsidRPr="009D36EE">
              <w:rPr>
                <w:bCs w:val="0"/>
                <w:sz w:val="16"/>
                <w:szCs w:val="16"/>
                <w:lang w:eastAsia="fr-FR"/>
              </w:rPr>
              <w:t>30,00%</w:t>
            </w:r>
          </w:p>
        </w:tc>
      </w:tr>
      <w:tr w:rsidR="00A079F7" w:rsidRPr="00A774DA" w:rsidTr="00E514F4">
        <w:trPr>
          <w:trHeight w:val="288"/>
        </w:trPr>
        <w:tc>
          <w:tcPr>
            <w:tcW w:w="3618" w:type="pct"/>
            <w:tcBorders>
              <w:top w:val="nil"/>
              <w:left w:val="nil"/>
              <w:bottom w:val="nil"/>
              <w:right w:val="nil"/>
            </w:tcBorders>
            <w:shd w:val="clear" w:color="000000" w:fill="B8CCE4"/>
            <w:vAlign w:val="center"/>
            <w:hideMark/>
          </w:tcPr>
          <w:p w:rsidR="00A079F7" w:rsidRPr="009D36EE" w:rsidRDefault="00A079F7" w:rsidP="00E514F4">
            <w:pPr>
              <w:spacing w:after="0"/>
              <w:jc w:val="left"/>
              <w:rPr>
                <w:bCs w:val="0"/>
                <w:sz w:val="16"/>
                <w:szCs w:val="16"/>
                <w:lang w:eastAsia="fr-FR"/>
              </w:rPr>
            </w:pPr>
            <w:r w:rsidRPr="009D36EE">
              <w:rPr>
                <w:bCs w:val="0"/>
                <w:sz w:val="16"/>
                <w:szCs w:val="16"/>
                <w:lang w:eastAsia="fr-FR"/>
              </w:rPr>
              <w:t>RUASHI MINING (RUMI)</w:t>
            </w:r>
          </w:p>
        </w:tc>
        <w:tc>
          <w:tcPr>
            <w:tcW w:w="680" w:type="pct"/>
            <w:tcBorders>
              <w:top w:val="nil"/>
              <w:left w:val="nil"/>
              <w:bottom w:val="nil"/>
              <w:right w:val="nil"/>
            </w:tcBorders>
            <w:shd w:val="clear" w:color="000000" w:fill="B8CCE4"/>
            <w:vAlign w:val="center"/>
            <w:hideMark/>
          </w:tcPr>
          <w:p w:rsidR="00A079F7" w:rsidRPr="009D36EE" w:rsidRDefault="00A079F7" w:rsidP="00E514F4">
            <w:pPr>
              <w:spacing w:after="0"/>
              <w:jc w:val="left"/>
              <w:rPr>
                <w:bCs w:val="0"/>
                <w:sz w:val="16"/>
                <w:szCs w:val="16"/>
                <w:lang w:eastAsia="fr-FR"/>
              </w:rPr>
            </w:pPr>
            <w:r w:rsidRPr="009D36EE">
              <w:rPr>
                <w:bCs w:val="0"/>
                <w:sz w:val="16"/>
                <w:szCs w:val="16"/>
                <w:lang w:eastAsia="fr-FR"/>
              </w:rPr>
              <w:t>GECAMINES</w:t>
            </w:r>
          </w:p>
        </w:tc>
        <w:tc>
          <w:tcPr>
            <w:tcW w:w="702" w:type="pct"/>
            <w:tcBorders>
              <w:top w:val="nil"/>
              <w:left w:val="nil"/>
              <w:bottom w:val="nil"/>
              <w:right w:val="nil"/>
            </w:tcBorders>
            <w:shd w:val="clear" w:color="000000" w:fill="B8CCE4"/>
            <w:vAlign w:val="center"/>
            <w:hideMark/>
          </w:tcPr>
          <w:p w:rsidR="00A079F7" w:rsidRPr="009D36EE" w:rsidRDefault="00A079F7" w:rsidP="00E514F4">
            <w:pPr>
              <w:spacing w:after="0"/>
              <w:jc w:val="center"/>
              <w:rPr>
                <w:bCs w:val="0"/>
                <w:sz w:val="16"/>
                <w:szCs w:val="16"/>
                <w:lang w:eastAsia="fr-FR"/>
              </w:rPr>
            </w:pPr>
            <w:r w:rsidRPr="009D36EE">
              <w:rPr>
                <w:bCs w:val="0"/>
                <w:sz w:val="16"/>
                <w:szCs w:val="16"/>
                <w:lang w:eastAsia="fr-FR"/>
              </w:rPr>
              <w:t>25,00%</w:t>
            </w:r>
          </w:p>
        </w:tc>
      </w:tr>
      <w:tr w:rsidR="00A079F7" w:rsidRPr="00A774DA" w:rsidTr="00E514F4">
        <w:trPr>
          <w:trHeight w:val="288"/>
        </w:trPr>
        <w:tc>
          <w:tcPr>
            <w:tcW w:w="3618" w:type="pct"/>
            <w:tcBorders>
              <w:top w:val="nil"/>
              <w:left w:val="nil"/>
              <w:bottom w:val="nil"/>
              <w:right w:val="nil"/>
            </w:tcBorders>
            <w:shd w:val="clear" w:color="auto" w:fill="auto"/>
            <w:vAlign w:val="center"/>
            <w:hideMark/>
          </w:tcPr>
          <w:p w:rsidR="00A079F7" w:rsidRPr="009D36EE" w:rsidRDefault="00A079F7" w:rsidP="00E514F4">
            <w:pPr>
              <w:spacing w:after="0"/>
              <w:jc w:val="left"/>
              <w:rPr>
                <w:bCs w:val="0"/>
                <w:sz w:val="16"/>
                <w:szCs w:val="16"/>
                <w:lang w:eastAsia="fr-FR"/>
              </w:rPr>
            </w:pPr>
            <w:r w:rsidRPr="009D36EE">
              <w:rPr>
                <w:bCs w:val="0"/>
                <w:sz w:val="16"/>
                <w:szCs w:val="16"/>
                <w:lang w:eastAsia="fr-FR"/>
              </w:rPr>
              <w:t>SOCIETE D'EXPLOITATION KIPOI (SEK)</w:t>
            </w:r>
          </w:p>
        </w:tc>
        <w:tc>
          <w:tcPr>
            <w:tcW w:w="680" w:type="pct"/>
            <w:tcBorders>
              <w:top w:val="nil"/>
              <w:left w:val="nil"/>
              <w:bottom w:val="nil"/>
              <w:right w:val="nil"/>
            </w:tcBorders>
            <w:shd w:val="clear" w:color="auto" w:fill="auto"/>
            <w:vAlign w:val="center"/>
            <w:hideMark/>
          </w:tcPr>
          <w:p w:rsidR="00A079F7" w:rsidRPr="009D36EE" w:rsidRDefault="00A079F7" w:rsidP="00E514F4">
            <w:pPr>
              <w:spacing w:after="0"/>
              <w:jc w:val="left"/>
              <w:rPr>
                <w:bCs w:val="0"/>
                <w:sz w:val="16"/>
                <w:szCs w:val="16"/>
                <w:lang w:eastAsia="fr-FR"/>
              </w:rPr>
            </w:pPr>
            <w:r w:rsidRPr="009D36EE">
              <w:rPr>
                <w:bCs w:val="0"/>
                <w:sz w:val="16"/>
                <w:szCs w:val="16"/>
                <w:lang w:eastAsia="fr-FR"/>
              </w:rPr>
              <w:t>GECAMINES</w:t>
            </w:r>
          </w:p>
        </w:tc>
        <w:tc>
          <w:tcPr>
            <w:tcW w:w="702" w:type="pct"/>
            <w:tcBorders>
              <w:top w:val="nil"/>
              <w:left w:val="nil"/>
              <w:bottom w:val="nil"/>
              <w:right w:val="nil"/>
            </w:tcBorders>
            <w:shd w:val="clear" w:color="auto" w:fill="auto"/>
            <w:vAlign w:val="center"/>
            <w:hideMark/>
          </w:tcPr>
          <w:p w:rsidR="00A079F7" w:rsidRPr="009D36EE" w:rsidRDefault="00A079F7" w:rsidP="00E514F4">
            <w:pPr>
              <w:spacing w:after="0"/>
              <w:jc w:val="center"/>
              <w:rPr>
                <w:bCs w:val="0"/>
                <w:sz w:val="16"/>
                <w:szCs w:val="16"/>
                <w:lang w:eastAsia="fr-FR"/>
              </w:rPr>
            </w:pPr>
            <w:r w:rsidRPr="009D36EE">
              <w:rPr>
                <w:bCs w:val="0"/>
                <w:sz w:val="16"/>
                <w:szCs w:val="16"/>
                <w:lang w:eastAsia="fr-FR"/>
              </w:rPr>
              <w:t>40,00%</w:t>
            </w:r>
          </w:p>
        </w:tc>
      </w:tr>
      <w:tr w:rsidR="00A079F7" w:rsidRPr="00A774DA" w:rsidTr="00E514F4">
        <w:trPr>
          <w:trHeight w:val="288"/>
        </w:trPr>
        <w:tc>
          <w:tcPr>
            <w:tcW w:w="3618" w:type="pct"/>
            <w:tcBorders>
              <w:top w:val="nil"/>
              <w:left w:val="nil"/>
              <w:bottom w:val="nil"/>
              <w:right w:val="nil"/>
            </w:tcBorders>
            <w:shd w:val="clear" w:color="000000" w:fill="B8CCE4"/>
            <w:vAlign w:val="center"/>
            <w:hideMark/>
          </w:tcPr>
          <w:p w:rsidR="00A079F7" w:rsidRPr="009D36EE" w:rsidRDefault="00A079F7" w:rsidP="00E514F4">
            <w:pPr>
              <w:spacing w:after="0"/>
              <w:jc w:val="left"/>
              <w:rPr>
                <w:bCs w:val="0"/>
                <w:sz w:val="16"/>
                <w:szCs w:val="16"/>
                <w:lang w:eastAsia="fr-FR"/>
              </w:rPr>
            </w:pPr>
            <w:r w:rsidRPr="009D36EE">
              <w:rPr>
                <w:bCs w:val="0"/>
                <w:sz w:val="16"/>
                <w:szCs w:val="16"/>
                <w:lang w:eastAsia="fr-FR"/>
              </w:rPr>
              <w:t>SHITURU MINING COMPANY (SMCO)</w:t>
            </w:r>
          </w:p>
        </w:tc>
        <w:tc>
          <w:tcPr>
            <w:tcW w:w="680" w:type="pct"/>
            <w:tcBorders>
              <w:top w:val="nil"/>
              <w:left w:val="nil"/>
              <w:bottom w:val="nil"/>
              <w:right w:val="nil"/>
            </w:tcBorders>
            <w:shd w:val="clear" w:color="000000" w:fill="B8CCE4"/>
            <w:vAlign w:val="center"/>
            <w:hideMark/>
          </w:tcPr>
          <w:p w:rsidR="00A079F7" w:rsidRPr="009D36EE" w:rsidRDefault="00A079F7" w:rsidP="00E514F4">
            <w:pPr>
              <w:spacing w:after="0"/>
              <w:jc w:val="left"/>
              <w:rPr>
                <w:bCs w:val="0"/>
                <w:sz w:val="16"/>
                <w:szCs w:val="16"/>
                <w:lang w:eastAsia="fr-FR"/>
              </w:rPr>
            </w:pPr>
            <w:r w:rsidRPr="009D36EE">
              <w:rPr>
                <w:bCs w:val="0"/>
                <w:sz w:val="16"/>
                <w:szCs w:val="16"/>
                <w:lang w:eastAsia="fr-FR"/>
              </w:rPr>
              <w:t>GECAMINES</w:t>
            </w:r>
          </w:p>
        </w:tc>
        <w:tc>
          <w:tcPr>
            <w:tcW w:w="702" w:type="pct"/>
            <w:tcBorders>
              <w:top w:val="nil"/>
              <w:left w:val="nil"/>
              <w:bottom w:val="nil"/>
              <w:right w:val="nil"/>
            </w:tcBorders>
            <w:shd w:val="clear" w:color="000000" w:fill="B8CCE4"/>
            <w:vAlign w:val="center"/>
            <w:hideMark/>
          </w:tcPr>
          <w:p w:rsidR="00A079F7" w:rsidRPr="009D36EE" w:rsidRDefault="00A079F7" w:rsidP="00E514F4">
            <w:pPr>
              <w:spacing w:after="0"/>
              <w:jc w:val="center"/>
              <w:rPr>
                <w:bCs w:val="0"/>
                <w:sz w:val="16"/>
                <w:szCs w:val="16"/>
                <w:lang w:eastAsia="fr-FR"/>
              </w:rPr>
            </w:pPr>
            <w:r w:rsidRPr="009D36EE">
              <w:rPr>
                <w:bCs w:val="0"/>
                <w:sz w:val="16"/>
                <w:szCs w:val="16"/>
                <w:lang w:eastAsia="fr-FR"/>
              </w:rPr>
              <w:t>27,50%</w:t>
            </w:r>
          </w:p>
        </w:tc>
      </w:tr>
      <w:tr w:rsidR="00A079F7" w:rsidRPr="00A774DA" w:rsidTr="00E514F4">
        <w:trPr>
          <w:trHeight w:val="288"/>
        </w:trPr>
        <w:tc>
          <w:tcPr>
            <w:tcW w:w="3618" w:type="pct"/>
            <w:tcBorders>
              <w:top w:val="nil"/>
              <w:left w:val="nil"/>
              <w:bottom w:val="nil"/>
              <w:right w:val="nil"/>
            </w:tcBorders>
            <w:shd w:val="clear" w:color="auto" w:fill="auto"/>
            <w:vAlign w:val="center"/>
            <w:hideMark/>
          </w:tcPr>
          <w:p w:rsidR="00A079F7" w:rsidRPr="009D36EE" w:rsidRDefault="00A079F7" w:rsidP="00E514F4">
            <w:pPr>
              <w:spacing w:after="0"/>
              <w:jc w:val="left"/>
              <w:rPr>
                <w:bCs w:val="0"/>
                <w:sz w:val="16"/>
                <w:szCs w:val="16"/>
                <w:lang w:eastAsia="fr-FR"/>
              </w:rPr>
            </w:pPr>
            <w:r w:rsidRPr="009D36EE">
              <w:rPr>
                <w:bCs w:val="0"/>
                <w:sz w:val="16"/>
                <w:szCs w:val="16"/>
                <w:lang w:eastAsia="fr-FR"/>
              </w:rPr>
              <w:t>GROUPEMENT DU TERRIL DE LUBUMBASHI (GTL)</w:t>
            </w:r>
          </w:p>
        </w:tc>
        <w:tc>
          <w:tcPr>
            <w:tcW w:w="680" w:type="pct"/>
            <w:tcBorders>
              <w:top w:val="nil"/>
              <w:left w:val="nil"/>
              <w:bottom w:val="nil"/>
              <w:right w:val="nil"/>
            </w:tcBorders>
            <w:shd w:val="clear" w:color="auto" w:fill="auto"/>
            <w:vAlign w:val="center"/>
            <w:hideMark/>
          </w:tcPr>
          <w:p w:rsidR="00A079F7" w:rsidRPr="009D36EE" w:rsidRDefault="00A079F7" w:rsidP="00E514F4">
            <w:pPr>
              <w:spacing w:after="0"/>
              <w:jc w:val="left"/>
              <w:rPr>
                <w:bCs w:val="0"/>
                <w:sz w:val="16"/>
                <w:szCs w:val="16"/>
                <w:lang w:eastAsia="fr-FR"/>
              </w:rPr>
            </w:pPr>
            <w:r w:rsidRPr="009D36EE">
              <w:rPr>
                <w:bCs w:val="0"/>
                <w:sz w:val="16"/>
                <w:szCs w:val="16"/>
                <w:lang w:eastAsia="fr-FR"/>
              </w:rPr>
              <w:t>GECAMINES</w:t>
            </w:r>
          </w:p>
        </w:tc>
        <w:tc>
          <w:tcPr>
            <w:tcW w:w="702" w:type="pct"/>
            <w:tcBorders>
              <w:top w:val="nil"/>
              <w:left w:val="nil"/>
              <w:bottom w:val="nil"/>
              <w:right w:val="nil"/>
            </w:tcBorders>
            <w:shd w:val="clear" w:color="auto" w:fill="auto"/>
            <w:vAlign w:val="center"/>
            <w:hideMark/>
          </w:tcPr>
          <w:p w:rsidR="00A079F7" w:rsidRPr="009D36EE" w:rsidRDefault="00A079F7" w:rsidP="00E514F4">
            <w:pPr>
              <w:spacing w:after="0"/>
              <w:jc w:val="center"/>
              <w:rPr>
                <w:bCs w:val="0"/>
                <w:sz w:val="16"/>
                <w:szCs w:val="16"/>
                <w:lang w:eastAsia="fr-FR"/>
              </w:rPr>
            </w:pPr>
            <w:r w:rsidRPr="009D36EE">
              <w:rPr>
                <w:bCs w:val="0"/>
                <w:sz w:val="16"/>
                <w:szCs w:val="16"/>
                <w:lang w:eastAsia="fr-FR"/>
              </w:rPr>
              <w:t>30,00%</w:t>
            </w:r>
          </w:p>
        </w:tc>
      </w:tr>
      <w:tr w:rsidR="00A079F7" w:rsidRPr="00A774DA" w:rsidTr="00E514F4">
        <w:trPr>
          <w:trHeight w:val="288"/>
        </w:trPr>
        <w:tc>
          <w:tcPr>
            <w:tcW w:w="3618" w:type="pct"/>
            <w:tcBorders>
              <w:top w:val="nil"/>
              <w:left w:val="nil"/>
              <w:bottom w:val="nil"/>
              <w:right w:val="nil"/>
            </w:tcBorders>
            <w:shd w:val="clear" w:color="000000" w:fill="B8CCE4"/>
            <w:vAlign w:val="center"/>
            <w:hideMark/>
          </w:tcPr>
          <w:p w:rsidR="00A079F7" w:rsidRPr="009D36EE" w:rsidRDefault="00A079F7" w:rsidP="00E514F4">
            <w:pPr>
              <w:spacing w:after="0"/>
              <w:jc w:val="left"/>
              <w:rPr>
                <w:bCs w:val="0"/>
                <w:sz w:val="16"/>
                <w:szCs w:val="16"/>
                <w:lang w:eastAsia="fr-FR"/>
              </w:rPr>
            </w:pPr>
            <w:r w:rsidRPr="009D36EE">
              <w:rPr>
                <w:bCs w:val="0"/>
                <w:sz w:val="16"/>
                <w:szCs w:val="16"/>
                <w:lang w:eastAsia="fr-FR"/>
              </w:rPr>
              <w:t>SOCIETE DE TRAITEMENT DE TERRIL DE LUBUMBASHI (STL)</w:t>
            </w:r>
          </w:p>
        </w:tc>
        <w:tc>
          <w:tcPr>
            <w:tcW w:w="680" w:type="pct"/>
            <w:tcBorders>
              <w:top w:val="nil"/>
              <w:left w:val="nil"/>
              <w:bottom w:val="nil"/>
              <w:right w:val="nil"/>
            </w:tcBorders>
            <w:shd w:val="clear" w:color="000000" w:fill="B8CCE4"/>
            <w:vAlign w:val="center"/>
            <w:hideMark/>
          </w:tcPr>
          <w:p w:rsidR="00A079F7" w:rsidRPr="009D36EE" w:rsidRDefault="00A079F7" w:rsidP="00E514F4">
            <w:pPr>
              <w:spacing w:after="0"/>
              <w:jc w:val="left"/>
              <w:rPr>
                <w:bCs w:val="0"/>
                <w:sz w:val="16"/>
                <w:szCs w:val="16"/>
                <w:lang w:eastAsia="fr-FR"/>
              </w:rPr>
            </w:pPr>
            <w:r w:rsidRPr="009D36EE">
              <w:rPr>
                <w:bCs w:val="0"/>
                <w:sz w:val="16"/>
                <w:szCs w:val="16"/>
                <w:lang w:eastAsia="fr-FR"/>
              </w:rPr>
              <w:t>GECAMINES</w:t>
            </w:r>
          </w:p>
        </w:tc>
        <w:tc>
          <w:tcPr>
            <w:tcW w:w="702" w:type="pct"/>
            <w:tcBorders>
              <w:top w:val="nil"/>
              <w:left w:val="nil"/>
              <w:bottom w:val="nil"/>
              <w:right w:val="nil"/>
            </w:tcBorders>
            <w:shd w:val="clear" w:color="000000" w:fill="B8CCE4"/>
            <w:vAlign w:val="center"/>
            <w:hideMark/>
          </w:tcPr>
          <w:p w:rsidR="00A079F7" w:rsidRPr="009D36EE" w:rsidRDefault="00A079F7" w:rsidP="00E514F4">
            <w:pPr>
              <w:spacing w:after="0"/>
              <w:jc w:val="center"/>
              <w:rPr>
                <w:bCs w:val="0"/>
                <w:sz w:val="16"/>
                <w:szCs w:val="16"/>
                <w:lang w:eastAsia="fr-FR"/>
              </w:rPr>
            </w:pPr>
            <w:r w:rsidRPr="009D36EE">
              <w:rPr>
                <w:bCs w:val="0"/>
                <w:sz w:val="16"/>
                <w:szCs w:val="16"/>
                <w:lang w:eastAsia="fr-FR"/>
              </w:rPr>
              <w:t>24,00%</w:t>
            </w:r>
          </w:p>
        </w:tc>
      </w:tr>
      <w:tr w:rsidR="00A079F7" w:rsidRPr="00A774DA" w:rsidTr="00E514F4">
        <w:trPr>
          <w:trHeight w:val="288"/>
        </w:trPr>
        <w:tc>
          <w:tcPr>
            <w:tcW w:w="3618" w:type="pct"/>
            <w:tcBorders>
              <w:top w:val="nil"/>
              <w:left w:val="nil"/>
              <w:bottom w:val="nil"/>
              <w:right w:val="nil"/>
            </w:tcBorders>
            <w:shd w:val="clear" w:color="auto" w:fill="auto"/>
            <w:vAlign w:val="center"/>
            <w:hideMark/>
          </w:tcPr>
          <w:p w:rsidR="00A079F7" w:rsidRPr="009D36EE" w:rsidRDefault="00A079F7" w:rsidP="00E514F4">
            <w:pPr>
              <w:spacing w:after="0"/>
              <w:jc w:val="left"/>
              <w:rPr>
                <w:bCs w:val="0"/>
                <w:sz w:val="16"/>
                <w:szCs w:val="16"/>
                <w:lang w:eastAsia="fr-FR"/>
              </w:rPr>
            </w:pPr>
            <w:r w:rsidRPr="009D36EE">
              <w:rPr>
                <w:bCs w:val="0"/>
                <w:sz w:val="16"/>
                <w:szCs w:val="16"/>
                <w:lang w:eastAsia="fr-FR"/>
              </w:rPr>
              <w:t>LA MINIERE DE KASOMBO (MIKAS)</w:t>
            </w:r>
          </w:p>
        </w:tc>
        <w:tc>
          <w:tcPr>
            <w:tcW w:w="680" w:type="pct"/>
            <w:tcBorders>
              <w:top w:val="nil"/>
              <w:left w:val="nil"/>
              <w:bottom w:val="nil"/>
              <w:right w:val="nil"/>
            </w:tcBorders>
            <w:shd w:val="clear" w:color="auto" w:fill="auto"/>
            <w:vAlign w:val="center"/>
            <w:hideMark/>
          </w:tcPr>
          <w:p w:rsidR="00A079F7" w:rsidRPr="009D36EE" w:rsidRDefault="00A079F7" w:rsidP="00E514F4">
            <w:pPr>
              <w:spacing w:after="0"/>
              <w:jc w:val="left"/>
              <w:rPr>
                <w:bCs w:val="0"/>
                <w:sz w:val="16"/>
                <w:szCs w:val="16"/>
                <w:lang w:eastAsia="fr-FR"/>
              </w:rPr>
            </w:pPr>
            <w:r w:rsidRPr="009D36EE">
              <w:rPr>
                <w:bCs w:val="0"/>
                <w:sz w:val="16"/>
                <w:szCs w:val="16"/>
                <w:lang w:eastAsia="fr-FR"/>
              </w:rPr>
              <w:t>GECAMINES</w:t>
            </w:r>
          </w:p>
        </w:tc>
        <w:tc>
          <w:tcPr>
            <w:tcW w:w="702" w:type="pct"/>
            <w:tcBorders>
              <w:top w:val="nil"/>
              <w:left w:val="nil"/>
              <w:bottom w:val="nil"/>
              <w:right w:val="nil"/>
            </w:tcBorders>
            <w:shd w:val="clear" w:color="auto" w:fill="auto"/>
            <w:vAlign w:val="center"/>
            <w:hideMark/>
          </w:tcPr>
          <w:p w:rsidR="00A079F7" w:rsidRPr="009D36EE" w:rsidRDefault="00A079F7" w:rsidP="00E514F4">
            <w:pPr>
              <w:spacing w:after="0"/>
              <w:jc w:val="center"/>
              <w:rPr>
                <w:bCs w:val="0"/>
                <w:sz w:val="16"/>
                <w:szCs w:val="16"/>
                <w:lang w:eastAsia="fr-FR"/>
              </w:rPr>
            </w:pPr>
            <w:r w:rsidRPr="009D36EE">
              <w:rPr>
                <w:bCs w:val="0"/>
                <w:sz w:val="16"/>
                <w:szCs w:val="16"/>
                <w:lang w:eastAsia="fr-FR"/>
              </w:rPr>
              <w:t>28,00%</w:t>
            </w:r>
          </w:p>
        </w:tc>
      </w:tr>
      <w:tr w:rsidR="00A079F7" w:rsidRPr="00A774DA" w:rsidTr="00E514F4">
        <w:trPr>
          <w:trHeight w:val="288"/>
        </w:trPr>
        <w:tc>
          <w:tcPr>
            <w:tcW w:w="3618" w:type="pct"/>
            <w:tcBorders>
              <w:top w:val="nil"/>
              <w:left w:val="nil"/>
              <w:bottom w:val="nil"/>
              <w:right w:val="nil"/>
            </w:tcBorders>
            <w:shd w:val="clear" w:color="000000" w:fill="B8CCE4"/>
            <w:vAlign w:val="center"/>
            <w:hideMark/>
          </w:tcPr>
          <w:p w:rsidR="00A079F7" w:rsidRPr="009D36EE" w:rsidRDefault="00A079F7" w:rsidP="00E514F4">
            <w:pPr>
              <w:spacing w:after="0"/>
              <w:jc w:val="left"/>
              <w:rPr>
                <w:bCs w:val="0"/>
                <w:sz w:val="16"/>
                <w:szCs w:val="16"/>
                <w:lang w:eastAsia="fr-FR"/>
              </w:rPr>
            </w:pPr>
            <w:r w:rsidRPr="009D36EE">
              <w:rPr>
                <w:bCs w:val="0"/>
                <w:sz w:val="16"/>
                <w:szCs w:val="16"/>
                <w:lang w:eastAsia="fr-FR"/>
              </w:rPr>
              <w:t>SOCIETE D’EXPLOITATION DES GISEMENTS DE KALUNKUNDI (SWANMINES)</w:t>
            </w:r>
          </w:p>
        </w:tc>
        <w:tc>
          <w:tcPr>
            <w:tcW w:w="680" w:type="pct"/>
            <w:tcBorders>
              <w:top w:val="nil"/>
              <w:left w:val="nil"/>
              <w:bottom w:val="nil"/>
              <w:right w:val="nil"/>
            </w:tcBorders>
            <w:shd w:val="clear" w:color="000000" w:fill="B8CCE4"/>
            <w:vAlign w:val="center"/>
            <w:hideMark/>
          </w:tcPr>
          <w:p w:rsidR="00A079F7" w:rsidRPr="009D36EE" w:rsidRDefault="00A079F7" w:rsidP="00E514F4">
            <w:pPr>
              <w:spacing w:after="0"/>
              <w:jc w:val="left"/>
              <w:rPr>
                <w:bCs w:val="0"/>
                <w:sz w:val="16"/>
                <w:szCs w:val="16"/>
                <w:lang w:eastAsia="fr-FR"/>
              </w:rPr>
            </w:pPr>
            <w:r w:rsidRPr="009D36EE">
              <w:rPr>
                <w:bCs w:val="0"/>
                <w:sz w:val="16"/>
                <w:szCs w:val="16"/>
                <w:lang w:eastAsia="fr-FR"/>
              </w:rPr>
              <w:t>GECAMINES</w:t>
            </w:r>
          </w:p>
        </w:tc>
        <w:tc>
          <w:tcPr>
            <w:tcW w:w="702" w:type="pct"/>
            <w:tcBorders>
              <w:top w:val="nil"/>
              <w:left w:val="nil"/>
              <w:bottom w:val="nil"/>
              <w:right w:val="nil"/>
            </w:tcBorders>
            <w:shd w:val="clear" w:color="000000" w:fill="B8CCE4"/>
            <w:vAlign w:val="center"/>
            <w:hideMark/>
          </w:tcPr>
          <w:p w:rsidR="00A079F7" w:rsidRPr="009D36EE" w:rsidRDefault="00A079F7" w:rsidP="00E514F4">
            <w:pPr>
              <w:spacing w:after="0"/>
              <w:jc w:val="center"/>
              <w:rPr>
                <w:bCs w:val="0"/>
                <w:sz w:val="16"/>
                <w:szCs w:val="16"/>
                <w:lang w:eastAsia="fr-FR"/>
              </w:rPr>
            </w:pPr>
            <w:r w:rsidRPr="009D36EE">
              <w:rPr>
                <w:bCs w:val="0"/>
                <w:sz w:val="16"/>
                <w:szCs w:val="16"/>
                <w:lang w:eastAsia="fr-FR"/>
              </w:rPr>
              <w:t>25,00%</w:t>
            </w:r>
          </w:p>
        </w:tc>
      </w:tr>
      <w:tr w:rsidR="00A079F7" w:rsidRPr="00A774DA" w:rsidTr="00E514F4">
        <w:trPr>
          <w:trHeight w:val="288"/>
        </w:trPr>
        <w:tc>
          <w:tcPr>
            <w:tcW w:w="3618" w:type="pct"/>
            <w:tcBorders>
              <w:top w:val="nil"/>
              <w:left w:val="nil"/>
              <w:bottom w:val="nil"/>
              <w:right w:val="nil"/>
            </w:tcBorders>
            <w:shd w:val="clear" w:color="auto" w:fill="auto"/>
            <w:vAlign w:val="center"/>
            <w:hideMark/>
          </w:tcPr>
          <w:p w:rsidR="00A079F7" w:rsidRPr="009D36EE" w:rsidRDefault="00A079F7" w:rsidP="00E514F4">
            <w:pPr>
              <w:spacing w:after="0"/>
              <w:jc w:val="left"/>
              <w:rPr>
                <w:bCs w:val="0"/>
                <w:sz w:val="16"/>
                <w:szCs w:val="16"/>
                <w:lang w:eastAsia="fr-FR"/>
              </w:rPr>
            </w:pPr>
            <w:r w:rsidRPr="009D36EE">
              <w:rPr>
                <w:bCs w:val="0"/>
                <w:sz w:val="16"/>
                <w:szCs w:val="16"/>
                <w:lang w:eastAsia="fr-FR"/>
              </w:rPr>
              <w:t>KIPUSHI CORPORATION (KICO)</w:t>
            </w:r>
          </w:p>
        </w:tc>
        <w:tc>
          <w:tcPr>
            <w:tcW w:w="680" w:type="pct"/>
            <w:tcBorders>
              <w:top w:val="nil"/>
              <w:left w:val="nil"/>
              <w:bottom w:val="nil"/>
              <w:right w:val="nil"/>
            </w:tcBorders>
            <w:shd w:val="clear" w:color="auto" w:fill="auto"/>
            <w:vAlign w:val="center"/>
            <w:hideMark/>
          </w:tcPr>
          <w:p w:rsidR="00A079F7" w:rsidRPr="009D36EE" w:rsidRDefault="00A079F7" w:rsidP="00E514F4">
            <w:pPr>
              <w:spacing w:after="0"/>
              <w:jc w:val="left"/>
              <w:rPr>
                <w:bCs w:val="0"/>
                <w:sz w:val="16"/>
                <w:szCs w:val="16"/>
                <w:lang w:eastAsia="fr-FR"/>
              </w:rPr>
            </w:pPr>
            <w:r w:rsidRPr="009D36EE">
              <w:rPr>
                <w:bCs w:val="0"/>
                <w:sz w:val="16"/>
                <w:szCs w:val="16"/>
                <w:lang w:eastAsia="fr-FR"/>
              </w:rPr>
              <w:t>GECAMINES</w:t>
            </w:r>
          </w:p>
        </w:tc>
        <w:tc>
          <w:tcPr>
            <w:tcW w:w="702" w:type="pct"/>
            <w:tcBorders>
              <w:top w:val="nil"/>
              <w:left w:val="nil"/>
              <w:bottom w:val="nil"/>
              <w:right w:val="nil"/>
            </w:tcBorders>
            <w:shd w:val="clear" w:color="auto" w:fill="auto"/>
            <w:vAlign w:val="center"/>
            <w:hideMark/>
          </w:tcPr>
          <w:p w:rsidR="00A079F7" w:rsidRPr="009D36EE" w:rsidRDefault="00A079F7" w:rsidP="00E514F4">
            <w:pPr>
              <w:spacing w:after="0"/>
              <w:jc w:val="center"/>
              <w:rPr>
                <w:bCs w:val="0"/>
                <w:sz w:val="16"/>
                <w:szCs w:val="16"/>
                <w:lang w:eastAsia="fr-FR"/>
              </w:rPr>
            </w:pPr>
            <w:r w:rsidRPr="009D36EE">
              <w:rPr>
                <w:bCs w:val="0"/>
                <w:sz w:val="16"/>
                <w:szCs w:val="16"/>
                <w:lang w:eastAsia="fr-FR"/>
              </w:rPr>
              <w:t>32,00%</w:t>
            </w:r>
          </w:p>
        </w:tc>
      </w:tr>
      <w:tr w:rsidR="00A079F7" w:rsidRPr="00A774DA" w:rsidTr="00E514F4">
        <w:trPr>
          <w:trHeight w:val="288"/>
        </w:trPr>
        <w:tc>
          <w:tcPr>
            <w:tcW w:w="3618" w:type="pct"/>
            <w:tcBorders>
              <w:top w:val="nil"/>
              <w:left w:val="nil"/>
              <w:bottom w:val="nil"/>
              <w:right w:val="nil"/>
            </w:tcBorders>
            <w:shd w:val="clear" w:color="000000" w:fill="B8CCE4"/>
            <w:vAlign w:val="center"/>
            <w:hideMark/>
          </w:tcPr>
          <w:p w:rsidR="00A079F7" w:rsidRPr="009D36EE" w:rsidRDefault="00A079F7" w:rsidP="00E514F4">
            <w:pPr>
              <w:spacing w:after="0"/>
              <w:jc w:val="left"/>
              <w:rPr>
                <w:bCs w:val="0"/>
                <w:sz w:val="16"/>
                <w:szCs w:val="16"/>
                <w:lang w:eastAsia="fr-FR"/>
              </w:rPr>
            </w:pPr>
            <w:r w:rsidRPr="009D36EE">
              <w:rPr>
                <w:bCs w:val="0"/>
                <w:sz w:val="16"/>
                <w:szCs w:val="16"/>
                <w:lang w:eastAsia="fr-FR"/>
              </w:rPr>
              <w:t>KISANFU MINING SPRL (KIMIN)</w:t>
            </w:r>
          </w:p>
        </w:tc>
        <w:tc>
          <w:tcPr>
            <w:tcW w:w="680" w:type="pct"/>
            <w:tcBorders>
              <w:top w:val="nil"/>
              <w:left w:val="nil"/>
              <w:bottom w:val="nil"/>
              <w:right w:val="nil"/>
            </w:tcBorders>
            <w:shd w:val="clear" w:color="000000" w:fill="B8CCE4"/>
            <w:vAlign w:val="center"/>
            <w:hideMark/>
          </w:tcPr>
          <w:p w:rsidR="00A079F7" w:rsidRPr="009D36EE" w:rsidRDefault="00A079F7" w:rsidP="00E514F4">
            <w:pPr>
              <w:spacing w:after="0"/>
              <w:jc w:val="left"/>
              <w:rPr>
                <w:bCs w:val="0"/>
                <w:sz w:val="16"/>
                <w:szCs w:val="16"/>
                <w:lang w:eastAsia="fr-FR"/>
              </w:rPr>
            </w:pPr>
            <w:r w:rsidRPr="009D36EE">
              <w:rPr>
                <w:bCs w:val="0"/>
                <w:sz w:val="16"/>
                <w:szCs w:val="16"/>
                <w:lang w:eastAsia="fr-FR"/>
              </w:rPr>
              <w:t>GECAMINES</w:t>
            </w:r>
          </w:p>
        </w:tc>
        <w:tc>
          <w:tcPr>
            <w:tcW w:w="702" w:type="pct"/>
            <w:tcBorders>
              <w:top w:val="nil"/>
              <w:left w:val="nil"/>
              <w:bottom w:val="nil"/>
              <w:right w:val="nil"/>
            </w:tcBorders>
            <w:shd w:val="clear" w:color="000000" w:fill="B8CCE4"/>
            <w:vAlign w:val="center"/>
            <w:hideMark/>
          </w:tcPr>
          <w:p w:rsidR="00A079F7" w:rsidRPr="009D36EE" w:rsidRDefault="00A079F7" w:rsidP="00E514F4">
            <w:pPr>
              <w:spacing w:after="0"/>
              <w:jc w:val="center"/>
              <w:rPr>
                <w:bCs w:val="0"/>
                <w:sz w:val="16"/>
                <w:szCs w:val="16"/>
                <w:lang w:eastAsia="fr-FR"/>
              </w:rPr>
            </w:pPr>
            <w:r w:rsidRPr="009D36EE">
              <w:rPr>
                <w:bCs w:val="0"/>
                <w:sz w:val="16"/>
                <w:szCs w:val="16"/>
                <w:lang w:eastAsia="fr-FR"/>
              </w:rPr>
              <w:t>30,00%</w:t>
            </w:r>
          </w:p>
        </w:tc>
      </w:tr>
      <w:tr w:rsidR="00A079F7" w:rsidRPr="00A774DA" w:rsidTr="00E514F4">
        <w:trPr>
          <w:trHeight w:val="288"/>
        </w:trPr>
        <w:tc>
          <w:tcPr>
            <w:tcW w:w="3618" w:type="pct"/>
            <w:tcBorders>
              <w:top w:val="nil"/>
              <w:left w:val="nil"/>
              <w:bottom w:val="nil"/>
              <w:right w:val="nil"/>
            </w:tcBorders>
            <w:shd w:val="clear" w:color="auto" w:fill="auto"/>
            <w:vAlign w:val="center"/>
            <w:hideMark/>
          </w:tcPr>
          <w:p w:rsidR="00A079F7" w:rsidRPr="009D36EE" w:rsidRDefault="00A079F7" w:rsidP="00E514F4">
            <w:pPr>
              <w:spacing w:after="0"/>
              <w:jc w:val="left"/>
              <w:rPr>
                <w:bCs w:val="0"/>
                <w:sz w:val="16"/>
                <w:szCs w:val="16"/>
                <w:lang w:eastAsia="fr-FR"/>
              </w:rPr>
            </w:pPr>
            <w:r w:rsidRPr="009D36EE">
              <w:rPr>
                <w:bCs w:val="0"/>
                <w:sz w:val="16"/>
                <w:szCs w:val="16"/>
                <w:lang w:eastAsia="fr-FR"/>
              </w:rPr>
              <w:t>COMPAGNIE DE MUSONOIE GLOBAL SPRL (COMMUS)</w:t>
            </w:r>
          </w:p>
        </w:tc>
        <w:tc>
          <w:tcPr>
            <w:tcW w:w="680" w:type="pct"/>
            <w:tcBorders>
              <w:top w:val="nil"/>
              <w:left w:val="nil"/>
              <w:bottom w:val="nil"/>
              <w:right w:val="nil"/>
            </w:tcBorders>
            <w:shd w:val="clear" w:color="auto" w:fill="auto"/>
            <w:vAlign w:val="center"/>
            <w:hideMark/>
          </w:tcPr>
          <w:p w:rsidR="00A079F7" w:rsidRPr="009D36EE" w:rsidRDefault="00A079F7" w:rsidP="00E514F4">
            <w:pPr>
              <w:spacing w:after="0"/>
              <w:jc w:val="left"/>
              <w:rPr>
                <w:bCs w:val="0"/>
                <w:sz w:val="16"/>
                <w:szCs w:val="16"/>
                <w:lang w:eastAsia="fr-FR"/>
              </w:rPr>
            </w:pPr>
            <w:r w:rsidRPr="009D36EE">
              <w:rPr>
                <w:bCs w:val="0"/>
                <w:sz w:val="16"/>
                <w:szCs w:val="16"/>
                <w:lang w:eastAsia="fr-FR"/>
              </w:rPr>
              <w:t>GECAMINES</w:t>
            </w:r>
          </w:p>
        </w:tc>
        <w:tc>
          <w:tcPr>
            <w:tcW w:w="702" w:type="pct"/>
            <w:tcBorders>
              <w:top w:val="nil"/>
              <w:left w:val="nil"/>
              <w:bottom w:val="nil"/>
              <w:right w:val="nil"/>
            </w:tcBorders>
            <w:shd w:val="clear" w:color="auto" w:fill="auto"/>
            <w:vAlign w:val="center"/>
            <w:hideMark/>
          </w:tcPr>
          <w:p w:rsidR="00A079F7" w:rsidRPr="009D36EE" w:rsidRDefault="00A079F7" w:rsidP="00E514F4">
            <w:pPr>
              <w:spacing w:after="0"/>
              <w:jc w:val="center"/>
              <w:rPr>
                <w:bCs w:val="0"/>
                <w:sz w:val="16"/>
                <w:szCs w:val="16"/>
                <w:lang w:eastAsia="fr-FR"/>
              </w:rPr>
            </w:pPr>
            <w:r w:rsidRPr="009D36EE">
              <w:rPr>
                <w:bCs w:val="0"/>
                <w:sz w:val="16"/>
                <w:szCs w:val="16"/>
                <w:lang w:eastAsia="fr-FR"/>
              </w:rPr>
              <w:t>28,00%</w:t>
            </w:r>
          </w:p>
        </w:tc>
      </w:tr>
      <w:tr w:rsidR="00A079F7" w:rsidRPr="00A774DA" w:rsidTr="00E514F4">
        <w:trPr>
          <w:trHeight w:val="288"/>
        </w:trPr>
        <w:tc>
          <w:tcPr>
            <w:tcW w:w="3618" w:type="pct"/>
            <w:tcBorders>
              <w:top w:val="nil"/>
              <w:left w:val="nil"/>
              <w:bottom w:val="nil"/>
              <w:right w:val="nil"/>
            </w:tcBorders>
            <w:shd w:val="clear" w:color="000000" w:fill="B8CCE4"/>
            <w:vAlign w:val="center"/>
            <w:hideMark/>
          </w:tcPr>
          <w:p w:rsidR="00A079F7" w:rsidRPr="009D36EE" w:rsidRDefault="00A079F7" w:rsidP="00E514F4">
            <w:pPr>
              <w:spacing w:after="0"/>
              <w:jc w:val="left"/>
              <w:rPr>
                <w:bCs w:val="0"/>
                <w:sz w:val="16"/>
                <w:szCs w:val="16"/>
                <w:lang w:eastAsia="fr-FR"/>
              </w:rPr>
            </w:pPr>
            <w:r w:rsidRPr="009D36EE">
              <w:rPr>
                <w:bCs w:val="0"/>
                <w:sz w:val="16"/>
                <w:szCs w:val="16"/>
                <w:lang w:eastAsia="fr-FR"/>
              </w:rPr>
              <w:t>SOCIETE D'EXPLOITATION DE LA CASSITERITE AU KATANGA SPRL (SECAKAT)</w:t>
            </w:r>
          </w:p>
        </w:tc>
        <w:tc>
          <w:tcPr>
            <w:tcW w:w="680" w:type="pct"/>
            <w:tcBorders>
              <w:top w:val="nil"/>
              <w:left w:val="nil"/>
              <w:bottom w:val="nil"/>
              <w:right w:val="nil"/>
            </w:tcBorders>
            <w:shd w:val="clear" w:color="000000" w:fill="B8CCE4"/>
            <w:vAlign w:val="center"/>
            <w:hideMark/>
          </w:tcPr>
          <w:p w:rsidR="00A079F7" w:rsidRPr="009D36EE" w:rsidRDefault="00A079F7" w:rsidP="00E514F4">
            <w:pPr>
              <w:spacing w:after="0"/>
              <w:jc w:val="left"/>
              <w:rPr>
                <w:bCs w:val="0"/>
                <w:sz w:val="16"/>
                <w:szCs w:val="16"/>
                <w:lang w:eastAsia="fr-FR"/>
              </w:rPr>
            </w:pPr>
            <w:r w:rsidRPr="009D36EE">
              <w:rPr>
                <w:bCs w:val="0"/>
                <w:sz w:val="16"/>
                <w:szCs w:val="16"/>
                <w:lang w:eastAsia="fr-FR"/>
              </w:rPr>
              <w:t>GECAMINES</w:t>
            </w:r>
          </w:p>
        </w:tc>
        <w:tc>
          <w:tcPr>
            <w:tcW w:w="702" w:type="pct"/>
            <w:tcBorders>
              <w:top w:val="nil"/>
              <w:left w:val="nil"/>
              <w:bottom w:val="nil"/>
              <w:right w:val="nil"/>
            </w:tcBorders>
            <w:shd w:val="clear" w:color="000000" w:fill="B8CCE4"/>
            <w:vAlign w:val="center"/>
            <w:hideMark/>
          </w:tcPr>
          <w:p w:rsidR="00A079F7" w:rsidRPr="009D36EE" w:rsidRDefault="00A079F7" w:rsidP="00E514F4">
            <w:pPr>
              <w:spacing w:after="0"/>
              <w:jc w:val="center"/>
              <w:rPr>
                <w:bCs w:val="0"/>
                <w:sz w:val="16"/>
                <w:szCs w:val="16"/>
                <w:lang w:eastAsia="fr-FR"/>
              </w:rPr>
            </w:pPr>
            <w:r w:rsidRPr="009D36EE">
              <w:rPr>
                <w:bCs w:val="0"/>
                <w:sz w:val="16"/>
                <w:szCs w:val="16"/>
                <w:lang w:eastAsia="fr-FR"/>
              </w:rPr>
              <w:t>30,00%</w:t>
            </w:r>
          </w:p>
        </w:tc>
      </w:tr>
      <w:tr w:rsidR="00A079F7" w:rsidRPr="00A774DA" w:rsidTr="00E514F4">
        <w:trPr>
          <w:trHeight w:val="288"/>
        </w:trPr>
        <w:tc>
          <w:tcPr>
            <w:tcW w:w="3618" w:type="pct"/>
            <w:tcBorders>
              <w:top w:val="nil"/>
              <w:left w:val="nil"/>
              <w:bottom w:val="nil"/>
              <w:right w:val="nil"/>
            </w:tcBorders>
            <w:shd w:val="clear" w:color="auto" w:fill="auto"/>
            <w:vAlign w:val="center"/>
            <w:hideMark/>
          </w:tcPr>
          <w:p w:rsidR="00A079F7" w:rsidRPr="009D36EE" w:rsidRDefault="00A079F7" w:rsidP="00E514F4">
            <w:pPr>
              <w:spacing w:after="0"/>
              <w:jc w:val="left"/>
              <w:rPr>
                <w:bCs w:val="0"/>
                <w:sz w:val="16"/>
                <w:szCs w:val="16"/>
                <w:lang w:eastAsia="fr-FR"/>
              </w:rPr>
            </w:pPr>
            <w:r w:rsidRPr="009D36EE">
              <w:rPr>
                <w:bCs w:val="0"/>
                <w:sz w:val="16"/>
                <w:szCs w:val="16"/>
                <w:lang w:eastAsia="fr-FR"/>
              </w:rPr>
              <w:t>CHABARA SPRL (CHABARA)</w:t>
            </w:r>
          </w:p>
        </w:tc>
        <w:tc>
          <w:tcPr>
            <w:tcW w:w="680" w:type="pct"/>
            <w:tcBorders>
              <w:top w:val="nil"/>
              <w:left w:val="nil"/>
              <w:bottom w:val="nil"/>
              <w:right w:val="nil"/>
            </w:tcBorders>
            <w:shd w:val="clear" w:color="auto" w:fill="auto"/>
            <w:vAlign w:val="center"/>
            <w:hideMark/>
          </w:tcPr>
          <w:p w:rsidR="00A079F7" w:rsidRPr="009D36EE" w:rsidRDefault="00A079F7" w:rsidP="00E514F4">
            <w:pPr>
              <w:spacing w:after="0"/>
              <w:jc w:val="left"/>
              <w:rPr>
                <w:bCs w:val="0"/>
                <w:sz w:val="16"/>
                <w:szCs w:val="16"/>
                <w:lang w:eastAsia="fr-FR"/>
              </w:rPr>
            </w:pPr>
            <w:r w:rsidRPr="009D36EE">
              <w:rPr>
                <w:bCs w:val="0"/>
                <w:sz w:val="16"/>
                <w:szCs w:val="16"/>
                <w:lang w:eastAsia="fr-FR"/>
              </w:rPr>
              <w:t>GECAMINES</w:t>
            </w:r>
          </w:p>
        </w:tc>
        <w:tc>
          <w:tcPr>
            <w:tcW w:w="702" w:type="pct"/>
            <w:tcBorders>
              <w:top w:val="nil"/>
              <w:left w:val="nil"/>
              <w:bottom w:val="nil"/>
              <w:right w:val="nil"/>
            </w:tcBorders>
            <w:shd w:val="clear" w:color="auto" w:fill="auto"/>
            <w:vAlign w:val="center"/>
            <w:hideMark/>
          </w:tcPr>
          <w:p w:rsidR="00A079F7" w:rsidRPr="009D36EE" w:rsidRDefault="00A079F7" w:rsidP="00E514F4">
            <w:pPr>
              <w:spacing w:after="0"/>
              <w:jc w:val="center"/>
              <w:rPr>
                <w:bCs w:val="0"/>
                <w:sz w:val="16"/>
                <w:szCs w:val="16"/>
                <w:lang w:eastAsia="fr-FR"/>
              </w:rPr>
            </w:pPr>
            <w:r w:rsidRPr="009D36EE">
              <w:rPr>
                <w:bCs w:val="0"/>
                <w:sz w:val="16"/>
                <w:szCs w:val="16"/>
                <w:lang w:eastAsia="fr-FR"/>
              </w:rPr>
              <w:t>30,00%</w:t>
            </w:r>
          </w:p>
        </w:tc>
      </w:tr>
      <w:tr w:rsidR="00A079F7" w:rsidRPr="00A774DA" w:rsidTr="00E514F4">
        <w:trPr>
          <w:trHeight w:val="288"/>
        </w:trPr>
        <w:tc>
          <w:tcPr>
            <w:tcW w:w="3618" w:type="pct"/>
            <w:vMerge w:val="restart"/>
            <w:tcBorders>
              <w:top w:val="nil"/>
              <w:left w:val="nil"/>
              <w:bottom w:val="nil"/>
              <w:right w:val="nil"/>
            </w:tcBorders>
            <w:shd w:val="clear" w:color="000000" w:fill="B8CCE4"/>
            <w:vAlign w:val="center"/>
            <w:hideMark/>
          </w:tcPr>
          <w:p w:rsidR="00A079F7" w:rsidRPr="009D36EE" w:rsidRDefault="00A079F7" w:rsidP="00E514F4">
            <w:pPr>
              <w:spacing w:after="0"/>
              <w:jc w:val="left"/>
              <w:rPr>
                <w:bCs w:val="0"/>
                <w:sz w:val="16"/>
                <w:szCs w:val="16"/>
                <w:lang w:eastAsia="fr-FR"/>
              </w:rPr>
            </w:pPr>
            <w:r w:rsidRPr="009D36EE">
              <w:rPr>
                <w:bCs w:val="0"/>
                <w:sz w:val="16"/>
                <w:szCs w:val="16"/>
                <w:lang w:eastAsia="fr-FR"/>
              </w:rPr>
              <w:t>LA SINO CONGOLAISE DES MINES (SICOMINES)</w:t>
            </w:r>
          </w:p>
        </w:tc>
        <w:tc>
          <w:tcPr>
            <w:tcW w:w="680" w:type="pct"/>
            <w:tcBorders>
              <w:top w:val="nil"/>
              <w:left w:val="nil"/>
              <w:bottom w:val="nil"/>
              <w:right w:val="nil"/>
            </w:tcBorders>
            <w:shd w:val="clear" w:color="000000" w:fill="B8CCE4"/>
            <w:vAlign w:val="center"/>
            <w:hideMark/>
          </w:tcPr>
          <w:p w:rsidR="00A079F7" w:rsidRPr="009D36EE" w:rsidRDefault="00A079F7" w:rsidP="00E514F4">
            <w:pPr>
              <w:spacing w:after="0"/>
              <w:jc w:val="left"/>
              <w:rPr>
                <w:bCs w:val="0"/>
                <w:sz w:val="16"/>
                <w:szCs w:val="16"/>
                <w:lang w:eastAsia="fr-FR"/>
              </w:rPr>
            </w:pPr>
            <w:r w:rsidRPr="009D36EE">
              <w:rPr>
                <w:bCs w:val="0"/>
                <w:sz w:val="16"/>
                <w:szCs w:val="16"/>
                <w:lang w:eastAsia="fr-FR"/>
              </w:rPr>
              <w:t>GECAMINES</w:t>
            </w:r>
          </w:p>
        </w:tc>
        <w:tc>
          <w:tcPr>
            <w:tcW w:w="702" w:type="pct"/>
            <w:tcBorders>
              <w:top w:val="nil"/>
              <w:left w:val="nil"/>
              <w:bottom w:val="nil"/>
              <w:right w:val="nil"/>
            </w:tcBorders>
            <w:shd w:val="clear" w:color="000000" w:fill="B8CCE4"/>
            <w:vAlign w:val="center"/>
            <w:hideMark/>
          </w:tcPr>
          <w:p w:rsidR="00A079F7" w:rsidRPr="009D36EE" w:rsidRDefault="00A079F7" w:rsidP="00E514F4">
            <w:pPr>
              <w:spacing w:after="0"/>
              <w:jc w:val="center"/>
              <w:rPr>
                <w:bCs w:val="0"/>
                <w:sz w:val="16"/>
                <w:szCs w:val="16"/>
                <w:lang w:eastAsia="fr-FR"/>
              </w:rPr>
            </w:pPr>
            <w:r w:rsidRPr="009D36EE">
              <w:rPr>
                <w:bCs w:val="0"/>
                <w:sz w:val="16"/>
                <w:szCs w:val="16"/>
                <w:lang w:eastAsia="fr-FR"/>
              </w:rPr>
              <w:t>20,00%</w:t>
            </w:r>
          </w:p>
        </w:tc>
      </w:tr>
      <w:tr w:rsidR="00A079F7" w:rsidRPr="00A774DA" w:rsidTr="00E514F4">
        <w:trPr>
          <w:trHeight w:val="288"/>
        </w:trPr>
        <w:tc>
          <w:tcPr>
            <w:tcW w:w="3618" w:type="pct"/>
            <w:vMerge/>
            <w:tcBorders>
              <w:top w:val="nil"/>
              <w:left w:val="nil"/>
              <w:bottom w:val="nil"/>
              <w:right w:val="nil"/>
            </w:tcBorders>
            <w:vAlign w:val="center"/>
            <w:hideMark/>
          </w:tcPr>
          <w:p w:rsidR="00A079F7" w:rsidRPr="009D36EE" w:rsidRDefault="00A079F7" w:rsidP="00E514F4">
            <w:pPr>
              <w:spacing w:after="0"/>
              <w:jc w:val="left"/>
              <w:rPr>
                <w:bCs w:val="0"/>
                <w:sz w:val="16"/>
                <w:szCs w:val="16"/>
                <w:lang w:eastAsia="fr-FR"/>
              </w:rPr>
            </w:pPr>
          </w:p>
        </w:tc>
        <w:tc>
          <w:tcPr>
            <w:tcW w:w="680" w:type="pct"/>
            <w:tcBorders>
              <w:top w:val="nil"/>
              <w:left w:val="nil"/>
              <w:bottom w:val="nil"/>
              <w:right w:val="nil"/>
            </w:tcBorders>
            <w:shd w:val="clear" w:color="000000" w:fill="B8CCE4"/>
            <w:vAlign w:val="center"/>
            <w:hideMark/>
          </w:tcPr>
          <w:p w:rsidR="00A079F7" w:rsidRPr="009D36EE" w:rsidRDefault="00A079F7" w:rsidP="00E514F4">
            <w:pPr>
              <w:spacing w:after="0"/>
              <w:jc w:val="left"/>
              <w:rPr>
                <w:bCs w:val="0"/>
                <w:sz w:val="16"/>
                <w:szCs w:val="16"/>
                <w:lang w:eastAsia="fr-FR"/>
              </w:rPr>
            </w:pPr>
            <w:r w:rsidRPr="009D36EE">
              <w:rPr>
                <w:bCs w:val="0"/>
                <w:sz w:val="16"/>
                <w:szCs w:val="16"/>
                <w:lang w:eastAsia="fr-FR"/>
              </w:rPr>
              <w:t>SIMCO</w:t>
            </w:r>
          </w:p>
        </w:tc>
        <w:tc>
          <w:tcPr>
            <w:tcW w:w="702" w:type="pct"/>
            <w:tcBorders>
              <w:top w:val="nil"/>
              <w:left w:val="nil"/>
              <w:bottom w:val="nil"/>
              <w:right w:val="nil"/>
            </w:tcBorders>
            <w:shd w:val="clear" w:color="000000" w:fill="B8CCE4"/>
            <w:vAlign w:val="center"/>
            <w:hideMark/>
          </w:tcPr>
          <w:p w:rsidR="00A079F7" w:rsidRPr="009D36EE" w:rsidRDefault="00A079F7" w:rsidP="00E514F4">
            <w:pPr>
              <w:spacing w:after="0"/>
              <w:jc w:val="center"/>
              <w:rPr>
                <w:bCs w:val="0"/>
                <w:sz w:val="16"/>
                <w:szCs w:val="16"/>
                <w:lang w:eastAsia="fr-FR"/>
              </w:rPr>
            </w:pPr>
            <w:r w:rsidRPr="009D36EE">
              <w:rPr>
                <w:bCs w:val="0"/>
                <w:sz w:val="16"/>
                <w:szCs w:val="16"/>
                <w:lang w:eastAsia="fr-FR"/>
              </w:rPr>
              <w:t>12,00%</w:t>
            </w:r>
          </w:p>
        </w:tc>
      </w:tr>
      <w:tr w:rsidR="00A079F7" w:rsidRPr="00A774DA" w:rsidTr="00E514F4">
        <w:trPr>
          <w:trHeight w:val="288"/>
        </w:trPr>
        <w:tc>
          <w:tcPr>
            <w:tcW w:w="3618" w:type="pct"/>
            <w:tcBorders>
              <w:top w:val="nil"/>
              <w:left w:val="nil"/>
              <w:bottom w:val="nil"/>
              <w:right w:val="nil"/>
            </w:tcBorders>
            <w:shd w:val="clear" w:color="auto" w:fill="auto"/>
            <w:vAlign w:val="center"/>
            <w:hideMark/>
          </w:tcPr>
          <w:p w:rsidR="00A079F7" w:rsidRPr="009D36EE" w:rsidRDefault="00A079F7" w:rsidP="00E514F4">
            <w:pPr>
              <w:spacing w:after="0"/>
              <w:jc w:val="left"/>
              <w:rPr>
                <w:bCs w:val="0"/>
                <w:sz w:val="16"/>
                <w:szCs w:val="16"/>
                <w:lang w:eastAsia="fr-FR"/>
              </w:rPr>
            </w:pPr>
            <w:r w:rsidRPr="009D36EE">
              <w:rPr>
                <w:bCs w:val="0"/>
                <w:sz w:val="16"/>
                <w:szCs w:val="16"/>
                <w:lang w:eastAsia="fr-FR"/>
              </w:rPr>
              <w:t>COMPAGNIE MINERE DE TONDO (CMT)</w:t>
            </w:r>
          </w:p>
        </w:tc>
        <w:tc>
          <w:tcPr>
            <w:tcW w:w="680" w:type="pct"/>
            <w:tcBorders>
              <w:top w:val="nil"/>
              <w:left w:val="nil"/>
              <w:bottom w:val="nil"/>
              <w:right w:val="nil"/>
            </w:tcBorders>
            <w:shd w:val="clear" w:color="auto" w:fill="auto"/>
            <w:vAlign w:val="center"/>
            <w:hideMark/>
          </w:tcPr>
          <w:p w:rsidR="00A079F7" w:rsidRPr="009D36EE" w:rsidRDefault="00A079F7" w:rsidP="00E514F4">
            <w:pPr>
              <w:spacing w:after="0"/>
              <w:jc w:val="left"/>
              <w:rPr>
                <w:bCs w:val="0"/>
                <w:sz w:val="16"/>
                <w:szCs w:val="16"/>
                <w:lang w:eastAsia="fr-FR"/>
              </w:rPr>
            </w:pPr>
            <w:r w:rsidRPr="009D36EE">
              <w:rPr>
                <w:bCs w:val="0"/>
                <w:sz w:val="16"/>
                <w:szCs w:val="16"/>
                <w:lang w:eastAsia="fr-FR"/>
              </w:rPr>
              <w:t>GECAMINES</w:t>
            </w:r>
          </w:p>
        </w:tc>
        <w:tc>
          <w:tcPr>
            <w:tcW w:w="702" w:type="pct"/>
            <w:tcBorders>
              <w:top w:val="nil"/>
              <w:left w:val="nil"/>
              <w:bottom w:val="nil"/>
              <w:right w:val="nil"/>
            </w:tcBorders>
            <w:shd w:val="clear" w:color="auto" w:fill="auto"/>
            <w:vAlign w:val="center"/>
            <w:hideMark/>
          </w:tcPr>
          <w:p w:rsidR="00A079F7" w:rsidRPr="009D36EE" w:rsidRDefault="00A079F7" w:rsidP="00E514F4">
            <w:pPr>
              <w:spacing w:after="0"/>
              <w:jc w:val="center"/>
              <w:rPr>
                <w:bCs w:val="0"/>
                <w:sz w:val="16"/>
                <w:szCs w:val="16"/>
                <w:lang w:eastAsia="fr-FR"/>
              </w:rPr>
            </w:pPr>
            <w:r w:rsidRPr="009D36EE">
              <w:rPr>
                <w:bCs w:val="0"/>
                <w:sz w:val="16"/>
                <w:szCs w:val="16"/>
                <w:lang w:eastAsia="fr-FR"/>
              </w:rPr>
              <w:t>30,00%</w:t>
            </w:r>
          </w:p>
        </w:tc>
      </w:tr>
      <w:tr w:rsidR="00A079F7" w:rsidRPr="00A774DA" w:rsidTr="00E514F4">
        <w:trPr>
          <w:trHeight w:val="288"/>
        </w:trPr>
        <w:tc>
          <w:tcPr>
            <w:tcW w:w="3618" w:type="pct"/>
            <w:tcBorders>
              <w:top w:val="nil"/>
              <w:left w:val="nil"/>
              <w:bottom w:val="nil"/>
              <w:right w:val="nil"/>
            </w:tcBorders>
            <w:shd w:val="clear" w:color="000000" w:fill="B8CCE4"/>
            <w:vAlign w:val="center"/>
            <w:hideMark/>
          </w:tcPr>
          <w:p w:rsidR="00A079F7" w:rsidRPr="009D36EE" w:rsidRDefault="00A079F7" w:rsidP="00E514F4">
            <w:pPr>
              <w:spacing w:after="0"/>
              <w:jc w:val="left"/>
              <w:rPr>
                <w:bCs w:val="0"/>
                <w:sz w:val="16"/>
                <w:szCs w:val="16"/>
                <w:lang w:eastAsia="fr-FR"/>
              </w:rPr>
            </w:pPr>
            <w:r w:rsidRPr="009D36EE">
              <w:rPr>
                <w:bCs w:val="0"/>
                <w:sz w:val="16"/>
                <w:szCs w:val="16"/>
                <w:lang w:eastAsia="fr-FR"/>
              </w:rPr>
              <w:t>COMPAGNIE MINIERE DE KAMBOVE (COMIKA)</w:t>
            </w:r>
          </w:p>
        </w:tc>
        <w:tc>
          <w:tcPr>
            <w:tcW w:w="680" w:type="pct"/>
            <w:tcBorders>
              <w:top w:val="nil"/>
              <w:left w:val="nil"/>
              <w:bottom w:val="nil"/>
              <w:right w:val="nil"/>
            </w:tcBorders>
            <w:shd w:val="clear" w:color="000000" w:fill="B8CCE4"/>
            <w:vAlign w:val="center"/>
            <w:hideMark/>
          </w:tcPr>
          <w:p w:rsidR="00A079F7" w:rsidRPr="009D36EE" w:rsidRDefault="00A079F7" w:rsidP="00E514F4">
            <w:pPr>
              <w:spacing w:after="0"/>
              <w:jc w:val="left"/>
              <w:rPr>
                <w:bCs w:val="0"/>
                <w:sz w:val="16"/>
                <w:szCs w:val="16"/>
                <w:lang w:eastAsia="fr-FR"/>
              </w:rPr>
            </w:pPr>
            <w:r w:rsidRPr="009D36EE">
              <w:rPr>
                <w:bCs w:val="0"/>
                <w:sz w:val="16"/>
                <w:szCs w:val="16"/>
                <w:lang w:eastAsia="fr-FR"/>
              </w:rPr>
              <w:t>GECAMINES</w:t>
            </w:r>
          </w:p>
        </w:tc>
        <w:tc>
          <w:tcPr>
            <w:tcW w:w="702" w:type="pct"/>
            <w:tcBorders>
              <w:top w:val="nil"/>
              <w:left w:val="nil"/>
              <w:bottom w:val="nil"/>
              <w:right w:val="nil"/>
            </w:tcBorders>
            <w:shd w:val="clear" w:color="000000" w:fill="B8CCE4"/>
            <w:vAlign w:val="center"/>
            <w:hideMark/>
          </w:tcPr>
          <w:p w:rsidR="00A079F7" w:rsidRPr="009D36EE" w:rsidRDefault="00A079F7" w:rsidP="00E514F4">
            <w:pPr>
              <w:spacing w:after="0"/>
              <w:jc w:val="center"/>
              <w:rPr>
                <w:bCs w:val="0"/>
                <w:sz w:val="16"/>
                <w:szCs w:val="16"/>
                <w:lang w:eastAsia="fr-FR"/>
              </w:rPr>
            </w:pPr>
            <w:r w:rsidRPr="009D36EE">
              <w:rPr>
                <w:bCs w:val="0"/>
                <w:sz w:val="16"/>
                <w:szCs w:val="16"/>
                <w:lang w:eastAsia="fr-FR"/>
              </w:rPr>
              <w:t>30,00%</w:t>
            </w:r>
          </w:p>
        </w:tc>
      </w:tr>
      <w:tr w:rsidR="00A079F7" w:rsidRPr="00A774DA" w:rsidTr="00E514F4">
        <w:trPr>
          <w:trHeight w:val="288"/>
        </w:trPr>
        <w:tc>
          <w:tcPr>
            <w:tcW w:w="3618" w:type="pct"/>
            <w:tcBorders>
              <w:top w:val="nil"/>
              <w:left w:val="nil"/>
              <w:bottom w:val="nil"/>
              <w:right w:val="nil"/>
            </w:tcBorders>
            <w:shd w:val="clear" w:color="auto" w:fill="auto"/>
            <w:vAlign w:val="center"/>
            <w:hideMark/>
          </w:tcPr>
          <w:p w:rsidR="00A079F7" w:rsidRPr="009D36EE" w:rsidRDefault="00A079F7" w:rsidP="00E514F4">
            <w:pPr>
              <w:spacing w:after="0"/>
              <w:jc w:val="left"/>
              <w:rPr>
                <w:bCs w:val="0"/>
                <w:sz w:val="16"/>
                <w:szCs w:val="16"/>
                <w:lang w:eastAsia="fr-FR"/>
              </w:rPr>
            </w:pPr>
            <w:r w:rsidRPr="009D36EE">
              <w:rPr>
                <w:bCs w:val="0"/>
                <w:sz w:val="16"/>
                <w:szCs w:val="16"/>
                <w:lang w:eastAsia="fr-FR"/>
              </w:rPr>
              <w:t>SOCIETE MINIERE DE KOLWEZI (SMK)</w:t>
            </w:r>
          </w:p>
        </w:tc>
        <w:tc>
          <w:tcPr>
            <w:tcW w:w="680" w:type="pct"/>
            <w:tcBorders>
              <w:top w:val="nil"/>
              <w:left w:val="nil"/>
              <w:bottom w:val="nil"/>
              <w:right w:val="nil"/>
            </w:tcBorders>
            <w:shd w:val="clear" w:color="auto" w:fill="auto"/>
            <w:vAlign w:val="center"/>
            <w:hideMark/>
          </w:tcPr>
          <w:p w:rsidR="00A079F7" w:rsidRPr="009D36EE" w:rsidRDefault="00A079F7" w:rsidP="00E514F4">
            <w:pPr>
              <w:spacing w:after="0"/>
              <w:jc w:val="left"/>
              <w:rPr>
                <w:bCs w:val="0"/>
                <w:sz w:val="16"/>
                <w:szCs w:val="16"/>
                <w:lang w:eastAsia="fr-FR"/>
              </w:rPr>
            </w:pPr>
            <w:r w:rsidRPr="009D36EE">
              <w:rPr>
                <w:bCs w:val="0"/>
                <w:sz w:val="16"/>
                <w:szCs w:val="16"/>
                <w:lang w:eastAsia="fr-FR"/>
              </w:rPr>
              <w:t>GECAMINES</w:t>
            </w:r>
          </w:p>
        </w:tc>
        <w:tc>
          <w:tcPr>
            <w:tcW w:w="702" w:type="pct"/>
            <w:tcBorders>
              <w:top w:val="nil"/>
              <w:left w:val="nil"/>
              <w:bottom w:val="nil"/>
              <w:right w:val="nil"/>
            </w:tcBorders>
            <w:shd w:val="clear" w:color="auto" w:fill="auto"/>
            <w:vAlign w:val="center"/>
            <w:hideMark/>
          </w:tcPr>
          <w:p w:rsidR="00A079F7" w:rsidRPr="009D36EE" w:rsidRDefault="00A079F7" w:rsidP="00E514F4">
            <w:pPr>
              <w:spacing w:after="0"/>
              <w:jc w:val="center"/>
              <w:rPr>
                <w:bCs w:val="0"/>
                <w:sz w:val="16"/>
                <w:szCs w:val="16"/>
                <w:lang w:eastAsia="fr-FR"/>
              </w:rPr>
            </w:pPr>
            <w:r w:rsidRPr="009D36EE">
              <w:rPr>
                <w:bCs w:val="0"/>
                <w:sz w:val="16"/>
                <w:szCs w:val="16"/>
                <w:lang w:eastAsia="fr-FR"/>
              </w:rPr>
              <w:t>20,00%</w:t>
            </w:r>
          </w:p>
        </w:tc>
      </w:tr>
      <w:tr w:rsidR="00A079F7" w:rsidRPr="00A774DA" w:rsidTr="00E514F4">
        <w:trPr>
          <w:trHeight w:val="288"/>
        </w:trPr>
        <w:tc>
          <w:tcPr>
            <w:tcW w:w="3618" w:type="pct"/>
            <w:vMerge w:val="restart"/>
            <w:tcBorders>
              <w:top w:val="nil"/>
              <w:left w:val="nil"/>
              <w:right w:val="nil"/>
            </w:tcBorders>
            <w:shd w:val="clear" w:color="000000" w:fill="B8CCE4"/>
            <w:vAlign w:val="center"/>
            <w:hideMark/>
          </w:tcPr>
          <w:p w:rsidR="00A079F7" w:rsidRPr="009D36EE" w:rsidRDefault="00A079F7" w:rsidP="00E514F4">
            <w:pPr>
              <w:spacing w:after="0"/>
              <w:jc w:val="left"/>
              <w:rPr>
                <w:bCs w:val="0"/>
                <w:sz w:val="16"/>
                <w:szCs w:val="16"/>
                <w:lang w:eastAsia="fr-FR"/>
              </w:rPr>
            </w:pPr>
            <w:r w:rsidRPr="009D36EE">
              <w:rPr>
                <w:bCs w:val="0"/>
                <w:sz w:val="16"/>
                <w:szCs w:val="16"/>
                <w:lang w:eastAsia="fr-FR"/>
              </w:rPr>
              <w:t>SOCIETE IMMOBILIERE DU CONGO (SIMCO)</w:t>
            </w:r>
          </w:p>
        </w:tc>
        <w:tc>
          <w:tcPr>
            <w:tcW w:w="680" w:type="pct"/>
            <w:tcBorders>
              <w:top w:val="nil"/>
              <w:left w:val="nil"/>
              <w:bottom w:val="nil"/>
              <w:right w:val="nil"/>
            </w:tcBorders>
            <w:shd w:val="clear" w:color="000000" w:fill="B8CCE4"/>
            <w:vAlign w:val="center"/>
            <w:hideMark/>
          </w:tcPr>
          <w:p w:rsidR="00A079F7" w:rsidRPr="009D36EE" w:rsidRDefault="00A079F7" w:rsidP="00E514F4">
            <w:pPr>
              <w:spacing w:after="0"/>
              <w:jc w:val="left"/>
              <w:rPr>
                <w:bCs w:val="0"/>
                <w:sz w:val="16"/>
                <w:szCs w:val="16"/>
                <w:lang w:eastAsia="fr-FR"/>
              </w:rPr>
            </w:pPr>
            <w:r w:rsidRPr="009D36EE">
              <w:rPr>
                <w:bCs w:val="0"/>
                <w:sz w:val="16"/>
                <w:szCs w:val="16"/>
                <w:lang w:eastAsia="fr-FR"/>
              </w:rPr>
              <w:t>GECAMINES</w:t>
            </w:r>
          </w:p>
        </w:tc>
        <w:tc>
          <w:tcPr>
            <w:tcW w:w="702" w:type="pct"/>
            <w:tcBorders>
              <w:top w:val="nil"/>
              <w:left w:val="nil"/>
              <w:bottom w:val="nil"/>
              <w:right w:val="nil"/>
            </w:tcBorders>
            <w:shd w:val="clear" w:color="000000" w:fill="B8CCE4"/>
            <w:vAlign w:val="center"/>
            <w:hideMark/>
          </w:tcPr>
          <w:p w:rsidR="00A079F7" w:rsidRPr="009D36EE" w:rsidRDefault="00A079F7" w:rsidP="00E514F4">
            <w:pPr>
              <w:spacing w:after="0"/>
              <w:jc w:val="center"/>
              <w:rPr>
                <w:bCs w:val="0"/>
                <w:sz w:val="16"/>
                <w:szCs w:val="16"/>
                <w:lang w:eastAsia="fr-FR"/>
              </w:rPr>
            </w:pPr>
            <w:r w:rsidRPr="009D36EE">
              <w:rPr>
                <w:bCs w:val="0"/>
                <w:sz w:val="16"/>
                <w:szCs w:val="16"/>
                <w:lang w:eastAsia="fr-FR"/>
              </w:rPr>
              <w:t>99,00%</w:t>
            </w:r>
          </w:p>
        </w:tc>
      </w:tr>
      <w:tr w:rsidR="00A079F7" w:rsidRPr="00A774DA" w:rsidTr="00E514F4">
        <w:trPr>
          <w:trHeight w:val="288"/>
        </w:trPr>
        <w:tc>
          <w:tcPr>
            <w:tcW w:w="3618" w:type="pct"/>
            <w:vMerge/>
            <w:tcBorders>
              <w:left w:val="nil"/>
              <w:bottom w:val="nil"/>
              <w:right w:val="nil"/>
            </w:tcBorders>
            <w:shd w:val="clear" w:color="000000" w:fill="B8CCE4"/>
            <w:vAlign w:val="center"/>
          </w:tcPr>
          <w:p w:rsidR="00A079F7" w:rsidRPr="009D36EE" w:rsidRDefault="00A079F7" w:rsidP="00E514F4">
            <w:pPr>
              <w:spacing w:after="0"/>
              <w:jc w:val="left"/>
              <w:rPr>
                <w:bCs w:val="0"/>
                <w:sz w:val="16"/>
                <w:szCs w:val="16"/>
                <w:lang w:eastAsia="fr-FR"/>
              </w:rPr>
            </w:pPr>
          </w:p>
        </w:tc>
        <w:tc>
          <w:tcPr>
            <w:tcW w:w="680" w:type="pct"/>
            <w:tcBorders>
              <w:top w:val="nil"/>
              <w:left w:val="nil"/>
              <w:bottom w:val="nil"/>
              <w:right w:val="nil"/>
            </w:tcBorders>
            <w:shd w:val="clear" w:color="000000" w:fill="B8CCE4"/>
            <w:vAlign w:val="center"/>
          </w:tcPr>
          <w:p w:rsidR="00A079F7" w:rsidRPr="00A774DA" w:rsidRDefault="00A079F7" w:rsidP="00E514F4">
            <w:pPr>
              <w:spacing w:after="0"/>
              <w:jc w:val="left"/>
              <w:rPr>
                <w:bCs w:val="0"/>
                <w:sz w:val="16"/>
                <w:szCs w:val="16"/>
                <w:lang w:eastAsia="fr-FR"/>
              </w:rPr>
            </w:pPr>
            <w:r w:rsidRPr="00A774DA">
              <w:rPr>
                <w:bCs w:val="0"/>
                <w:sz w:val="16"/>
                <w:szCs w:val="16"/>
                <w:lang w:eastAsia="fr-FR"/>
              </w:rPr>
              <w:t>SCMK-Mn</w:t>
            </w:r>
          </w:p>
        </w:tc>
        <w:tc>
          <w:tcPr>
            <w:tcW w:w="702" w:type="pct"/>
            <w:tcBorders>
              <w:top w:val="nil"/>
              <w:left w:val="nil"/>
              <w:bottom w:val="nil"/>
              <w:right w:val="nil"/>
            </w:tcBorders>
            <w:shd w:val="clear" w:color="000000" w:fill="B8CCE4"/>
            <w:vAlign w:val="center"/>
          </w:tcPr>
          <w:p w:rsidR="00A079F7" w:rsidRPr="00A774DA" w:rsidRDefault="00A079F7" w:rsidP="00E514F4">
            <w:pPr>
              <w:spacing w:after="0"/>
              <w:jc w:val="center"/>
              <w:rPr>
                <w:bCs w:val="0"/>
                <w:sz w:val="16"/>
                <w:szCs w:val="16"/>
                <w:lang w:eastAsia="fr-FR"/>
              </w:rPr>
            </w:pPr>
            <w:r>
              <w:rPr>
                <w:bCs w:val="0"/>
                <w:sz w:val="16"/>
                <w:szCs w:val="16"/>
                <w:lang w:eastAsia="fr-FR"/>
              </w:rPr>
              <w:t>1</w:t>
            </w:r>
            <w:r w:rsidRPr="00A774DA">
              <w:rPr>
                <w:bCs w:val="0"/>
                <w:sz w:val="16"/>
                <w:szCs w:val="16"/>
                <w:lang w:eastAsia="fr-FR"/>
              </w:rPr>
              <w:t>,00%</w:t>
            </w:r>
          </w:p>
        </w:tc>
      </w:tr>
      <w:tr w:rsidR="00A079F7" w:rsidRPr="00A774DA" w:rsidTr="00E514F4">
        <w:trPr>
          <w:trHeight w:val="288"/>
        </w:trPr>
        <w:tc>
          <w:tcPr>
            <w:tcW w:w="3618" w:type="pct"/>
            <w:vMerge w:val="restart"/>
            <w:tcBorders>
              <w:top w:val="nil"/>
              <w:left w:val="nil"/>
              <w:bottom w:val="nil"/>
              <w:right w:val="nil"/>
            </w:tcBorders>
            <w:shd w:val="clear" w:color="auto" w:fill="auto"/>
            <w:vAlign w:val="center"/>
            <w:hideMark/>
          </w:tcPr>
          <w:p w:rsidR="00A079F7" w:rsidRPr="009D36EE" w:rsidRDefault="00A079F7" w:rsidP="00E514F4">
            <w:pPr>
              <w:spacing w:after="0"/>
              <w:jc w:val="left"/>
              <w:rPr>
                <w:bCs w:val="0"/>
                <w:color w:val="000000"/>
                <w:sz w:val="16"/>
                <w:szCs w:val="16"/>
                <w:lang w:eastAsia="fr-FR"/>
              </w:rPr>
            </w:pPr>
            <w:r w:rsidRPr="009D36EE">
              <w:rPr>
                <w:bCs w:val="0"/>
                <w:color w:val="000000"/>
                <w:sz w:val="16"/>
                <w:szCs w:val="16"/>
                <w:lang w:eastAsia="fr-FR"/>
              </w:rPr>
              <w:t>COMPAGNIE MINIERE DU SUD-KATANGA (CMSK)</w:t>
            </w:r>
          </w:p>
        </w:tc>
        <w:tc>
          <w:tcPr>
            <w:tcW w:w="680" w:type="pct"/>
            <w:tcBorders>
              <w:top w:val="nil"/>
              <w:left w:val="nil"/>
              <w:bottom w:val="nil"/>
              <w:right w:val="nil"/>
            </w:tcBorders>
            <w:shd w:val="clear" w:color="auto" w:fill="auto"/>
            <w:vAlign w:val="center"/>
            <w:hideMark/>
          </w:tcPr>
          <w:p w:rsidR="00A079F7" w:rsidRPr="009D36EE" w:rsidRDefault="00A079F7" w:rsidP="00E514F4">
            <w:pPr>
              <w:spacing w:after="0"/>
              <w:jc w:val="left"/>
              <w:rPr>
                <w:bCs w:val="0"/>
                <w:sz w:val="16"/>
                <w:szCs w:val="16"/>
                <w:lang w:eastAsia="fr-FR"/>
              </w:rPr>
            </w:pPr>
            <w:r w:rsidRPr="009D36EE">
              <w:rPr>
                <w:bCs w:val="0"/>
                <w:sz w:val="16"/>
                <w:szCs w:val="16"/>
                <w:lang w:eastAsia="fr-FR"/>
              </w:rPr>
              <w:t>GECAMINES</w:t>
            </w:r>
          </w:p>
        </w:tc>
        <w:tc>
          <w:tcPr>
            <w:tcW w:w="702" w:type="pct"/>
            <w:tcBorders>
              <w:top w:val="nil"/>
              <w:left w:val="nil"/>
              <w:bottom w:val="nil"/>
              <w:right w:val="nil"/>
            </w:tcBorders>
            <w:shd w:val="clear" w:color="auto" w:fill="auto"/>
            <w:vAlign w:val="center"/>
            <w:hideMark/>
          </w:tcPr>
          <w:p w:rsidR="00A079F7" w:rsidRPr="009D36EE" w:rsidRDefault="00A079F7" w:rsidP="00E514F4">
            <w:pPr>
              <w:spacing w:after="0"/>
              <w:jc w:val="center"/>
              <w:rPr>
                <w:bCs w:val="0"/>
                <w:sz w:val="16"/>
                <w:szCs w:val="16"/>
                <w:lang w:eastAsia="fr-FR"/>
              </w:rPr>
            </w:pPr>
            <w:r w:rsidRPr="009D36EE">
              <w:rPr>
                <w:bCs w:val="0"/>
                <w:sz w:val="16"/>
                <w:szCs w:val="16"/>
                <w:lang w:eastAsia="fr-FR"/>
              </w:rPr>
              <w:t>99,00%</w:t>
            </w:r>
          </w:p>
        </w:tc>
      </w:tr>
      <w:tr w:rsidR="00A079F7" w:rsidRPr="00A774DA" w:rsidTr="00E514F4">
        <w:trPr>
          <w:trHeight w:val="288"/>
        </w:trPr>
        <w:tc>
          <w:tcPr>
            <w:tcW w:w="3618" w:type="pct"/>
            <w:vMerge/>
            <w:tcBorders>
              <w:top w:val="nil"/>
              <w:left w:val="nil"/>
              <w:bottom w:val="nil"/>
              <w:right w:val="nil"/>
            </w:tcBorders>
            <w:vAlign w:val="center"/>
            <w:hideMark/>
          </w:tcPr>
          <w:p w:rsidR="00A079F7" w:rsidRPr="009D36EE" w:rsidRDefault="00A079F7" w:rsidP="00E514F4">
            <w:pPr>
              <w:spacing w:after="0"/>
              <w:jc w:val="left"/>
              <w:rPr>
                <w:bCs w:val="0"/>
                <w:color w:val="000000"/>
                <w:sz w:val="16"/>
                <w:szCs w:val="16"/>
                <w:lang w:eastAsia="fr-FR"/>
              </w:rPr>
            </w:pPr>
          </w:p>
        </w:tc>
        <w:tc>
          <w:tcPr>
            <w:tcW w:w="680" w:type="pct"/>
            <w:tcBorders>
              <w:top w:val="nil"/>
              <w:left w:val="nil"/>
              <w:bottom w:val="nil"/>
              <w:right w:val="nil"/>
            </w:tcBorders>
            <w:shd w:val="clear" w:color="auto" w:fill="auto"/>
            <w:vAlign w:val="center"/>
            <w:hideMark/>
          </w:tcPr>
          <w:p w:rsidR="00A079F7" w:rsidRPr="009D36EE" w:rsidRDefault="00A079F7" w:rsidP="00E514F4">
            <w:pPr>
              <w:spacing w:after="0"/>
              <w:jc w:val="left"/>
              <w:rPr>
                <w:bCs w:val="0"/>
                <w:sz w:val="16"/>
                <w:szCs w:val="16"/>
                <w:lang w:eastAsia="fr-FR"/>
              </w:rPr>
            </w:pPr>
            <w:r w:rsidRPr="009D36EE">
              <w:rPr>
                <w:bCs w:val="0"/>
                <w:sz w:val="16"/>
                <w:szCs w:val="16"/>
                <w:lang w:eastAsia="fr-FR"/>
              </w:rPr>
              <w:t>SIMCO</w:t>
            </w:r>
          </w:p>
        </w:tc>
        <w:tc>
          <w:tcPr>
            <w:tcW w:w="702" w:type="pct"/>
            <w:tcBorders>
              <w:top w:val="nil"/>
              <w:left w:val="nil"/>
              <w:bottom w:val="nil"/>
              <w:right w:val="nil"/>
            </w:tcBorders>
            <w:shd w:val="clear" w:color="auto" w:fill="auto"/>
            <w:vAlign w:val="center"/>
            <w:hideMark/>
          </w:tcPr>
          <w:p w:rsidR="00A079F7" w:rsidRPr="009D36EE" w:rsidRDefault="00A079F7" w:rsidP="00E514F4">
            <w:pPr>
              <w:spacing w:after="0"/>
              <w:jc w:val="center"/>
              <w:rPr>
                <w:bCs w:val="0"/>
                <w:sz w:val="16"/>
                <w:szCs w:val="16"/>
                <w:lang w:eastAsia="fr-FR"/>
              </w:rPr>
            </w:pPr>
            <w:r w:rsidRPr="009D36EE">
              <w:rPr>
                <w:bCs w:val="0"/>
                <w:sz w:val="16"/>
                <w:szCs w:val="16"/>
                <w:lang w:eastAsia="fr-FR"/>
              </w:rPr>
              <w:t>1,00%</w:t>
            </w:r>
          </w:p>
        </w:tc>
      </w:tr>
      <w:tr w:rsidR="00A079F7" w:rsidRPr="00CF3015" w:rsidTr="00E514F4">
        <w:trPr>
          <w:trHeight w:val="288"/>
        </w:trPr>
        <w:tc>
          <w:tcPr>
            <w:tcW w:w="3618" w:type="pct"/>
            <w:tcBorders>
              <w:top w:val="nil"/>
              <w:left w:val="nil"/>
              <w:bottom w:val="nil"/>
              <w:right w:val="nil"/>
            </w:tcBorders>
            <w:vAlign w:val="center"/>
          </w:tcPr>
          <w:p w:rsidR="00A079F7" w:rsidRPr="009D36EE" w:rsidRDefault="00A079F7" w:rsidP="00E514F4">
            <w:pPr>
              <w:spacing w:after="0"/>
              <w:jc w:val="left"/>
              <w:rPr>
                <w:bCs w:val="0"/>
                <w:color w:val="000000"/>
                <w:sz w:val="16"/>
                <w:szCs w:val="16"/>
                <w:lang w:eastAsia="fr-FR"/>
              </w:rPr>
            </w:pPr>
            <w:r w:rsidRPr="009D36EE">
              <w:rPr>
                <w:bCs w:val="0"/>
                <w:color w:val="000000"/>
                <w:sz w:val="16"/>
                <w:szCs w:val="16"/>
                <w:lang w:eastAsia="fr-FR"/>
              </w:rPr>
              <w:t>MINIERE DE KALUMBWE MYUNGA (MKM)</w:t>
            </w:r>
          </w:p>
        </w:tc>
        <w:tc>
          <w:tcPr>
            <w:tcW w:w="680" w:type="pct"/>
            <w:tcBorders>
              <w:top w:val="nil"/>
              <w:left w:val="nil"/>
              <w:bottom w:val="nil"/>
              <w:right w:val="nil"/>
            </w:tcBorders>
            <w:shd w:val="clear" w:color="auto" w:fill="auto"/>
            <w:vAlign w:val="center"/>
          </w:tcPr>
          <w:p w:rsidR="00A079F7" w:rsidRPr="00CF3015" w:rsidRDefault="00A079F7" w:rsidP="00E514F4">
            <w:pPr>
              <w:spacing w:after="0"/>
              <w:jc w:val="left"/>
              <w:rPr>
                <w:bCs w:val="0"/>
                <w:color w:val="000000"/>
                <w:sz w:val="16"/>
                <w:szCs w:val="16"/>
                <w:lang w:eastAsia="fr-FR"/>
              </w:rPr>
            </w:pPr>
            <w:r w:rsidRPr="00CF3015">
              <w:rPr>
                <w:bCs w:val="0"/>
                <w:color w:val="000000"/>
                <w:sz w:val="16"/>
                <w:szCs w:val="16"/>
                <w:lang w:eastAsia="fr-FR"/>
              </w:rPr>
              <w:t>GECAMINES</w:t>
            </w:r>
          </w:p>
        </w:tc>
        <w:tc>
          <w:tcPr>
            <w:tcW w:w="702" w:type="pct"/>
            <w:tcBorders>
              <w:top w:val="nil"/>
              <w:left w:val="nil"/>
              <w:bottom w:val="nil"/>
              <w:right w:val="nil"/>
            </w:tcBorders>
            <w:shd w:val="clear" w:color="auto" w:fill="auto"/>
            <w:vAlign w:val="center"/>
          </w:tcPr>
          <w:p w:rsidR="00A079F7" w:rsidRPr="00CF3015" w:rsidRDefault="00256654" w:rsidP="00CF3015">
            <w:pPr>
              <w:spacing w:after="0"/>
              <w:jc w:val="left"/>
              <w:rPr>
                <w:bCs w:val="0"/>
                <w:color w:val="000000"/>
                <w:sz w:val="16"/>
                <w:szCs w:val="16"/>
                <w:lang w:eastAsia="fr-FR"/>
              </w:rPr>
            </w:pPr>
            <w:r>
              <w:rPr>
                <w:bCs w:val="0"/>
                <w:color w:val="000000"/>
                <w:sz w:val="16"/>
                <w:szCs w:val="16"/>
                <w:lang w:eastAsia="fr-FR"/>
              </w:rPr>
              <w:t xml:space="preserve">       </w:t>
            </w:r>
            <w:r w:rsidR="00A079F7" w:rsidRPr="00CF3015">
              <w:rPr>
                <w:bCs w:val="0"/>
                <w:color w:val="000000"/>
                <w:sz w:val="16"/>
                <w:szCs w:val="16"/>
                <w:lang w:eastAsia="fr-FR"/>
              </w:rPr>
              <w:t>19,8%</w:t>
            </w:r>
          </w:p>
        </w:tc>
      </w:tr>
      <w:tr w:rsidR="00A079F7" w:rsidRPr="00A774DA" w:rsidTr="00E514F4">
        <w:trPr>
          <w:trHeight w:val="288"/>
        </w:trPr>
        <w:tc>
          <w:tcPr>
            <w:tcW w:w="3618" w:type="pct"/>
            <w:tcBorders>
              <w:top w:val="nil"/>
              <w:left w:val="nil"/>
              <w:bottom w:val="nil"/>
              <w:right w:val="nil"/>
            </w:tcBorders>
            <w:vAlign w:val="center"/>
          </w:tcPr>
          <w:p w:rsidR="00A079F7" w:rsidRPr="009D36EE" w:rsidRDefault="00A079F7" w:rsidP="00E514F4">
            <w:pPr>
              <w:spacing w:after="0"/>
              <w:jc w:val="left"/>
              <w:rPr>
                <w:bCs w:val="0"/>
                <w:color w:val="000000"/>
                <w:sz w:val="16"/>
                <w:szCs w:val="16"/>
                <w:lang w:eastAsia="fr-FR"/>
              </w:rPr>
            </w:pPr>
            <w:r w:rsidRPr="009D36EE">
              <w:rPr>
                <w:bCs w:val="0"/>
                <w:color w:val="000000"/>
                <w:sz w:val="16"/>
                <w:szCs w:val="16"/>
                <w:lang w:eastAsia="fr-FR"/>
              </w:rPr>
              <w:t>COMPAGNIE MINIERE DE LUISHA (COMILU)</w:t>
            </w:r>
          </w:p>
        </w:tc>
        <w:tc>
          <w:tcPr>
            <w:tcW w:w="680" w:type="pct"/>
            <w:tcBorders>
              <w:top w:val="nil"/>
              <w:left w:val="nil"/>
              <w:bottom w:val="nil"/>
              <w:right w:val="nil"/>
            </w:tcBorders>
            <w:shd w:val="clear" w:color="auto" w:fill="auto"/>
            <w:vAlign w:val="center"/>
          </w:tcPr>
          <w:p w:rsidR="00A079F7" w:rsidRPr="009D36EE" w:rsidRDefault="00A079F7" w:rsidP="00E514F4">
            <w:pPr>
              <w:spacing w:after="0"/>
              <w:jc w:val="left"/>
              <w:rPr>
                <w:bCs w:val="0"/>
                <w:sz w:val="16"/>
                <w:szCs w:val="16"/>
                <w:lang w:eastAsia="fr-FR"/>
              </w:rPr>
            </w:pPr>
            <w:r w:rsidRPr="009D36EE">
              <w:rPr>
                <w:bCs w:val="0"/>
                <w:sz w:val="16"/>
                <w:szCs w:val="16"/>
                <w:lang w:eastAsia="fr-FR"/>
              </w:rPr>
              <w:t>GECAMINES</w:t>
            </w:r>
          </w:p>
        </w:tc>
        <w:tc>
          <w:tcPr>
            <w:tcW w:w="702" w:type="pct"/>
            <w:tcBorders>
              <w:top w:val="nil"/>
              <w:left w:val="nil"/>
              <w:bottom w:val="nil"/>
              <w:right w:val="nil"/>
            </w:tcBorders>
            <w:shd w:val="clear" w:color="auto" w:fill="auto"/>
            <w:vAlign w:val="center"/>
          </w:tcPr>
          <w:p w:rsidR="00A079F7" w:rsidRPr="009D36EE" w:rsidRDefault="00A079F7" w:rsidP="00E514F4">
            <w:pPr>
              <w:spacing w:after="0"/>
              <w:jc w:val="center"/>
              <w:rPr>
                <w:bCs w:val="0"/>
                <w:sz w:val="16"/>
                <w:szCs w:val="16"/>
                <w:lang w:eastAsia="fr-FR"/>
              </w:rPr>
            </w:pPr>
            <w:r w:rsidRPr="009D36EE">
              <w:rPr>
                <w:bCs w:val="0"/>
                <w:sz w:val="16"/>
                <w:szCs w:val="16"/>
                <w:lang w:eastAsia="fr-FR"/>
              </w:rPr>
              <w:t>28,00%</w:t>
            </w:r>
          </w:p>
        </w:tc>
      </w:tr>
      <w:tr w:rsidR="00A079F7" w:rsidRPr="00A774DA" w:rsidTr="00E514F4">
        <w:trPr>
          <w:trHeight w:val="288"/>
        </w:trPr>
        <w:tc>
          <w:tcPr>
            <w:tcW w:w="3618" w:type="pct"/>
            <w:tcBorders>
              <w:top w:val="nil"/>
              <w:left w:val="nil"/>
              <w:bottom w:val="nil"/>
              <w:right w:val="nil"/>
            </w:tcBorders>
            <w:vAlign w:val="center"/>
          </w:tcPr>
          <w:p w:rsidR="00A079F7" w:rsidRPr="00CF3015" w:rsidRDefault="00A079F7" w:rsidP="00E514F4">
            <w:pPr>
              <w:spacing w:after="0"/>
              <w:jc w:val="left"/>
              <w:rPr>
                <w:bCs w:val="0"/>
                <w:color w:val="000000"/>
                <w:sz w:val="16"/>
                <w:szCs w:val="16"/>
                <w:lang w:eastAsia="fr-FR"/>
              </w:rPr>
            </w:pPr>
            <w:r w:rsidRPr="00CF3015">
              <w:rPr>
                <w:bCs w:val="0"/>
                <w:color w:val="000000"/>
                <w:sz w:val="16"/>
                <w:szCs w:val="16"/>
                <w:lang w:eastAsia="fr-FR"/>
              </w:rPr>
              <w:t>KOKKOLA</w:t>
            </w:r>
          </w:p>
        </w:tc>
        <w:tc>
          <w:tcPr>
            <w:tcW w:w="680" w:type="pct"/>
            <w:tcBorders>
              <w:top w:val="nil"/>
              <w:left w:val="nil"/>
              <w:bottom w:val="nil"/>
              <w:right w:val="nil"/>
            </w:tcBorders>
            <w:shd w:val="clear" w:color="auto" w:fill="auto"/>
            <w:vAlign w:val="center"/>
          </w:tcPr>
          <w:p w:rsidR="00A079F7" w:rsidRPr="00CF3015" w:rsidRDefault="00A079F7" w:rsidP="00E514F4">
            <w:pPr>
              <w:spacing w:after="0"/>
              <w:jc w:val="left"/>
              <w:rPr>
                <w:bCs w:val="0"/>
                <w:sz w:val="16"/>
                <w:szCs w:val="16"/>
                <w:lang w:eastAsia="fr-FR"/>
              </w:rPr>
            </w:pPr>
            <w:r w:rsidRPr="00CF3015">
              <w:rPr>
                <w:bCs w:val="0"/>
                <w:sz w:val="16"/>
                <w:szCs w:val="16"/>
                <w:lang w:eastAsia="fr-FR"/>
              </w:rPr>
              <w:t>GECAMINES</w:t>
            </w:r>
          </w:p>
        </w:tc>
        <w:tc>
          <w:tcPr>
            <w:tcW w:w="702" w:type="pct"/>
            <w:tcBorders>
              <w:top w:val="nil"/>
              <w:left w:val="nil"/>
              <w:bottom w:val="nil"/>
              <w:right w:val="nil"/>
            </w:tcBorders>
            <w:shd w:val="clear" w:color="auto" w:fill="auto"/>
            <w:vAlign w:val="center"/>
          </w:tcPr>
          <w:p w:rsidR="00A079F7" w:rsidRPr="009D36EE" w:rsidRDefault="00A079F7" w:rsidP="00E514F4">
            <w:pPr>
              <w:spacing w:after="0"/>
              <w:jc w:val="center"/>
              <w:rPr>
                <w:bCs w:val="0"/>
                <w:sz w:val="16"/>
                <w:szCs w:val="16"/>
                <w:lang w:eastAsia="fr-FR"/>
              </w:rPr>
            </w:pPr>
            <w:r w:rsidRPr="00CF3015">
              <w:rPr>
                <w:bCs w:val="0"/>
                <w:sz w:val="16"/>
                <w:szCs w:val="16"/>
                <w:lang w:eastAsia="fr-FR"/>
              </w:rPr>
              <w:t>20,00%</w:t>
            </w:r>
          </w:p>
        </w:tc>
      </w:tr>
      <w:tr w:rsidR="00A079F7" w:rsidRPr="00A774DA" w:rsidTr="00E514F4">
        <w:trPr>
          <w:trHeight w:val="288"/>
        </w:trPr>
        <w:tc>
          <w:tcPr>
            <w:tcW w:w="3618" w:type="pct"/>
            <w:tcBorders>
              <w:top w:val="nil"/>
              <w:left w:val="nil"/>
              <w:bottom w:val="nil"/>
              <w:right w:val="nil"/>
            </w:tcBorders>
            <w:shd w:val="clear" w:color="000000" w:fill="B8CCE4"/>
            <w:vAlign w:val="center"/>
            <w:hideMark/>
          </w:tcPr>
          <w:p w:rsidR="00A079F7" w:rsidRPr="009D36EE" w:rsidRDefault="00A079F7" w:rsidP="00E514F4">
            <w:pPr>
              <w:spacing w:after="0"/>
              <w:jc w:val="left"/>
              <w:rPr>
                <w:bCs w:val="0"/>
                <w:color w:val="000000"/>
                <w:sz w:val="16"/>
                <w:szCs w:val="16"/>
                <w:lang w:eastAsia="fr-FR"/>
              </w:rPr>
            </w:pPr>
            <w:r w:rsidRPr="009D36EE">
              <w:rPr>
                <w:bCs w:val="0"/>
                <w:color w:val="000000"/>
                <w:sz w:val="16"/>
                <w:szCs w:val="16"/>
                <w:lang w:eastAsia="fr-FR"/>
              </w:rPr>
              <w:lastRenderedPageBreak/>
              <w:t>KINSENDA COPPER COMPANY (KICC - EX-MMK)</w:t>
            </w:r>
          </w:p>
        </w:tc>
        <w:tc>
          <w:tcPr>
            <w:tcW w:w="680" w:type="pct"/>
            <w:tcBorders>
              <w:top w:val="nil"/>
              <w:left w:val="nil"/>
              <w:bottom w:val="nil"/>
              <w:right w:val="nil"/>
            </w:tcBorders>
            <w:shd w:val="clear" w:color="000000" w:fill="B8CCE4"/>
            <w:vAlign w:val="center"/>
            <w:hideMark/>
          </w:tcPr>
          <w:p w:rsidR="00A079F7" w:rsidRPr="009D36EE" w:rsidRDefault="00A079F7" w:rsidP="00E514F4">
            <w:pPr>
              <w:spacing w:after="0"/>
              <w:jc w:val="left"/>
              <w:rPr>
                <w:bCs w:val="0"/>
                <w:sz w:val="16"/>
                <w:szCs w:val="16"/>
                <w:lang w:eastAsia="fr-FR"/>
              </w:rPr>
            </w:pPr>
            <w:r w:rsidRPr="009D36EE">
              <w:rPr>
                <w:bCs w:val="0"/>
                <w:sz w:val="16"/>
                <w:szCs w:val="16"/>
                <w:lang w:eastAsia="fr-FR"/>
              </w:rPr>
              <w:t>SODIMICO</w:t>
            </w:r>
          </w:p>
        </w:tc>
        <w:tc>
          <w:tcPr>
            <w:tcW w:w="702" w:type="pct"/>
            <w:tcBorders>
              <w:top w:val="nil"/>
              <w:left w:val="nil"/>
              <w:bottom w:val="nil"/>
              <w:right w:val="nil"/>
            </w:tcBorders>
            <w:shd w:val="clear" w:color="000000" w:fill="B8CCE4"/>
            <w:vAlign w:val="center"/>
            <w:hideMark/>
          </w:tcPr>
          <w:p w:rsidR="00A079F7" w:rsidRPr="009D36EE" w:rsidRDefault="00A079F7" w:rsidP="00E514F4">
            <w:pPr>
              <w:spacing w:after="0"/>
              <w:jc w:val="center"/>
              <w:rPr>
                <w:bCs w:val="0"/>
                <w:sz w:val="16"/>
                <w:szCs w:val="16"/>
                <w:lang w:eastAsia="fr-FR"/>
              </w:rPr>
            </w:pPr>
            <w:r w:rsidRPr="009D36EE">
              <w:rPr>
                <w:bCs w:val="0"/>
                <w:sz w:val="16"/>
                <w:szCs w:val="16"/>
                <w:lang w:eastAsia="fr-FR"/>
              </w:rPr>
              <w:t>23,00%</w:t>
            </w:r>
          </w:p>
        </w:tc>
      </w:tr>
      <w:tr w:rsidR="00A079F7" w:rsidRPr="00A774DA" w:rsidTr="00E514F4">
        <w:trPr>
          <w:trHeight w:val="288"/>
        </w:trPr>
        <w:tc>
          <w:tcPr>
            <w:tcW w:w="3618" w:type="pct"/>
            <w:tcBorders>
              <w:top w:val="nil"/>
              <w:left w:val="nil"/>
              <w:bottom w:val="nil"/>
              <w:right w:val="nil"/>
            </w:tcBorders>
            <w:shd w:val="clear" w:color="auto" w:fill="auto"/>
            <w:vAlign w:val="center"/>
            <w:hideMark/>
          </w:tcPr>
          <w:p w:rsidR="00A079F7" w:rsidRPr="009D36EE" w:rsidRDefault="00A079F7" w:rsidP="00E514F4">
            <w:pPr>
              <w:spacing w:after="0"/>
              <w:jc w:val="left"/>
              <w:rPr>
                <w:bCs w:val="0"/>
                <w:sz w:val="16"/>
                <w:szCs w:val="16"/>
                <w:lang w:eastAsia="fr-FR"/>
              </w:rPr>
            </w:pPr>
            <w:r w:rsidRPr="009D36EE">
              <w:rPr>
                <w:bCs w:val="0"/>
                <w:sz w:val="16"/>
                <w:szCs w:val="16"/>
                <w:lang w:eastAsia="fr-FR"/>
              </w:rPr>
              <w:t>SOCIETE DE DEVELOPPEMENT INDUSTRIEL ET MINIER DE KATANGA (SODIMIKA)</w:t>
            </w:r>
          </w:p>
        </w:tc>
        <w:tc>
          <w:tcPr>
            <w:tcW w:w="680" w:type="pct"/>
            <w:tcBorders>
              <w:top w:val="nil"/>
              <w:left w:val="nil"/>
              <w:bottom w:val="nil"/>
              <w:right w:val="nil"/>
            </w:tcBorders>
            <w:shd w:val="clear" w:color="auto" w:fill="auto"/>
            <w:vAlign w:val="center"/>
            <w:hideMark/>
          </w:tcPr>
          <w:p w:rsidR="00A079F7" w:rsidRPr="009D36EE" w:rsidRDefault="00A079F7" w:rsidP="00E514F4">
            <w:pPr>
              <w:spacing w:after="0"/>
              <w:jc w:val="left"/>
              <w:rPr>
                <w:bCs w:val="0"/>
                <w:sz w:val="16"/>
                <w:szCs w:val="16"/>
                <w:lang w:eastAsia="fr-FR"/>
              </w:rPr>
            </w:pPr>
            <w:r w:rsidRPr="009D36EE">
              <w:rPr>
                <w:bCs w:val="0"/>
                <w:sz w:val="16"/>
                <w:szCs w:val="16"/>
                <w:lang w:eastAsia="fr-FR"/>
              </w:rPr>
              <w:t>SODIMICO</w:t>
            </w:r>
          </w:p>
        </w:tc>
        <w:tc>
          <w:tcPr>
            <w:tcW w:w="702" w:type="pct"/>
            <w:tcBorders>
              <w:top w:val="nil"/>
              <w:left w:val="nil"/>
              <w:bottom w:val="nil"/>
              <w:right w:val="nil"/>
            </w:tcBorders>
            <w:shd w:val="clear" w:color="auto" w:fill="auto"/>
            <w:vAlign w:val="center"/>
            <w:hideMark/>
          </w:tcPr>
          <w:p w:rsidR="00A079F7" w:rsidRPr="009D36EE" w:rsidRDefault="00A079F7" w:rsidP="00E514F4">
            <w:pPr>
              <w:spacing w:after="0"/>
              <w:jc w:val="center"/>
              <w:rPr>
                <w:bCs w:val="0"/>
                <w:sz w:val="16"/>
                <w:szCs w:val="16"/>
                <w:lang w:eastAsia="fr-FR"/>
              </w:rPr>
            </w:pPr>
            <w:r w:rsidRPr="009D36EE">
              <w:rPr>
                <w:bCs w:val="0"/>
                <w:sz w:val="16"/>
                <w:szCs w:val="16"/>
                <w:lang w:eastAsia="fr-FR"/>
              </w:rPr>
              <w:t>30,00%</w:t>
            </w:r>
          </w:p>
        </w:tc>
      </w:tr>
      <w:tr w:rsidR="00801C23" w:rsidRPr="00A774DA" w:rsidTr="00E514F4">
        <w:trPr>
          <w:trHeight w:val="288"/>
        </w:trPr>
        <w:tc>
          <w:tcPr>
            <w:tcW w:w="3618" w:type="pct"/>
            <w:tcBorders>
              <w:top w:val="nil"/>
              <w:left w:val="nil"/>
              <w:bottom w:val="nil"/>
              <w:right w:val="nil"/>
            </w:tcBorders>
            <w:shd w:val="clear" w:color="auto" w:fill="auto"/>
            <w:vAlign w:val="center"/>
            <w:hideMark/>
          </w:tcPr>
          <w:p w:rsidR="00801C23" w:rsidRPr="009D36EE" w:rsidRDefault="00801C23" w:rsidP="00E514F4">
            <w:pPr>
              <w:spacing w:after="0"/>
              <w:jc w:val="left"/>
              <w:rPr>
                <w:bCs w:val="0"/>
                <w:sz w:val="16"/>
                <w:szCs w:val="16"/>
                <w:lang w:eastAsia="fr-FR"/>
              </w:rPr>
            </w:pPr>
            <w:r>
              <w:rPr>
                <w:bCs w:val="0"/>
                <w:sz w:val="16"/>
                <w:szCs w:val="16"/>
                <w:lang w:eastAsia="fr-FR"/>
              </w:rPr>
              <w:t>ENTREPRISE MINIERE DE MUSOSHI</w:t>
            </w:r>
          </w:p>
        </w:tc>
        <w:tc>
          <w:tcPr>
            <w:tcW w:w="680" w:type="pct"/>
            <w:tcBorders>
              <w:top w:val="nil"/>
              <w:left w:val="nil"/>
              <w:bottom w:val="nil"/>
              <w:right w:val="nil"/>
            </w:tcBorders>
            <w:shd w:val="clear" w:color="auto" w:fill="auto"/>
            <w:vAlign w:val="center"/>
            <w:hideMark/>
          </w:tcPr>
          <w:p w:rsidR="00801C23" w:rsidRPr="009D36EE" w:rsidRDefault="00801C23" w:rsidP="00E514F4">
            <w:pPr>
              <w:spacing w:after="0"/>
              <w:jc w:val="left"/>
              <w:rPr>
                <w:bCs w:val="0"/>
                <w:sz w:val="16"/>
                <w:szCs w:val="16"/>
                <w:lang w:eastAsia="fr-FR"/>
              </w:rPr>
            </w:pPr>
            <w:r>
              <w:rPr>
                <w:bCs w:val="0"/>
                <w:sz w:val="16"/>
                <w:szCs w:val="16"/>
                <w:lang w:eastAsia="fr-FR"/>
              </w:rPr>
              <w:t>SODIMICO</w:t>
            </w:r>
          </w:p>
        </w:tc>
        <w:tc>
          <w:tcPr>
            <w:tcW w:w="702" w:type="pct"/>
            <w:tcBorders>
              <w:top w:val="nil"/>
              <w:left w:val="nil"/>
              <w:bottom w:val="nil"/>
              <w:right w:val="nil"/>
            </w:tcBorders>
            <w:shd w:val="clear" w:color="auto" w:fill="auto"/>
            <w:vAlign w:val="center"/>
            <w:hideMark/>
          </w:tcPr>
          <w:p w:rsidR="00801C23" w:rsidRPr="009D36EE" w:rsidRDefault="00801C23" w:rsidP="00E514F4">
            <w:pPr>
              <w:spacing w:after="0"/>
              <w:jc w:val="center"/>
              <w:rPr>
                <w:bCs w:val="0"/>
                <w:sz w:val="16"/>
                <w:szCs w:val="16"/>
                <w:lang w:eastAsia="fr-FR"/>
              </w:rPr>
            </w:pPr>
            <w:r>
              <w:rPr>
                <w:bCs w:val="0"/>
                <w:sz w:val="16"/>
                <w:szCs w:val="16"/>
                <w:lang w:eastAsia="fr-FR"/>
              </w:rPr>
              <w:t>30,00%</w:t>
            </w:r>
          </w:p>
        </w:tc>
      </w:tr>
      <w:tr w:rsidR="00A079F7" w:rsidRPr="00A774DA" w:rsidTr="00E514F4">
        <w:trPr>
          <w:trHeight w:val="288"/>
        </w:trPr>
        <w:tc>
          <w:tcPr>
            <w:tcW w:w="3618" w:type="pct"/>
            <w:tcBorders>
              <w:top w:val="nil"/>
              <w:left w:val="nil"/>
              <w:bottom w:val="nil"/>
              <w:right w:val="nil"/>
            </w:tcBorders>
            <w:shd w:val="clear" w:color="000000" w:fill="B8CCE4"/>
            <w:vAlign w:val="center"/>
            <w:hideMark/>
          </w:tcPr>
          <w:p w:rsidR="00A079F7" w:rsidRPr="009D36EE" w:rsidRDefault="00A079F7" w:rsidP="00E514F4">
            <w:pPr>
              <w:spacing w:after="0"/>
              <w:jc w:val="left"/>
              <w:rPr>
                <w:bCs w:val="0"/>
                <w:sz w:val="16"/>
                <w:szCs w:val="16"/>
                <w:lang w:eastAsia="fr-FR"/>
              </w:rPr>
            </w:pPr>
            <w:r w:rsidRPr="009D36EE">
              <w:rPr>
                <w:bCs w:val="0"/>
                <w:sz w:val="16"/>
                <w:szCs w:val="16"/>
                <w:lang w:eastAsia="fr-FR"/>
              </w:rPr>
              <w:t>KIBALI GOLD MINES (KIBALI)</w:t>
            </w:r>
          </w:p>
        </w:tc>
        <w:tc>
          <w:tcPr>
            <w:tcW w:w="680" w:type="pct"/>
            <w:tcBorders>
              <w:top w:val="nil"/>
              <w:left w:val="nil"/>
              <w:bottom w:val="nil"/>
              <w:right w:val="nil"/>
            </w:tcBorders>
            <w:shd w:val="clear" w:color="000000" w:fill="B8CCE4"/>
            <w:vAlign w:val="center"/>
            <w:hideMark/>
          </w:tcPr>
          <w:p w:rsidR="00A079F7" w:rsidRPr="009D36EE" w:rsidRDefault="00A079F7" w:rsidP="00E514F4">
            <w:pPr>
              <w:spacing w:after="0"/>
              <w:jc w:val="left"/>
              <w:rPr>
                <w:bCs w:val="0"/>
                <w:sz w:val="16"/>
                <w:szCs w:val="16"/>
                <w:lang w:eastAsia="fr-FR"/>
              </w:rPr>
            </w:pPr>
            <w:r w:rsidRPr="009D36EE">
              <w:rPr>
                <w:bCs w:val="0"/>
                <w:sz w:val="16"/>
                <w:szCs w:val="16"/>
                <w:lang w:eastAsia="fr-FR"/>
              </w:rPr>
              <w:t>SOKIMO</w:t>
            </w:r>
          </w:p>
        </w:tc>
        <w:tc>
          <w:tcPr>
            <w:tcW w:w="702" w:type="pct"/>
            <w:tcBorders>
              <w:top w:val="nil"/>
              <w:left w:val="nil"/>
              <w:bottom w:val="nil"/>
              <w:right w:val="nil"/>
            </w:tcBorders>
            <w:shd w:val="clear" w:color="000000" w:fill="B8CCE4"/>
            <w:vAlign w:val="center"/>
            <w:hideMark/>
          </w:tcPr>
          <w:p w:rsidR="00A079F7" w:rsidRPr="009D36EE" w:rsidRDefault="00A079F7" w:rsidP="00E514F4">
            <w:pPr>
              <w:spacing w:after="0"/>
              <w:jc w:val="center"/>
              <w:rPr>
                <w:bCs w:val="0"/>
                <w:sz w:val="16"/>
                <w:szCs w:val="16"/>
                <w:lang w:eastAsia="fr-FR"/>
              </w:rPr>
            </w:pPr>
            <w:r w:rsidRPr="009D36EE">
              <w:rPr>
                <w:bCs w:val="0"/>
                <w:sz w:val="16"/>
                <w:szCs w:val="16"/>
                <w:lang w:eastAsia="fr-FR"/>
              </w:rPr>
              <w:t>10,00%</w:t>
            </w:r>
          </w:p>
        </w:tc>
      </w:tr>
      <w:tr w:rsidR="00A079F7" w:rsidRPr="00A774DA" w:rsidTr="00E514F4">
        <w:trPr>
          <w:trHeight w:val="288"/>
        </w:trPr>
        <w:tc>
          <w:tcPr>
            <w:tcW w:w="3618" w:type="pct"/>
            <w:tcBorders>
              <w:top w:val="nil"/>
              <w:left w:val="nil"/>
              <w:bottom w:val="nil"/>
              <w:right w:val="nil"/>
            </w:tcBorders>
            <w:shd w:val="clear" w:color="auto" w:fill="auto"/>
            <w:vAlign w:val="center"/>
            <w:hideMark/>
          </w:tcPr>
          <w:p w:rsidR="00A079F7" w:rsidRPr="00A774DA" w:rsidRDefault="00F30B06" w:rsidP="00E514F4">
            <w:pPr>
              <w:spacing w:after="0"/>
              <w:jc w:val="left"/>
              <w:rPr>
                <w:bCs w:val="0"/>
                <w:color w:val="000000"/>
                <w:sz w:val="16"/>
                <w:szCs w:val="16"/>
                <w:lang w:val="en-GB" w:eastAsia="fr-FR"/>
              </w:rPr>
            </w:pPr>
            <w:r>
              <w:rPr>
                <w:bCs w:val="0"/>
                <w:color w:val="000000"/>
                <w:sz w:val="16"/>
                <w:szCs w:val="16"/>
                <w:lang w:val="en-GB" w:eastAsia="fr-FR"/>
              </w:rPr>
              <w:t>MONGBWALU GOLD MINES</w:t>
            </w:r>
          </w:p>
        </w:tc>
        <w:tc>
          <w:tcPr>
            <w:tcW w:w="680" w:type="pct"/>
            <w:tcBorders>
              <w:top w:val="nil"/>
              <w:left w:val="nil"/>
              <w:bottom w:val="nil"/>
              <w:right w:val="nil"/>
            </w:tcBorders>
            <w:shd w:val="clear" w:color="auto" w:fill="auto"/>
            <w:vAlign w:val="center"/>
            <w:hideMark/>
          </w:tcPr>
          <w:p w:rsidR="00A079F7" w:rsidRPr="00A774DA" w:rsidRDefault="00A079F7" w:rsidP="00E514F4">
            <w:pPr>
              <w:spacing w:after="0"/>
              <w:jc w:val="left"/>
              <w:rPr>
                <w:bCs w:val="0"/>
                <w:sz w:val="16"/>
                <w:szCs w:val="16"/>
                <w:lang w:eastAsia="fr-FR"/>
              </w:rPr>
            </w:pPr>
            <w:r w:rsidRPr="00A774DA">
              <w:rPr>
                <w:bCs w:val="0"/>
                <w:sz w:val="16"/>
                <w:szCs w:val="16"/>
                <w:lang w:eastAsia="fr-FR"/>
              </w:rPr>
              <w:t>SOKIMO</w:t>
            </w:r>
          </w:p>
        </w:tc>
        <w:tc>
          <w:tcPr>
            <w:tcW w:w="702" w:type="pct"/>
            <w:tcBorders>
              <w:top w:val="nil"/>
              <w:left w:val="nil"/>
              <w:bottom w:val="nil"/>
              <w:right w:val="nil"/>
            </w:tcBorders>
            <w:shd w:val="clear" w:color="auto" w:fill="auto"/>
            <w:vAlign w:val="center"/>
            <w:hideMark/>
          </w:tcPr>
          <w:p w:rsidR="00A079F7" w:rsidRPr="00A774DA" w:rsidRDefault="00A079F7" w:rsidP="00E514F4">
            <w:pPr>
              <w:spacing w:after="0"/>
              <w:jc w:val="center"/>
              <w:rPr>
                <w:bCs w:val="0"/>
                <w:sz w:val="16"/>
                <w:szCs w:val="16"/>
                <w:lang w:eastAsia="fr-FR"/>
              </w:rPr>
            </w:pPr>
            <w:r>
              <w:rPr>
                <w:bCs w:val="0"/>
                <w:sz w:val="16"/>
                <w:szCs w:val="16"/>
                <w:lang w:eastAsia="fr-FR"/>
              </w:rPr>
              <w:t>13</w:t>
            </w:r>
            <w:r w:rsidRPr="00A774DA">
              <w:rPr>
                <w:bCs w:val="0"/>
                <w:sz w:val="16"/>
                <w:szCs w:val="16"/>
                <w:lang w:eastAsia="fr-FR"/>
              </w:rPr>
              <w:t>,</w:t>
            </w:r>
            <w:r>
              <w:rPr>
                <w:bCs w:val="0"/>
                <w:sz w:val="16"/>
                <w:szCs w:val="16"/>
                <w:lang w:eastAsia="fr-FR"/>
              </w:rPr>
              <w:t>78</w:t>
            </w:r>
            <w:r w:rsidRPr="00A774DA">
              <w:rPr>
                <w:bCs w:val="0"/>
                <w:sz w:val="16"/>
                <w:szCs w:val="16"/>
                <w:lang w:eastAsia="fr-FR"/>
              </w:rPr>
              <w:t>%</w:t>
            </w:r>
          </w:p>
        </w:tc>
      </w:tr>
      <w:tr w:rsidR="00A079F7" w:rsidRPr="00A774DA" w:rsidTr="00E514F4">
        <w:trPr>
          <w:trHeight w:val="288"/>
        </w:trPr>
        <w:tc>
          <w:tcPr>
            <w:tcW w:w="3618" w:type="pct"/>
            <w:tcBorders>
              <w:top w:val="nil"/>
              <w:left w:val="nil"/>
              <w:bottom w:val="nil"/>
              <w:right w:val="nil"/>
            </w:tcBorders>
            <w:shd w:val="clear" w:color="000000" w:fill="B8CCE4"/>
            <w:vAlign w:val="center"/>
            <w:hideMark/>
          </w:tcPr>
          <w:p w:rsidR="00A079F7" w:rsidRPr="00A774DA" w:rsidRDefault="00A079F7" w:rsidP="00E514F4">
            <w:pPr>
              <w:spacing w:after="0"/>
              <w:jc w:val="left"/>
              <w:rPr>
                <w:bCs w:val="0"/>
                <w:sz w:val="16"/>
                <w:szCs w:val="16"/>
                <w:lang w:eastAsia="fr-FR"/>
              </w:rPr>
            </w:pPr>
            <w:r w:rsidRPr="00A774DA">
              <w:rPr>
                <w:bCs w:val="0"/>
                <w:sz w:val="16"/>
                <w:szCs w:val="16"/>
                <w:lang w:eastAsia="fr-FR"/>
              </w:rPr>
              <w:t>SOCIETE MINIERE DE MOKU - BEVEREND (SMB)</w:t>
            </w:r>
          </w:p>
        </w:tc>
        <w:tc>
          <w:tcPr>
            <w:tcW w:w="680" w:type="pct"/>
            <w:tcBorders>
              <w:top w:val="nil"/>
              <w:left w:val="nil"/>
              <w:bottom w:val="nil"/>
              <w:right w:val="nil"/>
            </w:tcBorders>
            <w:shd w:val="clear" w:color="000000" w:fill="B8CCE4"/>
            <w:vAlign w:val="center"/>
            <w:hideMark/>
          </w:tcPr>
          <w:p w:rsidR="00A079F7" w:rsidRPr="00A774DA" w:rsidRDefault="00A079F7" w:rsidP="00E514F4">
            <w:pPr>
              <w:spacing w:after="0"/>
              <w:jc w:val="left"/>
              <w:rPr>
                <w:bCs w:val="0"/>
                <w:sz w:val="16"/>
                <w:szCs w:val="16"/>
                <w:lang w:eastAsia="fr-FR"/>
              </w:rPr>
            </w:pPr>
            <w:r w:rsidRPr="00A774DA">
              <w:rPr>
                <w:bCs w:val="0"/>
                <w:sz w:val="16"/>
                <w:szCs w:val="16"/>
                <w:lang w:eastAsia="fr-FR"/>
              </w:rPr>
              <w:t>SOKIMO</w:t>
            </w:r>
          </w:p>
        </w:tc>
        <w:tc>
          <w:tcPr>
            <w:tcW w:w="702" w:type="pct"/>
            <w:tcBorders>
              <w:top w:val="nil"/>
              <w:left w:val="nil"/>
              <w:bottom w:val="nil"/>
              <w:right w:val="nil"/>
            </w:tcBorders>
            <w:shd w:val="clear" w:color="000000" w:fill="B8CCE4"/>
            <w:vAlign w:val="center"/>
            <w:hideMark/>
          </w:tcPr>
          <w:p w:rsidR="00A079F7" w:rsidRPr="00A774DA" w:rsidRDefault="00A079F7" w:rsidP="00E514F4">
            <w:pPr>
              <w:spacing w:after="0"/>
              <w:jc w:val="center"/>
              <w:rPr>
                <w:bCs w:val="0"/>
                <w:sz w:val="16"/>
                <w:szCs w:val="16"/>
                <w:lang w:eastAsia="fr-FR"/>
              </w:rPr>
            </w:pPr>
            <w:r w:rsidRPr="00A774DA">
              <w:rPr>
                <w:bCs w:val="0"/>
                <w:sz w:val="16"/>
                <w:szCs w:val="16"/>
                <w:lang w:eastAsia="fr-FR"/>
              </w:rPr>
              <w:t>35,00%</w:t>
            </w:r>
          </w:p>
        </w:tc>
      </w:tr>
      <w:tr w:rsidR="00A079F7" w:rsidRPr="00A774DA" w:rsidTr="00E514F4">
        <w:trPr>
          <w:trHeight w:val="408"/>
        </w:trPr>
        <w:tc>
          <w:tcPr>
            <w:tcW w:w="3618" w:type="pct"/>
            <w:tcBorders>
              <w:top w:val="nil"/>
              <w:left w:val="nil"/>
              <w:bottom w:val="nil"/>
              <w:right w:val="nil"/>
            </w:tcBorders>
            <w:shd w:val="clear" w:color="auto" w:fill="auto"/>
            <w:vAlign w:val="center"/>
            <w:hideMark/>
          </w:tcPr>
          <w:p w:rsidR="00A079F7" w:rsidRPr="00A774DA" w:rsidRDefault="00A079F7" w:rsidP="00E514F4">
            <w:pPr>
              <w:spacing w:after="0"/>
              <w:jc w:val="left"/>
              <w:rPr>
                <w:bCs w:val="0"/>
                <w:sz w:val="16"/>
                <w:szCs w:val="16"/>
                <w:lang w:val="en-GB" w:eastAsia="fr-FR"/>
              </w:rPr>
            </w:pPr>
            <w:r w:rsidRPr="00A774DA">
              <w:rPr>
                <w:bCs w:val="0"/>
                <w:sz w:val="16"/>
                <w:szCs w:val="16"/>
                <w:lang w:val="en-GB" w:eastAsia="fr-FR"/>
              </w:rPr>
              <w:t>MINERAL INVEST INTERNATIONAL CONGO (WANGA Mining)</w:t>
            </w:r>
          </w:p>
        </w:tc>
        <w:tc>
          <w:tcPr>
            <w:tcW w:w="680" w:type="pct"/>
            <w:tcBorders>
              <w:top w:val="nil"/>
              <w:left w:val="nil"/>
              <w:bottom w:val="nil"/>
              <w:right w:val="nil"/>
            </w:tcBorders>
            <w:shd w:val="clear" w:color="auto" w:fill="auto"/>
            <w:vAlign w:val="center"/>
            <w:hideMark/>
          </w:tcPr>
          <w:p w:rsidR="00A079F7" w:rsidRPr="00A774DA" w:rsidRDefault="00A079F7" w:rsidP="00E514F4">
            <w:pPr>
              <w:spacing w:after="0"/>
              <w:jc w:val="left"/>
              <w:rPr>
                <w:bCs w:val="0"/>
                <w:sz w:val="16"/>
                <w:szCs w:val="16"/>
                <w:lang w:eastAsia="fr-FR"/>
              </w:rPr>
            </w:pPr>
            <w:r w:rsidRPr="00A774DA">
              <w:rPr>
                <w:bCs w:val="0"/>
                <w:sz w:val="16"/>
                <w:szCs w:val="16"/>
                <w:lang w:eastAsia="fr-FR"/>
              </w:rPr>
              <w:t>SOKIMO</w:t>
            </w:r>
          </w:p>
        </w:tc>
        <w:tc>
          <w:tcPr>
            <w:tcW w:w="702" w:type="pct"/>
            <w:tcBorders>
              <w:top w:val="nil"/>
              <w:left w:val="nil"/>
              <w:bottom w:val="nil"/>
              <w:right w:val="nil"/>
            </w:tcBorders>
            <w:shd w:val="clear" w:color="auto" w:fill="auto"/>
            <w:vAlign w:val="center"/>
            <w:hideMark/>
          </w:tcPr>
          <w:p w:rsidR="00A079F7" w:rsidRPr="00A774DA" w:rsidRDefault="00A079F7" w:rsidP="00E514F4">
            <w:pPr>
              <w:spacing w:after="0"/>
              <w:jc w:val="center"/>
              <w:rPr>
                <w:bCs w:val="0"/>
                <w:sz w:val="16"/>
                <w:szCs w:val="16"/>
                <w:lang w:eastAsia="fr-FR"/>
              </w:rPr>
            </w:pPr>
            <w:r w:rsidRPr="00A774DA">
              <w:rPr>
                <w:bCs w:val="0"/>
                <w:sz w:val="16"/>
                <w:szCs w:val="16"/>
                <w:lang w:eastAsia="fr-FR"/>
              </w:rPr>
              <w:t>35,00%</w:t>
            </w:r>
          </w:p>
        </w:tc>
      </w:tr>
      <w:tr w:rsidR="00A079F7" w:rsidRPr="00A774DA" w:rsidTr="00E514F4">
        <w:trPr>
          <w:trHeight w:val="288"/>
        </w:trPr>
        <w:tc>
          <w:tcPr>
            <w:tcW w:w="3618" w:type="pct"/>
            <w:tcBorders>
              <w:top w:val="nil"/>
              <w:left w:val="nil"/>
              <w:bottom w:val="nil"/>
              <w:right w:val="nil"/>
            </w:tcBorders>
            <w:shd w:val="clear" w:color="000000" w:fill="B8CCE4"/>
            <w:vAlign w:val="center"/>
            <w:hideMark/>
          </w:tcPr>
          <w:p w:rsidR="00A079F7" w:rsidRPr="00A774DA" w:rsidRDefault="00A079F7" w:rsidP="00E514F4">
            <w:pPr>
              <w:spacing w:after="0"/>
              <w:jc w:val="left"/>
              <w:rPr>
                <w:bCs w:val="0"/>
                <w:sz w:val="16"/>
                <w:szCs w:val="16"/>
                <w:lang w:eastAsia="fr-FR"/>
              </w:rPr>
            </w:pPr>
            <w:r w:rsidRPr="00A774DA">
              <w:rPr>
                <w:bCs w:val="0"/>
                <w:sz w:val="16"/>
                <w:szCs w:val="16"/>
                <w:lang w:eastAsia="fr-FR"/>
              </w:rPr>
              <w:t>GIRO GOLD</w:t>
            </w:r>
          </w:p>
        </w:tc>
        <w:tc>
          <w:tcPr>
            <w:tcW w:w="680" w:type="pct"/>
            <w:tcBorders>
              <w:top w:val="nil"/>
              <w:left w:val="nil"/>
              <w:bottom w:val="nil"/>
              <w:right w:val="nil"/>
            </w:tcBorders>
            <w:shd w:val="clear" w:color="000000" w:fill="B8CCE4"/>
            <w:vAlign w:val="center"/>
            <w:hideMark/>
          </w:tcPr>
          <w:p w:rsidR="00A079F7" w:rsidRPr="00A774DA" w:rsidRDefault="00A079F7" w:rsidP="00E514F4">
            <w:pPr>
              <w:spacing w:after="0"/>
              <w:jc w:val="left"/>
              <w:rPr>
                <w:bCs w:val="0"/>
                <w:sz w:val="16"/>
                <w:szCs w:val="16"/>
                <w:lang w:eastAsia="fr-FR"/>
              </w:rPr>
            </w:pPr>
            <w:r w:rsidRPr="00A774DA">
              <w:rPr>
                <w:bCs w:val="0"/>
                <w:sz w:val="16"/>
                <w:szCs w:val="16"/>
                <w:lang w:eastAsia="fr-FR"/>
              </w:rPr>
              <w:t>SOKIMO</w:t>
            </w:r>
          </w:p>
        </w:tc>
        <w:tc>
          <w:tcPr>
            <w:tcW w:w="702" w:type="pct"/>
            <w:tcBorders>
              <w:top w:val="nil"/>
              <w:left w:val="nil"/>
              <w:bottom w:val="nil"/>
              <w:right w:val="nil"/>
            </w:tcBorders>
            <w:shd w:val="clear" w:color="000000" w:fill="B8CCE4"/>
            <w:vAlign w:val="center"/>
            <w:hideMark/>
          </w:tcPr>
          <w:p w:rsidR="00A079F7" w:rsidRPr="00A774DA" w:rsidRDefault="00A079F7" w:rsidP="00E514F4">
            <w:pPr>
              <w:spacing w:after="0"/>
              <w:jc w:val="center"/>
              <w:rPr>
                <w:bCs w:val="0"/>
                <w:sz w:val="16"/>
                <w:szCs w:val="16"/>
                <w:lang w:eastAsia="fr-FR"/>
              </w:rPr>
            </w:pPr>
            <w:r w:rsidRPr="00A774DA">
              <w:rPr>
                <w:bCs w:val="0"/>
                <w:sz w:val="16"/>
                <w:szCs w:val="16"/>
                <w:lang w:eastAsia="fr-FR"/>
              </w:rPr>
              <w:t>35,00%</w:t>
            </w:r>
          </w:p>
        </w:tc>
      </w:tr>
      <w:tr w:rsidR="00A079F7" w:rsidRPr="00A774DA" w:rsidTr="00E514F4">
        <w:trPr>
          <w:trHeight w:val="288"/>
        </w:trPr>
        <w:tc>
          <w:tcPr>
            <w:tcW w:w="3618" w:type="pct"/>
            <w:tcBorders>
              <w:top w:val="nil"/>
              <w:left w:val="nil"/>
              <w:bottom w:val="nil"/>
              <w:right w:val="nil"/>
            </w:tcBorders>
            <w:shd w:val="clear" w:color="000000" w:fill="B8CCE4"/>
            <w:vAlign w:val="center"/>
          </w:tcPr>
          <w:p w:rsidR="00A079F7" w:rsidRPr="00A774DA" w:rsidRDefault="00A079F7" w:rsidP="00E514F4">
            <w:pPr>
              <w:spacing w:after="0"/>
              <w:jc w:val="left"/>
              <w:rPr>
                <w:bCs w:val="0"/>
                <w:sz w:val="16"/>
                <w:szCs w:val="16"/>
                <w:lang w:eastAsia="fr-FR"/>
              </w:rPr>
            </w:pPr>
            <w:r>
              <w:rPr>
                <w:bCs w:val="0"/>
                <w:sz w:val="16"/>
                <w:szCs w:val="16"/>
                <w:lang w:eastAsia="fr-FR"/>
              </w:rPr>
              <w:t>MIZACO</w:t>
            </w:r>
          </w:p>
        </w:tc>
        <w:tc>
          <w:tcPr>
            <w:tcW w:w="680" w:type="pct"/>
            <w:tcBorders>
              <w:top w:val="nil"/>
              <w:left w:val="nil"/>
              <w:bottom w:val="nil"/>
              <w:right w:val="nil"/>
            </w:tcBorders>
            <w:shd w:val="clear" w:color="000000" w:fill="B8CCE4"/>
            <w:vAlign w:val="center"/>
          </w:tcPr>
          <w:p w:rsidR="00A079F7" w:rsidRPr="00A774DA" w:rsidRDefault="00A079F7" w:rsidP="00E514F4">
            <w:pPr>
              <w:spacing w:after="0"/>
              <w:jc w:val="left"/>
              <w:rPr>
                <w:bCs w:val="0"/>
                <w:sz w:val="16"/>
                <w:szCs w:val="16"/>
                <w:lang w:eastAsia="fr-FR"/>
              </w:rPr>
            </w:pPr>
            <w:r w:rsidRPr="00A774DA">
              <w:rPr>
                <w:bCs w:val="0"/>
                <w:sz w:val="16"/>
                <w:szCs w:val="16"/>
                <w:lang w:eastAsia="fr-FR"/>
              </w:rPr>
              <w:t>SOKIMO</w:t>
            </w:r>
          </w:p>
        </w:tc>
        <w:tc>
          <w:tcPr>
            <w:tcW w:w="702" w:type="pct"/>
            <w:tcBorders>
              <w:top w:val="nil"/>
              <w:left w:val="nil"/>
              <w:bottom w:val="nil"/>
              <w:right w:val="nil"/>
            </w:tcBorders>
            <w:shd w:val="clear" w:color="000000" w:fill="B8CCE4"/>
            <w:vAlign w:val="center"/>
          </w:tcPr>
          <w:p w:rsidR="00A079F7" w:rsidRPr="00A774DA" w:rsidRDefault="00A079F7" w:rsidP="00E514F4">
            <w:pPr>
              <w:spacing w:after="0"/>
              <w:jc w:val="center"/>
              <w:rPr>
                <w:bCs w:val="0"/>
                <w:sz w:val="16"/>
                <w:szCs w:val="16"/>
                <w:lang w:eastAsia="fr-FR"/>
              </w:rPr>
            </w:pPr>
            <w:r>
              <w:rPr>
                <w:bCs w:val="0"/>
                <w:sz w:val="16"/>
                <w:szCs w:val="16"/>
                <w:lang w:eastAsia="fr-FR"/>
              </w:rPr>
              <w:t>20</w:t>
            </w:r>
            <w:r w:rsidRPr="00A774DA">
              <w:rPr>
                <w:bCs w:val="0"/>
                <w:sz w:val="16"/>
                <w:szCs w:val="16"/>
                <w:lang w:eastAsia="fr-FR"/>
              </w:rPr>
              <w:t>,00%</w:t>
            </w:r>
          </w:p>
        </w:tc>
      </w:tr>
      <w:tr w:rsidR="00A079F7" w:rsidRPr="00A774DA" w:rsidTr="00E514F4">
        <w:trPr>
          <w:trHeight w:val="288"/>
        </w:trPr>
        <w:tc>
          <w:tcPr>
            <w:tcW w:w="3618" w:type="pct"/>
            <w:tcBorders>
              <w:top w:val="nil"/>
              <w:left w:val="nil"/>
              <w:bottom w:val="nil"/>
              <w:right w:val="nil"/>
            </w:tcBorders>
            <w:shd w:val="clear" w:color="auto" w:fill="auto"/>
            <w:vAlign w:val="center"/>
            <w:hideMark/>
          </w:tcPr>
          <w:p w:rsidR="00A079F7" w:rsidRPr="00A774DA" w:rsidRDefault="00A079F7" w:rsidP="00E514F4">
            <w:pPr>
              <w:spacing w:after="0"/>
              <w:jc w:val="left"/>
              <w:rPr>
                <w:bCs w:val="0"/>
                <w:sz w:val="16"/>
                <w:szCs w:val="16"/>
                <w:lang w:val="en-GB" w:eastAsia="fr-FR"/>
              </w:rPr>
            </w:pPr>
            <w:r w:rsidRPr="00A774DA">
              <w:rPr>
                <w:bCs w:val="0"/>
                <w:sz w:val="16"/>
                <w:szCs w:val="16"/>
                <w:lang w:val="en-GB" w:eastAsia="fr-FR"/>
              </w:rPr>
              <w:t>MINES D’OR DE KISENGE SPRL (CLUFF MINING) - MDDK</w:t>
            </w:r>
          </w:p>
        </w:tc>
        <w:tc>
          <w:tcPr>
            <w:tcW w:w="680" w:type="pct"/>
            <w:tcBorders>
              <w:top w:val="nil"/>
              <w:left w:val="nil"/>
              <w:bottom w:val="nil"/>
              <w:right w:val="nil"/>
            </w:tcBorders>
            <w:shd w:val="clear" w:color="auto" w:fill="auto"/>
            <w:vAlign w:val="center"/>
            <w:hideMark/>
          </w:tcPr>
          <w:p w:rsidR="00A079F7" w:rsidRPr="00A774DA" w:rsidRDefault="00A079F7" w:rsidP="00E514F4">
            <w:pPr>
              <w:spacing w:after="0"/>
              <w:jc w:val="left"/>
              <w:rPr>
                <w:bCs w:val="0"/>
                <w:sz w:val="16"/>
                <w:szCs w:val="16"/>
                <w:lang w:eastAsia="fr-FR"/>
              </w:rPr>
            </w:pPr>
            <w:r w:rsidRPr="00A774DA">
              <w:rPr>
                <w:bCs w:val="0"/>
                <w:sz w:val="16"/>
                <w:szCs w:val="16"/>
                <w:lang w:eastAsia="fr-FR"/>
              </w:rPr>
              <w:t>SCMK-Mn</w:t>
            </w:r>
          </w:p>
        </w:tc>
        <w:tc>
          <w:tcPr>
            <w:tcW w:w="702" w:type="pct"/>
            <w:tcBorders>
              <w:top w:val="nil"/>
              <w:left w:val="nil"/>
              <w:bottom w:val="nil"/>
              <w:right w:val="nil"/>
            </w:tcBorders>
            <w:shd w:val="clear" w:color="auto" w:fill="auto"/>
            <w:vAlign w:val="center"/>
            <w:hideMark/>
          </w:tcPr>
          <w:p w:rsidR="00A079F7" w:rsidRPr="00A774DA" w:rsidRDefault="00A079F7" w:rsidP="00E514F4">
            <w:pPr>
              <w:spacing w:after="0"/>
              <w:jc w:val="center"/>
              <w:rPr>
                <w:bCs w:val="0"/>
                <w:sz w:val="16"/>
                <w:szCs w:val="16"/>
                <w:lang w:eastAsia="fr-FR"/>
              </w:rPr>
            </w:pPr>
            <w:r w:rsidRPr="00A774DA">
              <w:rPr>
                <w:bCs w:val="0"/>
                <w:sz w:val="16"/>
                <w:szCs w:val="16"/>
                <w:lang w:eastAsia="fr-FR"/>
              </w:rPr>
              <w:t>20,00%</w:t>
            </w:r>
          </w:p>
        </w:tc>
      </w:tr>
      <w:tr w:rsidR="00A079F7" w:rsidRPr="00A774DA" w:rsidTr="00E514F4">
        <w:trPr>
          <w:trHeight w:val="288"/>
        </w:trPr>
        <w:tc>
          <w:tcPr>
            <w:tcW w:w="3618" w:type="pct"/>
            <w:tcBorders>
              <w:top w:val="nil"/>
              <w:left w:val="nil"/>
              <w:bottom w:val="nil"/>
              <w:right w:val="nil"/>
            </w:tcBorders>
            <w:shd w:val="clear" w:color="000000" w:fill="B8CCE4"/>
            <w:vAlign w:val="center"/>
            <w:hideMark/>
          </w:tcPr>
          <w:p w:rsidR="00A079F7" w:rsidRPr="00A774DA" w:rsidRDefault="00A079F7" w:rsidP="00E514F4">
            <w:pPr>
              <w:spacing w:after="0"/>
              <w:jc w:val="left"/>
              <w:rPr>
                <w:bCs w:val="0"/>
                <w:color w:val="000000"/>
                <w:sz w:val="16"/>
                <w:szCs w:val="16"/>
                <w:lang w:eastAsia="fr-FR"/>
              </w:rPr>
            </w:pPr>
            <w:r w:rsidRPr="00A774DA">
              <w:rPr>
                <w:bCs w:val="0"/>
                <w:color w:val="000000"/>
                <w:sz w:val="16"/>
                <w:szCs w:val="16"/>
                <w:lang w:eastAsia="fr-FR"/>
              </w:rPr>
              <w:t>SOMIMI</w:t>
            </w:r>
          </w:p>
        </w:tc>
        <w:tc>
          <w:tcPr>
            <w:tcW w:w="680" w:type="pct"/>
            <w:tcBorders>
              <w:top w:val="nil"/>
              <w:left w:val="nil"/>
              <w:bottom w:val="nil"/>
              <w:right w:val="nil"/>
            </w:tcBorders>
            <w:shd w:val="clear" w:color="000000" w:fill="B8CCE4"/>
            <w:vAlign w:val="center"/>
            <w:hideMark/>
          </w:tcPr>
          <w:p w:rsidR="00A079F7" w:rsidRPr="00A774DA" w:rsidRDefault="00A079F7" w:rsidP="00E514F4">
            <w:pPr>
              <w:spacing w:after="0"/>
              <w:jc w:val="left"/>
              <w:rPr>
                <w:bCs w:val="0"/>
                <w:sz w:val="16"/>
                <w:szCs w:val="16"/>
                <w:lang w:eastAsia="fr-FR"/>
              </w:rPr>
            </w:pPr>
            <w:r w:rsidRPr="00A774DA">
              <w:rPr>
                <w:bCs w:val="0"/>
                <w:sz w:val="16"/>
                <w:szCs w:val="16"/>
                <w:lang w:eastAsia="fr-FR"/>
              </w:rPr>
              <w:t>COMINIERE</w:t>
            </w:r>
          </w:p>
        </w:tc>
        <w:tc>
          <w:tcPr>
            <w:tcW w:w="702" w:type="pct"/>
            <w:tcBorders>
              <w:top w:val="nil"/>
              <w:left w:val="nil"/>
              <w:bottom w:val="nil"/>
              <w:right w:val="nil"/>
            </w:tcBorders>
            <w:shd w:val="clear" w:color="000000" w:fill="B8CCE4"/>
            <w:vAlign w:val="center"/>
            <w:hideMark/>
          </w:tcPr>
          <w:p w:rsidR="00A079F7" w:rsidRPr="00A774DA" w:rsidRDefault="00A079F7" w:rsidP="00E514F4">
            <w:pPr>
              <w:spacing w:after="0"/>
              <w:jc w:val="center"/>
              <w:rPr>
                <w:bCs w:val="0"/>
                <w:sz w:val="16"/>
                <w:szCs w:val="16"/>
                <w:lang w:eastAsia="fr-FR"/>
              </w:rPr>
            </w:pPr>
            <w:r>
              <w:rPr>
                <w:bCs w:val="0"/>
                <w:sz w:val="16"/>
                <w:szCs w:val="16"/>
                <w:lang w:eastAsia="fr-FR"/>
              </w:rPr>
              <w:t>32</w:t>
            </w:r>
            <w:r w:rsidRPr="00A774DA">
              <w:rPr>
                <w:bCs w:val="0"/>
                <w:sz w:val="16"/>
                <w:szCs w:val="16"/>
                <w:lang w:eastAsia="fr-FR"/>
              </w:rPr>
              <w:t>,00%</w:t>
            </w:r>
          </w:p>
        </w:tc>
      </w:tr>
      <w:tr w:rsidR="00A079F7" w:rsidRPr="00A774DA" w:rsidTr="00E514F4">
        <w:trPr>
          <w:trHeight w:val="288"/>
        </w:trPr>
        <w:tc>
          <w:tcPr>
            <w:tcW w:w="3618" w:type="pct"/>
            <w:tcBorders>
              <w:top w:val="nil"/>
              <w:left w:val="nil"/>
              <w:right w:val="nil"/>
            </w:tcBorders>
            <w:shd w:val="clear" w:color="auto" w:fill="auto"/>
            <w:vAlign w:val="center"/>
            <w:hideMark/>
          </w:tcPr>
          <w:p w:rsidR="00A079F7" w:rsidRPr="00A774DA" w:rsidRDefault="00A079F7" w:rsidP="00E514F4">
            <w:pPr>
              <w:spacing w:after="0"/>
              <w:jc w:val="left"/>
              <w:rPr>
                <w:bCs w:val="0"/>
                <w:color w:val="000000"/>
                <w:sz w:val="16"/>
                <w:szCs w:val="16"/>
                <w:lang w:eastAsia="fr-FR"/>
              </w:rPr>
            </w:pPr>
            <w:r w:rsidRPr="00A774DA">
              <w:rPr>
                <w:bCs w:val="0"/>
                <w:color w:val="000000"/>
                <w:sz w:val="16"/>
                <w:szCs w:val="16"/>
                <w:lang w:eastAsia="fr-FR"/>
              </w:rPr>
              <w:t xml:space="preserve">SOCIETE D'EXPLOITATION DES GISEMENTS DE MALEMBA NKULU SPRL </w:t>
            </w:r>
            <w:r>
              <w:rPr>
                <w:bCs w:val="0"/>
                <w:color w:val="000000"/>
                <w:sz w:val="16"/>
                <w:szCs w:val="16"/>
                <w:lang w:eastAsia="fr-FR"/>
              </w:rPr>
              <w:t>(</w:t>
            </w:r>
            <w:r w:rsidRPr="00A774DA">
              <w:rPr>
                <w:bCs w:val="0"/>
                <w:color w:val="000000"/>
                <w:sz w:val="16"/>
                <w:szCs w:val="16"/>
                <w:lang w:eastAsia="fr-FR"/>
              </w:rPr>
              <w:t>SEGMAL</w:t>
            </w:r>
            <w:r>
              <w:rPr>
                <w:bCs w:val="0"/>
                <w:color w:val="000000"/>
                <w:sz w:val="16"/>
                <w:szCs w:val="16"/>
                <w:lang w:eastAsia="fr-FR"/>
              </w:rPr>
              <w:t>)</w:t>
            </w:r>
          </w:p>
        </w:tc>
        <w:tc>
          <w:tcPr>
            <w:tcW w:w="680" w:type="pct"/>
            <w:tcBorders>
              <w:top w:val="nil"/>
              <w:left w:val="nil"/>
              <w:right w:val="nil"/>
            </w:tcBorders>
            <w:shd w:val="clear" w:color="auto" w:fill="auto"/>
            <w:vAlign w:val="center"/>
            <w:hideMark/>
          </w:tcPr>
          <w:p w:rsidR="00A079F7" w:rsidRPr="00A774DA" w:rsidRDefault="00A079F7" w:rsidP="00E514F4">
            <w:pPr>
              <w:spacing w:after="0"/>
              <w:jc w:val="left"/>
              <w:rPr>
                <w:bCs w:val="0"/>
                <w:sz w:val="16"/>
                <w:szCs w:val="16"/>
                <w:lang w:eastAsia="fr-FR"/>
              </w:rPr>
            </w:pPr>
            <w:r w:rsidRPr="00A774DA">
              <w:rPr>
                <w:bCs w:val="0"/>
                <w:sz w:val="16"/>
                <w:szCs w:val="16"/>
                <w:lang w:eastAsia="fr-FR"/>
              </w:rPr>
              <w:t>COMINIERE</w:t>
            </w:r>
          </w:p>
        </w:tc>
        <w:tc>
          <w:tcPr>
            <w:tcW w:w="702" w:type="pct"/>
            <w:tcBorders>
              <w:top w:val="nil"/>
              <w:left w:val="nil"/>
              <w:right w:val="nil"/>
            </w:tcBorders>
            <w:shd w:val="clear" w:color="auto" w:fill="auto"/>
            <w:vAlign w:val="center"/>
            <w:hideMark/>
          </w:tcPr>
          <w:p w:rsidR="00A079F7" w:rsidRPr="00A774DA" w:rsidRDefault="00A079F7" w:rsidP="00E514F4">
            <w:pPr>
              <w:spacing w:after="0"/>
              <w:jc w:val="center"/>
              <w:rPr>
                <w:bCs w:val="0"/>
                <w:sz w:val="16"/>
                <w:szCs w:val="16"/>
                <w:lang w:eastAsia="fr-FR"/>
              </w:rPr>
            </w:pPr>
            <w:r w:rsidRPr="00A774DA">
              <w:rPr>
                <w:bCs w:val="0"/>
                <w:sz w:val="16"/>
                <w:szCs w:val="16"/>
                <w:lang w:eastAsia="fr-FR"/>
              </w:rPr>
              <w:t>32,00%</w:t>
            </w:r>
          </w:p>
        </w:tc>
      </w:tr>
      <w:tr w:rsidR="00A079F7" w:rsidRPr="00A774DA" w:rsidTr="00E514F4">
        <w:trPr>
          <w:trHeight w:val="288"/>
        </w:trPr>
        <w:tc>
          <w:tcPr>
            <w:tcW w:w="3618" w:type="pct"/>
            <w:tcBorders>
              <w:top w:val="nil"/>
              <w:left w:val="nil"/>
              <w:bottom w:val="nil"/>
              <w:right w:val="nil"/>
            </w:tcBorders>
            <w:shd w:val="clear" w:color="auto" w:fill="B8CCE4" w:themeFill="accent1" w:themeFillTint="66"/>
            <w:vAlign w:val="center"/>
          </w:tcPr>
          <w:p w:rsidR="00A079F7" w:rsidRPr="00A774DA" w:rsidRDefault="00A079F7" w:rsidP="00E514F4">
            <w:pPr>
              <w:spacing w:after="0"/>
              <w:jc w:val="left"/>
              <w:rPr>
                <w:bCs w:val="0"/>
                <w:color w:val="000000"/>
                <w:sz w:val="16"/>
                <w:szCs w:val="16"/>
                <w:lang w:eastAsia="fr-FR"/>
              </w:rPr>
            </w:pPr>
            <w:r>
              <w:rPr>
                <w:bCs w:val="0"/>
                <w:color w:val="000000"/>
                <w:sz w:val="16"/>
                <w:szCs w:val="16"/>
                <w:lang w:eastAsia="fr-FR"/>
              </w:rPr>
              <w:t>MANOMIN</w:t>
            </w:r>
          </w:p>
        </w:tc>
        <w:tc>
          <w:tcPr>
            <w:tcW w:w="680" w:type="pct"/>
            <w:tcBorders>
              <w:top w:val="nil"/>
              <w:left w:val="nil"/>
              <w:bottom w:val="nil"/>
              <w:right w:val="nil"/>
            </w:tcBorders>
            <w:shd w:val="clear" w:color="auto" w:fill="B8CCE4" w:themeFill="accent1" w:themeFillTint="66"/>
            <w:vAlign w:val="center"/>
          </w:tcPr>
          <w:p w:rsidR="00A079F7" w:rsidRPr="00A774DA" w:rsidRDefault="00A079F7" w:rsidP="00E514F4">
            <w:pPr>
              <w:spacing w:after="0"/>
              <w:jc w:val="left"/>
              <w:rPr>
                <w:bCs w:val="0"/>
                <w:sz w:val="16"/>
                <w:szCs w:val="16"/>
                <w:lang w:eastAsia="fr-FR"/>
              </w:rPr>
            </w:pPr>
            <w:r w:rsidRPr="00A774DA">
              <w:rPr>
                <w:bCs w:val="0"/>
                <w:sz w:val="16"/>
                <w:szCs w:val="16"/>
                <w:lang w:eastAsia="fr-FR"/>
              </w:rPr>
              <w:t>COMINIERE</w:t>
            </w:r>
          </w:p>
        </w:tc>
        <w:tc>
          <w:tcPr>
            <w:tcW w:w="702" w:type="pct"/>
            <w:tcBorders>
              <w:top w:val="nil"/>
              <w:left w:val="nil"/>
              <w:bottom w:val="nil"/>
              <w:right w:val="nil"/>
            </w:tcBorders>
            <w:shd w:val="clear" w:color="auto" w:fill="B8CCE4" w:themeFill="accent1" w:themeFillTint="66"/>
            <w:vAlign w:val="center"/>
          </w:tcPr>
          <w:p w:rsidR="00A079F7" w:rsidRPr="00A774DA" w:rsidRDefault="00A079F7" w:rsidP="00E514F4">
            <w:pPr>
              <w:spacing w:after="0"/>
              <w:jc w:val="center"/>
              <w:rPr>
                <w:bCs w:val="0"/>
                <w:sz w:val="16"/>
                <w:szCs w:val="16"/>
                <w:lang w:eastAsia="fr-FR"/>
              </w:rPr>
            </w:pPr>
            <w:r>
              <w:rPr>
                <w:bCs w:val="0"/>
                <w:sz w:val="16"/>
                <w:szCs w:val="16"/>
                <w:lang w:eastAsia="fr-FR"/>
              </w:rPr>
              <w:t>28</w:t>
            </w:r>
            <w:r w:rsidRPr="00A774DA">
              <w:rPr>
                <w:bCs w:val="0"/>
                <w:sz w:val="16"/>
                <w:szCs w:val="16"/>
                <w:lang w:eastAsia="fr-FR"/>
              </w:rPr>
              <w:t>,00</w:t>
            </w:r>
            <w:r>
              <w:rPr>
                <w:bCs w:val="0"/>
                <w:sz w:val="16"/>
                <w:szCs w:val="16"/>
                <w:lang w:eastAsia="fr-FR"/>
              </w:rPr>
              <w:t>%</w:t>
            </w:r>
          </w:p>
        </w:tc>
      </w:tr>
      <w:tr w:rsidR="00A079F7" w:rsidRPr="00A774DA" w:rsidTr="00E514F4">
        <w:trPr>
          <w:trHeight w:val="288"/>
        </w:trPr>
        <w:tc>
          <w:tcPr>
            <w:tcW w:w="3618" w:type="pct"/>
            <w:tcBorders>
              <w:top w:val="nil"/>
              <w:left w:val="nil"/>
              <w:bottom w:val="nil"/>
              <w:right w:val="nil"/>
            </w:tcBorders>
            <w:shd w:val="clear" w:color="auto" w:fill="auto"/>
            <w:vAlign w:val="center"/>
          </w:tcPr>
          <w:p w:rsidR="00A079F7" w:rsidRDefault="00A079F7" w:rsidP="00BC3E0C">
            <w:pPr>
              <w:spacing w:after="0"/>
              <w:jc w:val="left"/>
              <w:rPr>
                <w:bCs w:val="0"/>
                <w:color w:val="000000"/>
                <w:sz w:val="16"/>
                <w:szCs w:val="16"/>
                <w:lang w:eastAsia="fr-FR"/>
              </w:rPr>
            </w:pPr>
            <w:r>
              <w:rPr>
                <w:bCs w:val="0"/>
                <w:color w:val="000000"/>
                <w:sz w:val="16"/>
                <w:szCs w:val="16"/>
                <w:lang w:eastAsia="fr-FR"/>
              </w:rPr>
              <w:t>MUR</w:t>
            </w:r>
            <w:r w:rsidR="00BC3E0C">
              <w:rPr>
                <w:bCs w:val="0"/>
                <w:color w:val="000000"/>
                <w:sz w:val="16"/>
                <w:szCs w:val="16"/>
                <w:lang w:eastAsia="fr-FR"/>
              </w:rPr>
              <w:t>U</w:t>
            </w:r>
            <w:r>
              <w:rPr>
                <w:bCs w:val="0"/>
                <w:color w:val="000000"/>
                <w:sz w:val="16"/>
                <w:szCs w:val="16"/>
                <w:lang w:eastAsia="fr-FR"/>
              </w:rPr>
              <w:t>MBI</w:t>
            </w:r>
          </w:p>
        </w:tc>
        <w:tc>
          <w:tcPr>
            <w:tcW w:w="680" w:type="pct"/>
            <w:tcBorders>
              <w:top w:val="nil"/>
              <w:left w:val="nil"/>
              <w:bottom w:val="nil"/>
              <w:right w:val="nil"/>
            </w:tcBorders>
            <w:shd w:val="clear" w:color="auto" w:fill="auto"/>
            <w:vAlign w:val="center"/>
          </w:tcPr>
          <w:p w:rsidR="00A079F7" w:rsidRPr="00A774DA" w:rsidRDefault="00A079F7" w:rsidP="00E514F4">
            <w:pPr>
              <w:spacing w:after="0"/>
              <w:jc w:val="left"/>
              <w:rPr>
                <w:bCs w:val="0"/>
                <w:sz w:val="16"/>
                <w:szCs w:val="16"/>
                <w:lang w:eastAsia="fr-FR"/>
              </w:rPr>
            </w:pPr>
            <w:r w:rsidRPr="00A774DA">
              <w:rPr>
                <w:bCs w:val="0"/>
                <w:sz w:val="16"/>
                <w:szCs w:val="16"/>
                <w:lang w:eastAsia="fr-FR"/>
              </w:rPr>
              <w:t>COMINIERE</w:t>
            </w:r>
          </w:p>
        </w:tc>
        <w:tc>
          <w:tcPr>
            <w:tcW w:w="702" w:type="pct"/>
            <w:tcBorders>
              <w:top w:val="nil"/>
              <w:left w:val="nil"/>
              <w:bottom w:val="nil"/>
              <w:right w:val="nil"/>
            </w:tcBorders>
            <w:shd w:val="clear" w:color="auto" w:fill="auto"/>
            <w:vAlign w:val="center"/>
          </w:tcPr>
          <w:p w:rsidR="00A079F7" w:rsidRPr="00A774DA" w:rsidRDefault="00A079F7" w:rsidP="00E514F4">
            <w:pPr>
              <w:spacing w:after="0"/>
              <w:jc w:val="center"/>
              <w:rPr>
                <w:bCs w:val="0"/>
                <w:sz w:val="16"/>
                <w:szCs w:val="16"/>
                <w:lang w:eastAsia="fr-FR"/>
              </w:rPr>
            </w:pPr>
            <w:r>
              <w:rPr>
                <w:bCs w:val="0"/>
                <w:sz w:val="16"/>
                <w:szCs w:val="16"/>
                <w:lang w:eastAsia="fr-FR"/>
              </w:rPr>
              <w:t>10</w:t>
            </w:r>
            <w:r w:rsidRPr="00A774DA">
              <w:rPr>
                <w:bCs w:val="0"/>
                <w:sz w:val="16"/>
                <w:szCs w:val="16"/>
                <w:lang w:eastAsia="fr-FR"/>
              </w:rPr>
              <w:t>,00</w:t>
            </w:r>
            <w:r>
              <w:rPr>
                <w:bCs w:val="0"/>
                <w:sz w:val="16"/>
                <w:szCs w:val="16"/>
                <w:lang w:eastAsia="fr-FR"/>
              </w:rPr>
              <w:t>%</w:t>
            </w:r>
          </w:p>
        </w:tc>
      </w:tr>
      <w:tr w:rsidR="0047590F" w:rsidRPr="00A774DA" w:rsidTr="00E514F4">
        <w:trPr>
          <w:trHeight w:val="288"/>
        </w:trPr>
        <w:tc>
          <w:tcPr>
            <w:tcW w:w="3618" w:type="pct"/>
            <w:tcBorders>
              <w:top w:val="nil"/>
              <w:left w:val="nil"/>
              <w:bottom w:val="nil"/>
              <w:right w:val="nil"/>
            </w:tcBorders>
            <w:shd w:val="clear" w:color="auto" w:fill="auto"/>
            <w:vAlign w:val="center"/>
          </w:tcPr>
          <w:p w:rsidR="0047590F" w:rsidRDefault="0047590F" w:rsidP="00BC3E0C">
            <w:pPr>
              <w:spacing w:after="0"/>
              <w:jc w:val="left"/>
              <w:rPr>
                <w:bCs w:val="0"/>
                <w:color w:val="000000"/>
                <w:sz w:val="16"/>
                <w:szCs w:val="16"/>
                <w:lang w:eastAsia="fr-FR"/>
              </w:rPr>
            </w:pPr>
            <w:r>
              <w:rPr>
                <w:bCs w:val="0"/>
                <w:color w:val="000000"/>
                <w:sz w:val="16"/>
                <w:szCs w:val="16"/>
                <w:lang w:eastAsia="fr-FR"/>
              </w:rPr>
              <w:t>TANBGANIKA</w:t>
            </w:r>
          </w:p>
        </w:tc>
        <w:tc>
          <w:tcPr>
            <w:tcW w:w="680" w:type="pct"/>
            <w:tcBorders>
              <w:top w:val="nil"/>
              <w:left w:val="nil"/>
              <w:bottom w:val="nil"/>
              <w:right w:val="nil"/>
            </w:tcBorders>
            <w:shd w:val="clear" w:color="auto" w:fill="auto"/>
            <w:vAlign w:val="center"/>
          </w:tcPr>
          <w:p w:rsidR="0047590F" w:rsidRPr="00A774DA" w:rsidRDefault="0047590F" w:rsidP="00E514F4">
            <w:pPr>
              <w:spacing w:after="0"/>
              <w:jc w:val="left"/>
              <w:rPr>
                <w:bCs w:val="0"/>
                <w:sz w:val="16"/>
                <w:szCs w:val="16"/>
                <w:lang w:eastAsia="fr-FR"/>
              </w:rPr>
            </w:pPr>
            <w:r>
              <w:rPr>
                <w:bCs w:val="0"/>
                <w:sz w:val="16"/>
                <w:szCs w:val="16"/>
                <w:lang w:eastAsia="fr-FR"/>
              </w:rPr>
              <w:t>COMINIERE</w:t>
            </w:r>
          </w:p>
        </w:tc>
        <w:tc>
          <w:tcPr>
            <w:tcW w:w="702" w:type="pct"/>
            <w:tcBorders>
              <w:top w:val="nil"/>
              <w:left w:val="nil"/>
              <w:bottom w:val="nil"/>
              <w:right w:val="nil"/>
            </w:tcBorders>
            <w:shd w:val="clear" w:color="auto" w:fill="auto"/>
            <w:vAlign w:val="center"/>
          </w:tcPr>
          <w:p w:rsidR="0047590F" w:rsidRDefault="0047590F" w:rsidP="00E514F4">
            <w:pPr>
              <w:spacing w:after="0"/>
              <w:jc w:val="center"/>
              <w:rPr>
                <w:bCs w:val="0"/>
                <w:sz w:val="16"/>
                <w:szCs w:val="16"/>
                <w:lang w:eastAsia="fr-FR"/>
              </w:rPr>
            </w:pPr>
            <w:r>
              <w:rPr>
                <w:bCs w:val="0"/>
                <w:sz w:val="16"/>
                <w:szCs w:val="16"/>
                <w:lang w:eastAsia="fr-FR"/>
              </w:rPr>
              <w:t>32,00%</w:t>
            </w:r>
          </w:p>
        </w:tc>
      </w:tr>
    </w:tbl>
    <w:p w:rsidR="00A079F7" w:rsidRPr="00A774DA" w:rsidRDefault="00D72163" w:rsidP="00A079F7">
      <w:pPr>
        <w:pStyle w:val="Heading3"/>
        <w:numPr>
          <w:ilvl w:val="2"/>
          <w:numId w:val="2"/>
        </w:numPr>
        <w:tabs>
          <w:tab w:val="left" w:pos="800"/>
        </w:tabs>
        <w:spacing w:before="240"/>
        <w:ind w:left="799" w:hanging="799"/>
        <w:rPr>
          <w:b/>
          <w:bCs w:val="0"/>
          <w:i w:val="0"/>
          <w:iCs w:val="0"/>
          <w:color w:val="0070C0"/>
          <w:szCs w:val="20"/>
        </w:rPr>
      </w:pPr>
      <w:r>
        <w:rPr>
          <w:b/>
          <w:bCs w:val="0"/>
          <w:i w:val="0"/>
          <w:iCs w:val="0"/>
          <w:color w:val="0070C0"/>
          <w:szCs w:val="20"/>
        </w:rPr>
        <w:t>Mécanisme de c</w:t>
      </w:r>
      <w:r w:rsidR="00A079F7" w:rsidRPr="00A774DA">
        <w:rPr>
          <w:b/>
          <w:bCs w:val="0"/>
          <w:i w:val="0"/>
          <w:iCs w:val="0"/>
          <w:color w:val="0070C0"/>
          <w:szCs w:val="20"/>
        </w:rPr>
        <w:t>ession des parts sociales des Entreprises d’Etat</w:t>
      </w:r>
    </w:p>
    <w:p w:rsidR="00A079F7" w:rsidRPr="00A774DA" w:rsidRDefault="00A079F7" w:rsidP="00A079F7">
      <w:pPr>
        <w:rPr>
          <w:szCs w:val="20"/>
        </w:rPr>
      </w:pPr>
      <w:r w:rsidRPr="00A774DA">
        <w:rPr>
          <w:szCs w:val="20"/>
        </w:rPr>
        <w:t xml:space="preserve">L’Article 3 du Décret n° 13/003 du 15 janvier 2013 relatif aux conditions et modalités de cession des parts sociales ou actions de l'Etat aux personnes physiques ou morales de nationalité congolaise et/ou aux salariés prévoit qu’en cas de désengagement de l'Etat congolais par cession à titre onéreux, de tout ou partie du capital social d'une entreprise du Portefeuille de l'Etat, le décret du Premier Ministre délibéré en Conseil des </w:t>
      </w:r>
      <w:r>
        <w:rPr>
          <w:szCs w:val="20"/>
        </w:rPr>
        <w:t>M</w:t>
      </w:r>
      <w:r w:rsidRPr="00A774DA">
        <w:rPr>
          <w:szCs w:val="20"/>
        </w:rPr>
        <w:t>inistres, qui décide de cette opération, fixe la proportion des titres susceptibles d'être cédés en priorité aux personnes physiques ou morales de nationalité congolaise ou aux salariés.</w:t>
      </w:r>
    </w:p>
    <w:p w:rsidR="008640A8" w:rsidRDefault="00A079F7" w:rsidP="00A079F7">
      <w:pPr>
        <w:rPr>
          <w:szCs w:val="20"/>
        </w:rPr>
      </w:pPr>
      <w:r w:rsidRPr="00A774DA">
        <w:rPr>
          <w:szCs w:val="20"/>
        </w:rPr>
        <w:t>L’Article 5 du même décret prévoit que l'offre de cession des parts ou actions doit faire l'objet d'une large publicité, notamment par publication d'un avis de cession au Journal officiel, par voie de presse écrite dans au moins trois organes de presse, par affichage e</w:t>
      </w:r>
      <w:r>
        <w:rPr>
          <w:szCs w:val="20"/>
        </w:rPr>
        <w:t>t par tous moyens audiovisuels.</w:t>
      </w:r>
    </w:p>
    <w:p w:rsidR="00A079F7" w:rsidRPr="00A774DA" w:rsidRDefault="00A079F7" w:rsidP="00A079F7">
      <w:pPr>
        <w:rPr>
          <w:szCs w:val="20"/>
        </w:rPr>
      </w:pPr>
    </w:p>
    <w:p w:rsidR="00A079F7" w:rsidRPr="00A774DA" w:rsidRDefault="00A079F7" w:rsidP="00A079F7">
      <w:pPr>
        <w:pStyle w:val="Heading2"/>
        <w:numPr>
          <w:ilvl w:val="1"/>
          <w:numId w:val="2"/>
        </w:numPr>
        <w:shd w:val="clear" w:color="auto" w:fill="BFBFBF"/>
        <w:spacing w:before="240"/>
        <w:ind w:left="567" w:hanging="567"/>
        <w:rPr>
          <w:sz w:val="24"/>
          <w:szCs w:val="24"/>
        </w:rPr>
      </w:pPr>
      <w:bookmarkStart w:id="21" w:name="_Toc395112177"/>
      <w:bookmarkStart w:id="22" w:name="_Toc403318607"/>
      <w:bookmarkStart w:id="23" w:name="_Toc404248422"/>
      <w:bookmarkStart w:id="24" w:name="_Toc407571028"/>
      <w:bookmarkStart w:id="25" w:name="_Toc429359777"/>
      <w:bookmarkStart w:id="26" w:name="_Toc451431099"/>
      <w:r w:rsidRPr="00A774DA">
        <w:rPr>
          <w:sz w:val="24"/>
          <w:szCs w:val="24"/>
        </w:rPr>
        <w:t xml:space="preserve">Pratiques d’audit </w:t>
      </w:r>
      <w:bookmarkEnd w:id="21"/>
      <w:bookmarkEnd w:id="22"/>
      <w:bookmarkEnd w:id="23"/>
      <w:r w:rsidRPr="00A774DA">
        <w:rPr>
          <w:sz w:val="24"/>
          <w:szCs w:val="24"/>
        </w:rPr>
        <w:t>en RDC</w:t>
      </w:r>
      <w:bookmarkEnd w:id="24"/>
      <w:bookmarkEnd w:id="25"/>
      <w:bookmarkEnd w:id="26"/>
    </w:p>
    <w:p w:rsidR="00A079F7" w:rsidRPr="00A774DA" w:rsidRDefault="00A079F7" w:rsidP="00A079F7">
      <w:pPr>
        <w:pStyle w:val="Heading3"/>
        <w:numPr>
          <w:ilvl w:val="2"/>
          <w:numId w:val="2"/>
        </w:numPr>
        <w:tabs>
          <w:tab w:val="left" w:pos="800"/>
        </w:tabs>
        <w:spacing w:before="240"/>
        <w:ind w:left="799" w:hanging="799"/>
        <w:rPr>
          <w:b/>
          <w:bCs w:val="0"/>
          <w:i w:val="0"/>
          <w:iCs w:val="0"/>
          <w:color w:val="0070C0"/>
          <w:szCs w:val="20"/>
        </w:rPr>
      </w:pPr>
      <w:r w:rsidRPr="00A774DA">
        <w:rPr>
          <w:b/>
          <w:bCs w:val="0"/>
          <w:i w:val="0"/>
          <w:iCs w:val="0"/>
          <w:color w:val="0070C0"/>
          <w:szCs w:val="20"/>
        </w:rPr>
        <w:t>Entreprises</w:t>
      </w:r>
    </w:p>
    <w:p w:rsidR="00A079F7" w:rsidRPr="00A774DA" w:rsidRDefault="00A079F7" w:rsidP="007B0F6C">
      <w:pPr>
        <w:pStyle w:val="ListParagraph"/>
        <w:numPr>
          <w:ilvl w:val="0"/>
          <w:numId w:val="10"/>
        </w:numPr>
        <w:spacing w:before="120" w:after="120"/>
        <w:ind w:left="426" w:hanging="426"/>
        <w:rPr>
          <w:rFonts w:eastAsia="+mn-ea"/>
          <w:b/>
          <w:bCs w:val="0"/>
          <w:szCs w:val="20"/>
        </w:rPr>
      </w:pPr>
      <w:r w:rsidRPr="00A774DA">
        <w:rPr>
          <w:rFonts w:eastAsia="+mn-ea"/>
          <w:b/>
          <w:bCs w:val="0"/>
          <w:szCs w:val="20"/>
        </w:rPr>
        <w:t>Entreprises publiques</w:t>
      </w:r>
    </w:p>
    <w:p w:rsidR="00A079F7" w:rsidRPr="00A774DA" w:rsidRDefault="00A079F7" w:rsidP="00A079F7">
      <w:pPr>
        <w:rPr>
          <w:szCs w:val="20"/>
        </w:rPr>
      </w:pPr>
      <w:r w:rsidRPr="00A774DA">
        <w:rPr>
          <w:szCs w:val="20"/>
        </w:rPr>
        <w:t>Au terme de l’Article 15 de la Loi N° 08/009 du 7 juillet 2008 portant dispositions générales applicables aux établissements publics, « Les commissaires aux comptes des établissements publics doivent être deux personnes physiques issues de structures professionnelles différentes justifiant de connaissances techniques et professionnelles éprouvées. Ils sont nommés par un Décret du Premier Ministre délibéré en conseil des Ministres, sur proposition du Ministre du secteur d’activités concerné, pour un mandat de 5 ans renouvelable. ».</w:t>
      </w:r>
    </w:p>
    <w:p w:rsidR="00A079F7" w:rsidRPr="00A774DA" w:rsidRDefault="00A079F7" w:rsidP="00A079F7">
      <w:r w:rsidRPr="00A774DA">
        <w:t xml:space="preserve">Par conséquent, les dispositions de cette loi ne précisent pas que les commissaires aux comptes doivent être inscrits à un ordre de professionnels comptables. </w:t>
      </w:r>
    </w:p>
    <w:p w:rsidR="00A079F7" w:rsidRPr="00A774DA" w:rsidRDefault="00A079F7" w:rsidP="00A079F7">
      <w:pPr>
        <w:rPr>
          <w:szCs w:val="20"/>
        </w:rPr>
      </w:pPr>
      <w:r w:rsidRPr="00A774DA">
        <w:t xml:space="preserve">Outre ces contrôles par des commissaires aux comptes, d’autres vérifications des établissements publics peuvent être effectuées par la Cour des </w:t>
      </w:r>
      <w:r>
        <w:t>C</w:t>
      </w:r>
      <w:r w:rsidRPr="00A774DA">
        <w:t>omptes et l’Inspection Générale des Finances.</w:t>
      </w:r>
    </w:p>
    <w:p w:rsidR="00A079F7" w:rsidRPr="00A774DA" w:rsidRDefault="00A079F7" w:rsidP="00A079F7">
      <w:pPr>
        <w:rPr>
          <w:szCs w:val="20"/>
        </w:rPr>
      </w:pPr>
      <w:r w:rsidRPr="00A774DA">
        <w:rPr>
          <w:szCs w:val="20"/>
        </w:rPr>
        <w:t xml:space="preserve">Aux termes de l’Article 2 de la Loi n°08/010 du 7 juillet 2008 fixant les règles relatives à l’organisation et à la gestion du portefeuille de l’Etat une entreprise publique est « toute entreprise du portefeuille de </w:t>
      </w:r>
      <w:r w:rsidRPr="00A774DA">
        <w:rPr>
          <w:szCs w:val="20"/>
        </w:rPr>
        <w:lastRenderedPageBreak/>
        <w:t>l’Etat dans laquelle l’Etat ou toute autre personne morale de droit public détient la totalité ou la majorité absolue du capital social. »</w:t>
      </w:r>
    </w:p>
    <w:p w:rsidR="00A079F7" w:rsidRPr="00A774DA" w:rsidRDefault="00A079F7" w:rsidP="007B0F6C">
      <w:pPr>
        <w:pStyle w:val="ListParagraph"/>
        <w:numPr>
          <w:ilvl w:val="0"/>
          <w:numId w:val="10"/>
        </w:numPr>
        <w:spacing w:before="120" w:after="120"/>
        <w:ind w:left="426" w:hanging="426"/>
        <w:rPr>
          <w:rFonts w:eastAsia="+mn-ea"/>
          <w:b/>
          <w:bCs w:val="0"/>
          <w:szCs w:val="20"/>
        </w:rPr>
      </w:pPr>
      <w:r w:rsidRPr="00A774DA">
        <w:rPr>
          <w:rFonts w:eastAsia="+mn-ea"/>
          <w:b/>
          <w:bCs w:val="0"/>
          <w:szCs w:val="20"/>
        </w:rPr>
        <w:t>Entreprises privées</w:t>
      </w:r>
    </w:p>
    <w:p w:rsidR="00A079F7" w:rsidRPr="00A774DA" w:rsidRDefault="00A079F7" w:rsidP="00A079F7">
      <w:pPr>
        <w:rPr>
          <w:szCs w:val="20"/>
        </w:rPr>
      </w:pPr>
      <w:r w:rsidRPr="00A774DA">
        <w:rPr>
          <w:szCs w:val="20"/>
        </w:rPr>
        <w:t>Les entreprises autres que publiques, y compris les opérations conjointes, sont soumises à la règlementation du droit commun.</w:t>
      </w:r>
    </w:p>
    <w:p w:rsidR="00A079F7" w:rsidRPr="00A774DA" w:rsidRDefault="00A079F7" w:rsidP="00A079F7">
      <w:pPr>
        <w:rPr>
          <w:szCs w:val="20"/>
        </w:rPr>
      </w:pPr>
      <w:r w:rsidRPr="00A774DA">
        <w:rPr>
          <w:szCs w:val="20"/>
        </w:rPr>
        <w:t xml:space="preserve">Les obligations en matière d’audit des comptes annuels des entreprises privées sont contenues dans le </w:t>
      </w:r>
      <w:r>
        <w:rPr>
          <w:szCs w:val="20"/>
        </w:rPr>
        <w:t>D</w:t>
      </w:r>
      <w:r w:rsidRPr="00A774DA">
        <w:rPr>
          <w:szCs w:val="20"/>
        </w:rPr>
        <w:t xml:space="preserve">écret du 27 février 1887 sur les sociétés commerciales : les dispositions de l’article 94 de cette loi prévoient la nomination d’un collège de </w:t>
      </w:r>
      <w:r>
        <w:rPr>
          <w:szCs w:val="20"/>
        </w:rPr>
        <w:t>C</w:t>
      </w:r>
      <w:r w:rsidRPr="00A774DA">
        <w:rPr>
          <w:szCs w:val="20"/>
        </w:rPr>
        <w:t xml:space="preserve">ommissaires aux </w:t>
      </w:r>
      <w:r>
        <w:rPr>
          <w:szCs w:val="20"/>
        </w:rPr>
        <w:t>C</w:t>
      </w:r>
      <w:r w:rsidRPr="00A774DA">
        <w:rPr>
          <w:szCs w:val="20"/>
        </w:rPr>
        <w:t xml:space="preserve">omptes pour les entreprises privées commerciales (SPRL et SARL) et d’économie mixte si le nombre des associés ou actionnaires dépasse cinq (5). Cependant, la loi ne précise pas les qualifications de ces </w:t>
      </w:r>
      <w:r>
        <w:rPr>
          <w:szCs w:val="20"/>
        </w:rPr>
        <w:t>C</w:t>
      </w:r>
      <w:r w:rsidRPr="00A774DA">
        <w:rPr>
          <w:szCs w:val="20"/>
        </w:rPr>
        <w:t xml:space="preserve">ommissaires aux </w:t>
      </w:r>
      <w:r>
        <w:rPr>
          <w:szCs w:val="20"/>
        </w:rPr>
        <w:t>C</w:t>
      </w:r>
      <w:r w:rsidRPr="00A774DA">
        <w:rPr>
          <w:szCs w:val="20"/>
        </w:rPr>
        <w:t>omptes.</w:t>
      </w:r>
    </w:p>
    <w:p w:rsidR="00A079F7" w:rsidRPr="00A774DA" w:rsidRDefault="00A079F7" w:rsidP="00A079F7">
      <w:pPr>
        <w:rPr>
          <w:szCs w:val="20"/>
        </w:rPr>
      </w:pPr>
      <w:r w:rsidRPr="00A774DA">
        <w:rPr>
          <w:szCs w:val="20"/>
        </w:rPr>
        <w:t xml:space="preserve">En 2012, la RDC a adhéré à l’OHADA « Organisation pour l’Harmonisation en Afrique du Droit des Affaires ») ce qui a rendu la législation de l’OHADA applicable en RDC en septembre 2012. Les sociétés de la RDC ont bénéficié d’une période de transition de deux ans pour rendre leurs documents constitutifs conformes à l’Acte uniforme relatif au droit des sociétés commerciales et du groupement d’intérêt économique de l’OHADA. </w:t>
      </w:r>
    </w:p>
    <w:p w:rsidR="00A079F7" w:rsidRPr="00A774DA" w:rsidRDefault="00A079F7" w:rsidP="00A079F7">
      <w:pPr>
        <w:rPr>
          <w:szCs w:val="20"/>
        </w:rPr>
      </w:pPr>
      <w:r w:rsidRPr="00A774DA">
        <w:rPr>
          <w:szCs w:val="20"/>
        </w:rPr>
        <w:t>Les lois de l’OHADA offriront à la RDC un cadre juridique moderne pour les joint-ventures, et ce compris des formes nouvelles et mieux adaptées de sociétés (SA et SARL) et des règles sophistiquées en matière de gouvernance des entreprises. L’OHADA introduira également des obligations strictes en matière de comptabilité et d'audit des sociétés de la RDC.</w:t>
      </w:r>
    </w:p>
    <w:p w:rsidR="00A079F7" w:rsidRPr="00A774DA" w:rsidRDefault="00A079F7" w:rsidP="00A079F7">
      <w:pPr>
        <w:rPr>
          <w:szCs w:val="20"/>
        </w:rPr>
      </w:pPr>
      <w:r w:rsidRPr="00A774DA">
        <w:rPr>
          <w:szCs w:val="20"/>
        </w:rPr>
        <w:t>Selon l’Article 702 de l'Acte Uniforme de l'OHADA, Les sociétés anonymes ne faisant pas publiquement appel à l'épargne sont tenues de désigner un Commissaire aux Comptes et un suppléant. Les sociétés anonymes faisant publiquement appel à l'épargne sont tenues de désigner au moins deux Commissaires aux Comptes et deux suppléants.</w:t>
      </w:r>
    </w:p>
    <w:p w:rsidR="00A079F7" w:rsidRPr="00A774DA" w:rsidRDefault="00A079F7" w:rsidP="00A079F7">
      <w:pPr>
        <w:rPr>
          <w:szCs w:val="20"/>
        </w:rPr>
      </w:pPr>
      <w:r w:rsidRPr="00A774DA">
        <w:rPr>
          <w:szCs w:val="20"/>
        </w:rPr>
        <w:t>Pour les sociétés à responsabilité limitée, selon l’Article 376 de l'Acte Uniforme de l'OHADA, la désignation d’un Commissaire aux Comptes est obligatoire si leur capital social ou leur chiffre d’affaires/effectif permanent dépasse certains seuils.</w:t>
      </w:r>
    </w:p>
    <w:p w:rsidR="00A079F7" w:rsidRPr="00A774DA" w:rsidRDefault="002B214C" w:rsidP="00A079F7">
      <w:pPr>
        <w:pStyle w:val="Heading3"/>
        <w:numPr>
          <w:ilvl w:val="2"/>
          <w:numId w:val="2"/>
        </w:numPr>
        <w:tabs>
          <w:tab w:val="left" w:pos="800"/>
        </w:tabs>
        <w:spacing w:before="180" w:after="180"/>
        <w:ind w:left="799" w:hanging="799"/>
        <w:rPr>
          <w:b/>
          <w:bCs w:val="0"/>
          <w:i w:val="0"/>
          <w:iCs w:val="0"/>
          <w:color w:val="0070C0"/>
          <w:szCs w:val="20"/>
        </w:rPr>
      </w:pPr>
      <w:r>
        <w:rPr>
          <w:b/>
          <w:bCs w:val="0"/>
          <w:i w:val="0"/>
          <w:iCs w:val="0"/>
          <w:color w:val="0070C0"/>
          <w:szCs w:val="20"/>
        </w:rPr>
        <w:t xml:space="preserve">Agences </w:t>
      </w:r>
      <w:r w:rsidR="00A079F7" w:rsidRPr="00A774DA">
        <w:rPr>
          <w:b/>
          <w:bCs w:val="0"/>
          <w:i w:val="0"/>
          <w:iCs w:val="0"/>
          <w:color w:val="0070C0"/>
          <w:szCs w:val="20"/>
        </w:rPr>
        <w:t>Financières</w:t>
      </w:r>
      <w:r>
        <w:rPr>
          <w:b/>
          <w:bCs w:val="0"/>
          <w:i w:val="0"/>
          <w:iCs w:val="0"/>
          <w:color w:val="0070C0"/>
          <w:szCs w:val="20"/>
        </w:rPr>
        <w:t xml:space="preserve"> de l'Etat</w:t>
      </w:r>
    </w:p>
    <w:p w:rsidR="00A079F7" w:rsidRPr="00A774DA" w:rsidRDefault="00A079F7" w:rsidP="007B0F6C">
      <w:pPr>
        <w:pStyle w:val="ListParagraph"/>
        <w:numPr>
          <w:ilvl w:val="0"/>
          <w:numId w:val="11"/>
        </w:numPr>
        <w:spacing w:before="120" w:after="120"/>
        <w:ind w:left="426" w:hanging="426"/>
        <w:rPr>
          <w:rFonts w:eastAsia="+mn-ea"/>
          <w:b/>
          <w:bCs w:val="0"/>
          <w:szCs w:val="20"/>
        </w:rPr>
      </w:pPr>
      <w:r w:rsidRPr="00A774DA">
        <w:rPr>
          <w:rFonts w:eastAsia="+mn-ea"/>
          <w:b/>
          <w:bCs w:val="0"/>
          <w:szCs w:val="20"/>
        </w:rPr>
        <w:t>La Cour des Comptes</w:t>
      </w:r>
    </w:p>
    <w:p w:rsidR="00A079F7" w:rsidRPr="00A774DA" w:rsidRDefault="00A079F7" w:rsidP="00A079F7">
      <w:pPr>
        <w:rPr>
          <w:szCs w:val="20"/>
        </w:rPr>
      </w:pPr>
      <w:r w:rsidRPr="00A774DA">
        <w:rPr>
          <w:szCs w:val="20"/>
        </w:rPr>
        <w:t xml:space="preserve">Aux termes de l’Article 180 de la Constitution de la RDC, « la Cour des </w:t>
      </w:r>
      <w:r>
        <w:rPr>
          <w:szCs w:val="20"/>
        </w:rPr>
        <w:t>C</w:t>
      </w:r>
      <w:r w:rsidRPr="00A774DA">
        <w:rPr>
          <w:szCs w:val="20"/>
        </w:rPr>
        <w:t>omptes contrôle, dans les conditions fixées par la loi, la gestion des finances de l'Etat, des biens publics ainsi que les comptes des provinces, des entités territoriales décentralisées ainsi que des organismes publics. Elle publie, chaque année, un rapport remis au Président de la République, au Parlement et au Gouvernement. Le rapport est publié au Journal Officiel. »</w:t>
      </w:r>
    </w:p>
    <w:p w:rsidR="00A079F7" w:rsidRPr="00A774DA" w:rsidRDefault="00A079F7" w:rsidP="00A079F7">
      <w:pPr>
        <w:rPr>
          <w:szCs w:val="20"/>
        </w:rPr>
      </w:pPr>
      <w:r w:rsidRPr="00A774DA">
        <w:rPr>
          <w:szCs w:val="20"/>
        </w:rPr>
        <w:t>La composition, l’organisation et le fonctionnement de la Cour des Comptes sont régis par l’Ordonnance-Loi 87-005 du 6 février 1987.</w:t>
      </w:r>
    </w:p>
    <w:p w:rsidR="00A079F7" w:rsidRPr="00A774DA" w:rsidRDefault="00A079F7" w:rsidP="00A079F7">
      <w:pPr>
        <w:rPr>
          <w:szCs w:val="20"/>
        </w:rPr>
      </w:pPr>
      <w:r w:rsidRPr="00A774DA">
        <w:rPr>
          <w:szCs w:val="20"/>
        </w:rPr>
        <w:t xml:space="preserve">L’Article 21 de la </w:t>
      </w:r>
      <w:r>
        <w:rPr>
          <w:szCs w:val="20"/>
        </w:rPr>
        <w:t>l</w:t>
      </w:r>
      <w:r w:rsidRPr="00A774DA">
        <w:rPr>
          <w:szCs w:val="20"/>
        </w:rPr>
        <w:t xml:space="preserve">oi </w:t>
      </w:r>
      <w:r w:rsidR="00F63E58" w:rsidRPr="00A774DA">
        <w:rPr>
          <w:szCs w:val="20"/>
        </w:rPr>
        <w:t>sus</w:t>
      </w:r>
      <w:r w:rsidR="00F63E58">
        <w:rPr>
          <w:szCs w:val="20"/>
        </w:rPr>
        <w:t>v</w:t>
      </w:r>
      <w:r w:rsidR="00F63E58" w:rsidRPr="00A774DA">
        <w:rPr>
          <w:szCs w:val="20"/>
        </w:rPr>
        <w:t>isée</w:t>
      </w:r>
      <w:r w:rsidRPr="00A774DA">
        <w:rPr>
          <w:szCs w:val="20"/>
        </w:rPr>
        <w:t xml:space="preserve"> stipule que « la Cour des Comptes dispose d’un pouvoir général et permanent de contrôle de la gestion des finances et des biens publics ainsi que de ceux de tous les établissements publics définis à l’Article 3 de la présente Ordonnance-Loi. À ce titre, elle est chargée notamment: </w:t>
      </w:r>
    </w:p>
    <w:p w:rsidR="00A079F7" w:rsidRPr="00D94CDC" w:rsidRDefault="00A079F7" w:rsidP="007B0F6C">
      <w:pPr>
        <w:pStyle w:val="ListParagraph"/>
        <w:numPr>
          <w:ilvl w:val="0"/>
          <w:numId w:val="46"/>
        </w:numPr>
        <w:spacing w:after="0"/>
        <w:rPr>
          <w:szCs w:val="20"/>
        </w:rPr>
      </w:pPr>
      <w:r w:rsidRPr="00D94CDC">
        <w:rPr>
          <w:szCs w:val="20"/>
        </w:rPr>
        <w:t>d’examiner le compte général du Trésor;</w:t>
      </w:r>
    </w:p>
    <w:p w:rsidR="00A079F7" w:rsidRPr="00D94CDC" w:rsidRDefault="00A079F7" w:rsidP="007B0F6C">
      <w:pPr>
        <w:pStyle w:val="ListParagraph"/>
        <w:numPr>
          <w:ilvl w:val="0"/>
          <w:numId w:val="46"/>
        </w:numPr>
        <w:spacing w:after="0"/>
        <w:rPr>
          <w:szCs w:val="20"/>
        </w:rPr>
      </w:pPr>
      <w:r w:rsidRPr="00D94CDC">
        <w:rPr>
          <w:szCs w:val="20"/>
        </w:rPr>
        <w:t>d’examiner les comptes des comptables publics; et</w:t>
      </w:r>
    </w:p>
    <w:p w:rsidR="00A079F7" w:rsidRDefault="00A079F7" w:rsidP="007B0F6C">
      <w:pPr>
        <w:pStyle w:val="ListParagraph"/>
        <w:numPr>
          <w:ilvl w:val="0"/>
          <w:numId w:val="46"/>
        </w:numPr>
        <w:spacing w:after="0"/>
        <w:rPr>
          <w:szCs w:val="20"/>
        </w:rPr>
      </w:pPr>
      <w:r w:rsidRPr="00D94CDC">
        <w:rPr>
          <w:szCs w:val="20"/>
        </w:rPr>
        <w:t>de contrôler et vérifier la gestion et les comptes des établissements publics».</w:t>
      </w:r>
    </w:p>
    <w:p w:rsidR="00D94CDC" w:rsidRPr="00D94CDC" w:rsidRDefault="00D94CDC" w:rsidP="00D94CDC">
      <w:pPr>
        <w:pStyle w:val="ListParagraph"/>
        <w:spacing w:after="0"/>
        <w:ind w:left="720"/>
        <w:rPr>
          <w:szCs w:val="20"/>
        </w:rPr>
      </w:pPr>
    </w:p>
    <w:p w:rsidR="00A079F7" w:rsidRPr="00A774DA" w:rsidRDefault="00A079F7" w:rsidP="00D94CDC">
      <w:pPr>
        <w:spacing w:after="0"/>
        <w:rPr>
          <w:szCs w:val="20"/>
        </w:rPr>
      </w:pPr>
      <w:r w:rsidRPr="00A774DA">
        <w:rPr>
          <w:szCs w:val="20"/>
        </w:rPr>
        <w:t xml:space="preserve">L’Article 25 de la même loi prévoit que la Cour des Comptes vérifie que les recettes dues à l’État sont versées régulièrement au Trésor. </w:t>
      </w:r>
    </w:p>
    <w:p w:rsidR="00A079F7" w:rsidRPr="00A774DA" w:rsidRDefault="00A079F7" w:rsidP="00A079F7">
      <w:pPr>
        <w:rPr>
          <w:szCs w:val="20"/>
        </w:rPr>
      </w:pPr>
      <w:r w:rsidRPr="00A774DA">
        <w:rPr>
          <w:szCs w:val="20"/>
        </w:rPr>
        <w:lastRenderedPageBreak/>
        <w:t>Selon l’Article 33, la Cour des Comptes établit chaque année un rapport sur la gestion des finances et biens publics à l’intention du Président de la République et du conseil législatif. La Cour publie chaque année un rapport public.</w:t>
      </w:r>
    </w:p>
    <w:p w:rsidR="00A079F7" w:rsidRPr="00A774DA" w:rsidRDefault="00A079F7" w:rsidP="00E563FC">
      <w:pPr>
        <w:spacing w:after="0"/>
        <w:rPr>
          <w:szCs w:val="20"/>
        </w:rPr>
      </w:pPr>
      <w:r w:rsidRPr="00A774DA">
        <w:rPr>
          <w:szCs w:val="20"/>
        </w:rPr>
        <w:t xml:space="preserve">Cependant la Cour des Comptes, étant en phase de restructuration n’a pas exercé la mission qui lui a été dévolue. La position de la Cour des Comptes et ses limitations d’exercice </w:t>
      </w:r>
      <w:proofErr w:type="gramStart"/>
      <w:r w:rsidRPr="00A774DA">
        <w:rPr>
          <w:szCs w:val="20"/>
        </w:rPr>
        <w:t>ont</w:t>
      </w:r>
      <w:proofErr w:type="gramEnd"/>
      <w:r w:rsidRPr="00A774DA">
        <w:rPr>
          <w:szCs w:val="20"/>
        </w:rPr>
        <w:t xml:space="preserve"> été documentés dans les procès-verbaux du Comité Exécutif.</w:t>
      </w:r>
    </w:p>
    <w:p w:rsidR="00A079F7" w:rsidRPr="00A774DA" w:rsidRDefault="00A079F7" w:rsidP="00E563FC">
      <w:pPr>
        <w:spacing w:after="0"/>
        <w:rPr>
          <w:szCs w:val="20"/>
        </w:rPr>
      </w:pPr>
      <w:r w:rsidRPr="00A774DA">
        <w:rPr>
          <w:szCs w:val="20"/>
        </w:rPr>
        <w:t>Ainsi</w:t>
      </w:r>
      <w:r w:rsidR="000333FE">
        <w:rPr>
          <w:szCs w:val="20"/>
        </w:rPr>
        <w:t>,</w:t>
      </w:r>
      <w:r w:rsidRPr="00A774DA">
        <w:rPr>
          <w:szCs w:val="20"/>
        </w:rPr>
        <w:t xml:space="preserve"> le Comité Exécutif a décidé d’attribuer la tâche de certification des Formulaires de Déclaration à l’Inspection Générale des Finances.</w:t>
      </w:r>
    </w:p>
    <w:p w:rsidR="00A079F7" w:rsidRPr="00A774DA" w:rsidRDefault="00A079F7" w:rsidP="00E563FC">
      <w:pPr>
        <w:pStyle w:val="ListParagraph"/>
        <w:numPr>
          <w:ilvl w:val="0"/>
          <w:numId w:val="11"/>
        </w:numPr>
        <w:spacing w:before="120" w:after="0"/>
        <w:ind w:left="425" w:hanging="425"/>
        <w:rPr>
          <w:rFonts w:eastAsia="+mn-ea"/>
          <w:b/>
          <w:bCs w:val="0"/>
          <w:szCs w:val="20"/>
        </w:rPr>
      </w:pPr>
      <w:r w:rsidRPr="00A774DA">
        <w:rPr>
          <w:rFonts w:eastAsia="+mn-ea"/>
          <w:b/>
          <w:bCs w:val="0"/>
          <w:szCs w:val="20"/>
        </w:rPr>
        <w:t>L’Inspection Générale des Finances (IGF)</w:t>
      </w:r>
    </w:p>
    <w:p w:rsidR="00A079F7" w:rsidRPr="00A774DA" w:rsidRDefault="00A079F7" w:rsidP="00A079F7">
      <w:pPr>
        <w:rPr>
          <w:szCs w:val="20"/>
        </w:rPr>
      </w:pPr>
      <w:r w:rsidRPr="00A774DA">
        <w:rPr>
          <w:szCs w:val="20"/>
        </w:rPr>
        <w:t xml:space="preserve">L’IGF a pour mission de contrôler, vérifier ou </w:t>
      </w:r>
      <w:proofErr w:type="spellStart"/>
      <w:r w:rsidRPr="00A774DA">
        <w:rPr>
          <w:szCs w:val="20"/>
        </w:rPr>
        <w:t>contrevérifier</w:t>
      </w:r>
      <w:proofErr w:type="spellEnd"/>
      <w:r w:rsidRPr="00A774DA">
        <w:rPr>
          <w:szCs w:val="20"/>
        </w:rPr>
        <w:t>, tant en recettes qu'en dépenses, toutes les opérations financières de l'Etat, des entités administratives décentralisées, des établissements publics, des organismes paraétatiques ainsi que des organismes ou entreprises de toute nature bénéficiant du concours financier de l'Etat, des entités administratives décentralisées et des établissements publics ou organismes paraétatiques sous une forme quelconque, notamment sous forme de participation en capital, de subvention, de prêt, d'avance ou de garantie.</w:t>
      </w:r>
    </w:p>
    <w:p w:rsidR="00A079F7" w:rsidRPr="00E563FC" w:rsidRDefault="002E5B55" w:rsidP="00E563FC">
      <w:pPr>
        <w:spacing w:after="0"/>
        <w:rPr>
          <w:szCs w:val="20"/>
        </w:rPr>
      </w:pPr>
      <w:r w:rsidRPr="002E5B55">
        <w:rPr>
          <w:szCs w:val="20"/>
        </w:rPr>
        <w:t>Il est vrai qu'il est difficile de faire certifier les recettes de l'Etat du secteur extractif par la Cour des Comptes comme le recommande l'Administrateur Indépendant. Considérant l’Ordonnance n° 87-323 du 15 septembre1987 créant l'Inspection Générale des Finances, telle que modifiée et complétée par l'Ordonnance n° 91018 du 6 mars 1991 et par le Décret n° 034-B/2003 du 1</w:t>
      </w:r>
      <w:r w:rsidR="000576C1">
        <w:rPr>
          <w:szCs w:val="20"/>
        </w:rPr>
        <w:t>8 mars 2003</w:t>
      </w:r>
      <w:r w:rsidRPr="002E5B55">
        <w:rPr>
          <w:szCs w:val="20"/>
        </w:rPr>
        <w:t>, le Groupe Multipartite a opté pour que cette tâche soit effectuée par l'IGF, également Inst</w:t>
      </w:r>
      <w:bookmarkStart w:id="27" w:name="_Toc373673705"/>
      <w:bookmarkStart w:id="28" w:name="_Toc429359778"/>
      <w:r w:rsidR="00E563FC">
        <w:rPr>
          <w:szCs w:val="20"/>
        </w:rPr>
        <w:t>itution de contrôle et d'</w:t>
      </w:r>
      <w:proofErr w:type="spellStart"/>
      <w:r w:rsidR="00E563FC">
        <w:rPr>
          <w:szCs w:val="20"/>
        </w:rPr>
        <w:t>audit.</w:t>
      </w:r>
      <w:r w:rsidR="00A079F7" w:rsidRPr="00A774DA">
        <w:rPr>
          <w:color w:val="FFFFFF"/>
          <w:kern w:val="32"/>
          <w:lang w:bidi="ar-TN"/>
        </w:rPr>
        <w:t>pplication</w:t>
      </w:r>
      <w:proofErr w:type="spellEnd"/>
      <w:r w:rsidR="00A079F7" w:rsidRPr="00A774DA">
        <w:rPr>
          <w:color w:val="FFFFFF"/>
          <w:kern w:val="32"/>
          <w:lang w:bidi="ar-TN"/>
        </w:rPr>
        <w:t xml:space="preserve"> ITIE</w:t>
      </w:r>
      <w:bookmarkEnd w:id="27"/>
      <w:bookmarkEnd w:id="28"/>
    </w:p>
    <w:p w:rsidR="00A079F7" w:rsidRPr="00A774DA" w:rsidRDefault="00A079F7" w:rsidP="00A079F7">
      <w:pPr>
        <w:spacing w:after="0"/>
        <w:rPr>
          <w:lang w:bidi="ar-TN"/>
        </w:rPr>
      </w:pPr>
    </w:p>
    <w:p w:rsidR="00A079F7" w:rsidRPr="00A774DA" w:rsidRDefault="00A079F7" w:rsidP="00A079F7">
      <w:pPr>
        <w:pStyle w:val="Heading2"/>
        <w:numPr>
          <w:ilvl w:val="1"/>
          <w:numId w:val="2"/>
        </w:numPr>
        <w:shd w:val="clear" w:color="auto" w:fill="BFBFBF"/>
        <w:spacing w:after="0"/>
        <w:ind w:hanging="720"/>
        <w:rPr>
          <w:sz w:val="24"/>
          <w:szCs w:val="24"/>
        </w:rPr>
      </w:pPr>
      <w:bookmarkStart w:id="29" w:name="_Toc373673706"/>
      <w:bookmarkStart w:id="30" w:name="_Toc429359779"/>
      <w:bookmarkStart w:id="31" w:name="_Toc451431100"/>
      <w:r w:rsidRPr="00A774DA">
        <w:rPr>
          <w:sz w:val="24"/>
          <w:szCs w:val="24"/>
        </w:rPr>
        <w:t>Analyse de matérialité</w:t>
      </w:r>
      <w:bookmarkEnd w:id="29"/>
      <w:bookmarkEnd w:id="30"/>
      <w:bookmarkEnd w:id="31"/>
    </w:p>
    <w:p w:rsidR="00A079F7" w:rsidRPr="00A774DA" w:rsidRDefault="00A079F7" w:rsidP="00A079F7">
      <w:pPr>
        <w:shd w:val="clear" w:color="auto" w:fill="FFFFFF"/>
        <w:spacing w:after="0"/>
      </w:pPr>
    </w:p>
    <w:p w:rsidR="00A079F7" w:rsidRPr="00A774DA" w:rsidRDefault="00A079F7" w:rsidP="00A079F7">
      <w:pPr>
        <w:pStyle w:val="Heading3"/>
        <w:numPr>
          <w:ilvl w:val="2"/>
          <w:numId w:val="2"/>
        </w:numPr>
        <w:tabs>
          <w:tab w:val="left" w:pos="800"/>
        </w:tabs>
        <w:spacing w:before="120"/>
        <w:rPr>
          <w:b/>
          <w:bCs w:val="0"/>
          <w:i w:val="0"/>
          <w:iCs w:val="0"/>
          <w:color w:val="0070C0"/>
        </w:rPr>
      </w:pPr>
      <w:r w:rsidRPr="00A774DA">
        <w:rPr>
          <w:b/>
          <w:bCs w:val="0"/>
          <w:i w:val="0"/>
          <w:iCs w:val="0"/>
          <w:color w:val="0070C0"/>
        </w:rPr>
        <w:t>Sélection des entreprises pétrolières</w:t>
      </w:r>
    </w:p>
    <w:p w:rsidR="00A079F7" w:rsidRPr="00A774DA" w:rsidRDefault="00A079F7" w:rsidP="00A079F7">
      <w:pPr>
        <w:spacing w:before="240"/>
        <w:rPr>
          <w:bCs w:val="0"/>
          <w:szCs w:val="20"/>
          <w:lang w:eastAsia="fr-FR"/>
        </w:rPr>
      </w:pPr>
      <w:r w:rsidRPr="00A774DA">
        <w:rPr>
          <w:bCs w:val="0"/>
          <w:szCs w:val="20"/>
          <w:lang w:eastAsia="fr-FR"/>
        </w:rPr>
        <w:t>Nous avons procédé à la compilation des revenus du secteur pétrolier déclarés par la DGI, la DGRAD, le SGH et le MEDD en vue de permettre une analyse de la matérialité</w:t>
      </w:r>
      <w:r w:rsidRPr="00A774DA">
        <w:t xml:space="preserve">. </w:t>
      </w:r>
      <w:r w:rsidRPr="00A774DA">
        <w:rPr>
          <w:bCs w:val="0"/>
          <w:szCs w:val="20"/>
          <w:lang w:eastAsia="fr-FR"/>
        </w:rPr>
        <w:t>Nous présentons au niveau du tableau suivant les résultats de nos travaux de compilation par société pétrolière :</w:t>
      </w:r>
    </w:p>
    <w:tbl>
      <w:tblPr>
        <w:tblW w:w="4208" w:type="pct"/>
        <w:jc w:val="center"/>
        <w:tblCellMar>
          <w:left w:w="70" w:type="dxa"/>
          <w:right w:w="70" w:type="dxa"/>
        </w:tblCellMar>
        <w:tblLook w:val="04A0" w:firstRow="1" w:lastRow="0" w:firstColumn="1" w:lastColumn="0" w:noHBand="0" w:noVBand="1"/>
      </w:tblPr>
      <w:tblGrid>
        <w:gridCol w:w="5632"/>
        <w:gridCol w:w="2121"/>
      </w:tblGrid>
      <w:tr w:rsidR="00A079F7" w:rsidRPr="00682AF0" w:rsidTr="00E514F4">
        <w:trPr>
          <w:trHeight w:val="960"/>
          <w:jc w:val="center"/>
        </w:trPr>
        <w:tc>
          <w:tcPr>
            <w:tcW w:w="3632" w:type="pct"/>
            <w:tcBorders>
              <w:top w:val="single" w:sz="4" w:space="0" w:color="4F81BD"/>
              <w:left w:val="nil"/>
              <w:bottom w:val="single" w:sz="4" w:space="0" w:color="4F81BD"/>
              <w:right w:val="nil"/>
            </w:tcBorders>
            <w:shd w:val="clear" w:color="000000" w:fill="244061"/>
            <w:vAlign w:val="center"/>
            <w:hideMark/>
          </w:tcPr>
          <w:p w:rsidR="00A079F7" w:rsidRPr="00682AF0" w:rsidRDefault="00A079F7" w:rsidP="00E514F4">
            <w:pPr>
              <w:spacing w:after="0"/>
              <w:jc w:val="left"/>
              <w:rPr>
                <w:b/>
                <w:color w:val="FFFFFF"/>
                <w:sz w:val="18"/>
                <w:szCs w:val="18"/>
                <w:lang w:eastAsia="fr-FR"/>
              </w:rPr>
            </w:pPr>
            <w:r w:rsidRPr="00682AF0">
              <w:rPr>
                <w:b/>
                <w:color w:val="FFFFFF"/>
                <w:sz w:val="18"/>
                <w:szCs w:val="18"/>
                <w:lang w:eastAsia="fr-FR"/>
              </w:rPr>
              <w:t>Société Pétrolière</w:t>
            </w:r>
          </w:p>
        </w:tc>
        <w:tc>
          <w:tcPr>
            <w:tcW w:w="1368" w:type="pct"/>
            <w:tcBorders>
              <w:top w:val="single" w:sz="4" w:space="0" w:color="4F81BD"/>
              <w:left w:val="nil"/>
              <w:bottom w:val="single" w:sz="4" w:space="0" w:color="4F81BD"/>
              <w:right w:val="nil"/>
            </w:tcBorders>
            <w:shd w:val="clear" w:color="000000" w:fill="244061"/>
            <w:vAlign w:val="center"/>
            <w:hideMark/>
          </w:tcPr>
          <w:p w:rsidR="00A079F7" w:rsidRPr="00682AF0" w:rsidRDefault="00A079F7" w:rsidP="00E514F4">
            <w:pPr>
              <w:spacing w:after="0"/>
              <w:jc w:val="right"/>
              <w:rPr>
                <w:b/>
                <w:color w:val="FFFFFF"/>
                <w:sz w:val="18"/>
                <w:szCs w:val="18"/>
                <w:lang w:eastAsia="fr-FR"/>
              </w:rPr>
            </w:pPr>
            <w:r w:rsidRPr="00682AF0">
              <w:rPr>
                <w:b/>
                <w:color w:val="FFFFFF"/>
                <w:sz w:val="18"/>
                <w:szCs w:val="18"/>
                <w:lang w:eastAsia="fr-FR"/>
              </w:rPr>
              <w:t>Déclarations des Régies Financières en USD</w:t>
            </w:r>
          </w:p>
        </w:tc>
      </w:tr>
      <w:tr w:rsidR="009E05EF" w:rsidRPr="00682AF0" w:rsidTr="002D499C">
        <w:trPr>
          <w:trHeight w:val="300"/>
          <w:jc w:val="center"/>
        </w:trPr>
        <w:tc>
          <w:tcPr>
            <w:tcW w:w="3632" w:type="pct"/>
            <w:tcBorders>
              <w:top w:val="nil"/>
              <w:left w:val="nil"/>
              <w:bottom w:val="nil"/>
              <w:right w:val="nil"/>
            </w:tcBorders>
            <w:shd w:val="clear" w:color="000000" w:fill="B8CCE4"/>
            <w:noWrap/>
            <w:vAlign w:val="bottom"/>
            <w:hideMark/>
          </w:tcPr>
          <w:p w:rsidR="009E05EF" w:rsidRPr="00173C21" w:rsidRDefault="009E05EF" w:rsidP="009E05EF">
            <w:pPr>
              <w:spacing w:after="0"/>
              <w:ind w:firstLineChars="100" w:firstLine="200"/>
              <w:rPr>
                <w:rFonts w:ascii="Calibri" w:hAnsi="Calibri" w:cs="Times New Roman"/>
                <w:color w:val="000000"/>
                <w:lang w:eastAsia="fr-FR"/>
              </w:rPr>
            </w:pPr>
            <w:r w:rsidRPr="00173C21">
              <w:rPr>
                <w:rFonts w:ascii="Calibri" w:hAnsi="Calibri" w:cs="Times New Roman"/>
                <w:color w:val="000000"/>
                <w:lang w:eastAsia="fr-FR"/>
              </w:rPr>
              <w:t>MUANDA INTERNATIONAL OIL COMPANY</w:t>
            </w:r>
          </w:p>
        </w:tc>
        <w:tc>
          <w:tcPr>
            <w:tcW w:w="1368" w:type="pct"/>
            <w:tcBorders>
              <w:top w:val="nil"/>
              <w:left w:val="nil"/>
              <w:bottom w:val="nil"/>
              <w:right w:val="nil"/>
            </w:tcBorders>
            <w:shd w:val="clear" w:color="000000" w:fill="B8CCE4"/>
            <w:noWrap/>
            <w:vAlign w:val="bottom"/>
            <w:hideMark/>
          </w:tcPr>
          <w:p w:rsidR="009E05EF" w:rsidRPr="00173C21" w:rsidRDefault="009E05EF" w:rsidP="002D499C">
            <w:pPr>
              <w:spacing w:after="0"/>
              <w:jc w:val="right"/>
              <w:rPr>
                <w:rFonts w:ascii="Calibri" w:hAnsi="Calibri" w:cs="Times New Roman"/>
                <w:color w:val="000000"/>
                <w:lang w:eastAsia="fr-FR"/>
              </w:rPr>
            </w:pPr>
            <w:r w:rsidRPr="00173C21">
              <w:rPr>
                <w:rFonts w:ascii="Calibri" w:hAnsi="Calibri" w:cs="Times New Roman"/>
                <w:color w:val="000000"/>
                <w:lang w:eastAsia="fr-FR"/>
              </w:rPr>
              <w:t>61 636 611,65</w:t>
            </w:r>
          </w:p>
        </w:tc>
      </w:tr>
      <w:tr w:rsidR="009E05EF" w:rsidRPr="00682AF0" w:rsidTr="002D499C">
        <w:trPr>
          <w:trHeight w:val="300"/>
          <w:jc w:val="center"/>
        </w:trPr>
        <w:tc>
          <w:tcPr>
            <w:tcW w:w="3632" w:type="pct"/>
            <w:tcBorders>
              <w:top w:val="nil"/>
              <w:left w:val="nil"/>
              <w:bottom w:val="nil"/>
              <w:right w:val="nil"/>
            </w:tcBorders>
            <w:shd w:val="clear" w:color="auto" w:fill="auto"/>
            <w:noWrap/>
            <w:vAlign w:val="bottom"/>
            <w:hideMark/>
          </w:tcPr>
          <w:p w:rsidR="009E05EF" w:rsidRPr="00173C21" w:rsidRDefault="009E05EF" w:rsidP="009E05EF">
            <w:pPr>
              <w:spacing w:after="0"/>
              <w:ind w:firstLineChars="100" w:firstLine="200"/>
              <w:rPr>
                <w:rFonts w:ascii="Calibri" w:hAnsi="Calibri" w:cs="Times New Roman"/>
                <w:color w:val="000000"/>
                <w:lang w:eastAsia="fr-FR"/>
              </w:rPr>
            </w:pPr>
            <w:r w:rsidRPr="00173C21">
              <w:rPr>
                <w:rFonts w:ascii="Calibri" w:hAnsi="Calibri" w:cs="Times New Roman"/>
                <w:color w:val="000000"/>
                <w:lang w:eastAsia="fr-FR"/>
              </w:rPr>
              <w:t>LIREX</w:t>
            </w:r>
          </w:p>
        </w:tc>
        <w:tc>
          <w:tcPr>
            <w:tcW w:w="1368" w:type="pct"/>
            <w:tcBorders>
              <w:top w:val="nil"/>
              <w:left w:val="nil"/>
              <w:bottom w:val="nil"/>
              <w:right w:val="nil"/>
            </w:tcBorders>
            <w:shd w:val="clear" w:color="auto" w:fill="auto"/>
            <w:noWrap/>
            <w:vAlign w:val="bottom"/>
            <w:hideMark/>
          </w:tcPr>
          <w:p w:rsidR="009E05EF" w:rsidRPr="00173C21" w:rsidRDefault="009E05EF" w:rsidP="002D499C">
            <w:pPr>
              <w:spacing w:after="0"/>
              <w:jc w:val="right"/>
              <w:rPr>
                <w:rFonts w:ascii="Calibri" w:hAnsi="Calibri" w:cs="Times New Roman"/>
                <w:color w:val="000000"/>
                <w:lang w:eastAsia="fr-FR"/>
              </w:rPr>
            </w:pPr>
            <w:r w:rsidRPr="00173C21">
              <w:rPr>
                <w:rFonts w:ascii="Calibri" w:hAnsi="Calibri" w:cs="Times New Roman"/>
                <w:color w:val="000000"/>
                <w:lang w:eastAsia="fr-FR"/>
              </w:rPr>
              <w:t>43 578 037,02</w:t>
            </w:r>
          </w:p>
        </w:tc>
      </w:tr>
      <w:tr w:rsidR="009E05EF" w:rsidRPr="00682AF0" w:rsidTr="002D499C">
        <w:trPr>
          <w:trHeight w:val="300"/>
          <w:jc w:val="center"/>
        </w:trPr>
        <w:tc>
          <w:tcPr>
            <w:tcW w:w="3632" w:type="pct"/>
            <w:tcBorders>
              <w:top w:val="nil"/>
              <w:left w:val="nil"/>
              <w:bottom w:val="nil"/>
              <w:right w:val="nil"/>
            </w:tcBorders>
            <w:shd w:val="clear" w:color="000000" w:fill="B8CCE4"/>
            <w:noWrap/>
            <w:vAlign w:val="bottom"/>
            <w:hideMark/>
          </w:tcPr>
          <w:p w:rsidR="009E05EF" w:rsidRPr="00173C21" w:rsidRDefault="009E05EF" w:rsidP="009E05EF">
            <w:pPr>
              <w:spacing w:after="0"/>
              <w:ind w:firstLineChars="100" w:firstLine="200"/>
              <w:rPr>
                <w:rFonts w:ascii="Calibri" w:hAnsi="Calibri" w:cs="Times New Roman"/>
                <w:color w:val="000000"/>
                <w:lang w:eastAsia="fr-FR"/>
              </w:rPr>
            </w:pPr>
            <w:r w:rsidRPr="00173C21">
              <w:rPr>
                <w:rFonts w:ascii="Calibri" w:hAnsi="Calibri" w:cs="Times New Roman"/>
                <w:color w:val="000000"/>
                <w:lang w:eastAsia="fr-FR"/>
              </w:rPr>
              <w:t>TEIKOKU OIL DRC</w:t>
            </w:r>
          </w:p>
        </w:tc>
        <w:tc>
          <w:tcPr>
            <w:tcW w:w="1368" w:type="pct"/>
            <w:tcBorders>
              <w:top w:val="nil"/>
              <w:left w:val="nil"/>
              <w:bottom w:val="nil"/>
              <w:right w:val="nil"/>
            </w:tcBorders>
            <w:shd w:val="clear" w:color="000000" w:fill="B8CCE4"/>
            <w:noWrap/>
            <w:vAlign w:val="bottom"/>
            <w:hideMark/>
          </w:tcPr>
          <w:p w:rsidR="009E05EF" w:rsidRPr="00173C21" w:rsidRDefault="009E05EF" w:rsidP="002D499C">
            <w:pPr>
              <w:spacing w:after="0"/>
              <w:jc w:val="right"/>
              <w:rPr>
                <w:rFonts w:ascii="Calibri" w:hAnsi="Calibri" w:cs="Times New Roman"/>
                <w:color w:val="000000"/>
                <w:lang w:eastAsia="fr-FR"/>
              </w:rPr>
            </w:pPr>
            <w:r w:rsidRPr="00173C21">
              <w:rPr>
                <w:rFonts w:ascii="Calibri" w:hAnsi="Calibri" w:cs="Times New Roman"/>
                <w:color w:val="000000"/>
                <w:lang w:eastAsia="fr-FR"/>
              </w:rPr>
              <w:t>39 172 306,87</w:t>
            </w:r>
          </w:p>
        </w:tc>
      </w:tr>
      <w:tr w:rsidR="009E05EF" w:rsidRPr="00682AF0" w:rsidTr="002D499C">
        <w:trPr>
          <w:trHeight w:val="300"/>
          <w:jc w:val="center"/>
        </w:trPr>
        <w:tc>
          <w:tcPr>
            <w:tcW w:w="3632" w:type="pct"/>
            <w:tcBorders>
              <w:top w:val="nil"/>
              <w:left w:val="nil"/>
              <w:bottom w:val="nil"/>
              <w:right w:val="nil"/>
            </w:tcBorders>
            <w:shd w:val="clear" w:color="auto" w:fill="auto"/>
            <w:noWrap/>
            <w:vAlign w:val="bottom"/>
            <w:hideMark/>
          </w:tcPr>
          <w:p w:rsidR="009E05EF" w:rsidRPr="00173C21" w:rsidRDefault="009E05EF" w:rsidP="009E05EF">
            <w:pPr>
              <w:spacing w:after="0"/>
              <w:ind w:firstLineChars="100" w:firstLine="200"/>
              <w:rPr>
                <w:rFonts w:ascii="Calibri" w:hAnsi="Calibri" w:cs="Times New Roman"/>
                <w:color w:val="000000"/>
                <w:lang w:eastAsia="fr-FR"/>
              </w:rPr>
            </w:pPr>
            <w:r w:rsidRPr="00173C21">
              <w:rPr>
                <w:rFonts w:ascii="Calibri" w:hAnsi="Calibri" w:cs="Times New Roman"/>
                <w:color w:val="000000"/>
                <w:lang w:eastAsia="fr-FR"/>
              </w:rPr>
              <w:t>PERENCO REP</w:t>
            </w:r>
          </w:p>
        </w:tc>
        <w:tc>
          <w:tcPr>
            <w:tcW w:w="1368" w:type="pct"/>
            <w:tcBorders>
              <w:top w:val="nil"/>
              <w:left w:val="nil"/>
              <w:bottom w:val="nil"/>
              <w:right w:val="nil"/>
            </w:tcBorders>
            <w:shd w:val="clear" w:color="auto" w:fill="auto"/>
            <w:noWrap/>
            <w:vAlign w:val="bottom"/>
            <w:hideMark/>
          </w:tcPr>
          <w:p w:rsidR="009E05EF" w:rsidRPr="00173C21" w:rsidRDefault="009E05EF" w:rsidP="002D499C">
            <w:pPr>
              <w:spacing w:after="0"/>
              <w:jc w:val="right"/>
              <w:rPr>
                <w:rFonts w:ascii="Calibri" w:hAnsi="Calibri" w:cs="Times New Roman"/>
                <w:color w:val="000000"/>
                <w:lang w:eastAsia="fr-FR"/>
              </w:rPr>
            </w:pPr>
            <w:r w:rsidRPr="00173C21">
              <w:rPr>
                <w:rFonts w:ascii="Calibri" w:hAnsi="Calibri" w:cs="Times New Roman"/>
                <w:color w:val="000000"/>
                <w:lang w:eastAsia="fr-FR"/>
              </w:rPr>
              <w:t>19 881 120,33</w:t>
            </w:r>
          </w:p>
        </w:tc>
      </w:tr>
      <w:tr w:rsidR="009E05EF" w:rsidRPr="00682AF0" w:rsidTr="002D499C">
        <w:trPr>
          <w:trHeight w:val="300"/>
          <w:jc w:val="center"/>
        </w:trPr>
        <w:tc>
          <w:tcPr>
            <w:tcW w:w="3632" w:type="pct"/>
            <w:tcBorders>
              <w:top w:val="nil"/>
              <w:left w:val="nil"/>
              <w:bottom w:val="nil"/>
              <w:right w:val="nil"/>
            </w:tcBorders>
            <w:shd w:val="clear" w:color="000000" w:fill="B8CCE4"/>
            <w:noWrap/>
            <w:vAlign w:val="bottom"/>
            <w:hideMark/>
          </w:tcPr>
          <w:p w:rsidR="009E05EF" w:rsidRPr="00173C21" w:rsidRDefault="009E05EF" w:rsidP="009E05EF">
            <w:pPr>
              <w:spacing w:after="0"/>
              <w:ind w:firstLineChars="100" w:firstLine="200"/>
              <w:rPr>
                <w:rFonts w:ascii="Calibri" w:hAnsi="Calibri" w:cs="Times New Roman"/>
                <w:color w:val="000000"/>
                <w:lang w:eastAsia="fr-FR"/>
              </w:rPr>
            </w:pPr>
            <w:r w:rsidRPr="00173C21">
              <w:rPr>
                <w:rFonts w:ascii="Calibri" w:hAnsi="Calibri" w:cs="Times New Roman"/>
                <w:color w:val="000000"/>
                <w:lang w:eastAsia="fr-FR"/>
              </w:rPr>
              <w:t>CHEVRON ODS LIMITED (ex ODS LIMITED)</w:t>
            </w:r>
          </w:p>
        </w:tc>
        <w:tc>
          <w:tcPr>
            <w:tcW w:w="1368" w:type="pct"/>
            <w:tcBorders>
              <w:top w:val="nil"/>
              <w:left w:val="nil"/>
              <w:bottom w:val="nil"/>
              <w:right w:val="nil"/>
            </w:tcBorders>
            <w:shd w:val="clear" w:color="000000" w:fill="B8CCE4"/>
            <w:noWrap/>
            <w:vAlign w:val="bottom"/>
            <w:hideMark/>
          </w:tcPr>
          <w:p w:rsidR="009E05EF" w:rsidRPr="00173C21" w:rsidRDefault="009E05EF" w:rsidP="002D499C">
            <w:pPr>
              <w:spacing w:after="0"/>
              <w:jc w:val="right"/>
              <w:rPr>
                <w:rFonts w:ascii="Calibri" w:hAnsi="Calibri" w:cs="Times New Roman"/>
                <w:color w:val="000000"/>
                <w:lang w:eastAsia="fr-FR"/>
              </w:rPr>
            </w:pPr>
            <w:r w:rsidRPr="00173C21">
              <w:rPr>
                <w:rFonts w:ascii="Calibri" w:hAnsi="Calibri" w:cs="Times New Roman"/>
                <w:color w:val="000000"/>
                <w:lang w:eastAsia="fr-FR"/>
              </w:rPr>
              <w:t>19 047 350,87</w:t>
            </w:r>
          </w:p>
        </w:tc>
      </w:tr>
      <w:tr w:rsidR="009E05EF" w:rsidRPr="00682AF0" w:rsidTr="002D499C">
        <w:trPr>
          <w:trHeight w:val="300"/>
          <w:jc w:val="center"/>
        </w:trPr>
        <w:tc>
          <w:tcPr>
            <w:tcW w:w="3632" w:type="pct"/>
            <w:tcBorders>
              <w:top w:val="nil"/>
              <w:left w:val="nil"/>
              <w:bottom w:val="nil"/>
              <w:right w:val="nil"/>
            </w:tcBorders>
            <w:shd w:val="clear" w:color="auto" w:fill="auto"/>
            <w:noWrap/>
            <w:vAlign w:val="bottom"/>
            <w:hideMark/>
          </w:tcPr>
          <w:p w:rsidR="009E05EF" w:rsidRPr="00173C21" w:rsidRDefault="009E05EF" w:rsidP="009E05EF">
            <w:pPr>
              <w:spacing w:after="0"/>
              <w:ind w:firstLineChars="100" w:firstLine="200"/>
              <w:rPr>
                <w:rFonts w:ascii="Calibri" w:hAnsi="Calibri" w:cs="Times New Roman"/>
                <w:color w:val="000000"/>
                <w:lang w:val="en-US" w:eastAsia="fr-FR"/>
              </w:rPr>
            </w:pPr>
            <w:r w:rsidRPr="00173C21">
              <w:rPr>
                <w:rFonts w:ascii="Calibri" w:hAnsi="Calibri" w:cs="Times New Roman"/>
                <w:color w:val="000000"/>
                <w:lang w:val="en-US" w:eastAsia="fr-FR"/>
              </w:rPr>
              <w:t>CABINDA GULF OIL COMPANY LTD</w:t>
            </w:r>
          </w:p>
        </w:tc>
        <w:tc>
          <w:tcPr>
            <w:tcW w:w="1368" w:type="pct"/>
            <w:tcBorders>
              <w:top w:val="nil"/>
              <w:left w:val="nil"/>
              <w:bottom w:val="nil"/>
              <w:right w:val="nil"/>
            </w:tcBorders>
            <w:shd w:val="clear" w:color="auto" w:fill="auto"/>
            <w:noWrap/>
            <w:vAlign w:val="bottom"/>
            <w:hideMark/>
          </w:tcPr>
          <w:p w:rsidR="009E05EF" w:rsidRPr="00173C21" w:rsidRDefault="009E05EF" w:rsidP="002D499C">
            <w:pPr>
              <w:spacing w:after="0"/>
              <w:jc w:val="right"/>
              <w:rPr>
                <w:rFonts w:ascii="Calibri" w:hAnsi="Calibri" w:cs="Times New Roman"/>
                <w:color w:val="000000"/>
                <w:lang w:eastAsia="fr-FR"/>
              </w:rPr>
            </w:pPr>
            <w:r w:rsidRPr="00173C21">
              <w:rPr>
                <w:rFonts w:ascii="Calibri" w:hAnsi="Calibri" w:cs="Times New Roman"/>
                <w:color w:val="000000"/>
                <w:lang w:eastAsia="fr-FR"/>
              </w:rPr>
              <w:t>9 543 365,91</w:t>
            </w:r>
          </w:p>
        </w:tc>
      </w:tr>
      <w:tr w:rsidR="009E05EF" w:rsidRPr="00682AF0" w:rsidTr="002D499C">
        <w:trPr>
          <w:trHeight w:val="300"/>
          <w:jc w:val="center"/>
        </w:trPr>
        <w:tc>
          <w:tcPr>
            <w:tcW w:w="3632" w:type="pct"/>
            <w:tcBorders>
              <w:top w:val="nil"/>
              <w:left w:val="nil"/>
              <w:bottom w:val="nil"/>
              <w:right w:val="nil"/>
            </w:tcBorders>
            <w:shd w:val="clear" w:color="000000" w:fill="B8CCE4"/>
            <w:noWrap/>
            <w:vAlign w:val="bottom"/>
            <w:hideMark/>
          </w:tcPr>
          <w:p w:rsidR="009E05EF" w:rsidRPr="00173C21" w:rsidRDefault="009E05EF" w:rsidP="009E05EF">
            <w:pPr>
              <w:spacing w:after="0"/>
              <w:ind w:firstLineChars="100" w:firstLine="200"/>
              <w:rPr>
                <w:rFonts w:ascii="Calibri" w:hAnsi="Calibri" w:cs="Times New Roman"/>
                <w:color w:val="000000"/>
                <w:lang w:eastAsia="fr-FR"/>
              </w:rPr>
            </w:pPr>
            <w:r w:rsidRPr="00173C21">
              <w:rPr>
                <w:rFonts w:ascii="Calibri" w:hAnsi="Calibri" w:cs="Times New Roman"/>
                <w:color w:val="000000"/>
                <w:lang w:eastAsia="fr-FR"/>
              </w:rPr>
              <w:t>LA CONGOLAISE DES HYDROCARBURES</w:t>
            </w:r>
          </w:p>
        </w:tc>
        <w:tc>
          <w:tcPr>
            <w:tcW w:w="1368" w:type="pct"/>
            <w:tcBorders>
              <w:top w:val="nil"/>
              <w:left w:val="nil"/>
              <w:bottom w:val="nil"/>
              <w:right w:val="nil"/>
            </w:tcBorders>
            <w:shd w:val="clear" w:color="000000" w:fill="B8CCE4"/>
            <w:noWrap/>
            <w:vAlign w:val="bottom"/>
            <w:hideMark/>
          </w:tcPr>
          <w:p w:rsidR="009E05EF" w:rsidRPr="00173C21" w:rsidRDefault="009E05EF" w:rsidP="002D499C">
            <w:pPr>
              <w:spacing w:after="0"/>
              <w:jc w:val="right"/>
              <w:rPr>
                <w:rFonts w:ascii="Calibri" w:hAnsi="Calibri" w:cs="Times New Roman"/>
                <w:color w:val="000000"/>
                <w:lang w:eastAsia="fr-FR"/>
              </w:rPr>
            </w:pPr>
            <w:r w:rsidRPr="00173C21">
              <w:rPr>
                <w:rFonts w:ascii="Calibri" w:hAnsi="Calibri" w:cs="Times New Roman"/>
                <w:color w:val="000000"/>
                <w:lang w:eastAsia="fr-FR"/>
              </w:rPr>
              <w:t>892 037,25</w:t>
            </w:r>
          </w:p>
        </w:tc>
      </w:tr>
      <w:tr w:rsidR="009E05EF" w:rsidRPr="00682AF0" w:rsidTr="002D499C">
        <w:trPr>
          <w:trHeight w:val="300"/>
          <w:jc w:val="center"/>
        </w:trPr>
        <w:tc>
          <w:tcPr>
            <w:tcW w:w="3632" w:type="pct"/>
            <w:tcBorders>
              <w:top w:val="nil"/>
              <w:left w:val="nil"/>
              <w:right w:val="nil"/>
            </w:tcBorders>
            <w:shd w:val="clear" w:color="auto" w:fill="auto"/>
            <w:noWrap/>
            <w:vAlign w:val="bottom"/>
            <w:hideMark/>
          </w:tcPr>
          <w:p w:rsidR="009E05EF" w:rsidRPr="00173C21" w:rsidRDefault="009E05EF" w:rsidP="009E05EF">
            <w:pPr>
              <w:spacing w:after="0"/>
              <w:ind w:firstLineChars="100" w:firstLine="200"/>
              <w:rPr>
                <w:rFonts w:ascii="Calibri" w:hAnsi="Calibri" w:cs="Times New Roman"/>
                <w:color w:val="000000"/>
                <w:lang w:val="en-US" w:eastAsia="fr-FR"/>
              </w:rPr>
            </w:pPr>
            <w:r w:rsidRPr="00173C21">
              <w:rPr>
                <w:rFonts w:ascii="Calibri" w:hAnsi="Calibri" w:cs="Times New Roman"/>
                <w:color w:val="000000"/>
                <w:lang w:val="en-US" w:eastAsia="fr-FR"/>
              </w:rPr>
              <w:t>TOTAL RDC (ex ELF OIL RDC S.A.R.L)</w:t>
            </w:r>
          </w:p>
        </w:tc>
        <w:tc>
          <w:tcPr>
            <w:tcW w:w="1368" w:type="pct"/>
            <w:tcBorders>
              <w:top w:val="nil"/>
              <w:left w:val="nil"/>
              <w:right w:val="nil"/>
            </w:tcBorders>
            <w:shd w:val="clear" w:color="auto" w:fill="auto"/>
            <w:noWrap/>
            <w:vAlign w:val="bottom"/>
            <w:hideMark/>
          </w:tcPr>
          <w:p w:rsidR="009E05EF" w:rsidRPr="00173C21" w:rsidRDefault="009E05EF" w:rsidP="002D499C">
            <w:pPr>
              <w:spacing w:after="0"/>
              <w:jc w:val="right"/>
              <w:rPr>
                <w:rFonts w:ascii="Calibri" w:hAnsi="Calibri" w:cs="Times New Roman"/>
                <w:color w:val="000000"/>
                <w:lang w:eastAsia="fr-FR"/>
              </w:rPr>
            </w:pPr>
            <w:r w:rsidRPr="00173C21">
              <w:rPr>
                <w:rFonts w:ascii="Calibri" w:hAnsi="Calibri" w:cs="Times New Roman"/>
                <w:color w:val="000000"/>
                <w:lang w:eastAsia="fr-FR"/>
              </w:rPr>
              <w:t>392 221,34</w:t>
            </w:r>
          </w:p>
        </w:tc>
      </w:tr>
      <w:tr w:rsidR="009E05EF" w:rsidRPr="00682AF0" w:rsidTr="002D499C">
        <w:trPr>
          <w:trHeight w:val="300"/>
          <w:jc w:val="center"/>
        </w:trPr>
        <w:tc>
          <w:tcPr>
            <w:tcW w:w="3632" w:type="pct"/>
            <w:tcBorders>
              <w:top w:val="nil"/>
              <w:left w:val="nil"/>
              <w:bottom w:val="nil"/>
              <w:right w:val="nil"/>
            </w:tcBorders>
            <w:shd w:val="clear" w:color="auto" w:fill="B8CCE4" w:themeFill="accent1" w:themeFillTint="66"/>
            <w:noWrap/>
            <w:vAlign w:val="bottom"/>
          </w:tcPr>
          <w:p w:rsidR="009E05EF" w:rsidRPr="00173C21" w:rsidRDefault="009E05EF" w:rsidP="009E05EF">
            <w:pPr>
              <w:spacing w:after="0"/>
              <w:ind w:firstLineChars="100" w:firstLine="200"/>
              <w:rPr>
                <w:rFonts w:ascii="Calibri" w:hAnsi="Calibri" w:cs="Times New Roman"/>
                <w:color w:val="000000"/>
                <w:lang w:eastAsia="fr-FR"/>
              </w:rPr>
            </w:pPr>
            <w:r w:rsidRPr="00173C21">
              <w:rPr>
                <w:rFonts w:ascii="Calibri" w:hAnsi="Calibri" w:cs="Times New Roman"/>
                <w:color w:val="000000"/>
                <w:lang w:eastAsia="fr-FR"/>
              </w:rPr>
              <w:t>SOCO EXPLORATION &amp; PRODUCTION  DRC</w:t>
            </w:r>
          </w:p>
        </w:tc>
        <w:tc>
          <w:tcPr>
            <w:tcW w:w="1368" w:type="pct"/>
            <w:tcBorders>
              <w:top w:val="nil"/>
              <w:left w:val="nil"/>
              <w:bottom w:val="nil"/>
              <w:right w:val="nil"/>
            </w:tcBorders>
            <w:shd w:val="clear" w:color="auto" w:fill="B8CCE4" w:themeFill="accent1" w:themeFillTint="66"/>
            <w:noWrap/>
            <w:vAlign w:val="bottom"/>
          </w:tcPr>
          <w:p w:rsidR="009E05EF" w:rsidRPr="00173C21" w:rsidRDefault="009E05EF" w:rsidP="002D499C">
            <w:pPr>
              <w:spacing w:after="0"/>
              <w:jc w:val="right"/>
              <w:rPr>
                <w:rFonts w:ascii="Calibri" w:hAnsi="Calibri" w:cs="Times New Roman"/>
                <w:color w:val="000000"/>
                <w:lang w:eastAsia="fr-FR"/>
              </w:rPr>
            </w:pPr>
            <w:r w:rsidRPr="00173C21">
              <w:rPr>
                <w:rFonts w:ascii="Calibri" w:hAnsi="Calibri" w:cs="Times New Roman"/>
                <w:color w:val="000000"/>
                <w:lang w:eastAsia="fr-FR"/>
              </w:rPr>
              <w:t>253 840,68</w:t>
            </w:r>
          </w:p>
        </w:tc>
      </w:tr>
      <w:tr w:rsidR="009E05EF" w:rsidRPr="00682AF0" w:rsidTr="002D499C">
        <w:trPr>
          <w:trHeight w:val="300"/>
          <w:jc w:val="center"/>
        </w:trPr>
        <w:tc>
          <w:tcPr>
            <w:tcW w:w="3632" w:type="pct"/>
            <w:tcBorders>
              <w:top w:val="nil"/>
              <w:left w:val="nil"/>
              <w:bottom w:val="nil"/>
              <w:right w:val="nil"/>
            </w:tcBorders>
            <w:shd w:val="clear" w:color="auto" w:fill="auto"/>
            <w:noWrap/>
            <w:vAlign w:val="bottom"/>
          </w:tcPr>
          <w:p w:rsidR="009E05EF" w:rsidRPr="00173C21" w:rsidRDefault="009E05EF" w:rsidP="009E05EF">
            <w:pPr>
              <w:spacing w:after="0"/>
              <w:ind w:firstLineChars="100" w:firstLine="200"/>
              <w:rPr>
                <w:rFonts w:ascii="Calibri" w:hAnsi="Calibri" w:cs="Times New Roman"/>
                <w:color w:val="000000"/>
                <w:lang w:val="en-US" w:eastAsia="fr-FR"/>
              </w:rPr>
            </w:pPr>
            <w:r w:rsidRPr="00173C21">
              <w:rPr>
                <w:rFonts w:ascii="Calibri" w:hAnsi="Calibri" w:cs="Times New Roman"/>
                <w:color w:val="000000"/>
                <w:lang w:val="en-US" w:eastAsia="fr-FR"/>
              </w:rPr>
              <w:t>OIL OF DR CONGO SPRL</w:t>
            </w:r>
          </w:p>
        </w:tc>
        <w:tc>
          <w:tcPr>
            <w:tcW w:w="1368" w:type="pct"/>
            <w:tcBorders>
              <w:top w:val="nil"/>
              <w:left w:val="nil"/>
              <w:bottom w:val="nil"/>
              <w:right w:val="nil"/>
            </w:tcBorders>
            <w:shd w:val="clear" w:color="auto" w:fill="auto"/>
            <w:noWrap/>
            <w:vAlign w:val="bottom"/>
          </w:tcPr>
          <w:p w:rsidR="009E05EF" w:rsidRPr="00173C21" w:rsidRDefault="009E05EF" w:rsidP="002D499C">
            <w:pPr>
              <w:spacing w:after="0"/>
              <w:jc w:val="right"/>
              <w:rPr>
                <w:rFonts w:ascii="Calibri" w:hAnsi="Calibri" w:cs="Times New Roman"/>
                <w:color w:val="000000"/>
                <w:lang w:eastAsia="fr-FR"/>
              </w:rPr>
            </w:pPr>
            <w:r w:rsidRPr="00173C21">
              <w:rPr>
                <w:rFonts w:ascii="Calibri" w:hAnsi="Calibri" w:cs="Times New Roman"/>
                <w:color w:val="000000"/>
                <w:lang w:eastAsia="fr-FR"/>
              </w:rPr>
              <w:t>152 751,49</w:t>
            </w:r>
          </w:p>
        </w:tc>
      </w:tr>
      <w:tr w:rsidR="009E05EF" w:rsidRPr="00682AF0" w:rsidTr="002D499C">
        <w:trPr>
          <w:trHeight w:val="300"/>
          <w:jc w:val="center"/>
        </w:trPr>
        <w:tc>
          <w:tcPr>
            <w:tcW w:w="3632" w:type="pct"/>
            <w:tcBorders>
              <w:top w:val="nil"/>
              <w:left w:val="nil"/>
              <w:bottom w:val="nil"/>
              <w:right w:val="nil"/>
            </w:tcBorders>
            <w:shd w:val="clear" w:color="000000" w:fill="B8CCE4"/>
            <w:noWrap/>
            <w:vAlign w:val="bottom"/>
            <w:hideMark/>
          </w:tcPr>
          <w:p w:rsidR="009E05EF" w:rsidRPr="00173C21" w:rsidRDefault="009E05EF" w:rsidP="009E05EF">
            <w:pPr>
              <w:spacing w:after="0"/>
              <w:ind w:firstLineChars="100" w:firstLine="200"/>
              <w:rPr>
                <w:rFonts w:ascii="Calibri" w:hAnsi="Calibri" w:cs="Times New Roman"/>
                <w:color w:val="000000"/>
                <w:lang w:eastAsia="fr-FR"/>
              </w:rPr>
            </w:pPr>
            <w:r w:rsidRPr="00173C21">
              <w:rPr>
                <w:rFonts w:ascii="Calibri" w:hAnsi="Calibri" w:cs="Times New Roman"/>
                <w:color w:val="000000"/>
                <w:lang w:eastAsia="fr-FR"/>
              </w:rPr>
              <w:t>SURESTREAM RDC SARL</w:t>
            </w:r>
          </w:p>
        </w:tc>
        <w:tc>
          <w:tcPr>
            <w:tcW w:w="1368" w:type="pct"/>
            <w:tcBorders>
              <w:top w:val="nil"/>
              <w:left w:val="nil"/>
              <w:bottom w:val="nil"/>
              <w:right w:val="nil"/>
            </w:tcBorders>
            <w:shd w:val="clear" w:color="000000" w:fill="B8CCE4"/>
            <w:noWrap/>
            <w:vAlign w:val="bottom"/>
            <w:hideMark/>
          </w:tcPr>
          <w:p w:rsidR="009E05EF" w:rsidRPr="00173C21" w:rsidRDefault="009E05EF" w:rsidP="002D499C">
            <w:pPr>
              <w:spacing w:after="0"/>
              <w:jc w:val="right"/>
              <w:rPr>
                <w:rFonts w:ascii="Calibri" w:hAnsi="Calibri" w:cs="Times New Roman"/>
                <w:color w:val="000000"/>
                <w:lang w:eastAsia="fr-FR"/>
              </w:rPr>
            </w:pPr>
            <w:r w:rsidRPr="00173C21">
              <w:rPr>
                <w:rFonts w:ascii="Calibri" w:hAnsi="Calibri" w:cs="Times New Roman"/>
                <w:color w:val="000000"/>
                <w:lang w:eastAsia="fr-FR"/>
              </w:rPr>
              <w:t>7 505,76</w:t>
            </w:r>
          </w:p>
        </w:tc>
      </w:tr>
      <w:tr w:rsidR="009E05EF" w:rsidRPr="00682AF0" w:rsidTr="002D499C">
        <w:trPr>
          <w:trHeight w:val="300"/>
          <w:jc w:val="center"/>
        </w:trPr>
        <w:tc>
          <w:tcPr>
            <w:tcW w:w="3632" w:type="pct"/>
            <w:tcBorders>
              <w:top w:val="nil"/>
              <w:left w:val="nil"/>
              <w:bottom w:val="nil"/>
              <w:right w:val="nil"/>
            </w:tcBorders>
            <w:shd w:val="clear" w:color="auto" w:fill="auto"/>
            <w:noWrap/>
            <w:vAlign w:val="bottom"/>
            <w:hideMark/>
          </w:tcPr>
          <w:p w:rsidR="009E05EF" w:rsidRPr="00173C21" w:rsidRDefault="009E05EF" w:rsidP="009E05EF">
            <w:pPr>
              <w:spacing w:after="0"/>
              <w:ind w:firstLineChars="100" w:firstLine="200"/>
              <w:rPr>
                <w:rFonts w:ascii="Calibri" w:hAnsi="Calibri" w:cs="Times New Roman"/>
                <w:color w:val="000000"/>
                <w:lang w:eastAsia="fr-FR"/>
              </w:rPr>
            </w:pPr>
            <w:r w:rsidRPr="00173C21">
              <w:rPr>
                <w:rFonts w:ascii="Calibri" w:hAnsi="Calibri" w:cs="Times New Roman"/>
                <w:color w:val="000000"/>
                <w:lang w:eastAsia="fr-FR"/>
              </w:rPr>
              <w:t>DIVINE INSPIRATION GROUP OIL</w:t>
            </w:r>
          </w:p>
        </w:tc>
        <w:tc>
          <w:tcPr>
            <w:tcW w:w="1368" w:type="pct"/>
            <w:tcBorders>
              <w:top w:val="nil"/>
              <w:left w:val="nil"/>
              <w:bottom w:val="nil"/>
              <w:right w:val="nil"/>
            </w:tcBorders>
            <w:shd w:val="clear" w:color="auto" w:fill="auto"/>
            <w:noWrap/>
            <w:vAlign w:val="bottom"/>
            <w:hideMark/>
          </w:tcPr>
          <w:p w:rsidR="009E05EF" w:rsidRPr="00173C21" w:rsidRDefault="009E05EF" w:rsidP="002D499C">
            <w:pPr>
              <w:spacing w:after="0"/>
              <w:jc w:val="right"/>
              <w:rPr>
                <w:rFonts w:ascii="Calibri" w:hAnsi="Calibri" w:cs="Times New Roman"/>
                <w:color w:val="000000"/>
                <w:lang w:eastAsia="fr-FR"/>
              </w:rPr>
            </w:pPr>
            <w:r w:rsidRPr="00173C21">
              <w:rPr>
                <w:rFonts w:ascii="Calibri" w:hAnsi="Calibri" w:cs="Times New Roman"/>
                <w:color w:val="000000"/>
                <w:lang w:eastAsia="fr-FR"/>
              </w:rPr>
              <w:t>2 275,24</w:t>
            </w:r>
          </w:p>
        </w:tc>
      </w:tr>
      <w:tr w:rsidR="00E4599E" w:rsidRPr="00682AF0" w:rsidTr="002D499C">
        <w:trPr>
          <w:trHeight w:val="300"/>
          <w:jc w:val="center"/>
        </w:trPr>
        <w:tc>
          <w:tcPr>
            <w:tcW w:w="3632" w:type="pct"/>
            <w:tcBorders>
              <w:top w:val="nil"/>
              <w:left w:val="nil"/>
              <w:bottom w:val="nil"/>
              <w:right w:val="nil"/>
            </w:tcBorders>
            <w:shd w:val="clear" w:color="000000" w:fill="B8CCE4"/>
            <w:noWrap/>
            <w:vAlign w:val="bottom"/>
            <w:hideMark/>
          </w:tcPr>
          <w:p w:rsidR="00E4599E" w:rsidRPr="00173C21" w:rsidRDefault="00E4599E" w:rsidP="009E05EF">
            <w:pPr>
              <w:spacing w:after="0"/>
              <w:ind w:firstLineChars="100" w:firstLine="200"/>
              <w:rPr>
                <w:rFonts w:ascii="Calibri" w:hAnsi="Calibri" w:cs="Times New Roman"/>
                <w:color w:val="000000"/>
                <w:lang w:eastAsia="fr-FR"/>
              </w:rPr>
            </w:pPr>
            <w:r>
              <w:rPr>
                <w:rFonts w:ascii="Calibri" w:hAnsi="Calibri" w:cs="Times New Roman"/>
                <w:color w:val="000000"/>
                <w:lang w:eastAsia="fr-FR"/>
              </w:rPr>
              <w:t>ENERGULF</w:t>
            </w:r>
          </w:p>
        </w:tc>
        <w:tc>
          <w:tcPr>
            <w:tcW w:w="1368" w:type="pct"/>
            <w:tcBorders>
              <w:top w:val="nil"/>
              <w:left w:val="nil"/>
              <w:bottom w:val="nil"/>
              <w:right w:val="nil"/>
            </w:tcBorders>
            <w:shd w:val="clear" w:color="000000" w:fill="B8CCE4"/>
            <w:noWrap/>
            <w:vAlign w:val="bottom"/>
            <w:hideMark/>
          </w:tcPr>
          <w:p w:rsidR="00E4599E" w:rsidRPr="00173C21" w:rsidRDefault="00E4599E" w:rsidP="002D499C">
            <w:pPr>
              <w:spacing w:after="0"/>
              <w:jc w:val="right"/>
              <w:rPr>
                <w:rFonts w:ascii="Calibri" w:hAnsi="Calibri" w:cs="Times New Roman"/>
                <w:b/>
                <w:color w:val="000000"/>
                <w:lang w:eastAsia="fr-FR"/>
              </w:rPr>
            </w:pPr>
            <w:r>
              <w:rPr>
                <w:rFonts w:ascii="Calibri" w:hAnsi="Calibri" w:cs="Times New Roman"/>
                <w:b/>
                <w:color w:val="000000"/>
                <w:lang w:eastAsia="fr-FR"/>
              </w:rPr>
              <w:t>-</w:t>
            </w:r>
          </w:p>
        </w:tc>
      </w:tr>
      <w:tr w:rsidR="009E05EF" w:rsidRPr="00682AF0" w:rsidTr="002D499C">
        <w:trPr>
          <w:trHeight w:val="300"/>
          <w:jc w:val="center"/>
        </w:trPr>
        <w:tc>
          <w:tcPr>
            <w:tcW w:w="3632" w:type="pct"/>
            <w:tcBorders>
              <w:top w:val="nil"/>
              <w:left w:val="nil"/>
              <w:bottom w:val="nil"/>
              <w:right w:val="nil"/>
            </w:tcBorders>
            <w:shd w:val="clear" w:color="000000" w:fill="B8CCE4"/>
            <w:noWrap/>
            <w:vAlign w:val="bottom"/>
            <w:hideMark/>
          </w:tcPr>
          <w:p w:rsidR="009E05EF" w:rsidRPr="00173C21" w:rsidRDefault="009E05EF" w:rsidP="009E05EF">
            <w:pPr>
              <w:spacing w:after="0"/>
              <w:ind w:firstLineChars="100" w:firstLine="200"/>
              <w:rPr>
                <w:rFonts w:ascii="Calibri" w:hAnsi="Calibri" w:cs="Times New Roman"/>
                <w:color w:val="000000"/>
                <w:lang w:eastAsia="fr-FR"/>
              </w:rPr>
            </w:pPr>
          </w:p>
        </w:tc>
        <w:tc>
          <w:tcPr>
            <w:tcW w:w="1368" w:type="pct"/>
            <w:tcBorders>
              <w:top w:val="nil"/>
              <w:left w:val="nil"/>
              <w:bottom w:val="nil"/>
              <w:right w:val="nil"/>
            </w:tcBorders>
            <w:shd w:val="clear" w:color="000000" w:fill="B8CCE4"/>
            <w:noWrap/>
            <w:vAlign w:val="bottom"/>
            <w:hideMark/>
          </w:tcPr>
          <w:p w:rsidR="009E05EF" w:rsidRPr="00173C21" w:rsidRDefault="009E05EF" w:rsidP="002D499C">
            <w:pPr>
              <w:spacing w:after="0"/>
              <w:jc w:val="right"/>
              <w:rPr>
                <w:rFonts w:ascii="Calibri" w:hAnsi="Calibri" w:cs="Times New Roman"/>
                <w:b/>
                <w:color w:val="000000"/>
                <w:lang w:eastAsia="fr-FR"/>
              </w:rPr>
            </w:pPr>
            <w:r w:rsidRPr="00173C21">
              <w:rPr>
                <w:rFonts w:ascii="Calibri" w:hAnsi="Calibri" w:cs="Times New Roman"/>
                <w:b/>
                <w:color w:val="000000"/>
                <w:lang w:eastAsia="fr-FR"/>
              </w:rPr>
              <w:t>194 559 424,42</w:t>
            </w:r>
          </w:p>
        </w:tc>
      </w:tr>
    </w:tbl>
    <w:p w:rsidR="00A079F7" w:rsidRPr="00A774DA" w:rsidRDefault="00A079F7" w:rsidP="00A079F7">
      <w:pPr>
        <w:spacing w:before="240"/>
      </w:pPr>
      <w:r w:rsidRPr="00A774DA">
        <w:t>En s</w:t>
      </w:r>
      <w:r w:rsidR="007B43F9">
        <w:t>e basant sur le tableau ci-dess</w:t>
      </w:r>
      <w:r w:rsidRPr="00A774DA">
        <w:t xml:space="preserve">us et en se référant à liste des Entreprises de l’Amont Pétrolier fournie par le SGH lors de la préparation </w:t>
      </w:r>
      <w:r w:rsidR="009E1962">
        <w:t>de ce projet de cadrage</w:t>
      </w:r>
      <w:r>
        <w:t>,</w:t>
      </w:r>
      <w:r w:rsidRPr="00A774DA">
        <w:t xml:space="preserve"> </w:t>
      </w:r>
      <w:r>
        <w:t>n</w:t>
      </w:r>
      <w:r w:rsidRPr="00A774DA">
        <w:t>ous recommandons d’inclure dans le périmètre de conciliation</w:t>
      </w:r>
      <w:r w:rsidR="009E1962">
        <w:t xml:space="preserve"> toutes les entreprises</w:t>
      </w:r>
      <w:r w:rsidRPr="00A774DA">
        <w:t xml:space="preserve"> sans le recours au calcul de la matérialité</w:t>
      </w:r>
      <w:r w:rsidR="009E1962">
        <w:t>.</w:t>
      </w:r>
    </w:p>
    <w:p w:rsidR="00A079F7" w:rsidRPr="00A774DA" w:rsidRDefault="00A079F7" w:rsidP="00A079F7">
      <w:pPr>
        <w:spacing w:before="240"/>
      </w:pPr>
      <w:r w:rsidRPr="001352C2">
        <w:lastRenderedPageBreak/>
        <w:t>Sur cette base, 1</w:t>
      </w:r>
      <w:r w:rsidR="00F160E0">
        <w:t>2</w:t>
      </w:r>
      <w:r w:rsidRPr="001352C2">
        <w:t xml:space="preserve"> sociétés sont retenues dans le périmètre de conciliation</w:t>
      </w:r>
      <w:r w:rsidR="001352C2">
        <w:t xml:space="preserve">. La société </w:t>
      </w:r>
      <w:r w:rsidR="001352C2" w:rsidRPr="00173C21">
        <w:t>CABINDA GULF OIL COMPANY LTD</w:t>
      </w:r>
      <w:r w:rsidR="001352C2">
        <w:t>, qui n'a pas de représentation en RDC,</w:t>
      </w:r>
      <w:r w:rsidR="001352C2" w:rsidRPr="001352C2">
        <w:t xml:space="preserve"> fera l'objet d'une déclaration unilatérale de l'Etat</w:t>
      </w:r>
      <w:r w:rsidRPr="001352C2">
        <w:t>. Ces sociétés sont</w:t>
      </w:r>
      <w:r w:rsidRPr="00A774DA">
        <w:t xml:space="preserve"> présentées </w:t>
      </w:r>
      <w:r w:rsidRPr="001352C2">
        <w:t>dans la Section 4.3.</w:t>
      </w:r>
    </w:p>
    <w:p w:rsidR="00A079F7" w:rsidRPr="00A774DA" w:rsidRDefault="00A079F7" w:rsidP="00A079F7">
      <w:pPr>
        <w:pStyle w:val="Heading3"/>
        <w:numPr>
          <w:ilvl w:val="2"/>
          <w:numId w:val="2"/>
        </w:numPr>
        <w:tabs>
          <w:tab w:val="left" w:pos="800"/>
        </w:tabs>
        <w:spacing w:before="120"/>
        <w:rPr>
          <w:b/>
          <w:bCs w:val="0"/>
          <w:i w:val="0"/>
          <w:iCs w:val="0"/>
          <w:color w:val="0070C0"/>
        </w:rPr>
      </w:pPr>
      <w:r w:rsidRPr="00A774DA">
        <w:rPr>
          <w:b/>
          <w:bCs w:val="0"/>
          <w:i w:val="0"/>
          <w:iCs w:val="0"/>
          <w:color w:val="0070C0"/>
        </w:rPr>
        <w:t>Sélection des entreprises Minières</w:t>
      </w:r>
    </w:p>
    <w:p w:rsidR="00E563FC" w:rsidRDefault="00A079F7" w:rsidP="00A079F7">
      <w:pPr>
        <w:autoSpaceDE w:val="0"/>
        <w:autoSpaceDN w:val="0"/>
        <w:adjustRightInd w:val="0"/>
        <w:spacing w:before="240"/>
        <w:rPr>
          <w:bCs w:val="0"/>
          <w:szCs w:val="20"/>
          <w:lang w:eastAsia="fr-FR"/>
        </w:rPr>
      </w:pPr>
      <w:r w:rsidRPr="00A774DA">
        <w:rPr>
          <w:bCs w:val="0"/>
          <w:szCs w:val="20"/>
          <w:lang w:eastAsia="fr-FR"/>
        </w:rPr>
        <w:t xml:space="preserve">Nous avons procédé à la compilation des revenus du secteur </w:t>
      </w:r>
      <w:r>
        <w:rPr>
          <w:bCs w:val="0"/>
          <w:szCs w:val="20"/>
          <w:lang w:eastAsia="fr-FR"/>
        </w:rPr>
        <w:t xml:space="preserve">minier </w:t>
      </w:r>
      <w:r w:rsidRPr="00A774DA">
        <w:rPr>
          <w:bCs w:val="0"/>
          <w:szCs w:val="20"/>
          <w:lang w:eastAsia="fr-FR"/>
        </w:rPr>
        <w:t xml:space="preserve">par société et par palier de contribution en vue de permettre une analyse de la matérialité. Le tableau ci-dessous récapitule les revenus du secteur extractif par palier pour </w:t>
      </w:r>
      <w:r w:rsidRPr="003D3CEB">
        <w:rPr>
          <w:bCs w:val="0"/>
          <w:szCs w:val="20"/>
          <w:lang w:eastAsia="fr-FR"/>
        </w:rPr>
        <w:t>l’année 201</w:t>
      </w:r>
      <w:r w:rsidR="00CA5F7E" w:rsidRPr="003D3CEB">
        <w:rPr>
          <w:bCs w:val="0"/>
          <w:szCs w:val="20"/>
          <w:lang w:eastAsia="fr-FR"/>
        </w:rPr>
        <w:t>5</w:t>
      </w:r>
      <w:r w:rsidR="000C7662">
        <w:rPr>
          <w:bCs w:val="0"/>
          <w:szCs w:val="20"/>
          <w:lang w:eastAsia="fr-FR"/>
        </w:rPr>
        <w:t>.</w:t>
      </w:r>
    </w:p>
    <w:tbl>
      <w:tblPr>
        <w:tblW w:w="5000" w:type="pct"/>
        <w:tblCellMar>
          <w:left w:w="70" w:type="dxa"/>
          <w:right w:w="70" w:type="dxa"/>
        </w:tblCellMar>
        <w:tblLook w:val="04A0" w:firstRow="1" w:lastRow="0" w:firstColumn="1" w:lastColumn="0" w:noHBand="0" w:noVBand="1"/>
      </w:tblPr>
      <w:tblGrid>
        <w:gridCol w:w="3597"/>
        <w:gridCol w:w="2014"/>
        <w:gridCol w:w="1413"/>
        <w:gridCol w:w="1094"/>
        <w:gridCol w:w="1094"/>
      </w:tblGrid>
      <w:tr w:rsidR="00A079F7" w:rsidRPr="00193822" w:rsidTr="00E74B2E">
        <w:trPr>
          <w:trHeight w:val="960"/>
        </w:trPr>
        <w:tc>
          <w:tcPr>
            <w:tcW w:w="1952" w:type="pct"/>
            <w:tcBorders>
              <w:top w:val="nil"/>
              <w:left w:val="nil"/>
              <w:bottom w:val="nil"/>
              <w:right w:val="nil"/>
            </w:tcBorders>
            <w:shd w:val="clear" w:color="000000" w:fill="244061"/>
            <w:vAlign w:val="center"/>
            <w:hideMark/>
          </w:tcPr>
          <w:p w:rsidR="00A079F7" w:rsidRPr="00193822" w:rsidRDefault="00A079F7" w:rsidP="00E514F4">
            <w:pPr>
              <w:spacing w:after="0"/>
              <w:jc w:val="left"/>
              <w:rPr>
                <w:b/>
                <w:color w:val="FFFFFF" w:themeColor="background1"/>
                <w:sz w:val="18"/>
                <w:szCs w:val="18"/>
                <w:lang w:eastAsia="fr-FR"/>
              </w:rPr>
            </w:pPr>
            <w:r w:rsidRPr="00193822">
              <w:rPr>
                <w:b/>
                <w:color w:val="FFFFFF" w:themeColor="background1"/>
                <w:sz w:val="18"/>
                <w:szCs w:val="18"/>
                <w:lang w:eastAsia="fr-FR"/>
              </w:rPr>
              <w:t xml:space="preserve">Paliers </w:t>
            </w:r>
          </w:p>
        </w:tc>
        <w:tc>
          <w:tcPr>
            <w:tcW w:w="1093" w:type="pct"/>
            <w:tcBorders>
              <w:top w:val="nil"/>
              <w:left w:val="nil"/>
              <w:bottom w:val="nil"/>
              <w:right w:val="nil"/>
            </w:tcBorders>
            <w:shd w:val="clear" w:color="000000" w:fill="244061"/>
            <w:vAlign w:val="center"/>
            <w:hideMark/>
          </w:tcPr>
          <w:p w:rsidR="00A079F7" w:rsidRPr="00193822" w:rsidRDefault="00A079F7" w:rsidP="00E514F4">
            <w:pPr>
              <w:spacing w:after="0"/>
              <w:jc w:val="right"/>
              <w:rPr>
                <w:b/>
                <w:color w:val="FFFFFF" w:themeColor="background1"/>
                <w:sz w:val="18"/>
                <w:szCs w:val="18"/>
                <w:lang w:eastAsia="fr-FR"/>
              </w:rPr>
            </w:pPr>
            <w:r w:rsidRPr="00193822">
              <w:rPr>
                <w:b/>
                <w:color w:val="FFFFFF" w:themeColor="background1"/>
                <w:sz w:val="18"/>
                <w:szCs w:val="18"/>
                <w:lang w:eastAsia="fr-FR"/>
              </w:rPr>
              <w:t>Déclarations des entités publiques en USD</w:t>
            </w:r>
          </w:p>
        </w:tc>
        <w:tc>
          <w:tcPr>
            <w:tcW w:w="767" w:type="pct"/>
            <w:tcBorders>
              <w:top w:val="nil"/>
              <w:left w:val="nil"/>
              <w:bottom w:val="nil"/>
              <w:right w:val="nil"/>
            </w:tcBorders>
            <w:shd w:val="clear" w:color="000000" w:fill="244061"/>
            <w:vAlign w:val="center"/>
            <w:hideMark/>
          </w:tcPr>
          <w:p w:rsidR="00A079F7" w:rsidRPr="00193822" w:rsidRDefault="00A079F7" w:rsidP="00E514F4">
            <w:pPr>
              <w:spacing w:after="0"/>
              <w:jc w:val="right"/>
              <w:rPr>
                <w:b/>
                <w:color w:val="FFFFFF" w:themeColor="background1"/>
                <w:sz w:val="18"/>
                <w:szCs w:val="18"/>
                <w:lang w:eastAsia="fr-FR"/>
              </w:rPr>
            </w:pPr>
            <w:r w:rsidRPr="00193822">
              <w:rPr>
                <w:b/>
                <w:color w:val="FFFFFF" w:themeColor="background1"/>
                <w:sz w:val="18"/>
                <w:szCs w:val="18"/>
                <w:lang w:eastAsia="fr-FR"/>
              </w:rPr>
              <w:t>Nombre de Sociétés</w:t>
            </w:r>
          </w:p>
        </w:tc>
        <w:tc>
          <w:tcPr>
            <w:tcW w:w="594" w:type="pct"/>
            <w:tcBorders>
              <w:top w:val="nil"/>
              <w:left w:val="nil"/>
              <w:bottom w:val="nil"/>
              <w:right w:val="nil"/>
            </w:tcBorders>
            <w:shd w:val="clear" w:color="000000" w:fill="244061"/>
            <w:vAlign w:val="center"/>
            <w:hideMark/>
          </w:tcPr>
          <w:p w:rsidR="00A079F7" w:rsidRPr="00193822" w:rsidRDefault="00A079F7" w:rsidP="00E514F4">
            <w:pPr>
              <w:spacing w:after="0"/>
              <w:jc w:val="right"/>
              <w:rPr>
                <w:b/>
                <w:color w:val="FFFFFF" w:themeColor="background1"/>
                <w:sz w:val="18"/>
                <w:szCs w:val="18"/>
                <w:lang w:eastAsia="fr-FR"/>
              </w:rPr>
            </w:pPr>
            <w:r w:rsidRPr="00193822">
              <w:rPr>
                <w:b/>
                <w:color w:val="FFFFFF" w:themeColor="background1"/>
                <w:sz w:val="18"/>
                <w:szCs w:val="18"/>
                <w:lang w:eastAsia="fr-FR"/>
              </w:rPr>
              <w:t>% par palier</w:t>
            </w:r>
          </w:p>
        </w:tc>
        <w:tc>
          <w:tcPr>
            <w:tcW w:w="594" w:type="pct"/>
            <w:tcBorders>
              <w:top w:val="nil"/>
              <w:left w:val="nil"/>
              <w:bottom w:val="nil"/>
              <w:right w:val="nil"/>
            </w:tcBorders>
            <w:shd w:val="clear" w:color="000000" w:fill="244061"/>
            <w:vAlign w:val="center"/>
            <w:hideMark/>
          </w:tcPr>
          <w:p w:rsidR="00A079F7" w:rsidRPr="00193822" w:rsidRDefault="00A079F7" w:rsidP="00E514F4">
            <w:pPr>
              <w:spacing w:after="0"/>
              <w:jc w:val="right"/>
              <w:rPr>
                <w:b/>
                <w:color w:val="FFFFFF" w:themeColor="background1"/>
                <w:sz w:val="18"/>
                <w:szCs w:val="18"/>
                <w:lang w:eastAsia="fr-FR"/>
              </w:rPr>
            </w:pPr>
            <w:r w:rsidRPr="00193822">
              <w:rPr>
                <w:b/>
                <w:color w:val="FFFFFF" w:themeColor="background1"/>
                <w:sz w:val="18"/>
                <w:szCs w:val="18"/>
                <w:lang w:eastAsia="fr-FR"/>
              </w:rPr>
              <w:t>% Cumul</w:t>
            </w:r>
          </w:p>
        </w:tc>
      </w:tr>
      <w:tr w:rsidR="00A079F7" w:rsidRPr="00193822" w:rsidTr="00E74B2E">
        <w:trPr>
          <w:trHeight w:val="300"/>
        </w:trPr>
        <w:tc>
          <w:tcPr>
            <w:tcW w:w="1952" w:type="pct"/>
            <w:tcBorders>
              <w:top w:val="nil"/>
              <w:left w:val="nil"/>
              <w:bottom w:val="nil"/>
              <w:right w:val="nil"/>
            </w:tcBorders>
            <w:shd w:val="clear" w:color="000000" w:fill="B8CCE4"/>
            <w:noWrap/>
            <w:vAlign w:val="center"/>
            <w:hideMark/>
          </w:tcPr>
          <w:p w:rsidR="00A079F7" w:rsidRPr="00193822" w:rsidRDefault="00A079F7" w:rsidP="00E514F4">
            <w:pPr>
              <w:spacing w:after="0"/>
              <w:jc w:val="left"/>
              <w:rPr>
                <w:b/>
                <w:sz w:val="18"/>
                <w:szCs w:val="18"/>
                <w:lang w:eastAsia="fr-FR"/>
              </w:rPr>
            </w:pPr>
            <w:r w:rsidRPr="00193822">
              <w:rPr>
                <w:b/>
                <w:sz w:val="18"/>
                <w:szCs w:val="18"/>
                <w:lang w:eastAsia="fr-FR"/>
              </w:rPr>
              <w:t>&gt; 50 Millions USD</w:t>
            </w:r>
          </w:p>
        </w:tc>
        <w:tc>
          <w:tcPr>
            <w:tcW w:w="1093" w:type="pct"/>
            <w:tcBorders>
              <w:top w:val="nil"/>
              <w:left w:val="nil"/>
              <w:bottom w:val="nil"/>
              <w:right w:val="nil"/>
            </w:tcBorders>
            <w:shd w:val="clear" w:color="000000" w:fill="B8CCE4"/>
            <w:noWrap/>
            <w:vAlign w:val="center"/>
            <w:hideMark/>
          </w:tcPr>
          <w:p w:rsidR="00A079F7" w:rsidRPr="00193822" w:rsidRDefault="00193822" w:rsidP="00E514F4">
            <w:pPr>
              <w:spacing w:after="0"/>
              <w:jc w:val="right"/>
              <w:rPr>
                <w:bCs w:val="0"/>
                <w:sz w:val="18"/>
                <w:szCs w:val="18"/>
                <w:lang w:eastAsia="fr-FR"/>
              </w:rPr>
            </w:pPr>
            <w:r w:rsidRPr="00193822">
              <w:rPr>
                <w:bCs w:val="0"/>
                <w:sz w:val="18"/>
                <w:szCs w:val="18"/>
                <w:lang w:eastAsia="fr-FR"/>
              </w:rPr>
              <w:t>1 265 518 424,77</w:t>
            </w:r>
          </w:p>
        </w:tc>
        <w:tc>
          <w:tcPr>
            <w:tcW w:w="767" w:type="pct"/>
            <w:tcBorders>
              <w:top w:val="nil"/>
              <w:left w:val="nil"/>
              <w:bottom w:val="nil"/>
              <w:right w:val="nil"/>
            </w:tcBorders>
            <w:shd w:val="clear" w:color="000000" w:fill="B8CCE4"/>
            <w:noWrap/>
            <w:vAlign w:val="center"/>
            <w:hideMark/>
          </w:tcPr>
          <w:p w:rsidR="00A079F7" w:rsidRPr="00193822" w:rsidRDefault="00193822" w:rsidP="00E514F4">
            <w:pPr>
              <w:spacing w:after="0"/>
              <w:jc w:val="right"/>
              <w:rPr>
                <w:bCs w:val="0"/>
                <w:sz w:val="18"/>
                <w:szCs w:val="18"/>
                <w:lang w:eastAsia="fr-FR"/>
              </w:rPr>
            </w:pPr>
            <w:r w:rsidRPr="00193822">
              <w:rPr>
                <w:bCs w:val="0"/>
                <w:sz w:val="18"/>
                <w:szCs w:val="18"/>
                <w:lang w:eastAsia="fr-FR"/>
              </w:rPr>
              <w:t>7</w:t>
            </w:r>
          </w:p>
        </w:tc>
        <w:tc>
          <w:tcPr>
            <w:tcW w:w="594" w:type="pct"/>
            <w:tcBorders>
              <w:top w:val="nil"/>
              <w:left w:val="nil"/>
              <w:bottom w:val="nil"/>
              <w:right w:val="nil"/>
            </w:tcBorders>
            <w:shd w:val="clear" w:color="000000" w:fill="B8CCE4"/>
            <w:vAlign w:val="center"/>
            <w:hideMark/>
          </w:tcPr>
          <w:p w:rsidR="00A079F7" w:rsidRPr="00193822" w:rsidRDefault="00193822" w:rsidP="00E514F4">
            <w:pPr>
              <w:spacing w:after="0"/>
              <w:jc w:val="right"/>
              <w:rPr>
                <w:bCs w:val="0"/>
                <w:color w:val="000000"/>
                <w:sz w:val="18"/>
                <w:szCs w:val="18"/>
                <w:lang w:eastAsia="fr-FR"/>
              </w:rPr>
            </w:pPr>
            <w:r w:rsidRPr="00193822">
              <w:rPr>
                <w:bCs w:val="0"/>
                <w:color w:val="000000"/>
                <w:sz w:val="18"/>
                <w:szCs w:val="18"/>
                <w:lang w:eastAsia="fr-FR"/>
              </w:rPr>
              <w:t>75,49</w:t>
            </w:r>
          </w:p>
        </w:tc>
        <w:tc>
          <w:tcPr>
            <w:tcW w:w="594" w:type="pct"/>
            <w:tcBorders>
              <w:top w:val="nil"/>
              <w:left w:val="nil"/>
              <w:bottom w:val="nil"/>
              <w:right w:val="nil"/>
            </w:tcBorders>
            <w:shd w:val="clear" w:color="000000" w:fill="B8CCE4"/>
            <w:vAlign w:val="center"/>
            <w:hideMark/>
          </w:tcPr>
          <w:p w:rsidR="00A079F7" w:rsidRPr="00193822" w:rsidRDefault="00193822" w:rsidP="00E514F4">
            <w:pPr>
              <w:spacing w:after="0"/>
              <w:jc w:val="right"/>
              <w:rPr>
                <w:bCs w:val="0"/>
                <w:color w:val="000000"/>
                <w:sz w:val="18"/>
                <w:szCs w:val="18"/>
                <w:lang w:eastAsia="fr-FR"/>
              </w:rPr>
            </w:pPr>
            <w:r w:rsidRPr="00193822">
              <w:rPr>
                <w:bCs w:val="0"/>
                <w:color w:val="000000"/>
                <w:sz w:val="18"/>
                <w:szCs w:val="18"/>
                <w:lang w:eastAsia="fr-FR"/>
              </w:rPr>
              <w:t>75,49</w:t>
            </w:r>
          </w:p>
        </w:tc>
      </w:tr>
      <w:tr w:rsidR="00A079F7" w:rsidRPr="00193822" w:rsidTr="00E74B2E">
        <w:trPr>
          <w:trHeight w:val="300"/>
        </w:trPr>
        <w:tc>
          <w:tcPr>
            <w:tcW w:w="1952" w:type="pct"/>
            <w:tcBorders>
              <w:top w:val="nil"/>
              <w:left w:val="nil"/>
              <w:bottom w:val="nil"/>
              <w:right w:val="nil"/>
            </w:tcBorders>
            <w:shd w:val="clear" w:color="auto" w:fill="auto"/>
            <w:noWrap/>
            <w:vAlign w:val="center"/>
            <w:hideMark/>
          </w:tcPr>
          <w:p w:rsidR="00A079F7" w:rsidRPr="00193822" w:rsidRDefault="00A079F7" w:rsidP="00E514F4">
            <w:pPr>
              <w:spacing w:after="0"/>
              <w:jc w:val="left"/>
              <w:rPr>
                <w:b/>
                <w:sz w:val="18"/>
                <w:szCs w:val="18"/>
                <w:lang w:eastAsia="fr-FR"/>
              </w:rPr>
            </w:pPr>
            <w:r w:rsidRPr="00193822">
              <w:rPr>
                <w:b/>
                <w:sz w:val="18"/>
                <w:szCs w:val="18"/>
                <w:lang w:eastAsia="fr-FR"/>
              </w:rPr>
              <w:t>&gt; 10 millions USD et &lt; 50 millions USD</w:t>
            </w:r>
          </w:p>
        </w:tc>
        <w:tc>
          <w:tcPr>
            <w:tcW w:w="1093" w:type="pct"/>
            <w:tcBorders>
              <w:top w:val="nil"/>
              <w:left w:val="nil"/>
              <w:bottom w:val="nil"/>
              <w:right w:val="nil"/>
            </w:tcBorders>
            <w:shd w:val="clear" w:color="auto" w:fill="auto"/>
            <w:noWrap/>
            <w:vAlign w:val="center"/>
            <w:hideMark/>
          </w:tcPr>
          <w:p w:rsidR="00A079F7" w:rsidRPr="00193822" w:rsidRDefault="00F3564B" w:rsidP="00E514F4">
            <w:pPr>
              <w:spacing w:after="0"/>
              <w:jc w:val="right"/>
              <w:rPr>
                <w:bCs w:val="0"/>
                <w:sz w:val="18"/>
                <w:szCs w:val="18"/>
                <w:lang w:eastAsia="fr-FR"/>
              </w:rPr>
            </w:pPr>
            <w:r>
              <w:rPr>
                <w:rFonts w:ascii="Calibri" w:hAnsi="Calibri" w:cs="Times New Roman"/>
                <w:color w:val="000000"/>
                <w:lang w:eastAsia="fr-FR"/>
              </w:rPr>
              <w:t>230 748 699,95</w:t>
            </w:r>
          </w:p>
        </w:tc>
        <w:tc>
          <w:tcPr>
            <w:tcW w:w="767" w:type="pct"/>
            <w:tcBorders>
              <w:top w:val="nil"/>
              <w:left w:val="nil"/>
              <w:bottom w:val="nil"/>
              <w:right w:val="nil"/>
            </w:tcBorders>
            <w:shd w:val="clear" w:color="auto" w:fill="auto"/>
            <w:noWrap/>
            <w:vAlign w:val="center"/>
            <w:hideMark/>
          </w:tcPr>
          <w:p w:rsidR="00A079F7" w:rsidRPr="00193822" w:rsidRDefault="00193822" w:rsidP="00E514F4">
            <w:pPr>
              <w:spacing w:after="0"/>
              <w:jc w:val="right"/>
              <w:rPr>
                <w:bCs w:val="0"/>
                <w:sz w:val="18"/>
                <w:szCs w:val="18"/>
                <w:lang w:eastAsia="fr-FR"/>
              </w:rPr>
            </w:pPr>
            <w:r w:rsidRPr="00193822">
              <w:rPr>
                <w:bCs w:val="0"/>
                <w:sz w:val="18"/>
                <w:szCs w:val="18"/>
                <w:lang w:eastAsia="fr-FR"/>
              </w:rPr>
              <w:t>10</w:t>
            </w:r>
          </w:p>
        </w:tc>
        <w:tc>
          <w:tcPr>
            <w:tcW w:w="594" w:type="pct"/>
            <w:tcBorders>
              <w:top w:val="nil"/>
              <w:left w:val="nil"/>
              <w:bottom w:val="nil"/>
              <w:right w:val="nil"/>
            </w:tcBorders>
            <w:shd w:val="clear" w:color="auto" w:fill="auto"/>
            <w:vAlign w:val="center"/>
            <w:hideMark/>
          </w:tcPr>
          <w:p w:rsidR="00A079F7" w:rsidRPr="00193822" w:rsidRDefault="00F3564B" w:rsidP="00E514F4">
            <w:pPr>
              <w:spacing w:after="0"/>
              <w:jc w:val="right"/>
              <w:rPr>
                <w:bCs w:val="0"/>
                <w:color w:val="000000"/>
                <w:sz w:val="18"/>
                <w:szCs w:val="18"/>
                <w:lang w:eastAsia="fr-FR"/>
              </w:rPr>
            </w:pPr>
            <w:r>
              <w:rPr>
                <w:bCs w:val="0"/>
                <w:color w:val="000000"/>
                <w:sz w:val="18"/>
                <w:szCs w:val="18"/>
                <w:lang w:eastAsia="fr-FR"/>
              </w:rPr>
              <w:t>13,77</w:t>
            </w:r>
          </w:p>
        </w:tc>
        <w:tc>
          <w:tcPr>
            <w:tcW w:w="594" w:type="pct"/>
            <w:tcBorders>
              <w:top w:val="nil"/>
              <w:left w:val="nil"/>
              <w:bottom w:val="nil"/>
              <w:right w:val="nil"/>
            </w:tcBorders>
            <w:shd w:val="clear" w:color="auto" w:fill="auto"/>
            <w:vAlign w:val="center"/>
            <w:hideMark/>
          </w:tcPr>
          <w:p w:rsidR="00A079F7" w:rsidRPr="00193822" w:rsidRDefault="00193822" w:rsidP="00E514F4">
            <w:pPr>
              <w:spacing w:after="0"/>
              <w:jc w:val="right"/>
              <w:rPr>
                <w:bCs w:val="0"/>
                <w:color w:val="000000"/>
                <w:sz w:val="18"/>
                <w:szCs w:val="18"/>
                <w:lang w:eastAsia="fr-FR"/>
              </w:rPr>
            </w:pPr>
            <w:r w:rsidRPr="00193822">
              <w:rPr>
                <w:bCs w:val="0"/>
                <w:color w:val="000000"/>
                <w:sz w:val="18"/>
                <w:szCs w:val="18"/>
                <w:lang w:eastAsia="fr-FR"/>
              </w:rPr>
              <w:t>89,26</w:t>
            </w:r>
          </w:p>
        </w:tc>
      </w:tr>
      <w:tr w:rsidR="00A079F7" w:rsidRPr="00193822" w:rsidTr="00E74B2E">
        <w:trPr>
          <w:trHeight w:val="300"/>
        </w:trPr>
        <w:tc>
          <w:tcPr>
            <w:tcW w:w="1952" w:type="pct"/>
            <w:tcBorders>
              <w:top w:val="nil"/>
              <w:left w:val="nil"/>
              <w:bottom w:val="nil"/>
              <w:right w:val="nil"/>
            </w:tcBorders>
            <w:shd w:val="clear" w:color="000000" w:fill="B8CCE4"/>
            <w:noWrap/>
            <w:vAlign w:val="center"/>
            <w:hideMark/>
          </w:tcPr>
          <w:p w:rsidR="00A079F7" w:rsidRPr="00193822" w:rsidRDefault="00A079F7" w:rsidP="00E514F4">
            <w:pPr>
              <w:spacing w:after="0"/>
              <w:jc w:val="left"/>
              <w:rPr>
                <w:b/>
                <w:sz w:val="18"/>
                <w:szCs w:val="18"/>
                <w:lang w:eastAsia="fr-FR"/>
              </w:rPr>
            </w:pPr>
            <w:r w:rsidRPr="00193822">
              <w:rPr>
                <w:b/>
                <w:sz w:val="18"/>
                <w:szCs w:val="18"/>
                <w:lang w:eastAsia="fr-FR"/>
              </w:rPr>
              <w:t>&gt; 5 millions USD et &lt; 10 millions USD</w:t>
            </w:r>
          </w:p>
        </w:tc>
        <w:tc>
          <w:tcPr>
            <w:tcW w:w="1093" w:type="pct"/>
            <w:tcBorders>
              <w:top w:val="nil"/>
              <w:left w:val="nil"/>
              <w:bottom w:val="nil"/>
              <w:right w:val="nil"/>
            </w:tcBorders>
            <w:shd w:val="clear" w:color="000000" w:fill="B8CCE4"/>
            <w:noWrap/>
            <w:vAlign w:val="center"/>
            <w:hideMark/>
          </w:tcPr>
          <w:p w:rsidR="00A079F7" w:rsidRPr="00193822" w:rsidRDefault="00F3564B" w:rsidP="00E514F4">
            <w:pPr>
              <w:spacing w:after="0"/>
              <w:jc w:val="right"/>
              <w:rPr>
                <w:bCs w:val="0"/>
                <w:sz w:val="18"/>
                <w:szCs w:val="18"/>
                <w:lang w:eastAsia="fr-FR"/>
              </w:rPr>
            </w:pPr>
            <w:r>
              <w:rPr>
                <w:bCs w:val="0"/>
                <w:sz w:val="18"/>
                <w:szCs w:val="18"/>
                <w:lang w:eastAsia="fr-FR"/>
              </w:rPr>
              <w:t>95 842 264,97</w:t>
            </w:r>
          </w:p>
        </w:tc>
        <w:tc>
          <w:tcPr>
            <w:tcW w:w="767" w:type="pct"/>
            <w:tcBorders>
              <w:top w:val="nil"/>
              <w:left w:val="nil"/>
              <w:bottom w:val="nil"/>
              <w:right w:val="nil"/>
            </w:tcBorders>
            <w:shd w:val="clear" w:color="000000" w:fill="B8CCE4"/>
            <w:noWrap/>
            <w:vAlign w:val="center"/>
            <w:hideMark/>
          </w:tcPr>
          <w:p w:rsidR="00A079F7" w:rsidRPr="00193822" w:rsidRDefault="00F3564B" w:rsidP="00E514F4">
            <w:pPr>
              <w:spacing w:after="0"/>
              <w:jc w:val="right"/>
              <w:rPr>
                <w:bCs w:val="0"/>
                <w:sz w:val="18"/>
                <w:szCs w:val="18"/>
                <w:lang w:eastAsia="fr-FR"/>
              </w:rPr>
            </w:pPr>
            <w:r>
              <w:rPr>
                <w:bCs w:val="0"/>
                <w:sz w:val="18"/>
                <w:szCs w:val="18"/>
                <w:lang w:eastAsia="fr-FR"/>
              </w:rPr>
              <w:t>13</w:t>
            </w:r>
          </w:p>
        </w:tc>
        <w:tc>
          <w:tcPr>
            <w:tcW w:w="594" w:type="pct"/>
            <w:tcBorders>
              <w:top w:val="nil"/>
              <w:left w:val="nil"/>
              <w:bottom w:val="nil"/>
              <w:right w:val="nil"/>
            </w:tcBorders>
            <w:shd w:val="clear" w:color="000000" w:fill="B8CCE4"/>
            <w:vAlign w:val="center"/>
            <w:hideMark/>
          </w:tcPr>
          <w:p w:rsidR="00A079F7" w:rsidRPr="00193822" w:rsidRDefault="007A3A61" w:rsidP="00E514F4">
            <w:pPr>
              <w:spacing w:after="0"/>
              <w:jc w:val="right"/>
              <w:rPr>
                <w:bCs w:val="0"/>
                <w:color w:val="000000"/>
                <w:sz w:val="18"/>
                <w:szCs w:val="18"/>
                <w:lang w:eastAsia="fr-FR"/>
              </w:rPr>
            </w:pPr>
            <w:r>
              <w:rPr>
                <w:bCs w:val="0"/>
                <w:color w:val="000000"/>
                <w:sz w:val="18"/>
                <w:szCs w:val="18"/>
                <w:lang w:eastAsia="fr-FR"/>
              </w:rPr>
              <w:t>5,71</w:t>
            </w:r>
          </w:p>
        </w:tc>
        <w:tc>
          <w:tcPr>
            <w:tcW w:w="594" w:type="pct"/>
            <w:tcBorders>
              <w:top w:val="nil"/>
              <w:left w:val="nil"/>
              <w:bottom w:val="nil"/>
              <w:right w:val="nil"/>
            </w:tcBorders>
            <w:shd w:val="clear" w:color="000000" w:fill="B8CCE4"/>
            <w:vAlign w:val="center"/>
            <w:hideMark/>
          </w:tcPr>
          <w:p w:rsidR="00A079F7" w:rsidRPr="00193822" w:rsidRDefault="00F3564B" w:rsidP="00E514F4">
            <w:pPr>
              <w:spacing w:after="0"/>
              <w:jc w:val="right"/>
              <w:rPr>
                <w:bCs w:val="0"/>
                <w:color w:val="000000"/>
                <w:sz w:val="18"/>
                <w:szCs w:val="18"/>
                <w:lang w:eastAsia="fr-FR"/>
              </w:rPr>
            </w:pPr>
            <w:r>
              <w:rPr>
                <w:bCs w:val="0"/>
                <w:color w:val="000000"/>
                <w:sz w:val="18"/>
                <w:szCs w:val="18"/>
                <w:lang w:eastAsia="fr-FR"/>
              </w:rPr>
              <w:t>94,97</w:t>
            </w:r>
          </w:p>
        </w:tc>
      </w:tr>
      <w:tr w:rsidR="00A079F7" w:rsidRPr="00193822" w:rsidTr="00E74B2E">
        <w:trPr>
          <w:trHeight w:val="300"/>
        </w:trPr>
        <w:tc>
          <w:tcPr>
            <w:tcW w:w="1952" w:type="pct"/>
            <w:tcBorders>
              <w:top w:val="nil"/>
              <w:left w:val="nil"/>
              <w:bottom w:val="nil"/>
              <w:right w:val="nil"/>
            </w:tcBorders>
            <w:shd w:val="clear" w:color="auto" w:fill="auto"/>
            <w:noWrap/>
            <w:vAlign w:val="center"/>
            <w:hideMark/>
          </w:tcPr>
          <w:p w:rsidR="00A079F7" w:rsidRPr="00193822" w:rsidRDefault="00A079F7" w:rsidP="00E514F4">
            <w:pPr>
              <w:spacing w:after="0"/>
              <w:jc w:val="left"/>
              <w:rPr>
                <w:b/>
                <w:sz w:val="18"/>
                <w:szCs w:val="18"/>
                <w:lang w:eastAsia="fr-FR"/>
              </w:rPr>
            </w:pPr>
            <w:r w:rsidRPr="00193822">
              <w:rPr>
                <w:b/>
                <w:sz w:val="18"/>
                <w:szCs w:val="18"/>
                <w:lang w:eastAsia="fr-FR"/>
              </w:rPr>
              <w:t>&gt; 2 millions USD et &lt; 5 millions USD</w:t>
            </w:r>
          </w:p>
        </w:tc>
        <w:tc>
          <w:tcPr>
            <w:tcW w:w="1093" w:type="pct"/>
            <w:tcBorders>
              <w:top w:val="nil"/>
              <w:left w:val="nil"/>
              <w:bottom w:val="nil"/>
              <w:right w:val="nil"/>
            </w:tcBorders>
            <w:shd w:val="clear" w:color="auto" w:fill="auto"/>
            <w:noWrap/>
            <w:vAlign w:val="center"/>
            <w:hideMark/>
          </w:tcPr>
          <w:p w:rsidR="00A079F7" w:rsidRPr="00193822" w:rsidRDefault="007A3A61" w:rsidP="00E514F4">
            <w:pPr>
              <w:spacing w:after="0"/>
              <w:jc w:val="right"/>
              <w:rPr>
                <w:bCs w:val="0"/>
                <w:sz w:val="18"/>
                <w:szCs w:val="18"/>
                <w:lang w:eastAsia="fr-FR"/>
              </w:rPr>
            </w:pPr>
            <w:r>
              <w:rPr>
                <w:bCs w:val="0"/>
                <w:sz w:val="18"/>
                <w:szCs w:val="18"/>
                <w:lang w:eastAsia="fr-FR"/>
              </w:rPr>
              <w:t>48 510 506,60</w:t>
            </w:r>
          </w:p>
        </w:tc>
        <w:tc>
          <w:tcPr>
            <w:tcW w:w="767" w:type="pct"/>
            <w:tcBorders>
              <w:top w:val="nil"/>
              <w:left w:val="nil"/>
              <w:bottom w:val="nil"/>
              <w:right w:val="nil"/>
            </w:tcBorders>
            <w:shd w:val="clear" w:color="auto" w:fill="auto"/>
            <w:noWrap/>
            <w:vAlign w:val="center"/>
            <w:hideMark/>
          </w:tcPr>
          <w:p w:rsidR="00A079F7" w:rsidRPr="00193822" w:rsidRDefault="007A3A61" w:rsidP="00E514F4">
            <w:pPr>
              <w:spacing w:after="0"/>
              <w:jc w:val="right"/>
              <w:rPr>
                <w:bCs w:val="0"/>
                <w:sz w:val="18"/>
                <w:szCs w:val="18"/>
                <w:lang w:eastAsia="fr-FR"/>
              </w:rPr>
            </w:pPr>
            <w:r>
              <w:rPr>
                <w:bCs w:val="0"/>
                <w:sz w:val="18"/>
                <w:szCs w:val="18"/>
                <w:lang w:eastAsia="fr-FR"/>
              </w:rPr>
              <w:t>14</w:t>
            </w:r>
          </w:p>
        </w:tc>
        <w:tc>
          <w:tcPr>
            <w:tcW w:w="594" w:type="pct"/>
            <w:tcBorders>
              <w:top w:val="nil"/>
              <w:left w:val="nil"/>
              <w:bottom w:val="nil"/>
              <w:right w:val="nil"/>
            </w:tcBorders>
            <w:shd w:val="clear" w:color="auto" w:fill="auto"/>
            <w:vAlign w:val="center"/>
            <w:hideMark/>
          </w:tcPr>
          <w:p w:rsidR="00A079F7" w:rsidRPr="00193822" w:rsidRDefault="00EB3CC2" w:rsidP="00E514F4">
            <w:pPr>
              <w:spacing w:after="0"/>
              <w:jc w:val="right"/>
              <w:rPr>
                <w:bCs w:val="0"/>
                <w:color w:val="000000"/>
                <w:sz w:val="18"/>
                <w:szCs w:val="18"/>
                <w:lang w:eastAsia="fr-FR"/>
              </w:rPr>
            </w:pPr>
            <w:r>
              <w:rPr>
                <w:bCs w:val="0"/>
                <w:color w:val="000000"/>
                <w:sz w:val="18"/>
                <w:szCs w:val="18"/>
                <w:lang w:eastAsia="fr-FR"/>
              </w:rPr>
              <w:t>2,90</w:t>
            </w:r>
          </w:p>
        </w:tc>
        <w:tc>
          <w:tcPr>
            <w:tcW w:w="594" w:type="pct"/>
            <w:tcBorders>
              <w:top w:val="nil"/>
              <w:left w:val="nil"/>
              <w:bottom w:val="nil"/>
              <w:right w:val="nil"/>
            </w:tcBorders>
            <w:shd w:val="clear" w:color="auto" w:fill="auto"/>
            <w:vAlign w:val="center"/>
            <w:hideMark/>
          </w:tcPr>
          <w:p w:rsidR="00A079F7" w:rsidRPr="00193822" w:rsidRDefault="007A3A61" w:rsidP="00E514F4">
            <w:pPr>
              <w:spacing w:after="0"/>
              <w:jc w:val="right"/>
              <w:rPr>
                <w:bCs w:val="0"/>
                <w:color w:val="000000"/>
                <w:sz w:val="18"/>
                <w:szCs w:val="18"/>
                <w:lang w:eastAsia="fr-FR"/>
              </w:rPr>
            </w:pPr>
            <w:r>
              <w:rPr>
                <w:bCs w:val="0"/>
                <w:color w:val="000000"/>
                <w:sz w:val="18"/>
                <w:szCs w:val="18"/>
                <w:lang w:eastAsia="fr-FR"/>
              </w:rPr>
              <w:t>97,87</w:t>
            </w:r>
          </w:p>
        </w:tc>
      </w:tr>
      <w:tr w:rsidR="00A079F7" w:rsidRPr="00193822" w:rsidTr="00E74B2E">
        <w:trPr>
          <w:trHeight w:val="300"/>
        </w:trPr>
        <w:tc>
          <w:tcPr>
            <w:tcW w:w="1952" w:type="pct"/>
            <w:tcBorders>
              <w:top w:val="nil"/>
              <w:left w:val="nil"/>
              <w:bottom w:val="nil"/>
              <w:right w:val="nil"/>
            </w:tcBorders>
            <w:shd w:val="clear" w:color="000000" w:fill="B8CCE4"/>
            <w:noWrap/>
            <w:vAlign w:val="center"/>
            <w:hideMark/>
          </w:tcPr>
          <w:p w:rsidR="00A079F7" w:rsidRPr="00193822" w:rsidRDefault="00A079F7" w:rsidP="00E514F4">
            <w:pPr>
              <w:spacing w:after="0"/>
              <w:jc w:val="left"/>
              <w:rPr>
                <w:b/>
                <w:sz w:val="18"/>
                <w:szCs w:val="18"/>
                <w:lang w:eastAsia="fr-FR"/>
              </w:rPr>
            </w:pPr>
            <w:r w:rsidRPr="00193822">
              <w:rPr>
                <w:b/>
                <w:sz w:val="18"/>
                <w:szCs w:val="18"/>
                <w:lang w:eastAsia="fr-FR"/>
              </w:rPr>
              <w:t>&gt; 1 millions USD et &lt; 2 millions USD</w:t>
            </w:r>
          </w:p>
        </w:tc>
        <w:tc>
          <w:tcPr>
            <w:tcW w:w="1093" w:type="pct"/>
            <w:tcBorders>
              <w:top w:val="nil"/>
              <w:left w:val="nil"/>
              <w:bottom w:val="nil"/>
              <w:right w:val="nil"/>
            </w:tcBorders>
            <w:shd w:val="clear" w:color="000000" w:fill="B8CCE4"/>
            <w:noWrap/>
            <w:vAlign w:val="center"/>
            <w:hideMark/>
          </w:tcPr>
          <w:p w:rsidR="00A079F7" w:rsidRPr="00193822" w:rsidRDefault="00EB3CC2" w:rsidP="00E514F4">
            <w:pPr>
              <w:spacing w:after="0"/>
              <w:jc w:val="right"/>
              <w:rPr>
                <w:bCs w:val="0"/>
                <w:sz w:val="18"/>
                <w:szCs w:val="18"/>
                <w:lang w:eastAsia="fr-FR"/>
              </w:rPr>
            </w:pPr>
            <w:r>
              <w:rPr>
                <w:bCs w:val="0"/>
                <w:sz w:val="18"/>
                <w:szCs w:val="18"/>
                <w:lang w:eastAsia="fr-FR"/>
              </w:rPr>
              <w:t>17 496 374,63</w:t>
            </w:r>
          </w:p>
        </w:tc>
        <w:tc>
          <w:tcPr>
            <w:tcW w:w="767" w:type="pct"/>
            <w:tcBorders>
              <w:top w:val="nil"/>
              <w:left w:val="nil"/>
              <w:bottom w:val="nil"/>
              <w:right w:val="nil"/>
            </w:tcBorders>
            <w:shd w:val="clear" w:color="000000" w:fill="B8CCE4"/>
            <w:noWrap/>
            <w:vAlign w:val="center"/>
            <w:hideMark/>
          </w:tcPr>
          <w:p w:rsidR="00A079F7" w:rsidRPr="00193822" w:rsidRDefault="00EB3CC2" w:rsidP="00E514F4">
            <w:pPr>
              <w:spacing w:after="0"/>
              <w:jc w:val="right"/>
              <w:rPr>
                <w:bCs w:val="0"/>
                <w:sz w:val="18"/>
                <w:szCs w:val="18"/>
                <w:lang w:eastAsia="fr-FR"/>
              </w:rPr>
            </w:pPr>
            <w:r>
              <w:rPr>
                <w:bCs w:val="0"/>
                <w:sz w:val="18"/>
                <w:szCs w:val="18"/>
                <w:lang w:eastAsia="fr-FR"/>
              </w:rPr>
              <w:t>12</w:t>
            </w:r>
          </w:p>
        </w:tc>
        <w:tc>
          <w:tcPr>
            <w:tcW w:w="594" w:type="pct"/>
            <w:tcBorders>
              <w:top w:val="nil"/>
              <w:left w:val="nil"/>
              <w:bottom w:val="nil"/>
              <w:right w:val="nil"/>
            </w:tcBorders>
            <w:shd w:val="clear" w:color="000000" w:fill="B8CCE4"/>
            <w:vAlign w:val="center"/>
            <w:hideMark/>
          </w:tcPr>
          <w:p w:rsidR="00A079F7" w:rsidRPr="00193822" w:rsidRDefault="00867ED0" w:rsidP="00E514F4">
            <w:pPr>
              <w:spacing w:after="0"/>
              <w:jc w:val="right"/>
              <w:rPr>
                <w:bCs w:val="0"/>
                <w:color w:val="000000"/>
                <w:sz w:val="18"/>
                <w:szCs w:val="18"/>
                <w:lang w:eastAsia="fr-FR"/>
              </w:rPr>
            </w:pPr>
            <w:r>
              <w:rPr>
                <w:bCs w:val="0"/>
                <w:color w:val="000000"/>
                <w:sz w:val="18"/>
                <w:szCs w:val="18"/>
                <w:lang w:eastAsia="fr-FR"/>
              </w:rPr>
              <w:t>1,04</w:t>
            </w:r>
          </w:p>
        </w:tc>
        <w:tc>
          <w:tcPr>
            <w:tcW w:w="594" w:type="pct"/>
            <w:tcBorders>
              <w:top w:val="nil"/>
              <w:left w:val="nil"/>
              <w:bottom w:val="nil"/>
              <w:right w:val="nil"/>
            </w:tcBorders>
            <w:shd w:val="clear" w:color="000000" w:fill="B8CCE4"/>
            <w:vAlign w:val="center"/>
            <w:hideMark/>
          </w:tcPr>
          <w:p w:rsidR="00A079F7" w:rsidRPr="00193822" w:rsidRDefault="00EB3CC2" w:rsidP="00E514F4">
            <w:pPr>
              <w:spacing w:after="0"/>
              <w:jc w:val="right"/>
              <w:rPr>
                <w:bCs w:val="0"/>
                <w:color w:val="000000"/>
                <w:sz w:val="18"/>
                <w:szCs w:val="18"/>
                <w:lang w:eastAsia="fr-FR"/>
              </w:rPr>
            </w:pPr>
            <w:r>
              <w:rPr>
                <w:bCs w:val="0"/>
                <w:color w:val="000000"/>
                <w:sz w:val="18"/>
                <w:szCs w:val="18"/>
                <w:lang w:eastAsia="fr-FR"/>
              </w:rPr>
              <w:t>98,91</w:t>
            </w:r>
          </w:p>
        </w:tc>
      </w:tr>
      <w:tr w:rsidR="00A079F7" w:rsidRPr="00193822" w:rsidTr="00E74B2E">
        <w:trPr>
          <w:trHeight w:val="300"/>
        </w:trPr>
        <w:tc>
          <w:tcPr>
            <w:tcW w:w="1952" w:type="pct"/>
            <w:tcBorders>
              <w:top w:val="nil"/>
              <w:left w:val="nil"/>
              <w:bottom w:val="nil"/>
              <w:right w:val="nil"/>
            </w:tcBorders>
            <w:shd w:val="clear" w:color="auto" w:fill="auto"/>
            <w:noWrap/>
            <w:vAlign w:val="center"/>
            <w:hideMark/>
          </w:tcPr>
          <w:p w:rsidR="00A079F7" w:rsidRPr="00193822" w:rsidRDefault="00A079F7" w:rsidP="00E514F4">
            <w:pPr>
              <w:spacing w:after="0"/>
              <w:jc w:val="left"/>
              <w:rPr>
                <w:b/>
                <w:sz w:val="18"/>
                <w:szCs w:val="18"/>
                <w:lang w:eastAsia="fr-FR"/>
              </w:rPr>
            </w:pPr>
            <w:r w:rsidRPr="00193822">
              <w:rPr>
                <w:b/>
                <w:sz w:val="18"/>
                <w:szCs w:val="18"/>
                <w:lang w:eastAsia="fr-FR"/>
              </w:rPr>
              <w:t>&gt; 0.5 millions USD et &lt;1 millions USD</w:t>
            </w:r>
          </w:p>
        </w:tc>
        <w:tc>
          <w:tcPr>
            <w:tcW w:w="1093" w:type="pct"/>
            <w:tcBorders>
              <w:top w:val="nil"/>
              <w:left w:val="nil"/>
              <w:bottom w:val="nil"/>
              <w:right w:val="nil"/>
            </w:tcBorders>
            <w:shd w:val="clear" w:color="auto" w:fill="auto"/>
            <w:noWrap/>
            <w:vAlign w:val="center"/>
            <w:hideMark/>
          </w:tcPr>
          <w:p w:rsidR="00A079F7" w:rsidRPr="00193822" w:rsidRDefault="005200A8" w:rsidP="00E514F4">
            <w:pPr>
              <w:spacing w:after="0"/>
              <w:jc w:val="right"/>
              <w:rPr>
                <w:bCs w:val="0"/>
                <w:sz w:val="18"/>
                <w:szCs w:val="18"/>
                <w:lang w:eastAsia="fr-FR"/>
              </w:rPr>
            </w:pPr>
            <w:r>
              <w:rPr>
                <w:bCs w:val="0"/>
                <w:sz w:val="18"/>
                <w:szCs w:val="18"/>
                <w:lang w:eastAsia="fr-FR"/>
              </w:rPr>
              <w:t>7 538 830,69</w:t>
            </w:r>
          </w:p>
        </w:tc>
        <w:tc>
          <w:tcPr>
            <w:tcW w:w="767" w:type="pct"/>
            <w:tcBorders>
              <w:top w:val="nil"/>
              <w:left w:val="nil"/>
              <w:bottom w:val="nil"/>
              <w:right w:val="nil"/>
            </w:tcBorders>
            <w:shd w:val="clear" w:color="auto" w:fill="auto"/>
            <w:noWrap/>
            <w:vAlign w:val="center"/>
            <w:hideMark/>
          </w:tcPr>
          <w:p w:rsidR="00A079F7" w:rsidRPr="00193822" w:rsidRDefault="005200A8" w:rsidP="00E514F4">
            <w:pPr>
              <w:spacing w:after="0"/>
              <w:jc w:val="right"/>
              <w:rPr>
                <w:bCs w:val="0"/>
                <w:sz w:val="18"/>
                <w:szCs w:val="18"/>
                <w:lang w:eastAsia="fr-FR"/>
              </w:rPr>
            </w:pPr>
            <w:r>
              <w:rPr>
                <w:bCs w:val="0"/>
                <w:sz w:val="18"/>
                <w:szCs w:val="18"/>
                <w:lang w:eastAsia="fr-FR"/>
              </w:rPr>
              <w:t>10</w:t>
            </w:r>
          </w:p>
        </w:tc>
        <w:tc>
          <w:tcPr>
            <w:tcW w:w="594" w:type="pct"/>
            <w:tcBorders>
              <w:top w:val="nil"/>
              <w:left w:val="nil"/>
              <w:bottom w:val="nil"/>
              <w:right w:val="nil"/>
            </w:tcBorders>
            <w:shd w:val="clear" w:color="auto" w:fill="auto"/>
            <w:vAlign w:val="center"/>
            <w:hideMark/>
          </w:tcPr>
          <w:p w:rsidR="00A079F7" w:rsidRPr="00193822" w:rsidRDefault="00771BEC" w:rsidP="00E514F4">
            <w:pPr>
              <w:spacing w:after="0"/>
              <w:jc w:val="right"/>
              <w:rPr>
                <w:bCs w:val="0"/>
                <w:color w:val="000000"/>
                <w:sz w:val="18"/>
                <w:szCs w:val="18"/>
                <w:lang w:eastAsia="fr-FR"/>
              </w:rPr>
            </w:pPr>
            <w:r>
              <w:rPr>
                <w:bCs w:val="0"/>
                <w:color w:val="000000"/>
                <w:sz w:val="18"/>
                <w:szCs w:val="18"/>
                <w:lang w:eastAsia="fr-FR"/>
              </w:rPr>
              <w:t>0,45</w:t>
            </w:r>
          </w:p>
        </w:tc>
        <w:tc>
          <w:tcPr>
            <w:tcW w:w="594" w:type="pct"/>
            <w:tcBorders>
              <w:top w:val="nil"/>
              <w:left w:val="nil"/>
              <w:bottom w:val="nil"/>
              <w:right w:val="nil"/>
            </w:tcBorders>
            <w:shd w:val="clear" w:color="auto" w:fill="auto"/>
            <w:vAlign w:val="center"/>
            <w:hideMark/>
          </w:tcPr>
          <w:p w:rsidR="00A079F7" w:rsidRPr="00193822" w:rsidRDefault="005200A8" w:rsidP="00E514F4">
            <w:pPr>
              <w:spacing w:after="0"/>
              <w:jc w:val="right"/>
              <w:rPr>
                <w:bCs w:val="0"/>
                <w:color w:val="000000"/>
                <w:sz w:val="18"/>
                <w:szCs w:val="18"/>
                <w:lang w:eastAsia="fr-FR"/>
              </w:rPr>
            </w:pPr>
            <w:r>
              <w:rPr>
                <w:bCs w:val="0"/>
                <w:color w:val="000000"/>
                <w:sz w:val="18"/>
                <w:szCs w:val="18"/>
                <w:lang w:eastAsia="fr-FR"/>
              </w:rPr>
              <w:t>99,36</w:t>
            </w:r>
          </w:p>
        </w:tc>
      </w:tr>
      <w:tr w:rsidR="00A079F7" w:rsidRPr="00193822" w:rsidTr="00E74B2E">
        <w:trPr>
          <w:trHeight w:val="300"/>
        </w:trPr>
        <w:tc>
          <w:tcPr>
            <w:tcW w:w="1952" w:type="pct"/>
            <w:tcBorders>
              <w:top w:val="nil"/>
              <w:left w:val="nil"/>
              <w:bottom w:val="nil"/>
              <w:right w:val="nil"/>
            </w:tcBorders>
            <w:shd w:val="clear" w:color="000000" w:fill="B8CCE4"/>
            <w:noWrap/>
            <w:vAlign w:val="center"/>
            <w:hideMark/>
          </w:tcPr>
          <w:p w:rsidR="00A079F7" w:rsidRPr="00193822" w:rsidRDefault="00A079F7" w:rsidP="00E514F4">
            <w:pPr>
              <w:spacing w:after="0"/>
              <w:jc w:val="left"/>
              <w:rPr>
                <w:b/>
                <w:sz w:val="18"/>
                <w:szCs w:val="18"/>
                <w:lang w:eastAsia="fr-FR"/>
              </w:rPr>
            </w:pPr>
            <w:r w:rsidRPr="00193822">
              <w:rPr>
                <w:b/>
                <w:sz w:val="18"/>
                <w:szCs w:val="18"/>
                <w:lang w:eastAsia="fr-FR"/>
              </w:rPr>
              <w:t>&gt; 0.2 millions USD et &lt;0.5 millions USD</w:t>
            </w:r>
          </w:p>
        </w:tc>
        <w:tc>
          <w:tcPr>
            <w:tcW w:w="1093" w:type="pct"/>
            <w:tcBorders>
              <w:top w:val="nil"/>
              <w:left w:val="nil"/>
              <w:bottom w:val="nil"/>
              <w:right w:val="nil"/>
            </w:tcBorders>
            <w:shd w:val="clear" w:color="000000" w:fill="B8CCE4"/>
            <w:noWrap/>
            <w:vAlign w:val="center"/>
            <w:hideMark/>
          </w:tcPr>
          <w:p w:rsidR="00A079F7" w:rsidRPr="00193822" w:rsidRDefault="00E8293E" w:rsidP="00E514F4">
            <w:pPr>
              <w:spacing w:after="0"/>
              <w:jc w:val="right"/>
              <w:rPr>
                <w:bCs w:val="0"/>
                <w:sz w:val="18"/>
                <w:szCs w:val="18"/>
                <w:lang w:eastAsia="fr-FR"/>
              </w:rPr>
            </w:pPr>
            <w:r>
              <w:rPr>
                <w:bCs w:val="0"/>
                <w:sz w:val="18"/>
                <w:szCs w:val="18"/>
                <w:lang w:eastAsia="fr-FR"/>
              </w:rPr>
              <w:t>5 367 927,77</w:t>
            </w:r>
          </w:p>
        </w:tc>
        <w:tc>
          <w:tcPr>
            <w:tcW w:w="767" w:type="pct"/>
            <w:tcBorders>
              <w:top w:val="nil"/>
              <w:left w:val="nil"/>
              <w:bottom w:val="nil"/>
              <w:right w:val="nil"/>
            </w:tcBorders>
            <w:shd w:val="clear" w:color="000000" w:fill="B8CCE4"/>
            <w:noWrap/>
            <w:vAlign w:val="center"/>
            <w:hideMark/>
          </w:tcPr>
          <w:p w:rsidR="00A079F7" w:rsidRPr="00193822" w:rsidRDefault="00E8293E" w:rsidP="00E514F4">
            <w:pPr>
              <w:spacing w:after="0"/>
              <w:jc w:val="right"/>
              <w:rPr>
                <w:bCs w:val="0"/>
                <w:sz w:val="18"/>
                <w:szCs w:val="18"/>
                <w:lang w:eastAsia="fr-FR"/>
              </w:rPr>
            </w:pPr>
            <w:r>
              <w:rPr>
                <w:bCs w:val="0"/>
                <w:sz w:val="18"/>
                <w:szCs w:val="18"/>
                <w:lang w:eastAsia="fr-FR"/>
              </w:rPr>
              <w:t>17</w:t>
            </w:r>
          </w:p>
        </w:tc>
        <w:tc>
          <w:tcPr>
            <w:tcW w:w="594" w:type="pct"/>
            <w:tcBorders>
              <w:top w:val="nil"/>
              <w:left w:val="nil"/>
              <w:bottom w:val="nil"/>
              <w:right w:val="nil"/>
            </w:tcBorders>
            <w:shd w:val="clear" w:color="000000" w:fill="B8CCE4"/>
            <w:vAlign w:val="center"/>
            <w:hideMark/>
          </w:tcPr>
          <w:p w:rsidR="00A079F7" w:rsidRPr="00193822" w:rsidRDefault="00E8293E" w:rsidP="00E514F4">
            <w:pPr>
              <w:spacing w:after="0"/>
              <w:jc w:val="right"/>
              <w:rPr>
                <w:bCs w:val="0"/>
                <w:color w:val="000000"/>
                <w:sz w:val="18"/>
                <w:szCs w:val="18"/>
                <w:lang w:eastAsia="fr-FR"/>
              </w:rPr>
            </w:pPr>
            <w:r>
              <w:rPr>
                <w:bCs w:val="0"/>
                <w:color w:val="000000"/>
                <w:sz w:val="18"/>
                <w:szCs w:val="18"/>
                <w:lang w:eastAsia="fr-FR"/>
              </w:rPr>
              <w:t>0,32</w:t>
            </w:r>
          </w:p>
        </w:tc>
        <w:tc>
          <w:tcPr>
            <w:tcW w:w="594" w:type="pct"/>
            <w:tcBorders>
              <w:top w:val="nil"/>
              <w:left w:val="nil"/>
              <w:bottom w:val="nil"/>
              <w:right w:val="nil"/>
            </w:tcBorders>
            <w:shd w:val="clear" w:color="000000" w:fill="B8CCE4"/>
            <w:vAlign w:val="center"/>
            <w:hideMark/>
          </w:tcPr>
          <w:p w:rsidR="00A079F7" w:rsidRPr="00193822" w:rsidRDefault="00E8293E" w:rsidP="00E514F4">
            <w:pPr>
              <w:spacing w:after="0"/>
              <w:jc w:val="right"/>
              <w:rPr>
                <w:bCs w:val="0"/>
                <w:color w:val="000000"/>
                <w:sz w:val="18"/>
                <w:szCs w:val="18"/>
                <w:lang w:eastAsia="fr-FR"/>
              </w:rPr>
            </w:pPr>
            <w:r>
              <w:rPr>
                <w:bCs w:val="0"/>
                <w:color w:val="000000"/>
                <w:sz w:val="18"/>
                <w:szCs w:val="18"/>
                <w:lang w:eastAsia="fr-FR"/>
              </w:rPr>
              <w:t>99,68</w:t>
            </w:r>
          </w:p>
        </w:tc>
      </w:tr>
      <w:tr w:rsidR="00A079F7" w:rsidRPr="00193822" w:rsidTr="00E74B2E">
        <w:trPr>
          <w:trHeight w:val="300"/>
        </w:trPr>
        <w:tc>
          <w:tcPr>
            <w:tcW w:w="1952" w:type="pct"/>
            <w:tcBorders>
              <w:top w:val="nil"/>
              <w:left w:val="nil"/>
              <w:bottom w:val="nil"/>
              <w:right w:val="nil"/>
            </w:tcBorders>
            <w:shd w:val="clear" w:color="auto" w:fill="auto"/>
            <w:noWrap/>
            <w:vAlign w:val="center"/>
            <w:hideMark/>
          </w:tcPr>
          <w:p w:rsidR="00A079F7" w:rsidRPr="00193822" w:rsidRDefault="00A079F7" w:rsidP="00E514F4">
            <w:pPr>
              <w:spacing w:after="0"/>
              <w:jc w:val="left"/>
              <w:rPr>
                <w:b/>
                <w:sz w:val="18"/>
                <w:szCs w:val="18"/>
                <w:lang w:eastAsia="fr-FR"/>
              </w:rPr>
            </w:pPr>
            <w:r w:rsidRPr="00193822">
              <w:rPr>
                <w:b/>
                <w:sz w:val="18"/>
                <w:szCs w:val="18"/>
                <w:lang w:eastAsia="fr-FR"/>
              </w:rPr>
              <w:t>&lt; 0.2 millions USD</w:t>
            </w:r>
          </w:p>
        </w:tc>
        <w:tc>
          <w:tcPr>
            <w:tcW w:w="1093" w:type="pct"/>
            <w:tcBorders>
              <w:top w:val="nil"/>
              <w:left w:val="nil"/>
              <w:bottom w:val="nil"/>
              <w:right w:val="nil"/>
            </w:tcBorders>
            <w:shd w:val="clear" w:color="auto" w:fill="auto"/>
            <w:noWrap/>
            <w:vAlign w:val="center"/>
            <w:hideMark/>
          </w:tcPr>
          <w:p w:rsidR="00A079F7" w:rsidRPr="00193822" w:rsidRDefault="00E8293E" w:rsidP="00E514F4">
            <w:pPr>
              <w:spacing w:after="0"/>
              <w:jc w:val="right"/>
              <w:rPr>
                <w:bCs w:val="0"/>
                <w:sz w:val="18"/>
                <w:szCs w:val="18"/>
                <w:lang w:eastAsia="fr-FR"/>
              </w:rPr>
            </w:pPr>
            <w:r>
              <w:rPr>
                <w:bCs w:val="0"/>
                <w:sz w:val="18"/>
                <w:szCs w:val="18"/>
                <w:lang w:eastAsia="fr-FR"/>
              </w:rPr>
              <w:t>5 356 294,92</w:t>
            </w:r>
          </w:p>
        </w:tc>
        <w:tc>
          <w:tcPr>
            <w:tcW w:w="767" w:type="pct"/>
            <w:tcBorders>
              <w:top w:val="nil"/>
              <w:left w:val="nil"/>
              <w:bottom w:val="nil"/>
              <w:right w:val="nil"/>
            </w:tcBorders>
            <w:shd w:val="clear" w:color="auto" w:fill="auto"/>
            <w:noWrap/>
            <w:vAlign w:val="center"/>
            <w:hideMark/>
          </w:tcPr>
          <w:p w:rsidR="00A079F7" w:rsidRPr="00193822" w:rsidRDefault="00A15F84" w:rsidP="00E514F4">
            <w:pPr>
              <w:spacing w:after="0"/>
              <w:jc w:val="right"/>
              <w:rPr>
                <w:bCs w:val="0"/>
                <w:sz w:val="18"/>
                <w:szCs w:val="18"/>
                <w:lang w:eastAsia="fr-FR"/>
              </w:rPr>
            </w:pPr>
            <w:r>
              <w:rPr>
                <w:bCs w:val="0"/>
                <w:sz w:val="18"/>
                <w:szCs w:val="18"/>
                <w:lang w:eastAsia="fr-FR"/>
              </w:rPr>
              <w:t>189</w:t>
            </w:r>
          </w:p>
        </w:tc>
        <w:tc>
          <w:tcPr>
            <w:tcW w:w="594" w:type="pct"/>
            <w:tcBorders>
              <w:top w:val="nil"/>
              <w:left w:val="nil"/>
              <w:bottom w:val="nil"/>
              <w:right w:val="nil"/>
            </w:tcBorders>
            <w:shd w:val="clear" w:color="auto" w:fill="auto"/>
            <w:vAlign w:val="center"/>
            <w:hideMark/>
          </w:tcPr>
          <w:p w:rsidR="00A079F7" w:rsidRPr="00193822" w:rsidRDefault="00E8293E" w:rsidP="00E514F4">
            <w:pPr>
              <w:spacing w:after="0"/>
              <w:jc w:val="right"/>
              <w:rPr>
                <w:bCs w:val="0"/>
                <w:color w:val="000000"/>
                <w:sz w:val="18"/>
                <w:szCs w:val="18"/>
                <w:lang w:eastAsia="fr-FR"/>
              </w:rPr>
            </w:pPr>
            <w:r>
              <w:rPr>
                <w:bCs w:val="0"/>
                <w:color w:val="000000"/>
                <w:sz w:val="18"/>
                <w:szCs w:val="18"/>
                <w:lang w:eastAsia="fr-FR"/>
              </w:rPr>
              <w:t>0,32</w:t>
            </w:r>
          </w:p>
        </w:tc>
        <w:tc>
          <w:tcPr>
            <w:tcW w:w="594" w:type="pct"/>
            <w:tcBorders>
              <w:top w:val="nil"/>
              <w:left w:val="nil"/>
              <w:bottom w:val="nil"/>
              <w:right w:val="nil"/>
            </w:tcBorders>
            <w:shd w:val="clear" w:color="auto" w:fill="auto"/>
            <w:vAlign w:val="center"/>
            <w:hideMark/>
          </w:tcPr>
          <w:p w:rsidR="00A079F7" w:rsidRPr="00193822" w:rsidRDefault="00E8293E" w:rsidP="00E514F4">
            <w:pPr>
              <w:spacing w:after="0"/>
              <w:jc w:val="right"/>
              <w:rPr>
                <w:bCs w:val="0"/>
                <w:color w:val="000000"/>
                <w:sz w:val="18"/>
                <w:szCs w:val="18"/>
                <w:lang w:eastAsia="fr-FR"/>
              </w:rPr>
            </w:pPr>
            <w:r>
              <w:rPr>
                <w:bCs w:val="0"/>
                <w:color w:val="000000"/>
                <w:sz w:val="18"/>
                <w:szCs w:val="18"/>
                <w:lang w:eastAsia="fr-FR"/>
              </w:rPr>
              <w:t>100,00</w:t>
            </w:r>
          </w:p>
        </w:tc>
      </w:tr>
      <w:tr w:rsidR="00A079F7" w:rsidRPr="00DB46EE" w:rsidTr="00E74B2E">
        <w:trPr>
          <w:trHeight w:val="300"/>
        </w:trPr>
        <w:tc>
          <w:tcPr>
            <w:tcW w:w="1952" w:type="pct"/>
            <w:tcBorders>
              <w:top w:val="single" w:sz="4" w:space="0" w:color="00B0F0"/>
              <w:left w:val="nil"/>
              <w:bottom w:val="nil"/>
              <w:right w:val="nil"/>
            </w:tcBorders>
            <w:shd w:val="clear" w:color="000000" w:fill="BFBFBF"/>
            <w:noWrap/>
            <w:vAlign w:val="center"/>
            <w:hideMark/>
          </w:tcPr>
          <w:p w:rsidR="00A079F7" w:rsidRPr="00193822" w:rsidRDefault="00A079F7" w:rsidP="00E514F4">
            <w:pPr>
              <w:spacing w:after="0"/>
              <w:jc w:val="left"/>
              <w:rPr>
                <w:b/>
                <w:color w:val="000000"/>
                <w:sz w:val="18"/>
                <w:szCs w:val="18"/>
                <w:lang w:eastAsia="fr-FR"/>
              </w:rPr>
            </w:pPr>
            <w:r w:rsidRPr="00193822">
              <w:rPr>
                <w:b/>
                <w:color w:val="000000"/>
                <w:sz w:val="18"/>
                <w:szCs w:val="18"/>
                <w:lang w:eastAsia="fr-FR"/>
              </w:rPr>
              <w:t>Total</w:t>
            </w:r>
          </w:p>
        </w:tc>
        <w:tc>
          <w:tcPr>
            <w:tcW w:w="1093" w:type="pct"/>
            <w:tcBorders>
              <w:top w:val="single" w:sz="4" w:space="0" w:color="00B0F0"/>
              <w:left w:val="nil"/>
              <w:bottom w:val="nil"/>
              <w:right w:val="nil"/>
            </w:tcBorders>
            <w:shd w:val="clear" w:color="000000" w:fill="BFBFBF"/>
            <w:noWrap/>
            <w:vAlign w:val="center"/>
            <w:hideMark/>
          </w:tcPr>
          <w:p w:rsidR="00A079F7" w:rsidRPr="00193822" w:rsidRDefault="00DE0F90" w:rsidP="00E514F4">
            <w:pPr>
              <w:spacing w:after="0"/>
              <w:jc w:val="right"/>
              <w:rPr>
                <w:b/>
                <w:color w:val="000000"/>
                <w:sz w:val="18"/>
                <w:szCs w:val="18"/>
                <w:lang w:eastAsia="fr-FR"/>
              </w:rPr>
            </w:pPr>
            <w:r>
              <w:rPr>
                <w:b/>
                <w:color w:val="000000"/>
                <w:sz w:val="18"/>
                <w:szCs w:val="18"/>
                <w:lang w:eastAsia="fr-FR"/>
              </w:rPr>
              <w:t>1 676 379 324,31</w:t>
            </w:r>
          </w:p>
        </w:tc>
        <w:tc>
          <w:tcPr>
            <w:tcW w:w="767" w:type="pct"/>
            <w:tcBorders>
              <w:top w:val="single" w:sz="4" w:space="0" w:color="00B0F0"/>
              <w:left w:val="nil"/>
              <w:bottom w:val="nil"/>
              <w:right w:val="nil"/>
            </w:tcBorders>
            <w:shd w:val="clear" w:color="000000" w:fill="BFBFBF"/>
            <w:noWrap/>
            <w:vAlign w:val="center"/>
            <w:hideMark/>
          </w:tcPr>
          <w:p w:rsidR="00A079F7" w:rsidRPr="00193822" w:rsidRDefault="00A079F7" w:rsidP="00E514F4">
            <w:pPr>
              <w:spacing w:after="0"/>
              <w:jc w:val="right"/>
              <w:rPr>
                <w:b/>
                <w:color w:val="000000"/>
                <w:sz w:val="18"/>
                <w:szCs w:val="18"/>
                <w:lang w:eastAsia="fr-FR"/>
              </w:rPr>
            </w:pPr>
          </w:p>
        </w:tc>
        <w:tc>
          <w:tcPr>
            <w:tcW w:w="594" w:type="pct"/>
            <w:tcBorders>
              <w:top w:val="single" w:sz="4" w:space="0" w:color="00B0F0"/>
              <w:left w:val="nil"/>
              <w:bottom w:val="nil"/>
              <w:right w:val="nil"/>
            </w:tcBorders>
            <w:shd w:val="clear" w:color="000000" w:fill="BFBFBF"/>
            <w:noWrap/>
            <w:vAlign w:val="center"/>
            <w:hideMark/>
          </w:tcPr>
          <w:p w:rsidR="00A079F7" w:rsidRPr="00DB46EE" w:rsidRDefault="00A079F7" w:rsidP="00E514F4">
            <w:pPr>
              <w:spacing w:after="0"/>
              <w:jc w:val="right"/>
              <w:rPr>
                <w:b/>
                <w:color w:val="000000"/>
                <w:sz w:val="18"/>
                <w:szCs w:val="18"/>
                <w:lang w:eastAsia="fr-FR"/>
              </w:rPr>
            </w:pPr>
          </w:p>
        </w:tc>
        <w:tc>
          <w:tcPr>
            <w:tcW w:w="594" w:type="pct"/>
            <w:tcBorders>
              <w:top w:val="single" w:sz="4" w:space="0" w:color="00B0F0"/>
              <w:left w:val="nil"/>
              <w:bottom w:val="nil"/>
              <w:right w:val="nil"/>
            </w:tcBorders>
            <w:shd w:val="clear" w:color="000000" w:fill="BFBFBF"/>
            <w:noWrap/>
            <w:vAlign w:val="center"/>
            <w:hideMark/>
          </w:tcPr>
          <w:p w:rsidR="00A079F7" w:rsidRPr="00DB46EE" w:rsidRDefault="00A079F7" w:rsidP="00E514F4">
            <w:pPr>
              <w:spacing w:after="0"/>
              <w:jc w:val="left"/>
              <w:rPr>
                <w:b/>
                <w:color w:val="000000"/>
                <w:sz w:val="18"/>
                <w:szCs w:val="18"/>
                <w:lang w:eastAsia="fr-FR"/>
              </w:rPr>
            </w:pPr>
          </w:p>
        </w:tc>
      </w:tr>
    </w:tbl>
    <w:p w:rsidR="00A079F7" w:rsidRPr="004A6219" w:rsidRDefault="00A079F7" w:rsidP="00A079F7">
      <w:pPr>
        <w:autoSpaceDE w:val="0"/>
        <w:autoSpaceDN w:val="0"/>
        <w:adjustRightInd w:val="0"/>
        <w:spacing w:before="240" w:after="120"/>
        <w:rPr>
          <w:bCs w:val="0"/>
          <w:szCs w:val="20"/>
          <w:lang w:eastAsia="fr-FR"/>
        </w:rPr>
      </w:pPr>
      <w:r w:rsidRPr="00D44506">
        <w:rPr>
          <w:bCs w:val="0"/>
          <w:szCs w:val="20"/>
          <w:lang w:eastAsia="fr-FR"/>
        </w:rPr>
        <w:t>L’analyse du tableau démontre que la sélection des sociétés minières dont la contribution dépasse 200 mille USD permet d’atteindre un objectif de couverture de 99.</w:t>
      </w:r>
      <w:r w:rsidR="00D44506" w:rsidRPr="00D44506">
        <w:rPr>
          <w:bCs w:val="0"/>
          <w:szCs w:val="20"/>
          <w:lang w:eastAsia="fr-FR"/>
        </w:rPr>
        <w:t>68</w:t>
      </w:r>
      <w:r w:rsidRPr="00D44506">
        <w:rPr>
          <w:bCs w:val="0"/>
          <w:szCs w:val="20"/>
          <w:lang w:eastAsia="fr-FR"/>
        </w:rPr>
        <w:t>%. Les sociétés dont les paiements sont au-dessous de 200 mi</w:t>
      </w:r>
      <w:r w:rsidR="00D44506" w:rsidRPr="00D44506">
        <w:rPr>
          <w:bCs w:val="0"/>
          <w:szCs w:val="20"/>
          <w:lang w:eastAsia="fr-FR"/>
        </w:rPr>
        <w:t xml:space="preserve">lle USD qui sont au nombre de </w:t>
      </w:r>
      <w:r w:rsidR="00A15F84">
        <w:rPr>
          <w:bCs w:val="0"/>
          <w:szCs w:val="20"/>
          <w:lang w:eastAsia="fr-FR"/>
        </w:rPr>
        <w:t>189</w:t>
      </w:r>
      <w:r w:rsidRPr="00D44506">
        <w:rPr>
          <w:bCs w:val="0"/>
          <w:szCs w:val="20"/>
          <w:lang w:eastAsia="fr-FR"/>
        </w:rPr>
        <w:t xml:space="preserve"> ne représentent qu’une part non significative de la contribution totale de l’ensemble des sociétés minières soit 0.</w:t>
      </w:r>
      <w:r w:rsidR="00D44506" w:rsidRPr="00D44506">
        <w:rPr>
          <w:bCs w:val="0"/>
          <w:szCs w:val="20"/>
          <w:lang w:eastAsia="fr-FR"/>
        </w:rPr>
        <w:t>32</w:t>
      </w:r>
      <w:r w:rsidRPr="00D44506">
        <w:rPr>
          <w:bCs w:val="0"/>
          <w:szCs w:val="20"/>
          <w:lang w:eastAsia="fr-FR"/>
        </w:rPr>
        <w:t>%.</w:t>
      </w:r>
    </w:p>
    <w:p w:rsidR="00A079F7" w:rsidRDefault="00A079F7" w:rsidP="00A079F7">
      <w:pPr>
        <w:spacing w:before="240" w:after="180"/>
      </w:pPr>
      <w:r w:rsidRPr="00D44506">
        <w:t xml:space="preserve">Sur la base des résultats de cette analyse de la matérialité pour le secteur minier, nous recommandons d’inclure dans le périmètre de conciliation toutes les sociétés minières dont le total des paiements déclarés par les régies financières est supérieur à </w:t>
      </w:r>
      <w:r w:rsidRPr="00D44506">
        <w:rPr>
          <w:bCs w:val="0"/>
          <w:szCs w:val="20"/>
          <w:lang w:eastAsia="fr-FR"/>
        </w:rPr>
        <w:t>200 mille USD</w:t>
      </w:r>
      <w:r w:rsidRPr="00D44506">
        <w:t xml:space="preserve">. Sur cette base, </w:t>
      </w:r>
      <w:r w:rsidR="00D44506" w:rsidRPr="00D44506">
        <w:t>83</w:t>
      </w:r>
      <w:r w:rsidRPr="00D44506">
        <w:t xml:space="preserve"> sociétés seront retenues dans le périmètre de conciliation. Ces sociétés sont détaillées comme suit :</w:t>
      </w:r>
    </w:p>
    <w:tbl>
      <w:tblPr>
        <w:tblW w:w="8798" w:type="dxa"/>
        <w:tblInd w:w="61" w:type="dxa"/>
        <w:tblCellMar>
          <w:left w:w="70" w:type="dxa"/>
          <w:right w:w="70" w:type="dxa"/>
        </w:tblCellMar>
        <w:tblLook w:val="04A0" w:firstRow="1" w:lastRow="0" w:firstColumn="1" w:lastColumn="0" w:noHBand="0" w:noVBand="1"/>
      </w:tblPr>
      <w:tblGrid>
        <w:gridCol w:w="342"/>
        <w:gridCol w:w="6613"/>
        <w:gridCol w:w="1843"/>
      </w:tblGrid>
      <w:tr w:rsidR="00024F60" w:rsidRPr="00024F60" w:rsidTr="00024F60">
        <w:trPr>
          <w:trHeight w:val="984"/>
          <w:tblHeader/>
        </w:trPr>
        <w:tc>
          <w:tcPr>
            <w:tcW w:w="342" w:type="dxa"/>
            <w:tcBorders>
              <w:top w:val="single" w:sz="8" w:space="0" w:color="5B9BD5"/>
              <w:left w:val="nil"/>
              <w:bottom w:val="single" w:sz="8" w:space="0" w:color="5B9BD5"/>
              <w:right w:val="nil"/>
            </w:tcBorders>
            <w:shd w:val="clear" w:color="000000" w:fill="244061"/>
            <w:vAlign w:val="center"/>
            <w:hideMark/>
          </w:tcPr>
          <w:p w:rsidR="00024F60" w:rsidRPr="00024F60" w:rsidRDefault="00024F60" w:rsidP="00024F60">
            <w:pPr>
              <w:spacing w:after="0"/>
              <w:jc w:val="center"/>
              <w:rPr>
                <w:b/>
                <w:color w:val="FFFFFF" w:themeColor="background1"/>
                <w:sz w:val="18"/>
                <w:szCs w:val="18"/>
                <w:lang w:eastAsia="fr-FR"/>
              </w:rPr>
            </w:pPr>
            <w:r w:rsidRPr="00024F60">
              <w:rPr>
                <w:b/>
                <w:color w:val="FFFFFF" w:themeColor="background1"/>
                <w:sz w:val="18"/>
                <w:szCs w:val="18"/>
                <w:lang w:eastAsia="fr-FR"/>
              </w:rPr>
              <w:t>N°</w:t>
            </w:r>
          </w:p>
        </w:tc>
        <w:tc>
          <w:tcPr>
            <w:tcW w:w="6613" w:type="dxa"/>
            <w:tcBorders>
              <w:top w:val="single" w:sz="8" w:space="0" w:color="5B9BD5"/>
              <w:left w:val="nil"/>
              <w:bottom w:val="single" w:sz="8" w:space="0" w:color="5B9BD5"/>
              <w:right w:val="nil"/>
            </w:tcBorders>
            <w:shd w:val="clear" w:color="000000" w:fill="244061"/>
            <w:vAlign w:val="center"/>
            <w:hideMark/>
          </w:tcPr>
          <w:p w:rsidR="00024F60" w:rsidRPr="00024F60" w:rsidRDefault="00024F60" w:rsidP="00024F60">
            <w:pPr>
              <w:spacing w:after="0"/>
              <w:jc w:val="left"/>
              <w:rPr>
                <w:b/>
                <w:color w:val="FFFFFF" w:themeColor="background1"/>
                <w:sz w:val="18"/>
                <w:szCs w:val="18"/>
                <w:lang w:eastAsia="fr-FR"/>
              </w:rPr>
            </w:pPr>
            <w:r w:rsidRPr="00024F60">
              <w:rPr>
                <w:b/>
                <w:color w:val="FFFFFF" w:themeColor="background1"/>
                <w:sz w:val="18"/>
                <w:szCs w:val="18"/>
                <w:lang w:eastAsia="fr-FR"/>
              </w:rPr>
              <w:t>Société minière</w:t>
            </w:r>
          </w:p>
        </w:tc>
        <w:tc>
          <w:tcPr>
            <w:tcW w:w="1843" w:type="dxa"/>
            <w:tcBorders>
              <w:top w:val="single" w:sz="8" w:space="0" w:color="5B9BD5"/>
              <w:left w:val="nil"/>
              <w:bottom w:val="single" w:sz="8" w:space="0" w:color="5B9BD5"/>
              <w:right w:val="nil"/>
            </w:tcBorders>
            <w:shd w:val="clear" w:color="000000" w:fill="244061"/>
            <w:vAlign w:val="center"/>
            <w:hideMark/>
          </w:tcPr>
          <w:p w:rsidR="00024F60" w:rsidRPr="00024F60" w:rsidRDefault="00024F60" w:rsidP="00024F60">
            <w:pPr>
              <w:spacing w:after="0"/>
              <w:jc w:val="center"/>
              <w:rPr>
                <w:b/>
                <w:color w:val="FFFFFF" w:themeColor="background1"/>
                <w:sz w:val="18"/>
                <w:szCs w:val="18"/>
                <w:lang w:eastAsia="fr-FR"/>
              </w:rPr>
            </w:pPr>
            <w:r w:rsidRPr="00024F60">
              <w:rPr>
                <w:b/>
                <w:color w:val="FFFFFF" w:themeColor="background1"/>
                <w:sz w:val="18"/>
                <w:szCs w:val="18"/>
                <w:lang w:eastAsia="fr-FR"/>
              </w:rPr>
              <w:t>Déclarations des entités publiques USD</w:t>
            </w:r>
          </w:p>
        </w:tc>
      </w:tr>
      <w:tr w:rsidR="00024F60" w:rsidRPr="00024F60" w:rsidTr="00024F60">
        <w:trPr>
          <w:trHeight w:val="288"/>
        </w:trPr>
        <w:tc>
          <w:tcPr>
            <w:tcW w:w="342" w:type="dxa"/>
            <w:tcBorders>
              <w:top w:val="nil"/>
              <w:left w:val="nil"/>
              <w:bottom w:val="nil"/>
              <w:right w:val="nil"/>
            </w:tcBorders>
            <w:shd w:val="clear" w:color="000000" w:fill="BDD7EE"/>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1</w:t>
            </w:r>
          </w:p>
        </w:tc>
        <w:tc>
          <w:tcPr>
            <w:tcW w:w="6613" w:type="dxa"/>
            <w:tcBorders>
              <w:top w:val="nil"/>
              <w:left w:val="nil"/>
              <w:bottom w:val="nil"/>
              <w:right w:val="nil"/>
            </w:tcBorders>
            <w:shd w:val="clear" w:color="000000" w:fill="BDD7EE"/>
            <w:noWrap/>
            <w:vAlign w:val="bottom"/>
            <w:hideMark/>
          </w:tcPr>
          <w:p w:rsidR="00024F60" w:rsidRPr="00024F60" w:rsidRDefault="00024F60" w:rsidP="00024F60">
            <w:pPr>
              <w:spacing w:after="0"/>
              <w:jc w:val="left"/>
              <w:rPr>
                <w:bCs w:val="0"/>
                <w:color w:val="000000"/>
                <w:sz w:val="18"/>
                <w:szCs w:val="18"/>
                <w:lang w:val="en-US" w:eastAsia="fr-FR"/>
              </w:rPr>
            </w:pPr>
            <w:r w:rsidRPr="00024F60">
              <w:rPr>
                <w:bCs w:val="0"/>
                <w:color w:val="000000"/>
                <w:sz w:val="18"/>
                <w:szCs w:val="18"/>
                <w:lang w:val="en-US" w:eastAsia="fr-FR"/>
              </w:rPr>
              <w:t>TENKE FUNGURUME MINING S.A (</w:t>
            </w:r>
            <w:proofErr w:type="spellStart"/>
            <w:r w:rsidRPr="00024F60">
              <w:rPr>
                <w:bCs w:val="0"/>
                <w:color w:val="000000"/>
                <w:sz w:val="18"/>
                <w:szCs w:val="18"/>
                <w:lang w:val="en-US" w:eastAsia="fr-FR"/>
              </w:rPr>
              <w:t>Ex</w:t>
            </w:r>
            <w:proofErr w:type="gramStart"/>
            <w:r w:rsidRPr="00024F60">
              <w:rPr>
                <w:bCs w:val="0"/>
                <w:color w:val="000000"/>
                <w:sz w:val="18"/>
                <w:szCs w:val="18"/>
                <w:lang w:val="en-US" w:eastAsia="fr-FR"/>
              </w:rPr>
              <w:t>:TENKE</w:t>
            </w:r>
            <w:proofErr w:type="spellEnd"/>
            <w:proofErr w:type="gramEnd"/>
            <w:r w:rsidRPr="00024F60">
              <w:rPr>
                <w:bCs w:val="0"/>
                <w:color w:val="000000"/>
                <w:sz w:val="18"/>
                <w:szCs w:val="18"/>
                <w:lang w:val="en-US" w:eastAsia="fr-FR"/>
              </w:rPr>
              <w:t xml:space="preserve"> FUNGURUME MINING)</w:t>
            </w:r>
          </w:p>
        </w:tc>
        <w:tc>
          <w:tcPr>
            <w:tcW w:w="1843" w:type="dxa"/>
            <w:tcBorders>
              <w:top w:val="nil"/>
              <w:left w:val="nil"/>
              <w:bottom w:val="nil"/>
              <w:right w:val="nil"/>
            </w:tcBorders>
            <w:shd w:val="clear" w:color="000000" w:fill="BDD7EE"/>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404 005 641,05</w:t>
            </w:r>
          </w:p>
        </w:tc>
      </w:tr>
      <w:tr w:rsidR="00024F60" w:rsidRPr="00024F60" w:rsidTr="00024F60">
        <w:trPr>
          <w:trHeight w:val="288"/>
        </w:trPr>
        <w:tc>
          <w:tcPr>
            <w:tcW w:w="342" w:type="dxa"/>
            <w:tcBorders>
              <w:top w:val="nil"/>
              <w:left w:val="nil"/>
              <w:bottom w:val="nil"/>
              <w:right w:val="nil"/>
            </w:tcBorders>
            <w:shd w:val="clear" w:color="auto" w:fill="auto"/>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2</w:t>
            </w:r>
          </w:p>
        </w:tc>
        <w:tc>
          <w:tcPr>
            <w:tcW w:w="6613" w:type="dxa"/>
            <w:tcBorders>
              <w:top w:val="nil"/>
              <w:left w:val="nil"/>
              <w:bottom w:val="nil"/>
              <w:right w:val="nil"/>
            </w:tcBorders>
            <w:shd w:val="clear" w:color="auto" w:fill="auto"/>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MUTANDA MINING</w:t>
            </w:r>
          </w:p>
        </w:tc>
        <w:tc>
          <w:tcPr>
            <w:tcW w:w="1843" w:type="dxa"/>
            <w:tcBorders>
              <w:top w:val="nil"/>
              <w:left w:val="nil"/>
              <w:bottom w:val="nil"/>
              <w:right w:val="nil"/>
            </w:tcBorders>
            <w:shd w:val="clear" w:color="auto" w:fill="auto"/>
            <w:noWrap/>
            <w:vAlign w:val="bottom"/>
            <w:hideMark/>
          </w:tcPr>
          <w:p w:rsidR="00024F60" w:rsidRPr="00024F60" w:rsidRDefault="00024F60" w:rsidP="0023091D">
            <w:pPr>
              <w:spacing w:after="0"/>
              <w:jc w:val="right"/>
              <w:rPr>
                <w:bCs w:val="0"/>
                <w:color w:val="000000"/>
                <w:sz w:val="18"/>
                <w:szCs w:val="18"/>
                <w:lang w:eastAsia="fr-FR"/>
              </w:rPr>
            </w:pPr>
            <w:r w:rsidRPr="00024F60">
              <w:rPr>
                <w:bCs w:val="0"/>
                <w:color w:val="000000"/>
                <w:sz w:val="18"/>
                <w:szCs w:val="18"/>
                <w:lang w:eastAsia="fr-FR"/>
              </w:rPr>
              <w:t>317 7</w:t>
            </w:r>
            <w:r w:rsidR="0023091D">
              <w:rPr>
                <w:bCs w:val="0"/>
                <w:color w:val="000000"/>
                <w:sz w:val="18"/>
                <w:szCs w:val="18"/>
                <w:lang w:eastAsia="fr-FR"/>
              </w:rPr>
              <w:t>92</w:t>
            </w:r>
            <w:r w:rsidRPr="00024F60">
              <w:rPr>
                <w:bCs w:val="0"/>
                <w:color w:val="000000"/>
                <w:sz w:val="18"/>
                <w:szCs w:val="18"/>
                <w:lang w:eastAsia="fr-FR"/>
              </w:rPr>
              <w:t xml:space="preserve"> </w:t>
            </w:r>
            <w:r w:rsidR="0023091D">
              <w:rPr>
                <w:bCs w:val="0"/>
                <w:color w:val="000000"/>
                <w:sz w:val="18"/>
                <w:szCs w:val="18"/>
                <w:lang w:eastAsia="fr-FR"/>
              </w:rPr>
              <w:t>552</w:t>
            </w:r>
            <w:r w:rsidRPr="00024F60">
              <w:rPr>
                <w:bCs w:val="0"/>
                <w:color w:val="000000"/>
                <w:sz w:val="18"/>
                <w:szCs w:val="18"/>
                <w:lang w:eastAsia="fr-FR"/>
              </w:rPr>
              <w:t>,</w:t>
            </w:r>
            <w:r w:rsidR="0023091D">
              <w:rPr>
                <w:bCs w:val="0"/>
                <w:color w:val="000000"/>
                <w:sz w:val="18"/>
                <w:szCs w:val="18"/>
                <w:lang w:eastAsia="fr-FR"/>
              </w:rPr>
              <w:t>66</w:t>
            </w:r>
          </w:p>
        </w:tc>
      </w:tr>
      <w:tr w:rsidR="00024F60" w:rsidRPr="00024F60" w:rsidTr="00024F60">
        <w:trPr>
          <w:trHeight w:val="288"/>
        </w:trPr>
        <w:tc>
          <w:tcPr>
            <w:tcW w:w="342" w:type="dxa"/>
            <w:tcBorders>
              <w:top w:val="nil"/>
              <w:left w:val="nil"/>
              <w:bottom w:val="nil"/>
              <w:right w:val="nil"/>
            </w:tcBorders>
            <w:shd w:val="clear" w:color="000000" w:fill="BDD7EE"/>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3</w:t>
            </w:r>
          </w:p>
        </w:tc>
        <w:tc>
          <w:tcPr>
            <w:tcW w:w="6613" w:type="dxa"/>
            <w:tcBorders>
              <w:top w:val="nil"/>
              <w:left w:val="nil"/>
              <w:bottom w:val="nil"/>
              <w:right w:val="nil"/>
            </w:tcBorders>
            <w:shd w:val="clear" w:color="000000" w:fill="BDD7EE"/>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KAMOTO COPPER COMPANY</w:t>
            </w:r>
          </w:p>
        </w:tc>
        <w:tc>
          <w:tcPr>
            <w:tcW w:w="1843" w:type="dxa"/>
            <w:tcBorders>
              <w:top w:val="nil"/>
              <w:left w:val="nil"/>
              <w:bottom w:val="nil"/>
              <w:right w:val="nil"/>
            </w:tcBorders>
            <w:shd w:val="clear" w:color="000000" w:fill="BDD7EE"/>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278 586 227,32</w:t>
            </w:r>
          </w:p>
        </w:tc>
      </w:tr>
      <w:tr w:rsidR="00024F60" w:rsidRPr="00024F60" w:rsidTr="00024F60">
        <w:trPr>
          <w:trHeight w:val="288"/>
        </w:trPr>
        <w:tc>
          <w:tcPr>
            <w:tcW w:w="342" w:type="dxa"/>
            <w:tcBorders>
              <w:top w:val="nil"/>
              <w:left w:val="nil"/>
              <w:bottom w:val="nil"/>
              <w:right w:val="nil"/>
            </w:tcBorders>
            <w:shd w:val="clear" w:color="auto" w:fill="auto"/>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4</w:t>
            </w:r>
          </w:p>
        </w:tc>
        <w:tc>
          <w:tcPr>
            <w:tcW w:w="6613" w:type="dxa"/>
            <w:tcBorders>
              <w:top w:val="nil"/>
              <w:left w:val="nil"/>
              <w:bottom w:val="nil"/>
              <w:right w:val="nil"/>
            </w:tcBorders>
            <w:shd w:val="clear" w:color="auto" w:fill="auto"/>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KIBALI GOLDMINES SPRL</w:t>
            </w:r>
          </w:p>
        </w:tc>
        <w:tc>
          <w:tcPr>
            <w:tcW w:w="1843" w:type="dxa"/>
            <w:tcBorders>
              <w:top w:val="nil"/>
              <w:left w:val="nil"/>
              <w:bottom w:val="nil"/>
              <w:right w:val="nil"/>
            </w:tcBorders>
            <w:shd w:val="clear" w:color="auto" w:fill="auto"/>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101 210 828,79</w:t>
            </w:r>
          </w:p>
        </w:tc>
      </w:tr>
      <w:tr w:rsidR="00024F60" w:rsidRPr="00024F60" w:rsidTr="00024F60">
        <w:trPr>
          <w:trHeight w:val="288"/>
        </w:trPr>
        <w:tc>
          <w:tcPr>
            <w:tcW w:w="342" w:type="dxa"/>
            <w:tcBorders>
              <w:top w:val="nil"/>
              <w:left w:val="nil"/>
              <w:bottom w:val="nil"/>
              <w:right w:val="nil"/>
            </w:tcBorders>
            <w:shd w:val="clear" w:color="000000" w:fill="BDD7EE"/>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5</w:t>
            </w:r>
          </w:p>
        </w:tc>
        <w:tc>
          <w:tcPr>
            <w:tcW w:w="6613" w:type="dxa"/>
            <w:tcBorders>
              <w:top w:val="nil"/>
              <w:left w:val="nil"/>
              <w:bottom w:val="nil"/>
              <w:right w:val="nil"/>
            </w:tcBorders>
            <w:shd w:val="clear" w:color="000000" w:fill="BDD7EE"/>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BOSS MINING</w:t>
            </w:r>
          </w:p>
        </w:tc>
        <w:tc>
          <w:tcPr>
            <w:tcW w:w="1843" w:type="dxa"/>
            <w:tcBorders>
              <w:top w:val="nil"/>
              <w:left w:val="nil"/>
              <w:bottom w:val="nil"/>
              <w:right w:val="nil"/>
            </w:tcBorders>
            <w:shd w:val="clear" w:color="000000" w:fill="BDD7EE"/>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63 209 804,23</w:t>
            </w:r>
          </w:p>
        </w:tc>
      </w:tr>
      <w:tr w:rsidR="00024F60" w:rsidRPr="00024F60" w:rsidTr="00024F60">
        <w:trPr>
          <w:trHeight w:val="288"/>
        </w:trPr>
        <w:tc>
          <w:tcPr>
            <w:tcW w:w="342" w:type="dxa"/>
            <w:tcBorders>
              <w:top w:val="nil"/>
              <w:left w:val="nil"/>
              <w:bottom w:val="nil"/>
              <w:right w:val="nil"/>
            </w:tcBorders>
            <w:shd w:val="clear" w:color="auto" w:fill="auto"/>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6</w:t>
            </w:r>
          </w:p>
        </w:tc>
        <w:tc>
          <w:tcPr>
            <w:tcW w:w="6613" w:type="dxa"/>
            <w:tcBorders>
              <w:top w:val="nil"/>
              <w:left w:val="nil"/>
              <w:bottom w:val="nil"/>
              <w:right w:val="nil"/>
            </w:tcBorders>
            <w:shd w:val="clear" w:color="auto" w:fill="auto"/>
            <w:noWrap/>
            <w:vAlign w:val="bottom"/>
            <w:hideMark/>
          </w:tcPr>
          <w:p w:rsidR="00024F60" w:rsidRPr="00024F60" w:rsidRDefault="00024F60" w:rsidP="00024F60">
            <w:pPr>
              <w:spacing w:after="0"/>
              <w:jc w:val="left"/>
              <w:rPr>
                <w:bCs w:val="0"/>
                <w:color w:val="000000"/>
                <w:sz w:val="18"/>
                <w:szCs w:val="18"/>
                <w:lang w:val="en-US" w:eastAsia="fr-FR"/>
              </w:rPr>
            </w:pPr>
            <w:r w:rsidRPr="00024F60">
              <w:rPr>
                <w:bCs w:val="0"/>
                <w:color w:val="000000"/>
                <w:sz w:val="18"/>
                <w:szCs w:val="18"/>
                <w:lang w:val="en-US" w:eastAsia="fr-FR"/>
              </w:rPr>
              <w:t>MMG KINSEVERE SARL (Ex. AMCK MINING SPRL)</w:t>
            </w:r>
          </w:p>
        </w:tc>
        <w:tc>
          <w:tcPr>
            <w:tcW w:w="1843" w:type="dxa"/>
            <w:tcBorders>
              <w:top w:val="nil"/>
              <w:left w:val="nil"/>
              <w:bottom w:val="nil"/>
              <w:right w:val="nil"/>
            </w:tcBorders>
            <w:shd w:val="clear" w:color="auto" w:fill="auto"/>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50 642 481,77</w:t>
            </w:r>
          </w:p>
        </w:tc>
      </w:tr>
      <w:tr w:rsidR="00024F60" w:rsidRPr="00024F60" w:rsidTr="00024F60">
        <w:trPr>
          <w:trHeight w:val="288"/>
        </w:trPr>
        <w:tc>
          <w:tcPr>
            <w:tcW w:w="342" w:type="dxa"/>
            <w:tcBorders>
              <w:top w:val="nil"/>
              <w:left w:val="nil"/>
              <w:bottom w:val="nil"/>
              <w:right w:val="nil"/>
            </w:tcBorders>
            <w:shd w:val="clear" w:color="000000" w:fill="BDD7EE"/>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7</w:t>
            </w:r>
          </w:p>
        </w:tc>
        <w:tc>
          <w:tcPr>
            <w:tcW w:w="6613" w:type="dxa"/>
            <w:tcBorders>
              <w:top w:val="nil"/>
              <w:left w:val="nil"/>
              <w:bottom w:val="nil"/>
              <w:right w:val="nil"/>
            </w:tcBorders>
            <w:shd w:val="clear" w:color="000000" w:fill="BDD7EE"/>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RUASHI MINING</w:t>
            </w:r>
          </w:p>
        </w:tc>
        <w:tc>
          <w:tcPr>
            <w:tcW w:w="1843" w:type="dxa"/>
            <w:tcBorders>
              <w:top w:val="nil"/>
              <w:left w:val="nil"/>
              <w:bottom w:val="nil"/>
              <w:right w:val="nil"/>
            </w:tcBorders>
            <w:shd w:val="clear" w:color="000000" w:fill="BDD7EE"/>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50 083 023,48</w:t>
            </w:r>
          </w:p>
        </w:tc>
      </w:tr>
      <w:tr w:rsidR="00024F60" w:rsidRPr="00024F60" w:rsidTr="00024F60">
        <w:trPr>
          <w:trHeight w:val="288"/>
        </w:trPr>
        <w:tc>
          <w:tcPr>
            <w:tcW w:w="342" w:type="dxa"/>
            <w:tcBorders>
              <w:top w:val="nil"/>
              <w:left w:val="nil"/>
              <w:bottom w:val="nil"/>
              <w:right w:val="nil"/>
            </w:tcBorders>
            <w:shd w:val="clear" w:color="auto" w:fill="auto"/>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8</w:t>
            </w:r>
          </w:p>
        </w:tc>
        <w:tc>
          <w:tcPr>
            <w:tcW w:w="6613" w:type="dxa"/>
            <w:tcBorders>
              <w:top w:val="nil"/>
              <w:left w:val="nil"/>
              <w:bottom w:val="nil"/>
              <w:right w:val="nil"/>
            </w:tcBorders>
            <w:shd w:val="clear" w:color="auto" w:fill="auto"/>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FRONTIER SPRL</w:t>
            </w:r>
          </w:p>
        </w:tc>
        <w:tc>
          <w:tcPr>
            <w:tcW w:w="1843" w:type="dxa"/>
            <w:tcBorders>
              <w:top w:val="nil"/>
              <w:left w:val="nil"/>
              <w:bottom w:val="nil"/>
              <w:right w:val="nil"/>
            </w:tcBorders>
            <w:shd w:val="clear" w:color="auto" w:fill="auto"/>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48 629 573,62</w:t>
            </w:r>
          </w:p>
        </w:tc>
      </w:tr>
      <w:tr w:rsidR="00024F60" w:rsidRPr="00024F60" w:rsidTr="00024F60">
        <w:trPr>
          <w:trHeight w:val="288"/>
        </w:trPr>
        <w:tc>
          <w:tcPr>
            <w:tcW w:w="342" w:type="dxa"/>
            <w:tcBorders>
              <w:top w:val="nil"/>
              <w:left w:val="nil"/>
              <w:bottom w:val="nil"/>
              <w:right w:val="nil"/>
            </w:tcBorders>
            <w:shd w:val="clear" w:color="000000" w:fill="BDD7EE"/>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9</w:t>
            </w:r>
          </w:p>
        </w:tc>
        <w:tc>
          <w:tcPr>
            <w:tcW w:w="6613" w:type="dxa"/>
            <w:tcBorders>
              <w:top w:val="nil"/>
              <w:left w:val="nil"/>
              <w:bottom w:val="nil"/>
              <w:right w:val="nil"/>
            </w:tcBorders>
            <w:shd w:val="clear" w:color="000000" w:fill="BDD7EE"/>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CONGO DONGFANG INTERNATIONAL MINING</w:t>
            </w:r>
          </w:p>
        </w:tc>
        <w:tc>
          <w:tcPr>
            <w:tcW w:w="1843" w:type="dxa"/>
            <w:tcBorders>
              <w:top w:val="nil"/>
              <w:left w:val="nil"/>
              <w:bottom w:val="nil"/>
              <w:right w:val="nil"/>
            </w:tcBorders>
            <w:shd w:val="clear" w:color="000000" w:fill="BDD7EE"/>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29 944 993,88</w:t>
            </w:r>
          </w:p>
        </w:tc>
      </w:tr>
      <w:tr w:rsidR="00024F60" w:rsidRPr="00024F60" w:rsidTr="00024F60">
        <w:trPr>
          <w:trHeight w:val="288"/>
        </w:trPr>
        <w:tc>
          <w:tcPr>
            <w:tcW w:w="342" w:type="dxa"/>
            <w:tcBorders>
              <w:top w:val="nil"/>
              <w:left w:val="nil"/>
              <w:bottom w:val="nil"/>
              <w:right w:val="nil"/>
            </w:tcBorders>
            <w:shd w:val="clear" w:color="auto" w:fill="auto"/>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10</w:t>
            </w:r>
          </w:p>
        </w:tc>
        <w:tc>
          <w:tcPr>
            <w:tcW w:w="6613" w:type="dxa"/>
            <w:tcBorders>
              <w:top w:val="nil"/>
              <w:left w:val="nil"/>
              <w:bottom w:val="nil"/>
              <w:right w:val="nil"/>
            </w:tcBorders>
            <w:shd w:val="clear" w:color="auto" w:fill="auto"/>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SHITURU MINING CORPORATION</w:t>
            </w:r>
          </w:p>
        </w:tc>
        <w:tc>
          <w:tcPr>
            <w:tcW w:w="1843" w:type="dxa"/>
            <w:tcBorders>
              <w:top w:val="nil"/>
              <w:left w:val="nil"/>
              <w:bottom w:val="nil"/>
              <w:right w:val="nil"/>
            </w:tcBorders>
            <w:shd w:val="clear" w:color="auto" w:fill="auto"/>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27 073 893,27</w:t>
            </w:r>
          </w:p>
        </w:tc>
      </w:tr>
      <w:tr w:rsidR="00024F60" w:rsidRPr="00024F60" w:rsidTr="00024F60">
        <w:trPr>
          <w:trHeight w:val="288"/>
        </w:trPr>
        <w:tc>
          <w:tcPr>
            <w:tcW w:w="342" w:type="dxa"/>
            <w:tcBorders>
              <w:top w:val="nil"/>
              <w:left w:val="nil"/>
              <w:bottom w:val="nil"/>
              <w:right w:val="nil"/>
            </w:tcBorders>
            <w:shd w:val="clear" w:color="000000" w:fill="BDD7EE"/>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11</w:t>
            </w:r>
          </w:p>
        </w:tc>
        <w:tc>
          <w:tcPr>
            <w:tcW w:w="6613" w:type="dxa"/>
            <w:tcBorders>
              <w:top w:val="nil"/>
              <w:left w:val="nil"/>
              <w:bottom w:val="nil"/>
              <w:right w:val="nil"/>
            </w:tcBorders>
            <w:shd w:val="clear" w:color="000000" w:fill="BDD7EE"/>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GENERALE DES CARRIERES ET DES MINES</w:t>
            </w:r>
          </w:p>
        </w:tc>
        <w:tc>
          <w:tcPr>
            <w:tcW w:w="1843" w:type="dxa"/>
            <w:tcBorders>
              <w:top w:val="nil"/>
              <w:left w:val="nil"/>
              <w:bottom w:val="nil"/>
              <w:right w:val="nil"/>
            </w:tcBorders>
            <w:shd w:val="clear" w:color="000000" w:fill="BDD7EE"/>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22 866 670,43</w:t>
            </w:r>
          </w:p>
        </w:tc>
      </w:tr>
      <w:tr w:rsidR="00024F60" w:rsidRPr="00024F60" w:rsidTr="00024F60">
        <w:trPr>
          <w:trHeight w:val="288"/>
        </w:trPr>
        <w:tc>
          <w:tcPr>
            <w:tcW w:w="342" w:type="dxa"/>
            <w:tcBorders>
              <w:top w:val="nil"/>
              <w:left w:val="nil"/>
              <w:bottom w:val="nil"/>
              <w:right w:val="nil"/>
            </w:tcBorders>
            <w:shd w:val="clear" w:color="auto" w:fill="auto"/>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12</w:t>
            </w:r>
          </w:p>
        </w:tc>
        <w:tc>
          <w:tcPr>
            <w:tcW w:w="6613" w:type="dxa"/>
            <w:tcBorders>
              <w:top w:val="nil"/>
              <w:left w:val="nil"/>
              <w:bottom w:val="nil"/>
              <w:right w:val="nil"/>
            </w:tcBorders>
            <w:shd w:val="clear" w:color="auto" w:fill="auto"/>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CHEMICAL OF AFRICA SARL</w:t>
            </w:r>
          </w:p>
        </w:tc>
        <w:tc>
          <w:tcPr>
            <w:tcW w:w="1843" w:type="dxa"/>
            <w:tcBorders>
              <w:top w:val="nil"/>
              <w:left w:val="nil"/>
              <w:bottom w:val="nil"/>
              <w:right w:val="nil"/>
            </w:tcBorders>
            <w:shd w:val="clear" w:color="auto" w:fill="auto"/>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22 643 538,72</w:t>
            </w:r>
          </w:p>
        </w:tc>
      </w:tr>
      <w:tr w:rsidR="00024F60" w:rsidRPr="00024F60" w:rsidTr="00024F60">
        <w:trPr>
          <w:trHeight w:val="288"/>
        </w:trPr>
        <w:tc>
          <w:tcPr>
            <w:tcW w:w="342" w:type="dxa"/>
            <w:tcBorders>
              <w:top w:val="nil"/>
              <w:left w:val="nil"/>
              <w:bottom w:val="nil"/>
              <w:right w:val="nil"/>
            </w:tcBorders>
            <w:shd w:val="clear" w:color="000000" w:fill="BDD7EE"/>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13</w:t>
            </w:r>
          </w:p>
        </w:tc>
        <w:tc>
          <w:tcPr>
            <w:tcW w:w="6613" w:type="dxa"/>
            <w:tcBorders>
              <w:top w:val="nil"/>
              <w:left w:val="nil"/>
              <w:bottom w:val="nil"/>
              <w:right w:val="nil"/>
            </w:tcBorders>
            <w:shd w:val="clear" w:color="000000" w:fill="BDD7EE"/>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 xml:space="preserve">COMPAGNIE DE TRAITEMENT DES REJETS DE KINGAYAMBO </w:t>
            </w:r>
            <w:proofErr w:type="gramStart"/>
            <w:r w:rsidRPr="00024F60">
              <w:rPr>
                <w:bCs w:val="0"/>
                <w:color w:val="000000"/>
                <w:sz w:val="18"/>
                <w:szCs w:val="18"/>
                <w:lang w:eastAsia="fr-FR"/>
              </w:rPr>
              <w:t xml:space="preserve">( </w:t>
            </w:r>
            <w:proofErr w:type="spellStart"/>
            <w:r w:rsidRPr="00024F60">
              <w:rPr>
                <w:bCs w:val="0"/>
                <w:color w:val="000000"/>
                <w:sz w:val="18"/>
                <w:szCs w:val="18"/>
                <w:lang w:eastAsia="fr-FR"/>
              </w:rPr>
              <w:t>Metalkol</w:t>
            </w:r>
            <w:proofErr w:type="spellEnd"/>
            <w:proofErr w:type="gramEnd"/>
            <w:r w:rsidRPr="00024F60">
              <w:rPr>
                <w:bCs w:val="0"/>
                <w:color w:val="000000"/>
                <w:sz w:val="18"/>
                <w:szCs w:val="18"/>
                <w:lang w:eastAsia="fr-FR"/>
              </w:rPr>
              <w:t>)</w:t>
            </w:r>
          </w:p>
        </w:tc>
        <w:tc>
          <w:tcPr>
            <w:tcW w:w="1843" w:type="dxa"/>
            <w:tcBorders>
              <w:top w:val="nil"/>
              <w:left w:val="nil"/>
              <w:bottom w:val="nil"/>
              <w:right w:val="nil"/>
            </w:tcBorders>
            <w:shd w:val="clear" w:color="000000" w:fill="BDD7EE"/>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22 303 866,42</w:t>
            </w:r>
          </w:p>
        </w:tc>
      </w:tr>
      <w:tr w:rsidR="00024F60" w:rsidRPr="00024F60" w:rsidTr="00024F60">
        <w:trPr>
          <w:trHeight w:val="288"/>
        </w:trPr>
        <w:tc>
          <w:tcPr>
            <w:tcW w:w="342" w:type="dxa"/>
            <w:tcBorders>
              <w:top w:val="nil"/>
              <w:left w:val="nil"/>
              <w:bottom w:val="nil"/>
              <w:right w:val="nil"/>
            </w:tcBorders>
            <w:shd w:val="clear" w:color="auto" w:fill="auto"/>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14</w:t>
            </w:r>
          </w:p>
        </w:tc>
        <w:tc>
          <w:tcPr>
            <w:tcW w:w="6613" w:type="dxa"/>
            <w:tcBorders>
              <w:top w:val="nil"/>
              <w:left w:val="nil"/>
              <w:bottom w:val="nil"/>
              <w:right w:val="nil"/>
            </w:tcBorders>
            <w:shd w:val="clear" w:color="auto" w:fill="auto"/>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SOCIETE D'EXPLOITATION DE KIPOI S.A</w:t>
            </w:r>
          </w:p>
        </w:tc>
        <w:tc>
          <w:tcPr>
            <w:tcW w:w="1843" w:type="dxa"/>
            <w:tcBorders>
              <w:top w:val="nil"/>
              <w:left w:val="nil"/>
              <w:bottom w:val="nil"/>
              <w:right w:val="nil"/>
            </w:tcBorders>
            <w:shd w:val="clear" w:color="auto" w:fill="auto"/>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17 687 393,84</w:t>
            </w:r>
          </w:p>
        </w:tc>
      </w:tr>
      <w:tr w:rsidR="00024F60" w:rsidRPr="00024F60" w:rsidTr="00024F60">
        <w:trPr>
          <w:trHeight w:val="288"/>
        </w:trPr>
        <w:tc>
          <w:tcPr>
            <w:tcW w:w="342" w:type="dxa"/>
            <w:tcBorders>
              <w:top w:val="nil"/>
              <w:left w:val="nil"/>
              <w:bottom w:val="nil"/>
              <w:right w:val="nil"/>
            </w:tcBorders>
            <w:shd w:val="clear" w:color="000000" w:fill="BDD7EE"/>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15</w:t>
            </w:r>
          </w:p>
        </w:tc>
        <w:tc>
          <w:tcPr>
            <w:tcW w:w="6613" w:type="dxa"/>
            <w:tcBorders>
              <w:top w:val="nil"/>
              <w:left w:val="nil"/>
              <w:bottom w:val="nil"/>
              <w:right w:val="nil"/>
            </w:tcBorders>
            <w:shd w:val="clear" w:color="000000" w:fill="BDD7EE"/>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LA MINIERE DE KALUMBWE MYUNGA</w:t>
            </w:r>
          </w:p>
        </w:tc>
        <w:tc>
          <w:tcPr>
            <w:tcW w:w="1843" w:type="dxa"/>
            <w:tcBorders>
              <w:top w:val="nil"/>
              <w:left w:val="nil"/>
              <w:bottom w:val="nil"/>
              <w:right w:val="nil"/>
            </w:tcBorders>
            <w:shd w:val="clear" w:color="000000" w:fill="BDD7EE"/>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16 898 074,71</w:t>
            </w:r>
          </w:p>
        </w:tc>
      </w:tr>
      <w:tr w:rsidR="00024F60" w:rsidRPr="00024F60" w:rsidTr="00024F60">
        <w:trPr>
          <w:trHeight w:val="288"/>
        </w:trPr>
        <w:tc>
          <w:tcPr>
            <w:tcW w:w="342" w:type="dxa"/>
            <w:tcBorders>
              <w:top w:val="nil"/>
              <w:left w:val="nil"/>
              <w:bottom w:val="nil"/>
              <w:right w:val="nil"/>
            </w:tcBorders>
            <w:shd w:val="clear" w:color="auto" w:fill="auto"/>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lastRenderedPageBreak/>
              <w:t>16</w:t>
            </w:r>
          </w:p>
        </w:tc>
        <w:tc>
          <w:tcPr>
            <w:tcW w:w="6613" w:type="dxa"/>
            <w:tcBorders>
              <w:top w:val="nil"/>
              <w:left w:val="nil"/>
              <w:bottom w:val="nil"/>
              <w:right w:val="nil"/>
            </w:tcBorders>
            <w:shd w:val="clear" w:color="auto" w:fill="auto"/>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COMPAGNIE MINIERE DE LUISHA</w:t>
            </w:r>
          </w:p>
        </w:tc>
        <w:tc>
          <w:tcPr>
            <w:tcW w:w="1843" w:type="dxa"/>
            <w:tcBorders>
              <w:top w:val="nil"/>
              <w:left w:val="nil"/>
              <w:bottom w:val="nil"/>
              <w:right w:val="nil"/>
            </w:tcBorders>
            <w:shd w:val="clear" w:color="auto" w:fill="auto"/>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11 513 762,18</w:t>
            </w:r>
          </w:p>
        </w:tc>
      </w:tr>
      <w:tr w:rsidR="00024F60" w:rsidRPr="00024F60" w:rsidTr="00024F60">
        <w:trPr>
          <w:trHeight w:val="288"/>
        </w:trPr>
        <w:tc>
          <w:tcPr>
            <w:tcW w:w="342" w:type="dxa"/>
            <w:tcBorders>
              <w:top w:val="nil"/>
              <w:left w:val="nil"/>
              <w:bottom w:val="nil"/>
              <w:right w:val="nil"/>
            </w:tcBorders>
            <w:shd w:val="clear" w:color="000000" w:fill="BDD7EE"/>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17</w:t>
            </w:r>
          </w:p>
        </w:tc>
        <w:tc>
          <w:tcPr>
            <w:tcW w:w="6613" w:type="dxa"/>
            <w:tcBorders>
              <w:top w:val="nil"/>
              <w:left w:val="nil"/>
              <w:bottom w:val="nil"/>
              <w:right w:val="nil"/>
            </w:tcBorders>
            <w:shd w:val="clear" w:color="000000" w:fill="BDD7EE"/>
            <w:noWrap/>
            <w:vAlign w:val="bottom"/>
            <w:hideMark/>
          </w:tcPr>
          <w:p w:rsidR="00024F60" w:rsidRPr="00024F60" w:rsidRDefault="00024F60" w:rsidP="00024F60">
            <w:pPr>
              <w:spacing w:after="0"/>
              <w:jc w:val="left"/>
              <w:rPr>
                <w:bCs w:val="0"/>
                <w:color w:val="000000"/>
                <w:sz w:val="18"/>
                <w:szCs w:val="18"/>
                <w:lang w:val="en-US" w:eastAsia="fr-FR"/>
              </w:rPr>
            </w:pPr>
            <w:r w:rsidRPr="00024F60">
              <w:rPr>
                <w:bCs w:val="0"/>
                <w:color w:val="000000"/>
                <w:sz w:val="18"/>
                <w:szCs w:val="18"/>
                <w:lang w:val="en-US" w:eastAsia="fr-FR"/>
              </w:rPr>
              <w:t>CNMC HUACHIN MABENDE MINING SPRL</w:t>
            </w:r>
          </w:p>
        </w:tc>
        <w:tc>
          <w:tcPr>
            <w:tcW w:w="1843" w:type="dxa"/>
            <w:tcBorders>
              <w:top w:val="nil"/>
              <w:left w:val="nil"/>
              <w:bottom w:val="nil"/>
              <w:right w:val="nil"/>
            </w:tcBorders>
            <w:shd w:val="clear" w:color="000000" w:fill="BDD7EE"/>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11 186 932,87</w:t>
            </w:r>
          </w:p>
        </w:tc>
      </w:tr>
      <w:tr w:rsidR="00024F60" w:rsidRPr="00024F60" w:rsidTr="00024F60">
        <w:trPr>
          <w:trHeight w:val="288"/>
        </w:trPr>
        <w:tc>
          <w:tcPr>
            <w:tcW w:w="342" w:type="dxa"/>
            <w:tcBorders>
              <w:top w:val="nil"/>
              <w:left w:val="nil"/>
              <w:bottom w:val="nil"/>
              <w:right w:val="nil"/>
            </w:tcBorders>
            <w:shd w:val="clear" w:color="auto" w:fill="auto"/>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18</w:t>
            </w:r>
          </w:p>
        </w:tc>
        <w:tc>
          <w:tcPr>
            <w:tcW w:w="6613" w:type="dxa"/>
            <w:tcBorders>
              <w:top w:val="nil"/>
              <w:left w:val="nil"/>
              <w:bottom w:val="nil"/>
              <w:right w:val="nil"/>
            </w:tcBorders>
            <w:shd w:val="clear" w:color="auto" w:fill="auto"/>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SOCIETE MINIERE DU KATANGA</w:t>
            </w:r>
          </w:p>
        </w:tc>
        <w:tc>
          <w:tcPr>
            <w:tcW w:w="1843" w:type="dxa"/>
            <w:tcBorders>
              <w:top w:val="nil"/>
              <w:left w:val="nil"/>
              <w:bottom w:val="nil"/>
              <w:right w:val="nil"/>
            </w:tcBorders>
            <w:shd w:val="clear" w:color="auto" w:fill="auto"/>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9 432 950,18</w:t>
            </w:r>
          </w:p>
        </w:tc>
      </w:tr>
      <w:tr w:rsidR="00024F60" w:rsidRPr="00024F60" w:rsidTr="00024F60">
        <w:trPr>
          <w:trHeight w:val="288"/>
        </w:trPr>
        <w:tc>
          <w:tcPr>
            <w:tcW w:w="342" w:type="dxa"/>
            <w:tcBorders>
              <w:top w:val="nil"/>
              <w:left w:val="nil"/>
              <w:bottom w:val="nil"/>
              <w:right w:val="nil"/>
            </w:tcBorders>
            <w:shd w:val="clear" w:color="000000" w:fill="BDD7EE"/>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19</w:t>
            </w:r>
          </w:p>
        </w:tc>
        <w:tc>
          <w:tcPr>
            <w:tcW w:w="6613" w:type="dxa"/>
            <w:tcBorders>
              <w:top w:val="nil"/>
              <w:left w:val="nil"/>
              <w:bottom w:val="nil"/>
              <w:right w:val="nil"/>
            </w:tcBorders>
            <w:shd w:val="clear" w:color="000000" w:fill="BDD7EE"/>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ANVIL MINING CONGO SARL</w:t>
            </w:r>
          </w:p>
        </w:tc>
        <w:tc>
          <w:tcPr>
            <w:tcW w:w="1843" w:type="dxa"/>
            <w:tcBorders>
              <w:top w:val="nil"/>
              <w:left w:val="nil"/>
              <w:bottom w:val="nil"/>
              <w:right w:val="nil"/>
            </w:tcBorders>
            <w:shd w:val="clear" w:color="000000" w:fill="BDD7EE"/>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9 054 359,62</w:t>
            </w:r>
          </w:p>
        </w:tc>
      </w:tr>
      <w:tr w:rsidR="00024F60" w:rsidRPr="00024F60" w:rsidTr="00024F60">
        <w:trPr>
          <w:trHeight w:val="288"/>
        </w:trPr>
        <w:tc>
          <w:tcPr>
            <w:tcW w:w="342" w:type="dxa"/>
            <w:tcBorders>
              <w:top w:val="nil"/>
              <w:left w:val="nil"/>
              <w:bottom w:val="nil"/>
              <w:right w:val="nil"/>
            </w:tcBorders>
            <w:shd w:val="clear" w:color="auto" w:fill="auto"/>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20</w:t>
            </w:r>
          </w:p>
        </w:tc>
        <w:tc>
          <w:tcPr>
            <w:tcW w:w="6613" w:type="dxa"/>
            <w:tcBorders>
              <w:top w:val="nil"/>
              <w:left w:val="nil"/>
              <w:bottom w:val="nil"/>
              <w:right w:val="nil"/>
            </w:tcBorders>
            <w:shd w:val="clear" w:color="auto" w:fill="auto"/>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METAL MINES</w:t>
            </w:r>
          </w:p>
        </w:tc>
        <w:tc>
          <w:tcPr>
            <w:tcW w:w="1843" w:type="dxa"/>
            <w:tcBorders>
              <w:top w:val="nil"/>
              <w:left w:val="nil"/>
              <w:bottom w:val="nil"/>
              <w:right w:val="nil"/>
            </w:tcBorders>
            <w:shd w:val="clear" w:color="auto" w:fill="auto"/>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8 235 670,40</w:t>
            </w:r>
          </w:p>
        </w:tc>
      </w:tr>
      <w:tr w:rsidR="00024F60" w:rsidRPr="00024F60" w:rsidTr="00024F60">
        <w:trPr>
          <w:trHeight w:val="288"/>
        </w:trPr>
        <w:tc>
          <w:tcPr>
            <w:tcW w:w="342" w:type="dxa"/>
            <w:tcBorders>
              <w:top w:val="nil"/>
              <w:left w:val="nil"/>
              <w:bottom w:val="nil"/>
              <w:right w:val="nil"/>
            </w:tcBorders>
            <w:shd w:val="clear" w:color="000000" w:fill="BDD7EE"/>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21</w:t>
            </w:r>
          </w:p>
        </w:tc>
        <w:tc>
          <w:tcPr>
            <w:tcW w:w="6613" w:type="dxa"/>
            <w:tcBorders>
              <w:top w:val="nil"/>
              <w:left w:val="nil"/>
              <w:bottom w:val="nil"/>
              <w:right w:val="nil"/>
            </w:tcBorders>
            <w:shd w:val="clear" w:color="000000" w:fill="BDD7EE"/>
            <w:noWrap/>
            <w:vAlign w:val="bottom"/>
            <w:hideMark/>
          </w:tcPr>
          <w:p w:rsidR="00024F60" w:rsidRPr="00024F60" w:rsidRDefault="00024F60" w:rsidP="00024F60">
            <w:pPr>
              <w:spacing w:after="0"/>
              <w:jc w:val="left"/>
              <w:rPr>
                <w:bCs w:val="0"/>
                <w:color w:val="000000"/>
                <w:sz w:val="18"/>
                <w:szCs w:val="18"/>
                <w:lang w:val="en-US" w:eastAsia="fr-FR"/>
              </w:rPr>
            </w:pPr>
            <w:r w:rsidRPr="00024F60">
              <w:rPr>
                <w:bCs w:val="0"/>
                <w:color w:val="000000"/>
                <w:sz w:val="18"/>
                <w:szCs w:val="18"/>
                <w:lang w:val="en-US" w:eastAsia="fr-FR"/>
              </w:rPr>
              <w:t>MONGBWALU GOLD MINES SA (ex: ASHANTI GOLDFIEDS KILO)</w:t>
            </w:r>
          </w:p>
        </w:tc>
        <w:tc>
          <w:tcPr>
            <w:tcW w:w="1843" w:type="dxa"/>
            <w:tcBorders>
              <w:top w:val="nil"/>
              <w:left w:val="nil"/>
              <w:bottom w:val="nil"/>
              <w:right w:val="nil"/>
            </w:tcBorders>
            <w:shd w:val="clear" w:color="000000" w:fill="BDD7EE"/>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8 159 834,76</w:t>
            </w:r>
          </w:p>
        </w:tc>
      </w:tr>
      <w:tr w:rsidR="00024F60" w:rsidRPr="00024F60" w:rsidTr="00024F60">
        <w:trPr>
          <w:trHeight w:val="288"/>
        </w:trPr>
        <w:tc>
          <w:tcPr>
            <w:tcW w:w="342" w:type="dxa"/>
            <w:tcBorders>
              <w:top w:val="nil"/>
              <w:left w:val="nil"/>
              <w:bottom w:val="nil"/>
              <w:right w:val="nil"/>
            </w:tcBorders>
            <w:shd w:val="clear" w:color="auto" w:fill="auto"/>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22</w:t>
            </w:r>
          </w:p>
        </w:tc>
        <w:tc>
          <w:tcPr>
            <w:tcW w:w="6613" w:type="dxa"/>
            <w:tcBorders>
              <w:top w:val="nil"/>
              <w:left w:val="nil"/>
              <w:bottom w:val="nil"/>
              <w:right w:val="nil"/>
            </w:tcBorders>
            <w:shd w:val="clear" w:color="auto" w:fill="auto"/>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CONGO COBALT CORPORATION SARL</w:t>
            </w:r>
          </w:p>
        </w:tc>
        <w:tc>
          <w:tcPr>
            <w:tcW w:w="1843" w:type="dxa"/>
            <w:tcBorders>
              <w:top w:val="nil"/>
              <w:left w:val="nil"/>
              <w:bottom w:val="nil"/>
              <w:right w:val="nil"/>
            </w:tcBorders>
            <w:shd w:val="clear" w:color="auto" w:fill="auto"/>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7 598 597,89</w:t>
            </w:r>
          </w:p>
        </w:tc>
      </w:tr>
      <w:tr w:rsidR="00024F60" w:rsidRPr="00024F60" w:rsidTr="00024F60">
        <w:trPr>
          <w:trHeight w:val="288"/>
        </w:trPr>
        <w:tc>
          <w:tcPr>
            <w:tcW w:w="342" w:type="dxa"/>
            <w:tcBorders>
              <w:top w:val="nil"/>
              <w:left w:val="nil"/>
              <w:bottom w:val="nil"/>
              <w:right w:val="nil"/>
            </w:tcBorders>
            <w:shd w:val="clear" w:color="000000" w:fill="BDD7EE"/>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23</w:t>
            </w:r>
          </w:p>
        </w:tc>
        <w:tc>
          <w:tcPr>
            <w:tcW w:w="6613" w:type="dxa"/>
            <w:tcBorders>
              <w:top w:val="nil"/>
              <w:left w:val="nil"/>
              <w:bottom w:val="nil"/>
              <w:right w:val="nil"/>
            </w:tcBorders>
            <w:shd w:val="clear" w:color="000000" w:fill="BDD7EE"/>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 xml:space="preserve">KINSENDA COPPER COMPANY </w:t>
            </w:r>
            <w:proofErr w:type="gramStart"/>
            <w:r w:rsidRPr="00024F60">
              <w:rPr>
                <w:bCs w:val="0"/>
                <w:color w:val="000000"/>
                <w:sz w:val="18"/>
                <w:szCs w:val="18"/>
                <w:lang w:eastAsia="fr-FR"/>
              </w:rPr>
              <w:t>SARL(</w:t>
            </w:r>
            <w:proofErr w:type="gramEnd"/>
            <w:r w:rsidRPr="00024F60">
              <w:rPr>
                <w:bCs w:val="0"/>
                <w:color w:val="000000"/>
                <w:sz w:val="18"/>
                <w:szCs w:val="18"/>
                <w:lang w:eastAsia="fr-FR"/>
              </w:rPr>
              <w:t>ex MINIERE DE MUSOSHI &amp; KINSENDA)</w:t>
            </w:r>
          </w:p>
        </w:tc>
        <w:tc>
          <w:tcPr>
            <w:tcW w:w="1843" w:type="dxa"/>
            <w:tcBorders>
              <w:top w:val="nil"/>
              <w:left w:val="nil"/>
              <w:bottom w:val="nil"/>
              <w:right w:val="nil"/>
            </w:tcBorders>
            <w:shd w:val="clear" w:color="000000" w:fill="BDD7EE"/>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7 495 222,92</w:t>
            </w:r>
          </w:p>
        </w:tc>
      </w:tr>
      <w:tr w:rsidR="00024F60" w:rsidRPr="00024F60" w:rsidTr="00024F60">
        <w:trPr>
          <w:trHeight w:val="288"/>
        </w:trPr>
        <w:tc>
          <w:tcPr>
            <w:tcW w:w="342" w:type="dxa"/>
            <w:tcBorders>
              <w:top w:val="nil"/>
              <w:left w:val="nil"/>
              <w:bottom w:val="nil"/>
              <w:right w:val="nil"/>
            </w:tcBorders>
            <w:shd w:val="clear" w:color="auto" w:fill="auto"/>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24</w:t>
            </w:r>
          </w:p>
        </w:tc>
        <w:tc>
          <w:tcPr>
            <w:tcW w:w="6613" w:type="dxa"/>
            <w:tcBorders>
              <w:top w:val="nil"/>
              <w:left w:val="nil"/>
              <w:bottom w:val="nil"/>
              <w:right w:val="nil"/>
            </w:tcBorders>
            <w:shd w:val="clear" w:color="auto" w:fill="auto"/>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HUACHIN METAL LEACH</w:t>
            </w:r>
          </w:p>
        </w:tc>
        <w:tc>
          <w:tcPr>
            <w:tcW w:w="1843" w:type="dxa"/>
            <w:tcBorders>
              <w:top w:val="nil"/>
              <w:left w:val="nil"/>
              <w:bottom w:val="nil"/>
              <w:right w:val="nil"/>
            </w:tcBorders>
            <w:shd w:val="clear" w:color="auto" w:fill="auto"/>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7 285 390,72</w:t>
            </w:r>
          </w:p>
        </w:tc>
      </w:tr>
      <w:tr w:rsidR="00024F60" w:rsidRPr="00024F60" w:rsidTr="00024F60">
        <w:trPr>
          <w:trHeight w:val="288"/>
        </w:trPr>
        <w:tc>
          <w:tcPr>
            <w:tcW w:w="342" w:type="dxa"/>
            <w:tcBorders>
              <w:top w:val="nil"/>
              <w:left w:val="nil"/>
              <w:bottom w:val="nil"/>
              <w:right w:val="nil"/>
            </w:tcBorders>
            <w:shd w:val="clear" w:color="000000" w:fill="BDD7EE"/>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25</w:t>
            </w:r>
          </w:p>
        </w:tc>
        <w:tc>
          <w:tcPr>
            <w:tcW w:w="6613" w:type="dxa"/>
            <w:tcBorders>
              <w:top w:val="nil"/>
              <w:left w:val="nil"/>
              <w:bottom w:val="nil"/>
              <w:right w:val="nil"/>
            </w:tcBorders>
            <w:shd w:val="clear" w:color="000000" w:fill="BDD7EE"/>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NAMOYA MINING</w:t>
            </w:r>
          </w:p>
        </w:tc>
        <w:tc>
          <w:tcPr>
            <w:tcW w:w="1843" w:type="dxa"/>
            <w:tcBorders>
              <w:top w:val="nil"/>
              <w:left w:val="nil"/>
              <w:bottom w:val="nil"/>
              <w:right w:val="nil"/>
            </w:tcBorders>
            <w:shd w:val="clear" w:color="000000" w:fill="BDD7EE"/>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7 184 347,95</w:t>
            </w:r>
          </w:p>
        </w:tc>
      </w:tr>
      <w:tr w:rsidR="00024F60" w:rsidRPr="00024F60" w:rsidTr="00024F60">
        <w:trPr>
          <w:trHeight w:val="288"/>
        </w:trPr>
        <w:tc>
          <w:tcPr>
            <w:tcW w:w="342" w:type="dxa"/>
            <w:tcBorders>
              <w:top w:val="nil"/>
              <w:left w:val="nil"/>
              <w:bottom w:val="nil"/>
              <w:right w:val="nil"/>
            </w:tcBorders>
            <w:shd w:val="clear" w:color="auto" w:fill="auto"/>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26</w:t>
            </w:r>
          </w:p>
        </w:tc>
        <w:tc>
          <w:tcPr>
            <w:tcW w:w="6613" w:type="dxa"/>
            <w:tcBorders>
              <w:top w:val="nil"/>
              <w:left w:val="nil"/>
              <w:bottom w:val="nil"/>
              <w:right w:val="nil"/>
            </w:tcBorders>
            <w:shd w:val="clear" w:color="auto" w:fill="auto"/>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SACIM</w:t>
            </w:r>
          </w:p>
        </w:tc>
        <w:tc>
          <w:tcPr>
            <w:tcW w:w="1843" w:type="dxa"/>
            <w:tcBorders>
              <w:top w:val="nil"/>
              <w:left w:val="nil"/>
              <w:bottom w:val="nil"/>
              <w:right w:val="nil"/>
            </w:tcBorders>
            <w:shd w:val="clear" w:color="auto" w:fill="auto"/>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6 987 217,27</w:t>
            </w:r>
          </w:p>
        </w:tc>
      </w:tr>
      <w:tr w:rsidR="00024F60" w:rsidRPr="00024F60" w:rsidTr="00024F60">
        <w:trPr>
          <w:trHeight w:val="288"/>
        </w:trPr>
        <w:tc>
          <w:tcPr>
            <w:tcW w:w="342" w:type="dxa"/>
            <w:tcBorders>
              <w:top w:val="nil"/>
              <w:left w:val="nil"/>
              <w:bottom w:val="nil"/>
              <w:right w:val="nil"/>
            </w:tcBorders>
            <w:shd w:val="clear" w:color="000000" w:fill="BDD7EE"/>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27</w:t>
            </w:r>
          </w:p>
        </w:tc>
        <w:tc>
          <w:tcPr>
            <w:tcW w:w="6613" w:type="dxa"/>
            <w:tcBorders>
              <w:top w:val="nil"/>
              <w:left w:val="nil"/>
              <w:bottom w:val="nil"/>
              <w:right w:val="nil"/>
            </w:tcBorders>
            <w:shd w:val="clear" w:color="000000" w:fill="BDD7EE"/>
            <w:noWrap/>
            <w:vAlign w:val="bottom"/>
            <w:hideMark/>
          </w:tcPr>
          <w:p w:rsidR="00024F60" w:rsidRPr="00024F60" w:rsidRDefault="00024F60" w:rsidP="00024F60">
            <w:pPr>
              <w:spacing w:after="0"/>
              <w:jc w:val="left"/>
              <w:rPr>
                <w:bCs w:val="0"/>
                <w:color w:val="000000"/>
                <w:sz w:val="18"/>
                <w:szCs w:val="18"/>
                <w:lang w:val="en-US" w:eastAsia="fr-FR"/>
              </w:rPr>
            </w:pPr>
            <w:r w:rsidRPr="00024F60">
              <w:rPr>
                <w:bCs w:val="0"/>
                <w:color w:val="000000"/>
                <w:sz w:val="18"/>
                <w:szCs w:val="18"/>
                <w:lang w:val="en-US" w:eastAsia="fr-FR"/>
              </w:rPr>
              <w:t>SOCIETE TWANGIZA MINING S.A.R.L</w:t>
            </w:r>
          </w:p>
        </w:tc>
        <w:tc>
          <w:tcPr>
            <w:tcW w:w="1843" w:type="dxa"/>
            <w:tcBorders>
              <w:top w:val="nil"/>
              <w:left w:val="nil"/>
              <w:bottom w:val="nil"/>
              <w:right w:val="nil"/>
            </w:tcBorders>
            <w:shd w:val="clear" w:color="000000" w:fill="BDD7EE"/>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6 899 669,88</w:t>
            </w:r>
          </w:p>
        </w:tc>
      </w:tr>
      <w:tr w:rsidR="00024F60" w:rsidRPr="00024F60" w:rsidTr="00024F60">
        <w:trPr>
          <w:trHeight w:val="288"/>
        </w:trPr>
        <w:tc>
          <w:tcPr>
            <w:tcW w:w="342" w:type="dxa"/>
            <w:tcBorders>
              <w:top w:val="nil"/>
              <w:left w:val="nil"/>
              <w:bottom w:val="nil"/>
              <w:right w:val="nil"/>
            </w:tcBorders>
            <w:shd w:val="clear" w:color="auto" w:fill="auto"/>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28</w:t>
            </w:r>
          </w:p>
        </w:tc>
        <w:tc>
          <w:tcPr>
            <w:tcW w:w="6613" w:type="dxa"/>
            <w:tcBorders>
              <w:top w:val="nil"/>
              <w:left w:val="nil"/>
              <w:bottom w:val="nil"/>
              <w:right w:val="nil"/>
            </w:tcBorders>
            <w:shd w:val="clear" w:color="auto" w:fill="auto"/>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LA CONGOLAISE DES MINES ET DE DEVELOPPEMENT</w:t>
            </w:r>
          </w:p>
        </w:tc>
        <w:tc>
          <w:tcPr>
            <w:tcW w:w="1843" w:type="dxa"/>
            <w:tcBorders>
              <w:top w:val="nil"/>
              <w:left w:val="nil"/>
              <w:bottom w:val="nil"/>
              <w:right w:val="nil"/>
            </w:tcBorders>
            <w:shd w:val="clear" w:color="auto" w:fill="auto"/>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6 382 361,75</w:t>
            </w:r>
          </w:p>
        </w:tc>
      </w:tr>
      <w:tr w:rsidR="00024F60" w:rsidRPr="00024F60" w:rsidTr="00024F60">
        <w:trPr>
          <w:trHeight w:val="288"/>
        </w:trPr>
        <w:tc>
          <w:tcPr>
            <w:tcW w:w="342" w:type="dxa"/>
            <w:tcBorders>
              <w:top w:val="nil"/>
              <w:left w:val="nil"/>
              <w:bottom w:val="nil"/>
              <w:right w:val="nil"/>
            </w:tcBorders>
            <w:shd w:val="clear" w:color="000000" w:fill="BDD7EE"/>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29</w:t>
            </w:r>
          </w:p>
        </w:tc>
        <w:tc>
          <w:tcPr>
            <w:tcW w:w="6613" w:type="dxa"/>
            <w:tcBorders>
              <w:top w:val="nil"/>
              <w:left w:val="nil"/>
              <w:bottom w:val="nil"/>
              <w:right w:val="nil"/>
            </w:tcBorders>
            <w:shd w:val="clear" w:color="000000" w:fill="BDD7EE"/>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KAIPENG MINING</w:t>
            </w:r>
          </w:p>
        </w:tc>
        <w:tc>
          <w:tcPr>
            <w:tcW w:w="1843" w:type="dxa"/>
            <w:tcBorders>
              <w:top w:val="nil"/>
              <w:left w:val="nil"/>
              <w:bottom w:val="nil"/>
              <w:right w:val="nil"/>
            </w:tcBorders>
            <w:shd w:val="clear" w:color="000000" w:fill="BDD7EE"/>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5 870 574,90</w:t>
            </w:r>
          </w:p>
        </w:tc>
      </w:tr>
      <w:tr w:rsidR="00024F60" w:rsidRPr="00024F60" w:rsidTr="00024F60">
        <w:trPr>
          <w:trHeight w:val="288"/>
        </w:trPr>
        <w:tc>
          <w:tcPr>
            <w:tcW w:w="342" w:type="dxa"/>
            <w:tcBorders>
              <w:top w:val="nil"/>
              <w:left w:val="nil"/>
              <w:bottom w:val="nil"/>
              <w:right w:val="nil"/>
            </w:tcBorders>
            <w:shd w:val="clear" w:color="auto" w:fill="auto"/>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30</w:t>
            </w:r>
          </w:p>
        </w:tc>
        <w:tc>
          <w:tcPr>
            <w:tcW w:w="6613" w:type="dxa"/>
            <w:tcBorders>
              <w:top w:val="nil"/>
              <w:left w:val="nil"/>
              <w:bottom w:val="nil"/>
              <w:right w:val="nil"/>
            </w:tcBorders>
            <w:shd w:val="clear" w:color="auto" w:fill="auto"/>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HUACHIN MINING</w:t>
            </w:r>
          </w:p>
        </w:tc>
        <w:tc>
          <w:tcPr>
            <w:tcW w:w="1843" w:type="dxa"/>
            <w:tcBorders>
              <w:top w:val="nil"/>
              <w:left w:val="nil"/>
              <w:bottom w:val="nil"/>
              <w:right w:val="nil"/>
            </w:tcBorders>
            <w:shd w:val="clear" w:color="auto" w:fill="auto"/>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5 256 066,73</w:t>
            </w:r>
          </w:p>
        </w:tc>
      </w:tr>
      <w:tr w:rsidR="00024F60" w:rsidRPr="00024F60" w:rsidTr="00024F60">
        <w:trPr>
          <w:trHeight w:val="288"/>
        </w:trPr>
        <w:tc>
          <w:tcPr>
            <w:tcW w:w="342" w:type="dxa"/>
            <w:tcBorders>
              <w:top w:val="nil"/>
              <w:left w:val="nil"/>
              <w:bottom w:val="nil"/>
              <w:right w:val="nil"/>
            </w:tcBorders>
            <w:shd w:val="clear" w:color="000000" w:fill="BDD7EE"/>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31</w:t>
            </w:r>
          </w:p>
        </w:tc>
        <w:tc>
          <w:tcPr>
            <w:tcW w:w="6613" w:type="dxa"/>
            <w:tcBorders>
              <w:top w:val="nil"/>
              <w:left w:val="nil"/>
              <w:bottom w:val="nil"/>
              <w:right w:val="nil"/>
            </w:tcBorders>
            <w:shd w:val="clear" w:color="000000" w:fill="BDD7EE"/>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SOCIETE DE TRAITEMENT DU TERRIL DE LUBUMBASHI</w:t>
            </w:r>
          </w:p>
        </w:tc>
        <w:tc>
          <w:tcPr>
            <w:tcW w:w="1843" w:type="dxa"/>
            <w:tcBorders>
              <w:top w:val="nil"/>
              <w:left w:val="nil"/>
              <w:bottom w:val="nil"/>
              <w:right w:val="nil"/>
            </w:tcBorders>
            <w:shd w:val="clear" w:color="000000" w:fill="BDD7EE"/>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4 673 374,57</w:t>
            </w:r>
          </w:p>
        </w:tc>
      </w:tr>
      <w:tr w:rsidR="00024F60" w:rsidRPr="00024F60" w:rsidTr="00024F60">
        <w:trPr>
          <w:trHeight w:val="288"/>
        </w:trPr>
        <w:tc>
          <w:tcPr>
            <w:tcW w:w="342" w:type="dxa"/>
            <w:tcBorders>
              <w:top w:val="nil"/>
              <w:left w:val="nil"/>
              <w:bottom w:val="nil"/>
              <w:right w:val="nil"/>
            </w:tcBorders>
            <w:shd w:val="clear" w:color="auto" w:fill="auto"/>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32</w:t>
            </w:r>
          </w:p>
        </w:tc>
        <w:tc>
          <w:tcPr>
            <w:tcW w:w="6613" w:type="dxa"/>
            <w:tcBorders>
              <w:top w:val="nil"/>
              <w:left w:val="nil"/>
              <w:bottom w:val="nil"/>
              <w:right w:val="nil"/>
            </w:tcBorders>
            <w:shd w:val="clear" w:color="auto" w:fill="auto"/>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RUBAMIN SARL</w:t>
            </w:r>
          </w:p>
        </w:tc>
        <w:tc>
          <w:tcPr>
            <w:tcW w:w="1843" w:type="dxa"/>
            <w:tcBorders>
              <w:top w:val="nil"/>
              <w:left w:val="nil"/>
              <w:bottom w:val="nil"/>
              <w:right w:val="nil"/>
            </w:tcBorders>
            <w:shd w:val="clear" w:color="auto" w:fill="auto"/>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4 660 272,59</w:t>
            </w:r>
          </w:p>
        </w:tc>
      </w:tr>
      <w:tr w:rsidR="00024F60" w:rsidRPr="00024F60" w:rsidTr="00024F60">
        <w:trPr>
          <w:trHeight w:val="288"/>
        </w:trPr>
        <w:tc>
          <w:tcPr>
            <w:tcW w:w="342" w:type="dxa"/>
            <w:tcBorders>
              <w:top w:val="nil"/>
              <w:left w:val="nil"/>
              <w:bottom w:val="nil"/>
              <w:right w:val="nil"/>
            </w:tcBorders>
            <w:shd w:val="clear" w:color="000000" w:fill="BDD7EE"/>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33</w:t>
            </w:r>
          </w:p>
        </w:tc>
        <w:tc>
          <w:tcPr>
            <w:tcW w:w="6613" w:type="dxa"/>
            <w:tcBorders>
              <w:top w:val="nil"/>
              <w:left w:val="nil"/>
              <w:bottom w:val="nil"/>
              <w:right w:val="nil"/>
            </w:tcBorders>
            <w:shd w:val="clear" w:color="000000" w:fill="BDD7EE"/>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ENTREPRISE GENERALE MALTA FOREST</w:t>
            </w:r>
          </w:p>
        </w:tc>
        <w:tc>
          <w:tcPr>
            <w:tcW w:w="1843" w:type="dxa"/>
            <w:tcBorders>
              <w:top w:val="nil"/>
              <w:left w:val="nil"/>
              <w:bottom w:val="nil"/>
              <w:right w:val="nil"/>
            </w:tcBorders>
            <w:shd w:val="clear" w:color="000000" w:fill="BDD7EE"/>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4 354 566,83</w:t>
            </w:r>
          </w:p>
        </w:tc>
      </w:tr>
      <w:tr w:rsidR="00024F60" w:rsidRPr="00024F60" w:rsidTr="00024F60">
        <w:trPr>
          <w:trHeight w:val="288"/>
        </w:trPr>
        <w:tc>
          <w:tcPr>
            <w:tcW w:w="342" w:type="dxa"/>
            <w:tcBorders>
              <w:top w:val="nil"/>
              <w:left w:val="nil"/>
              <w:bottom w:val="nil"/>
              <w:right w:val="nil"/>
            </w:tcBorders>
            <w:shd w:val="clear" w:color="auto" w:fill="auto"/>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34</w:t>
            </w:r>
          </w:p>
        </w:tc>
        <w:tc>
          <w:tcPr>
            <w:tcW w:w="6613" w:type="dxa"/>
            <w:tcBorders>
              <w:top w:val="nil"/>
              <w:left w:val="nil"/>
              <w:bottom w:val="nil"/>
              <w:right w:val="nil"/>
            </w:tcBorders>
            <w:shd w:val="clear" w:color="auto" w:fill="auto"/>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FEZA MINING</w:t>
            </w:r>
          </w:p>
        </w:tc>
        <w:tc>
          <w:tcPr>
            <w:tcW w:w="1843" w:type="dxa"/>
            <w:tcBorders>
              <w:top w:val="nil"/>
              <w:left w:val="nil"/>
              <w:bottom w:val="nil"/>
              <w:right w:val="nil"/>
            </w:tcBorders>
            <w:shd w:val="clear" w:color="auto" w:fill="auto"/>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4 284 190,53</w:t>
            </w:r>
          </w:p>
        </w:tc>
      </w:tr>
      <w:tr w:rsidR="00024F60" w:rsidRPr="00024F60" w:rsidTr="00024F60">
        <w:trPr>
          <w:trHeight w:val="288"/>
        </w:trPr>
        <w:tc>
          <w:tcPr>
            <w:tcW w:w="342" w:type="dxa"/>
            <w:tcBorders>
              <w:top w:val="nil"/>
              <w:left w:val="nil"/>
              <w:bottom w:val="nil"/>
              <w:right w:val="nil"/>
            </w:tcBorders>
            <w:shd w:val="clear" w:color="000000" w:fill="BDD7EE"/>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35</w:t>
            </w:r>
          </w:p>
        </w:tc>
        <w:tc>
          <w:tcPr>
            <w:tcW w:w="6613" w:type="dxa"/>
            <w:tcBorders>
              <w:top w:val="nil"/>
              <w:left w:val="nil"/>
              <w:bottom w:val="nil"/>
              <w:right w:val="nil"/>
            </w:tcBorders>
            <w:shd w:val="clear" w:color="000000" w:fill="BDD7EE"/>
            <w:noWrap/>
            <w:vAlign w:val="bottom"/>
            <w:hideMark/>
          </w:tcPr>
          <w:p w:rsidR="00024F60" w:rsidRPr="00024F60" w:rsidRDefault="00024F60" w:rsidP="00024F60">
            <w:pPr>
              <w:spacing w:after="0"/>
              <w:jc w:val="left"/>
              <w:rPr>
                <w:bCs w:val="0"/>
                <w:color w:val="000000"/>
                <w:sz w:val="18"/>
                <w:szCs w:val="18"/>
                <w:lang w:val="en-US" w:eastAsia="fr-FR"/>
              </w:rPr>
            </w:pPr>
            <w:r w:rsidRPr="00024F60">
              <w:rPr>
                <w:bCs w:val="0"/>
                <w:color w:val="000000"/>
                <w:sz w:val="18"/>
                <w:szCs w:val="18"/>
                <w:lang w:val="en-US" w:eastAsia="fr-FR"/>
              </w:rPr>
              <w:t xml:space="preserve">CONGO </w:t>
            </w:r>
            <w:proofErr w:type="gramStart"/>
            <w:r w:rsidRPr="00024F60">
              <w:rPr>
                <w:bCs w:val="0"/>
                <w:color w:val="000000"/>
                <w:sz w:val="18"/>
                <w:szCs w:val="18"/>
                <w:lang w:val="en-US" w:eastAsia="fr-FR"/>
              </w:rPr>
              <w:t>INTERNATIONAL  MINING</w:t>
            </w:r>
            <w:proofErr w:type="gramEnd"/>
            <w:r w:rsidRPr="00024F60">
              <w:rPr>
                <w:bCs w:val="0"/>
                <w:color w:val="000000"/>
                <w:sz w:val="18"/>
                <w:szCs w:val="18"/>
                <w:lang w:val="en-US" w:eastAsia="fr-FR"/>
              </w:rPr>
              <w:t xml:space="preserve">  CORPORATION   SPRL (CIMCO)</w:t>
            </w:r>
          </w:p>
        </w:tc>
        <w:tc>
          <w:tcPr>
            <w:tcW w:w="1843" w:type="dxa"/>
            <w:tcBorders>
              <w:top w:val="nil"/>
              <w:left w:val="nil"/>
              <w:bottom w:val="nil"/>
              <w:right w:val="nil"/>
            </w:tcBorders>
            <w:shd w:val="clear" w:color="000000" w:fill="BDD7EE"/>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4 037 241,17</w:t>
            </w:r>
          </w:p>
        </w:tc>
      </w:tr>
      <w:tr w:rsidR="00024F60" w:rsidRPr="00024F60" w:rsidTr="00024F60">
        <w:trPr>
          <w:trHeight w:val="288"/>
        </w:trPr>
        <w:tc>
          <w:tcPr>
            <w:tcW w:w="342" w:type="dxa"/>
            <w:tcBorders>
              <w:top w:val="nil"/>
              <w:left w:val="nil"/>
              <w:bottom w:val="nil"/>
              <w:right w:val="nil"/>
            </w:tcBorders>
            <w:shd w:val="clear" w:color="auto" w:fill="auto"/>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36</w:t>
            </w:r>
          </w:p>
        </w:tc>
        <w:tc>
          <w:tcPr>
            <w:tcW w:w="6613" w:type="dxa"/>
            <w:tcBorders>
              <w:top w:val="nil"/>
              <w:left w:val="nil"/>
              <w:bottom w:val="nil"/>
              <w:right w:val="nil"/>
            </w:tcBorders>
            <w:shd w:val="clear" w:color="auto" w:fill="auto"/>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LA MINIERE DE KASOMBO</w:t>
            </w:r>
          </w:p>
        </w:tc>
        <w:tc>
          <w:tcPr>
            <w:tcW w:w="1843" w:type="dxa"/>
            <w:tcBorders>
              <w:top w:val="nil"/>
              <w:left w:val="nil"/>
              <w:bottom w:val="nil"/>
              <w:right w:val="nil"/>
            </w:tcBorders>
            <w:shd w:val="clear" w:color="auto" w:fill="auto"/>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3 863 254,98</w:t>
            </w:r>
          </w:p>
        </w:tc>
      </w:tr>
      <w:tr w:rsidR="00024F60" w:rsidRPr="00024F60" w:rsidTr="00024F60">
        <w:trPr>
          <w:trHeight w:val="288"/>
        </w:trPr>
        <w:tc>
          <w:tcPr>
            <w:tcW w:w="342" w:type="dxa"/>
            <w:tcBorders>
              <w:top w:val="nil"/>
              <w:left w:val="nil"/>
              <w:bottom w:val="nil"/>
              <w:right w:val="nil"/>
            </w:tcBorders>
            <w:shd w:val="clear" w:color="000000" w:fill="BDD7EE"/>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37</w:t>
            </w:r>
          </w:p>
        </w:tc>
        <w:tc>
          <w:tcPr>
            <w:tcW w:w="6613" w:type="dxa"/>
            <w:tcBorders>
              <w:top w:val="nil"/>
              <w:left w:val="nil"/>
              <w:bottom w:val="nil"/>
              <w:right w:val="nil"/>
            </w:tcBorders>
            <w:shd w:val="clear" w:color="000000" w:fill="BDD7EE"/>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COMPAGNIE MINIERE DU SUD  KATANGA</w:t>
            </w:r>
          </w:p>
        </w:tc>
        <w:tc>
          <w:tcPr>
            <w:tcW w:w="1843" w:type="dxa"/>
            <w:tcBorders>
              <w:top w:val="nil"/>
              <w:left w:val="nil"/>
              <w:bottom w:val="nil"/>
              <w:right w:val="nil"/>
            </w:tcBorders>
            <w:shd w:val="clear" w:color="000000" w:fill="BDD7EE"/>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3 584 631,86</w:t>
            </w:r>
          </w:p>
        </w:tc>
      </w:tr>
      <w:tr w:rsidR="00024F60" w:rsidRPr="00024F60" w:rsidTr="00024F60">
        <w:trPr>
          <w:trHeight w:val="288"/>
        </w:trPr>
        <w:tc>
          <w:tcPr>
            <w:tcW w:w="342" w:type="dxa"/>
            <w:tcBorders>
              <w:top w:val="nil"/>
              <w:left w:val="nil"/>
              <w:bottom w:val="nil"/>
              <w:right w:val="nil"/>
            </w:tcBorders>
            <w:shd w:val="clear" w:color="auto" w:fill="auto"/>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38</w:t>
            </w:r>
          </w:p>
        </w:tc>
        <w:tc>
          <w:tcPr>
            <w:tcW w:w="6613" w:type="dxa"/>
            <w:tcBorders>
              <w:top w:val="nil"/>
              <w:left w:val="nil"/>
              <w:bottom w:val="nil"/>
              <w:right w:val="nil"/>
            </w:tcBorders>
            <w:shd w:val="clear" w:color="auto" w:fill="auto"/>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LUNA MINING SPRL</w:t>
            </w:r>
          </w:p>
        </w:tc>
        <w:tc>
          <w:tcPr>
            <w:tcW w:w="1843" w:type="dxa"/>
            <w:tcBorders>
              <w:top w:val="nil"/>
              <w:left w:val="nil"/>
              <w:bottom w:val="nil"/>
              <w:right w:val="nil"/>
            </w:tcBorders>
            <w:shd w:val="clear" w:color="auto" w:fill="auto"/>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3 439 972,80</w:t>
            </w:r>
          </w:p>
        </w:tc>
      </w:tr>
      <w:tr w:rsidR="00024F60" w:rsidRPr="00024F60" w:rsidTr="00024F60">
        <w:trPr>
          <w:trHeight w:val="288"/>
        </w:trPr>
        <w:tc>
          <w:tcPr>
            <w:tcW w:w="342" w:type="dxa"/>
            <w:tcBorders>
              <w:top w:val="nil"/>
              <w:left w:val="nil"/>
              <w:bottom w:val="nil"/>
              <w:right w:val="nil"/>
            </w:tcBorders>
            <w:shd w:val="clear" w:color="000000" w:fill="BDD7EE"/>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39</w:t>
            </w:r>
          </w:p>
        </w:tc>
        <w:tc>
          <w:tcPr>
            <w:tcW w:w="6613" w:type="dxa"/>
            <w:tcBorders>
              <w:top w:val="nil"/>
              <w:left w:val="nil"/>
              <w:bottom w:val="nil"/>
              <w:right w:val="nil"/>
            </w:tcBorders>
            <w:shd w:val="clear" w:color="000000" w:fill="BDD7EE"/>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GROUPEMENT POUR LE TRAITEMENT DU TERRIL DE LUBUMBASHI</w:t>
            </w:r>
          </w:p>
        </w:tc>
        <w:tc>
          <w:tcPr>
            <w:tcW w:w="1843" w:type="dxa"/>
            <w:tcBorders>
              <w:top w:val="nil"/>
              <w:left w:val="nil"/>
              <w:bottom w:val="nil"/>
              <w:right w:val="nil"/>
            </w:tcBorders>
            <w:shd w:val="clear" w:color="000000" w:fill="BDD7EE"/>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3 215 466,45</w:t>
            </w:r>
          </w:p>
        </w:tc>
      </w:tr>
      <w:tr w:rsidR="00024F60" w:rsidRPr="00024F60" w:rsidTr="00024F60">
        <w:trPr>
          <w:trHeight w:val="288"/>
        </w:trPr>
        <w:tc>
          <w:tcPr>
            <w:tcW w:w="342" w:type="dxa"/>
            <w:tcBorders>
              <w:top w:val="nil"/>
              <w:left w:val="nil"/>
              <w:bottom w:val="nil"/>
              <w:right w:val="nil"/>
            </w:tcBorders>
            <w:shd w:val="clear" w:color="auto" w:fill="auto"/>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40</w:t>
            </w:r>
          </w:p>
        </w:tc>
        <w:tc>
          <w:tcPr>
            <w:tcW w:w="6613" w:type="dxa"/>
            <w:tcBorders>
              <w:top w:val="nil"/>
              <w:left w:val="nil"/>
              <w:bottom w:val="nil"/>
              <w:right w:val="nil"/>
            </w:tcBorders>
            <w:shd w:val="clear" w:color="auto" w:fill="auto"/>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 xml:space="preserve">KAMOA COPPER SA (ex: AFRICAN </w:t>
            </w:r>
            <w:proofErr w:type="gramStart"/>
            <w:r w:rsidRPr="00024F60">
              <w:rPr>
                <w:bCs w:val="0"/>
                <w:color w:val="000000"/>
                <w:sz w:val="18"/>
                <w:szCs w:val="18"/>
                <w:lang w:eastAsia="fr-FR"/>
              </w:rPr>
              <w:t>MINERALS(</w:t>
            </w:r>
            <w:proofErr w:type="gramEnd"/>
            <w:r w:rsidRPr="00024F60">
              <w:rPr>
                <w:bCs w:val="0"/>
                <w:color w:val="000000"/>
                <w:sz w:val="18"/>
                <w:szCs w:val="18"/>
                <w:lang w:eastAsia="fr-FR"/>
              </w:rPr>
              <w:t>BARBADOS)</w:t>
            </w:r>
          </w:p>
        </w:tc>
        <w:tc>
          <w:tcPr>
            <w:tcW w:w="1843" w:type="dxa"/>
            <w:tcBorders>
              <w:top w:val="nil"/>
              <w:left w:val="nil"/>
              <w:bottom w:val="nil"/>
              <w:right w:val="nil"/>
            </w:tcBorders>
            <w:shd w:val="clear" w:color="auto" w:fill="auto"/>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2 809 686,76</w:t>
            </w:r>
          </w:p>
        </w:tc>
      </w:tr>
      <w:tr w:rsidR="00024F60" w:rsidRPr="00024F60" w:rsidTr="00024F60">
        <w:trPr>
          <w:trHeight w:val="288"/>
        </w:trPr>
        <w:tc>
          <w:tcPr>
            <w:tcW w:w="342" w:type="dxa"/>
            <w:tcBorders>
              <w:top w:val="nil"/>
              <w:left w:val="nil"/>
              <w:bottom w:val="nil"/>
              <w:right w:val="nil"/>
            </w:tcBorders>
            <w:shd w:val="clear" w:color="000000" w:fill="BDD7EE"/>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41</w:t>
            </w:r>
          </w:p>
        </w:tc>
        <w:tc>
          <w:tcPr>
            <w:tcW w:w="6613" w:type="dxa"/>
            <w:tcBorders>
              <w:top w:val="nil"/>
              <w:left w:val="nil"/>
              <w:bottom w:val="nil"/>
              <w:right w:val="nil"/>
            </w:tcBorders>
            <w:shd w:val="clear" w:color="000000" w:fill="BDD7EE"/>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SOCIETE MINIERE DE BISUNZU</w:t>
            </w:r>
          </w:p>
        </w:tc>
        <w:tc>
          <w:tcPr>
            <w:tcW w:w="1843" w:type="dxa"/>
            <w:tcBorders>
              <w:top w:val="nil"/>
              <w:left w:val="nil"/>
              <w:bottom w:val="nil"/>
              <w:right w:val="nil"/>
            </w:tcBorders>
            <w:shd w:val="clear" w:color="000000" w:fill="BDD7EE"/>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2 620 586,64</w:t>
            </w:r>
          </w:p>
        </w:tc>
      </w:tr>
      <w:tr w:rsidR="00024F60" w:rsidRPr="00024F60" w:rsidTr="00024F60">
        <w:trPr>
          <w:trHeight w:val="288"/>
        </w:trPr>
        <w:tc>
          <w:tcPr>
            <w:tcW w:w="342" w:type="dxa"/>
            <w:tcBorders>
              <w:top w:val="nil"/>
              <w:left w:val="nil"/>
              <w:bottom w:val="nil"/>
              <w:right w:val="nil"/>
            </w:tcBorders>
            <w:shd w:val="clear" w:color="auto" w:fill="auto"/>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42</w:t>
            </w:r>
          </w:p>
        </w:tc>
        <w:tc>
          <w:tcPr>
            <w:tcW w:w="6613" w:type="dxa"/>
            <w:tcBorders>
              <w:top w:val="nil"/>
              <w:left w:val="nil"/>
              <w:bottom w:val="nil"/>
              <w:right w:val="nil"/>
            </w:tcBorders>
            <w:shd w:val="clear" w:color="auto" w:fill="auto"/>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GROUPE BAZANO SPRL</w:t>
            </w:r>
          </w:p>
        </w:tc>
        <w:tc>
          <w:tcPr>
            <w:tcW w:w="1843" w:type="dxa"/>
            <w:tcBorders>
              <w:top w:val="nil"/>
              <w:left w:val="nil"/>
              <w:bottom w:val="nil"/>
              <w:right w:val="nil"/>
            </w:tcBorders>
            <w:shd w:val="clear" w:color="auto" w:fill="auto"/>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2 518 374,92</w:t>
            </w:r>
          </w:p>
        </w:tc>
      </w:tr>
      <w:tr w:rsidR="00024F60" w:rsidRPr="00024F60" w:rsidTr="00024F60">
        <w:trPr>
          <w:trHeight w:val="288"/>
        </w:trPr>
        <w:tc>
          <w:tcPr>
            <w:tcW w:w="342" w:type="dxa"/>
            <w:tcBorders>
              <w:top w:val="nil"/>
              <w:left w:val="nil"/>
              <w:bottom w:val="nil"/>
              <w:right w:val="nil"/>
            </w:tcBorders>
            <w:shd w:val="clear" w:color="000000" w:fill="BDD7EE"/>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43</w:t>
            </w:r>
          </w:p>
        </w:tc>
        <w:tc>
          <w:tcPr>
            <w:tcW w:w="6613" w:type="dxa"/>
            <w:tcBorders>
              <w:top w:val="nil"/>
              <w:left w:val="nil"/>
              <w:bottom w:val="nil"/>
              <w:right w:val="nil"/>
            </w:tcBorders>
            <w:shd w:val="clear" w:color="000000" w:fill="BDD7EE"/>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MINING MINERAL RESSOURCE  SARL</w:t>
            </w:r>
          </w:p>
        </w:tc>
        <w:tc>
          <w:tcPr>
            <w:tcW w:w="1843" w:type="dxa"/>
            <w:tcBorders>
              <w:top w:val="nil"/>
              <w:left w:val="nil"/>
              <w:bottom w:val="nil"/>
              <w:right w:val="nil"/>
            </w:tcBorders>
            <w:shd w:val="clear" w:color="000000" w:fill="BDD7EE"/>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2 383 423,89</w:t>
            </w:r>
          </w:p>
        </w:tc>
      </w:tr>
      <w:tr w:rsidR="00024F60" w:rsidRPr="00024F60" w:rsidTr="00024F60">
        <w:trPr>
          <w:trHeight w:val="288"/>
        </w:trPr>
        <w:tc>
          <w:tcPr>
            <w:tcW w:w="342" w:type="dxa"/>
            <w:tcBorders>
              <w:top w:val="nil"/>
              <w:left w:val="nil"/>
              <w:bottom w:val="nil"/>
              <w:right w:val="nil"/>
            </w:tcBorders>
            <w:shd w:val="clear" w:color="auto" w:fill="auto"/>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44</w:t>
            </w:r>
          </w:p>
        </w:tc>
        <w:tc>
          <w:tcPr>
            <w:tcW w:w="6613" w:type="dxa"/>
            <w:tcBorders>
              <w:top w:val="nil"/>
              <w:left w:val="nil"/>
              <w:bottom w:val="nil"/>
              <w:right w:val="nil"/>
            </w:tcBorders>
            <w:shd w:val="clear" w:color="auto" w:fill="auto"/>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KIPUSHI CORPORATION</w:t>
            </w:r>
          </w:p>
        </w:tc>
        <w:tc>
          <w:tcPr>
            <w:tcW w:w="1843" w:type="dxa"/>
            <w:tcBorders>
              <w:top w:val="nil"/>
              <w:left w:val="nil"/>
              <w:bottom w:val="nil"/>
              <w:right w:val="nil"/>
            </w:tcBorders>
            <w:shd w:val="clear" w:color="auto" w:fill="auto"/>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2 065 462,62</w:t>
            </w:r>
          </w:p>
        </w:tc>
      </w:tr>
      <w:tr w:rsidR="00024F60" w:rsidRPr="00024F60" w:rsidTr="00024F60">
        <w:trPr>
          <w:trHeight w:val="288"/>
        </w:trPr>
        <w:tc>
          <w:tcPr>
            <w:tcW w:w="342" w:type="dxa"/>
            <w:tcBorders>
              <w:top w:val="nil"/>
              <w:left w:val="nil"/>
              <w:bottom w:val="nil"/>
              <w:right w:val="nil"/>
            </w:tcBorders>
            <w:shd w:val="clear" w:color="000000" w:fill="BDD7EE"/>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45</w:t>
            </w:r>
          </w:p>
        </w:tc>
        <w:tc>
          <w:tcPr>
            <w:tcW w:w="6613" w:type="dxa"/>
            <w:tcBorders>
              <w:top w:val="nil"/>
              <w:left w:val="nil"/>
              <w:bottom w:val="nil"/>
              <w:right w:val="nil"/>
            </w:tcBorders>
            <w:shd w:val="clear" w:color="000000" w:fill="BDD7EE"/>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GOLDEN AFRICAN RESOURCES SARL</w:t>
            </w:r>
          </w:p>
        </w:tc>
        <w:tc>
          <w:tcPr>
            <w:tcW w:w="1843" w:type="dxa"/>
            <w:tcBorders>
              <w:top w:val="nil"/>
              <w:left w:val="nil"/>
              <w:bottom w:val="nil"/>
              <w:right w:val="nil"/>
            </w:tcBorders>
            <w:shd w:val="clear" w:color="000000" w:fill="BDD7EE"/>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1 894 861,05</w:t>
            </w:r>
          </w:p>
        </w:tc>
      </w:tr>
      <w:tr w:rsidR="00024F60" w:rsidRPr="00024F60" w:rsidTr="00024F60">
        <w:trPr>
          <w:trHeight w:val="288"/>
        </w:trPr>
        <w:tc>
          <w:tcPr>
            <w:tcW w:w="342" w:type="dxa"/>
            <w:tcBorders>
              <w:top w:val="nil"/>
              <w:left w:val="nil"/>
              <w:bottom w:val="nil"/>
              <w:right w:val="nil"/>
            </w:tcBorders>
            <w:shd w:val="clear" w:color="auto" w:fill="auto"/>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46</w:t>
            </w:r>
          </w:p>
        </w:tc>
        <w:tc>
          <w:tcPr>
            <w:tcW w:w="6613" w:type="dxa"/>
            <w:tcBorders>
              <w:top w:val="nil"/>
              <w:left w:val="nil"/>
              <w:bottom w:val="nil"/>
              <w:right w:val="nil"/>
            </w:tcBorders>
            <w:shd w:val="clear" w:color="auto" w:fill="auto"/>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IVANHOE MINES DRC SPRL</w:t>
            </w:r>
          </w:p>
        </w:tc>
        <w:tc>
          <w:tcPr>
            <w:tcW w:w="1843" w:type="dxa"/>
            <w:tcBorders>
              <w:top w:val="nil"/>
              <w:left w:val="nil"/>
              <w:bottom w:val="nil"/>
              <w:right w:val="nil"/>
            </w:tcBorders>
            <w:shd w:val="clear" w:color="auto" w:fill="auto"/>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1 827 178,96</w:t>
            </w:r>
          </w:p>
        </w:tc>
      </w:tr>
      <w:tr w:rsidR="00024F60" w:rsidRPr="00024F60" w:rsidTr="00024F60">
        <w:trPr>
          <w:trHeight w:val="288"/>
        </w:trPr>
        <w:tc>
          <w:tcPr>
            <w:tcW w:w="342" w:type="dxa"/>
            <w:tcBorders>
              <w:top w:val="nil"/>
              <w:left w:val="nil"/>
              <w:bottom w:val="nil"/>
              <w:right w:val="nil"/>
            </w:tcBorders>
            <w:shd w:val="clear" w:color="000000" w:fill="BDD7EE"/>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47</w:t>
            </w:r>
          </w:p>
        </w:tc>
        <w:tc>
          <w:tcPr>
            <w:tcW w:w="6613" w:type="dxa"/>
            <w:tcBorders>
              <w:top w:val="nil"/>
              <w:left w:val="nil"/>
              <w:bottom w:val="nil"/>
              <w:right w:val="nil"/>
            </w:tcBorders>
            <w:shd w:val="clear" w:color="000000" w:fill="BDD7EE"/>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M.J.M SPRL</w:t>
            </w:r>
          </w:p>
        </w:tc>
        <w:tc>
          <w:tcPr>
            <w:tcW w:w="1843" w:type="dxa"/>
            <w:tcBorders>
              <w:top w:val="nil"/>
              <w:left w:val="nil"/>
              <w:bottom w:val="nil"/>
              <w:right w:val="nil"/>
            </w:tcBorders>
            <w:shd w:val="clear" w:color="000000" w:fill="BDD7EE"/>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1 681 264,47</w:t>
            </w:r>
          </w:p>
        </w:tc>
      </w:tr>
      <w:tr w:rsidR="00024F60" w:rsidRPr="00024F60" w:rsidTr="00024F60">
        <w:trPr>
          <w:trHeight w:val="288"/>
        </w:trPr>
        <w:tc>
          <w:tcPr>
            <w:tcW w:w="342" w:type="dxa"/>
            <w:tcBorders>
              <w:top w:val="nil"/>
              <w:left w:val="nil"/>
              <w:bottom w:val="nil"/>
              <w:right w:val="nil"/>
            </w:tcBorders>
            <w:shd w:val="clear" w:color="auto" w:fill="auto"/>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48</w:t>
            </w:r>
          </w:p>
        </w:tc>
        <w:tc>
          <w:tcPr>
            <w:tcW w:w="6613" w:type="dxa"/>
            <w:tcBorders>
              <w:top w:val="nil"/>
              <w:left w:val="nil"/>
              <w:bottom w:val="nil"/>
              <w:right w:val="nil"/>
            </w:tcBorders>
            <w:shd w:val="clear" w:color="auto" w:fill="auto"/>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MANONO MINERALS SARL</w:t>
            </w:r>
          </w:p>
        </w:tc>
        <w:tc>
          <w:tcPr>
            <w:tcW w:w="1843" w:type="dxa"/>
            <w:tcBorders>
              <w:top w:val="nil"/>
              <w:left w:val="nil"/>
              <w:bottom w:val="nil"/>
              <w:right w:val="nil"/>
            </w:tcBorders>
            <w:shd w:val="clear" w:color="auto" w:fill="auto"/>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1 646 604,98</w:t>
            </w:r>
          </w:p>
        </w:tc>
      </w:tr>
      <w:tr w:rsidR="00024F60" w:rsidRPr="00024F60" w:rsidTr="00024F60">
        <w:trPr>
          <w:trHeight w:val="288"/>
        </w:trPr>
        <w:tc>
          <w:tcPr>
            <w:tcW w:w="342" w:type="dxa"/>
            <w:tcBorders>
              <w:top w:val="nil"/>
              <w:left w:val="nil"/>
              <w:bottom w:val="nil"/>
              <w:right w:val="nil"/>
            </w:tcBorders>
            <w:shd w:val="clear" w:color="000000" w:fill="BDD7EE"/>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49</w:t>
            </w:r>
          </w:p>
        </w:tc>
        <w:tc>
          <w:tcPr>
            <w:tcW w:w="6613" w:type="dxa"/>
            <w:tcBorders>
              <w:top w:val="nil"/>
              <w:left w:val="nil"/>
              <w:bottom w:val="nil"/>
              <w:right w:val="nil"/>
            </w:tcBorders>
            <w:shd w:val="clear" w:color="000000" w:fill="BDD7EE"/>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KISANFU MINING SPRL</w:t>
            </w:r>
          </w:p>
        </w:tc>
        <w:tc>
          <w:tcPr>
            <w:tcW w:w="1843" w:type="dxa"/>
            <w:tcBorders>
              <w:top w:val="nil"/>
              <w:left w:val="nil"/>
              <w:bottom w:val="nil"/>
              <w:right w:val="nil"/>
            </w:tcBorders>
            <w:shd w:val="clear" w:color="000000" w:fill="BDD7EE"/>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1 642 166,74</w:t>
            </w:r>
          </w:p>
        </w:tc>
      </w:tr>
      <w:tr w:rsidR="00024F60" w:rsidRPr="00024F60" w:rsidTr="00024F60">
        <w:trPr>
          <w:trHeight w:val="288"/>
        </w:trPr>
        <w:tc>
          <w:tcPr>
            <w:tcW w:w="342" w:type="dxa"/>
            <w:tcBorders>
              <w:top w:val="nil"/>
              <w:left w:val="nil"/>
              <w:bottom w:val="nil"/>
              <w:right w:val="nil"/>
            </w:tcBorders>
            <w:shd w:val="clear" w:color="auto" w:fill="auto"/>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50</w:t>
            </w:r>
          </w:p>
        </w:tc>
        <w:tc>
          <w:tcPr>
            <w:tcW w:w="6613" w:type="dxa"/>
            <w:tcBorders>
              <w:top w:val="nil"/>
              <w:left w:val="nil"/>
              <w:bottom w:val="nil"/>
              <w:right w:val="nil"/>
            </w:tcBorders>
            <w:shd w:val="clear" w:color="auto" w:fill="auto"/>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SOCIETE MINIERE DE MOKU BEVERENDI</w:t>
            </w:r>
          </w:p>
        </w:tc>
        <w:tc>
          <w:tcPr>
            <w:tcW w:w="1843" w:type="dxa"/>
            <w:tcBorders>
              <w:top w:val="nil"/>
              <w:left w:val="nil"/>
              <w:bottom w:val="nil"/>
              <w:right w:val="nil"/>
            </w:tcBorders>
            <w:shd w:val="clear" w:color="auto" w:fill="auto"/>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1 561 011,35</w:t>
            </w:r>
          </w:p>
        </w:tc>
      </w:tr>
      <w:tr w:rsidR="00024F60" w:rsidRPr="00024F60" w:rsidTr="00024F60">
        <w:trPr>
          <w:trHeight w:val="288"/>
        </w:trPr>
        <w:tc>
          <w:tcPr>
            <w:tcW w:w="342" w:type="dxa"/>
            <w:tcBorders>
              <w:top w:val="nil"/>
              <w:left w:val="nil"/>
              <w:bottom w:val="nil"/>
              <w:right w:val="nil"/>
            </w:tcBorders>
            <w:shd w:val="clear" w:color="000000" w:fill="BDD7EE"/>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51</w:t>
            </w:r>
          </w:p>
        </w:tc>
        <w:tc>
          <w:tcPr>
            <w:tcW w:w="6613" w:type="dxa"/>
            <w:tcBorders>
              <w:top w:val="nil"/>
              <w:left w:val="nil"/>
              <w:bottom w:val="nil"/>
              <w:right w:val="nil"/>
            </w:tcBorders>
            <w:shd w:val="clear" w:color="000000" w:fill="BDD7EE"/>
            <w:noWrap/>
            <w:vAlign w:val="bottom"/>
            <w:hideMark/>
          </w:tcPr>
          <w:p w:rsidR="00024F60" w:rsidRPr="00024F60" w:rsidRDefault="00024F60" w:rsidP="00024F60">
            <w:pPr>
              <w:spacing w:after="0"/>
              <w:jc w:val="left"/>
              <w:rPr>
                <w:bCs w:val="0"/>
                <w:color w:val="000000"/>
                <w:sz w:val="18"/>
                <w:szCs w:val="18"/>
                <w:lang w:val="en-US" w:eastAsia="fr-FR"/>
              </w:rPr>
            </w:pPr>
            <w:r w:rsidRPr="00024F60">
              <w:rPr>
                <w:bCs w:val="0"/>
                <w:color w:val="000000"/>
                <w:sz w:val="18"/>
                <w:szCs w:val="18"/>
                <w:lang w:val="en-US" w:eastAsia="fr-FR"/>
              </w:rPr>
              <w:t>MWANA AFRICA (MIZAKO</w:t>
            </w:r>
            <w:proofErr w:type="gramStart"/>
            <w:r w:rsidRPr="00024F60">
              <w:rPr>
                <w:bCs w:val="0"/>
                <w:color w:val="000000"/>
                <w:sz w:val="18"/>
                <w:szCs w:val="18"/>
                <w:lang w:val="en-US" w:eastAsia="fr-FR"/>
              </w:rPr>
              <w:t>,MINIERE</w:t>
            </w:r>
            <w:proofErr w:type="gramEnd"/>
            <w:r w:rsidRPr="00024F60">
              <w:rPr>
                <w:bCs w:val="0"/>
                <w:color w:val="000000"/>
                <w:sz w:val="18"/>
                <w:szCs w:val="18"/>
                <w:lang w:val="en-US" w:eastAsia="fr-FR"/>
              </w:rPr>
              <w:t xml:space="preserve"> ZANI KODO)</w:t>
            </w:r>
          </w:p>
        </w:tc>
        <w:tc>
          <w:tcPr>
            <w:tcW w:w="1843" w:type="dxa"/>
            <w:tcBorders>
              <w:top w:val="nil"/>
              <w:left w:val="nil"/>
              <w:bottom w:val="nil"/>
              <w:right w:val="nil"/>
            </w:tcBorders>
            <w:shd w:val="clear" w:color="000000" w:fill="BDD7EE"/>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1 396 596,49</w:t>
            </w:r>
          </w:p>
        </w:tc>
      </w:tr>
      <w:tr w:rsidR="00024F60" w:rsidRPr="00024F60" w:rsidTr="00024F60">
        <w:trPr>
          <w:trHeight w:val="288"/>
        </w:trPr>
        <w:tc>
          <w:tcPr>
            <w:tcW w:w="342" w:type="dxa"/>
            <w:tcBorders>
              <w:top w:val="nil"/>
              <w:left w:val="nil"/>
              <w:bottom w:val="nil"/>
              <w:right w:val="nil"/>
            </w:tcBorders>
            <w:shd w:val="clear" w:color="auto" w:fill="auto"/>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52</w:t>
            </w:r>
          </w:p>
        </w:tc>
        <w:tc>
          <w:tcPr>
            <w:tcW w:w="6613" w:type="dxa"/>
            <w:tcBorders>
              <w:top w:val="nil"/>
              <w:left w:val="nil"/>
              <w:bottom w:val="nil"/>
              <w:right w:val="nil"/>
            </w:tcBorders>
            <w:shd w:val="clear" w:color="auto" w:fill="auto"/>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SINO CONGOLAISE DES MINES SARL (SICOMINES)</w:t>
            </w:r>
          </w:p>
        </w:tc>
        <w:tc>
          <w:tcPr>
            <w:tcW w:w="1843" w:type="dxa"/>
            <w:tcBorders>
              <w:top w:val="nil"/>
              <w:left w:val="nil"/>
              <w:bottom w:val="nil"/>
              <w:right w:val="nil"/>
            </w:tcBorders>
            <w:shd w:val="clear" w:color="auto" w:fill="auto"/>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1 395 357,38</w:t>
            </w:r>
          </w:p>
        </w:tc>
      </w:tr>
      <w:tr w:rsidR="00024F60" w:rsidRPr="00024F60" w:rsidTr="00024F60">
        <w:trPr>
          <w:trHeight w:val="288"/>
        </w:trPr>
        <w:tc>
          <w:tcPr>
            <w:tcW w:w="342" w:type="dxa"/>
            <w:tcBorders>
              <w:top w:val="nil"/>
              <w:left w:val="nil"/>
              <w:bottom w:val="nil"/>
              <w:right w:val="nil"/>
            </w:tcBorders>
            <w:shd w:val="clear" w:color="000000" w:fill="BDD7EE"/>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53</w:t>
            </w:r>
          </w:p>
        </w:tc>
        <w:tc>
          <w:tcPr>
            <w:tcW w:w="6613" w:type="dxa"/>
            <w:tcBorders>
              <w:top w:val="nil"/>
              <w:left w:val="nil"/>
              <w:bottom w:val="nil"/>
              <w:right w:val="nil"/>
            </w:tcBorders>
            <w:shd w:val="clear" w:color="000000" w:fill="BDD7EE"/>
            <w:noWrap/>
            <w:vAlign w:val="bottom"/>
            <w:hideMark/>
          </w:tcPr>
          <w:p w:rsidR="00024F60" w:rsidRPr="00024F60" w:rsidRDefault="00024F60" w:rsidP="00024F60">
            <w:pPr>
              <w:spacing w:after="0"/>
              <w:jc w:val="left"/>
              <w:rPr>
                <w:bCs w:val="0"/>
                <w:color w:val="000000"/>
                <w:sz w:val="18"/>
                <w:szCs w:val="18"/>
                <w:lang w:val="en-US" w:eastAsia="fr-FR"/>
              </w:rPr>
            </w:pPr>
            <w:r w:rsidRPr="00024F60">
              <w:rPr>
                <w:bCs w:val="0"/>
                <w:color w:val="000000"/>
                <w:sz w:val="18"/>
                <w:szCs w:val="18"/>
                <w:lang w:val="en-US" w:eastAsia="fr-FR"/>
              </w:rPr>
              <w:t>CONGO JINJUN CHENG MINING COMPAGNY</w:t>
            </w:r>
          </w:p>
        </w:tc>
        <w:tc>
          <w:tcPr>
            <w:tcW w:w="1843" w:type="dxa"/>
            <w:tcBorders>
              <w:top w:val="nil"/>
              <w:left w:val="nil"/>
              <w:bottom w:val="nil"/>
              <w:right w:val="nil"/>
            </w:tcBorders>
            <w:shd w:val="clear" w:color="000000" w:fill="BDD7EE"/>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1 250 381,79</w:t>
            </w:r>
          </w:p>
        </w:tc>
      </w:tr>
      <w:tr w:rsidR="00024F60" w:rsidRPr="00024F60" w:rsidTr="00024F60">
        <w:trPr>
          <w:trHeight w:val="288"/>
        </w:trPr>
        <w:tc>
          <w:tcPr>
            <w:tcW w:w="342" w:type="dxa"/>
            <w:tcBorders>
              <w:top w:val="nil"/>
              <w:left w:val="nil"/>
              <w:bottom w:val="nil"/>
              <w:right w:val="nil"/>
            </w:tcBorders>
            <w:shd w:val="clear" w:color="auto" w:fill="auto"/>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54</w:t>
            </w:r>
          </w:p>
        </w:tc>
        <w:tc>
          <w:tcPr>
            <w:tcW w:w="6613" w:type="dxa"/>
            <w:tcBorders>
              <w:top w:val="nil"/>
              <w:left w:val="nil"/>
              <w:bottom w:val="nil"/>
              <w:right w:val="nil"/>
            </w:tcBorders>
            <w:shd w:val="clear" w:color="auto" w:fill="auto"/>
            <w:noWrap/>
            <w:vAlign w:val="bottom"/>
            <w:hideMark/>
          </w:tcPr>
          <w:p w:rsidR="00024F60" w:rsidRPr="00024F60" w:rsidRDefault="00024F60" w:rsidP="00024F60">
            <w:pPr>
              <w:spacing w:after="0"/>
              <w:jc w:val="left"/>
              <w:rPr>
                <w:bCs w:val="0"/>
                <w:color w:val="000000"/>
                <w:sz w:val="18"/>
                <w:szCs w:val="18"/>
                <w:lang w:val="en-US" w:eastAsia="fr-FR"/>
              </w:rPr>
            </w:pPr>
            <w:r w:rsidRPr="00024F60">
              <w:rPr>
                <w:bCs w:val="0"/>
                <w:color w:val="000000"/>
                <w:sz w:val="18"/>
                <w:szCs w:val="18"/>
                <w:lang w:val="en-US" w:eastAsia="fr-FR"/>
              </w:rPr>
              <w:t xml:space="preserve">MINING PROCESSING AND </w:t>
            </w:r>
            <w:proofErr w:type="gramStart"/>
            <w:r w:rsidRPr="00024F60">
              <w:rPr>
                <w:bCs w:val="0"/>
                <w:color w:val="000000"/>
                <w:sz w:val="18"/>
                <w:szCs w:val="18"/>
                <w:lang w:val="en-US" w:eastAsia="fr-FR"/>
              </w:rPr>
              <w:t>CONGO(</w:t>
            </w:r>
            <w:proofErr w:type="gramEnd"/>
            <w:r w:rsidRPr="00024F60">
              <w:rPr>
                <w:bCs w:val="0"/>
                <w:color w:val="000000"/>
                <w:sz w:val="18"/>
                <w:szCs w:val="18"/>
                <w:lang w:val="en-US" w:eastAsia="fr-FR"/>
              </w:rPr>
              <w:t>EX ALPHAMINBISIE MINING SA)</w:t>
            </w:r>
          </w:p>
        </w:tc>
        <w:tc>
          <w:tcPr>
            <w:tcW w:w="1843" w:type="dxa"/>
            <w:tcBorders>
              <w:top w:val="nil"/>
              <w:left w:val="nil"/>
              <w:bottom w:val="nil"/>
              <w:right w:val="nil"/>
            </w:tcBorders>
            <w:shd w:val="clear" w:color="auto" w:fill="auto"/>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1 196 837,34</w:t>
            </w:r>
          </w:p>
        </w:tc>
      </w:tr>
      <w:tr w:rsidR="00024F60" w:rsidRPr="00024F60" w:rsidTr="00024F60">
        <w:trPr>
          <w:trHeight w:val="288"/>
        </w:trPr>
        <w:tc>
          <w:tcPr>
            <w:tcW w:w="342" w:type="dxa"/>
            <w:tcBorders>
              <w:top w:val="nil"/>
              <w:left w:val="nil"/>
              <w:bottom w:val="nil"/>
              <w:right w:val="nil"/>
            </w:tcBorders>
            <w:shd w:val="clear" w:color="000000" w:fill="BDD7EE"/>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55</w:t>
            </w:r>
          </w:p>
        </w:tc>
        <w:tc>
          <w:tcPr>
            <w:tcW w:w="6613" w:type="dxa"/>
            <w:tcBorders>
              <w:top w:val="nil"/>
              <w:left w:val="nil"/>
              <w:bottom w:val="nil"/>
              <w:right w:val="nil"/>
            </w:tcBorders>
            <w:shd w:val="clear" w:color="000000" w:fill="BDD7EE"/>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 xml:space="preserve">BOLFAST COMPANY </w:t>
            </w:r>
          </w:p>
        </w:tc>
        <w:tc>
          <w:tcPr>
            <w:tcW w:w="1843" w:type="dxa"/>
            <w:tcBorders>
              <w:top w:val="nil"/>
              <w:left w:val="nil"/>
              <w:bottom w:val="nil"/>
              <w:right w:val="nil"/>
            </w:tcBorders>
            <w:shd w:val="clear" w:color="000000" w:fill="BDD7EE"/>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1 003 733,65</w:t>
            </w:r>
          </w:p>
        </w:tc>
      </w:tr>
      <w:tr w:rsidR="00024F60" w:rsidRPr="00024F60" w:rsidTr="00024F60">
        <w:trPr>
          <w:trHeight w:val="288"/>
        </w:trPr>
        <w:tc>
          <w:tcPr>
            <w:tcW w:w="342" w:type="dxa"/>
            <w:tcBorders>
              <w:top w:val="nil"/>
              <w:left w:val="nil"/>
              <w:bottom w:val="nil"/>
              <w:right w:val="nil"/>
            </w:tcBorders>
            <w:shd w:val="clear" w:color="auto" w:fill="auto"/>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56</w:t>
            </w:r>
          </w:p>
        </w:tc>
        <w:tc>
          <w:tcPr>
            <w:tcW w:w="6613" w:type="dxa"/>
            <w:tcBorders>
              <w:top w:val="nil"/>
              <w:left w:val="nil"/>
              <w:bottom w:val="nil"/>
              <w:right w:val="nil"/>
            </w:tcBorders>
            <w:shd w:val="clear" w:color="auto" w:fill="auto"/>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COMPAGNIE MINIERE DE TONDO</w:t>
            </w:r>
          </w:p>
        </w:tc>
        <w:tc>
          <w:tcPr>
            <w:tcW w:w="1843" w:type="dxa"/>
            <w:tcBorders>
              <w:top w:val="nil"/>
              <w:left w:val="nil"/>
              <w:bottom w:val="nil"/>
              <w:right w:val="nil"/>
            </w:tcBorders>
            <w:shd w:val="clear" w:color="auto" w:fill="auto"/>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1 000 380,43</w:t>
            </w:r>
          </w:p>
        </w:tc>
      </w:tr>
      <w:tr w:rsidR="00024F60" w:rsidRPr="00024F60" w:rsidTr="00024F60">
        <w:trPr>
          <w:trHeight w:val="288"/>
        </w:trPr>
        <w:tc>
          <w:tcPr>
            <w:tcW w:w="342" w:type="dxa"/>
            <w:tcBorders>
              <w:top w:val="nil"/>
              <w:left w:val="nil"/>
              <w:bottom w:val="nil"/>
              <w:right w:val="nil"/>
            </w:tcBorders>
            <w:shd w:val="clear" w:color="000000" w:fill="BDD7EE"/>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57</w:t>
            </w:r>
          </w:p>
        </w:tc>
        <w:tc>
          <w:tcPr>
            <w:tcW w:w="6613" w:type="dxa"/>
            <w:tcBorders>
              <w:top w:val="nil"/>
              <w:left w:val="nil"/>
              <w:bottom w:val="nil"/>
              <w:right w:val="nil"/>
            </w:tcBorders>
            <w:shd w:val="clear" w:color="000000" w:fill="BDD7EE"/>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BANRO CONGO MINING</w:t>
            </w:r>
          </w:p>
        </w:tc>
        <w:tc>
          <w:tcPr>
            <w:tcW w:w="1843" w:type="dxa"/>
            <w:tcBorders>
              <w:top w:val="nil"/>
              <w:left w:val="nil"/>
              <w:bottom w:val="nil"/>
              <w:right w:val="nil"/>
            </w:tcBorders>
            <w:shd w:val="clear" w:color="000000" w:fill="BDD7EE"/>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955 909,66</w:t>
            </w:r>
          </w:p>
        </w:tc>
      </w:tr>
      <w:tr w:rsidR="00024F60" w:rsidRPr="00024F60" w:rsidTr="00024F60">
        <w:trPr>
          <w:trHeight w:val="288"/>
        </w:trPr>
        <w:tc>
          <w:tcPr>
            <w:tcW w:w="342" w:type="dxa"/>
            <w:tcBorders>
              <w:top w:val="nil"/>
              <w:left w:val="nil"/>
              <w:bottom w:val="nil"/>
              <w:right w:val="nil"/>
            </w:tcBorders>
            <w:shd w:val="clear" w:color="auto" w:fill="auto"/>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58</w:t>
            </w:r>
          </w:p>
        </w:tc>
        <w:tc>
          <w:tcPr>
            <w:tcW w:w="6613" w:type="dxa"/>
            <w:tcBorders>
              <w:top w:val="nil"/>
              <w:left w:val="nil"/>
              <w:bottom w:val="nil"/>
              <w:right w:val="nil"/>
            </w:tcBorders>
            <w:shd w:val="clear" w:color="auto" w:fill="auto"/>
            <w:noWrap/>
            <w:vAlign w:val="bottom"/>
            <w:hideMark/>
          </w:tcPr>
          <w:p w:rsidR="00024F60" w:rsidRPr="00024F60" w:rsidRDefault="00024F60" w:rsidP="00024F60">
            <w:pPr>
              <w:spacing w:after="0"/>
              <w:jc w:val="left"/>
              <w:rPr>
                <w:bCs w:val="0"/>
                <w:color w:val="000000"/>
                <w:sz w:val="18"/>
                <w:szCs w:val="18"/>
                <w:lang w:val="en-US" w:eastAsia="fr-FR"/>
              </w:rPr>
            </w:pPr>
            <w:r w:rsidRPr="00024F60">
              <w:rPr>
                <w:bCs w:val="0"/>
                <w:color w:val="000000"/>
                <w:sz w:val="18"/>
                <w:szCs w:val="18"/>
                <w:lang w:val="en-US" w:eastAsia="fr-FR"/>
              </w:rPr>
              <w:t xml:space="preserve">CONGO </w:t>
            </w:r>
            <w:proofErr w:type="gramStart"/>
            <w:r w:rsidRPr="00024F60">
              <w:rPr>
                <w:bCs w:val="0"/>
                <w:color w:val="000000"/>
                <w:sz w:val="18"/>
                <w:szCs w:val="18"/>
                <w:lang w:val="en-US" w:eastAsia="fr-FR"/>
              </w:rPr>
              <w:t>INTERNATIONAL  MINING</w:t>
            </w:r>
            <w:proofErr w:type="gramEnd"/>
            <w:r w:rsidRPr="00024F60">
              <w:rPr>
                <w:bCs w:val="0"/>
                <w:color w:val="000000"/>
                <w:sz w:val="18"/>
                <w:szCs w:val="18"/>
                <w:lang w:val="en-US" w:eastAsia="fr-FR"/>
              </w:rPr>
              <w:t xml:space="preserve">  CORPORATION   SPRL (CIMCO)</w:t>
            </w:r>
          </w:p>
        </w:tc>
        <w:tc>
          <w:tcPr>
            <w:tcW w:w="1843" w:type="dxa"/>
            <w:tcBorders>
              <w:top w:val="nil"/>
              <w:left w:val="nil"/>
              <w:bottom w:val="nil"/>
              <w:right w:val="nil"/>
            </w:tcBorders>
            <w:shd w:val="clear" w:color="auto" w:fill="auto"/>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859 336,11</w:t>
            </w:r>
          </w:p>
        </w:tc>
      </w:tr>
      <w:tr w:rsidR="00024F60" w:rsidRPr="00024F60" w:rsidTr="00024F60">
        <w:trPr>
          <w:trHeight w:val="288"/>
        </w:trPr>
        <w:tc>
          <w:tcPr>
            <w:tcW w:w="342" w:type="dxa"/>
            <w:tcBorders>
              <w:top w:val="nil"/>
              <w:left w:val="nil"/>
              <w:bottom w:val="nil"/>
              <w:right w:val="nil"/>
            </w:tcBorders>
            <w:shd w:val="clear" w:color="000000" w:fill="BDD7EE"/>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59</w:t>
            </w:r>
          </w:p>
        </w:tc>
        <w:tc>
          <w:tcPr>
            <w:tcW w:w="6613" w:type="dxa"/>
            <w:tcBorders>
              <w:top w:val="nil"/>
              <w:left w:val="nil"/>
              <w:bottom w:val="nil"/>
              <w:right w:val="nil"/>
            </w:tcBorders>
            <w:shd w:val="clear" w:color="000000" w:fill="BDD7EE"/>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IVANHOE MINES EXPLORATION DRC</w:t>
            </w:r>
          </w:p>
        </w:tc>
        <w:tc>
          <w:tcPr>
            <w:tcW w:w="1843" w:type="dxa"/>
            <w:tcBorders>
              <w:top w:val="nil"/>
              <w:left w:val="nil"/>
              <w:bottom w:val="nil"/>
              <w:right w:val="nil"/>
            </w:tcBorders>
            <w:shd w:val="clear" w:color="000000" w:fill="BDD7EE"/>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836 142,87</w:t>
            </w:r>
          </w:p>
        </w:tc>
      </w:tr>
      <w:tr w:rsidR="00024F60" w:rsidRPr="00024F60" w:rsidTr="00024F60">
        <w:trPr>
          <w:trHeight w:val="288"/>
        </w:trPr>
        <w:tc>
          <w:tcPr>
            <w:tcW w:w="342" w:type="dxa"/>
            <w:tcBorders>
              <w:top w:val="nil"/>
              <w:left w:val="nil"/>
              <w:bottom w:val="nil"/>
              <w:right w:val="nil"/>
            </w:tcBorders>
            <w:shd w:val="clear" w:color="auto" w:fill="auto"/>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lastRenderedPageBreak/>
              <w:t>60</w:t>
            </w:r>
          </w:p>
        </w:tc>
        <w:tc>
          <w:tcPr>
            <w:tcW w:w="6613" w:type="dxa"/>
            <w:tcBorders>
              <w:top w:val="nil"/>
              <w:left w:val="nil"/>
              <w:bottom w:val="nil"/>
              <w:right w:val="nil"/>
            </w:tcBorders>
            <w:shd w:val="clear" w:color="auto" w:fill="auto"/>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MANIEMA MINING COMPANY</w:t>
            </w:r>
          </w:p>
        </w:tc>
        <w:tc>
          <w:tcPr>
            <w:tcW w:w="1843" w:type="dxa"/>
            <w:tcBorders>
              <w:top w:val="nil"/>
              <w:left w:val="nil"/>
              <w:bottom w:val="nil"/>
              <w:right w:val="nil"/>
            </w:tcBorders>
            <w:shd w:val="clear" w:color="auto" w:fill="auto"/>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795 702,64</w:t>
            </w:r>
          </w:p>
        </w:tc>
      </w:tr>
      <w:tr w:rsidR="00024F60" w:rsidRPr="00024F60" w:rsidTr="00024F60">
        <w:trPr>
          <w:trHeight w:val="288"/>
        </w:trPr>
        <w:tc>
          <w:tcPr>
            <w:tcW w:w="342" w:type="dxa"/>
            <w:tcBorders>
              <w:top w:val="nil"/>
              <w:left w:val="nil"/>
              <w:bottom w:val="nil"/>
              <w:right w:val="nil"/>
            </w:tcBorders>
            <w:shd w:val="clear" w:color="000000" w:fill="BDD7EE"/>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61</w:t>
            </w:r>
          </w:p>
        </w:tc>
        <w:tc>
          <w:tcPr>
            <w:tcW w:w="6613" w:type="dxa"/>
            <w:tcBorders>
              <w:top w:val="nil"/>
              <w:left w:val="nil"/>
              <w:bottom w:val="nil"/>
              <w:right w:val="nil"/>
            </w:tcBorders>
            <w:shd w:val="clear" w:color="000000" w:fill="BDD7EE"/>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COMPAGNIE MINIERE DE KAMBOVE SPRL</w:t>
            </w:r>
          </w:p>
        </w:tc>
        <w:tc>
          <w:tcPr>
            <w:tcW w:w="1843" w:type="dxa"/>
            <w:tcBorders>
              <w:top w:val="nil"/>
              <w:left w:val="nil"/>
              <w:bottom w:val="nil"/>
              <w:right w:val="nil"/>
            </w:tcBorders>
            <w:shd w:val="clear" w:color="000000" w:fill="BDD7EE"/>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760 498,34</w:t>
            </w:r>
          </w:p>
        </w:tc>
      </w:tr>
      <w:tr w:rsidR="00024F60" w:rsidRPr="00024F60" w:rsidTr="00024F60">
        <w:trPr>
          <w:trHeight w:val="288"/>
        </w:trPr>
        <w:tc>
          <w:tcPr>
            <w:tcW w:w="342" w:type="dxa"/>
            <w:tcBorders>
              <w:top w:val="nil"/>
              <w:left w:val="nil"/>
              <w:bottom w:val="nil"/>
              <w:right w:val="nil"/>
            </w:tcBorders>
            <w:shd w:val="clear" w:color="auto" w:fill="auto"/>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62</w:t>
            </w:r>
          </w:p>
        </w:tc>
        <w:tc>
          <w:tcPr>
            <w:tcW w:w="6613" w:type="dxa"/>
            <w:tcBorders>
              <w:top w:val="nil"/>
              <w:left w:val="nil"/>
              <w:bottom w:val="nil"/>
              <w:right w:val="nil"/>
            </w:tcBorders>
            <w:shd w:val="clear" w:color="auto" w:fill="auto"/>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PANCOM CONGO SPRL</w:t>
            </w:r>
          </w:p>
        </w:tc>
        <w:tc>
          <w:tcPr>
            <w:tcW w:w="1843" w:type="dxa"/>
            <w:tcBorders>
              <w:top w:val="nil"/>
              <w:left w:val="nil"/>
              <w:bottom w:val="nil"/>
              <w:right w:val="nil"/>
            </w:tcBorders>
            <w:shd w:val="clear" w:color="auto" w:fill="auto"/>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747 843,08</w:t>
            </w:r>
          </w:p>
        </w:tc>
      </w:tr>
      <w:tr w:rsidR="00024F60" w:rsidRPr="00024F60" w:rsidTr="00024F60">
        <w:trPr>
          <w:trHeight w:val="288"/>
        </w:trPr>
        <w:tc>
          <w:tcPr>
            <w:tcW w:w="342" w:type="dxa"/>
            <w:tcBorders>
              <w:top w:val="nil"/>
              <w:left w:val="nil"/>
              <w:bottom w:val="nil"/>
              <w:right w:val="nil"/>
            </w:tcBorders>
            <w:shd w:val="clear" w:color="000000" w:fill="BDD7EE"/>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63</w:t>
            </w:r>
          </w:p>
        </w:tc>
        <w:tc>
          <w:tcPr>
            <w:tcW w:w="6613" w:type="dxa"/>
            <w:tcBorders>
              <w:top w:val="nil"/>
              <w:left w:val="nil"/>
              <w:bottom w:val="nil"/>
              <w:right w:val="nil"/>
            </w:tcBorders>
            <w:shd w:val="clear" w:color="000000" w:fill="BDD7EE"/>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COMMUS</w:t>
            </w:r>
          </w:p>
        </w:tc>
        <w:tc>
          <w:tcPr>
            <w:tcW w:w="1843" w:type="dxa"/>
            <w:tcBorders>
              <w:top w:val="nil"/>
              <w:left w:val="nil"/>
              <w:bottom w:val="nil"/>
              <w:right w:val="nil"/>
            </w:tcBorders>
            <w:shd w:val="clear" w:color="000000" w:fill="BDD7EE"/>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732 766,44</w:t>
            </w:r>
          </w:p>
        </w:tc>
      </w:tr>
      <w:tr w:rsidR="00024F60" w:rsidRPr="00024F60" w:rsidTr="00024F60">
        <w:trPr>
          <w:trHeight w:val="288"/>
        </w:trPr>
        <w:tc>
          <w:tcPr>
            <w:tcW w:w="342" w:type="dxa"/>
            <w:tcBorders>
              <w:top w:val="nil"/>
              <w:left w:val="nil"/>
              <w:bottom w:val="nil"/>
              <w:right w:val="nil"/>
            </w:tcBorders>
            <w:shd w:val="clear" w:color="auto" w:fill="auto"/>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64</w:t>
            </w:r>
          </w:p>
        </w:tc>
        <w:tc>
          <w:tcPr>
            <w:tcW w:w="6613" w:type="dxa"/>
            <w:tcBorders>
              <w:top w:val="nil"/>
              <w:left w:val="nil"/>
              <w:bottom w:val="nil"/>
              <w:right w:val="nil"/>
            </w:tcBorders>
            <w:shd w:val="clear" w:color="auto" w:fill="auto"/>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RUBACO SARL</w:t>
            </w:r>
          </w:p>
        </w:tc>
        <w:tc>
          <w:tcPr>
            <w:tcW w:w="1843" w:type="dxa"/>
            <w:tcBorders>
              <w:top w:val="nil"/>
              <w:left w:val="nil"/>
              <w:bottom w:val="nil"/>
              <w:right w:val="nil"/>
            </w:tcBorders>
            <w:shd w:val="clear" w:color="auto" w:fill="auto"/>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670 865,87</w:t>
            </w:r>
          </w:p>
        </w:tc>
      </w:tr>
      <w:tr w:rsidR="00024F60" w:rsidRPr="00024F60" w:rsidTr="00024F60">
        <w:trPr>
          <w:trHeight w:val="288"/>
        </w:trPr>
        <w:tc>
          <w:tcPr>
            <w:tcW w:w="342" w:type="dxa"/>
            <w:tcBorders>
              <w:top w:val="nil"/>
              <w:left w:val="nil"/>
              <w:bottom w:val="nil"/>
              <w:right w:val="nil"/>
            </w:tcBorders>
            <w:shd w:val="clear" w:color="000000" w:fill="BDD7EE"/>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65</w:t>
            </w:r>
          </w:p>
        </w:tc>
        <w:tc>
          <w:tcPr>
            <w:tcW w:w="6613" w:type="dxa"/>
            <w:tcBorders>
              <w:top w:val="nil"/>
              <w:left w:val="nil"/>
              <w:bottom w:val="nil"/>
              <w:right w:val="nil"/>
            </w:tcBorders>
            <w:shd w:val="clear" w:color="000000" w:fill="BDD7EE"/>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TIGER CONGO</w:t>
            </w:r>
          </w:p>
        </w:tc>
        <w:tc>
          <w:tcPr>
            <w:tcW w:w="1843" w:type="dxa"/>
            <w:tcBorders>
              <w:top w:val="nil"/>
              <w:left w:val="nil"/>
              <w:bottom w:val="nil"/>
              <w:right w:val="nil"/>
            </w:tcBorders>
            <w:shd w:val="clear" w:color="000000" w:fill="BDD7EE"/>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612 955,48</w:t>
            </w:r>
          </w:p>
        </w:tc>
      </w:tr>
      <w:tr w:rsidR="00024F60" w:rsidRPr="00024F60" w:rsidTr="00024F60">
        <w:trPr>
          <w:trHeight w:val="288"/>
        </w:trPr>
        <w:tc>
          <w:tcPr>
            <w:tcW w:w="342" w:type="dxa"/>
            <w:tcBorders>
              <w:top w:val="nil"/>
              <w:left w:val="nil"/>
              <w:bottom w:val="nil"/>
              <w:right w:val="nil"/>
            </w:tcBorders>
            <w:shd w:val="clear" w:color="auto" w:fill="auto"/>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66</w:t>
            </w:r>
          </w:p>
        </w:tc>
        <w:tc>
          <w:tcPr>
            <w:tcW w:w="6613" w:type="dxa"/>
            <w:tcBorders>
              <w:top w:val="nil"/>
              <w:left w:val="nil"/>
              <w:bottom w:val="nil"/>
              <w:right w:val="nil"/>
            </w:tcBorders>
            <w:shd w:val="clear" w:color="auto" w:fill="auto"/>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 xml:space="preserve">SOCIETE D'EXPLORATION MINIERE DU HAUT </w:t>
            </w:r>
            <w:proofErr w:type="gramStart"/>
            <w:r w:rsidRPr="00024F60">
              <w:rPr>
                <w:bCs w:val="0"/>
                <w:color w:val="000000"/>
                <w:sz w:val="18"/>
                <w:szCs w:val="18"/>
                <w:lang w:eastAsia="fr-FR"/>
              </w:rPr>
              <w:t>KATANGA(</w:t>
            </w:r>
            <w:proofErr w:type="gramEnd"/>
            <w:r w:rsidRPr="00024F60">
              <w:rPr>
                <w:bCs w:val="0"/>
                <w:color w:val="000000"/>
                <w:sz w:val="18"/>
                <w:szCs w:val="18"/>
                <w:lang w:eastAsia="fr-FR"/>
              </w:rPr>
              <w:t>ANMERCOSA)</w:t>
            </w:r>
          </w:p>
        </w:tc>
        <w:tc>
          <w:tcPr>
            <w:tcW w:w="1843" w:type="dxa"/>
            <w:tcBorders>
              <w:top w:val="nil"/>
              <w:left w:val="nil"/>
              <w:bottom w:val="nil"/>
              <w:right w:val="nil"/>
            </w:tcBorders>
            <w:shd w:val="clear" w:color="auto" w:fill="auto"/>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566 810,20</w:t>
            </w:r>
          </w:p>
        </w:tc>
      </w:tr>
      <w:tr w:rsidR="00024F60" w:rsidRPr="00024F60" w:rsidTr="00024F60">
        <w:trPr>
          <w:trHeight w:val="288"/>
        </w:trPr>
        <w:tc>
          <w:tcPr>
            <w:tcW w:w="342" w:type="dxa"/>
            <w:tcBorders>
              <w:top w:val="nil"/>
              <w:left w:val="nil"/>
              <w:bottom w:val="nil"/>
              <w:right w:val="nil"/>
            </w:tcBorders>
            <w:shd w:val="clear" w:color="000000" w:fill="BDD7EE"/>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67</w:t>
            </w:r>
          </w:p>
        </w:tc>
        <w:tc>
          <w:tcPr>
            <w:tcW w:w="6613" w:type="dxa"/>
            <w:tcBorders>
              <w:top w:val="nil"/>
              <w:left w:val="nil"/>
              <w:bottom w:val="nil"/>
              <w:right w:val="nil"/>
            </w:tcBorders>
            <w:shd w:val="clear" w:color="000000" w:fill="BDD7EE"/>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DRAGON INTERNATIONAL MINING SARL</w:t>
            </w:r>
          </w:p>
        </w:tc>
        <w:tc>
          <w:tcPr>
            <w:tcW w:w="1843" w:type="dxa"/>
            <w:tcBorders>
              <w:top w:val="nil"/>
              <w:left w:val="nil"/>
              <w:bottom w:val="nil"/>
              <w:right w:val="nil"/>
            </w:tcBorders>
            <w:shd w:val="clear" w:color="000000" w:fill="BDD7EE"/>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460 295,34</w:t>
            </w:r>
          </w:p>
        </w:tc>
      </w:tr>
      <w:tr w:rsidR="00024F60" w:rsidRPr="00024F60" w:rsidTr="00024F60">
        <w:trPr>
          <w:trHeight w:val="288"/>
        </w:trPr>
        <w:tc>
          <w:tcPr>
            <w:tcW w:w="342" w:type="dxa"/>
            <w:tcBorders>
              <w:top w:val="nil"/>
              <w:left w:val="nil"/>
              <w:bottom w:val="nil"/>
              <w:right w:val="nil"/>
            </w:tcBorders>
            <w:shd w:val="clear" w:color="auto" w:fill="auto"/>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68</w:t>
            </w:r>
          </w:p>
        </w:tc>
        <w:tc>
          <w:tcPr>
            <w:tcW w:w="6613" w:type="dxa"/>
            <w:tcBorders>
              <w:top w:val="nil"/>
              <w:left w:val="nil"/>
              <w:bottom w:val="nil"/>
              <w:right w:val="nil"/>
            </w:tcBorders>
            <w:shd w:val="clear" w:color="auto" w:fill="auto"/>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KGL SOMITURI SPRL</w:t>
            </w:r>
          </w:p>
        </w:tc>
        <w:tc>
          <w:tcPr>
            <w:tcW w:w="1843" w:type="dxa"/>
            <w:tcBorders>
              <w:top w:val="nil"/>
              <w:left w:val="nil"/>
              <w:bottom w:val="nil"/>
              <w:right w:val="nil"/>
            </w:tcBorders>
            <w:shd w:val="clear" w:color="auto" w:fill="auto"/>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456 183,03</w:t>
            </w:r>
          </w:p>
        </w:tc>
      </w:tr>
      <w:tr w:rsidR="00024F60" w:rsidRPr="00024F60" w:rsidTr="00024F60">
        <w:trPr>
          <w:trHeight w:val="288"/>
        </w:trPr>
        <w:tc>
          <w:tcPr>
            <w:tcW w:w="342" w:type="dxa"/>
            <w:tcBorders>
              <w:top w:val="nil"/>
              <w:left w:val="nil"/>
              <w:bottom w:val="nil"/>
              <w:right w:val="nil"/>
            </w:tcBorders>
            <w:shd w:val="clear" w:color="000000" w:fill="BDD7EE"/>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69</w:t>
            </w:r>
          </w:p>
        </w:tc>
        <w:tc>
          <w:tcPr>
            <w:tcW w:w="6613" w:type="dxa"/>
            <w:tcBorders>
              <w:top w:val="nil"/>
              <w:left w:val="nil"/>
              <w:bottom w:val="nil"/>
              <w:right w:val="nil"/>
            </w:tcBorders>
            <w:shd w:val="clear" w:color="000000" w:fill="BDD7EE"/>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MAGMA MINERAL</w:t>
            </w:r>
          </w:p>
        </w:tc>
        <w:tc>
          <w:tcPr>
            <w:tcW w:w="1843" w:type="dxa"/>
            <w:tcBorders>
              <w:top w:val="nil"/>
              <w:left w:val="nil"/>
              <w:bottom w:val="nil"/>
              <w:right w:val="nil"/>
            </w:tcBorders>
            <w:shd w:val="clear" w:color="000000" w:fill="BDD7EE"/>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448 195,66</w:t>
            </w:r>
          </w:p>
        </w:tc>
      </w:tr>
      <w:tr w:rsidR="00024F60" w:rsidRPr="00024F60" w:rsidTr="00024F60">
        <w:trPr>
          <w:trHeight w:val="288"/>
        </w:trPr>
        <w:tc>
          <w:tcPr>
            <w:tcW w:w="342" w:type="dxa"/>
            <w:tcBorders>
              <w:top w:val="nil"/>
              <w:left w:val="nil"/>
              <w:bottom w:val="nil"/>
              <w:right w:val="nil"/>
            </w:tcBorders>
            <w:shd w:val="clear" w:color="auto" w:fill="auto"/>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70</w:t>
            </w:r>
          </w:p>
        </w:tc>
        <w:tc>
          <w:tcPr>
            <w:tcW w:w="6613" w:type="dxa"/>
            <w:tcBorders>
              <w:top w:val="nil"/>
              <w:left w:val="nil"/>
              <w:bottom w:val="nil"/>
              <w:right w:val="nil"/>
            </w:tcBorders>
            <w:shd w:val="clear" w:color="auto" w:fill="auto"/>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PHELPS DODGE CONGO SARL</w:t>
            </w:r>
          </w:p>
        </w:tc>
        <w:tc>
          <w:tcPr>
            <w:tcW w:w="1843" w:type="dxa"/>
            <w:tcBorders>
              <w:top w:val="nil"/>
              <w:left w:val="nil"/>
              <w:bottom w:val="nil"/>
              <w:right w:val="nil"/>
            </w:tcBorders>
            <w:shd w:val="clear" w:color="auto" w:fill="auto"/>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438 444,30</w:t>
            </w:r>
          </w:p>
        </w:tc>
      </w:tr>
      <w:tr w:rsidR="00024F60" w:rsidRPr="00024F60" w:rsidTr="00024F60">
        <w:trPr>
          <w:trHeight w:val="288"/>
        </w:trPr>
        <w:tc>
          <w:tcPr>
            <w:tcW w:w="342" w:type="dxa"/>
            <w:tcBorders>
              <w:top w:val="nil"/>
              <w:left w:val="nil"/>
              <w:bottom w:val="nil"/>
              <w:right w:val="nil"/>
            </w:tcBorders>
            <w:shd w:val="clear" w:color="000000" w:fill="BDD7EE"/>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71</w:t>
            </w:r>
          </w:p>
        </w:tc>
        <w:tc>
          <w:tcPr>
            <w:tcW w:w="6613" w:type="dxa"/>
            <w:tcBorders>
              <w:top w:val="nil"/>
              <w:left w:val="nil"/>
              <w:bottom w:val="nil"/>
              <w:right w:val="nil"/>
            </w:tcBorders>
            <w:shd w:val="clear" w:color="000000" w:fill="BDD7EE"/>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GIRO GOLDFIELDS</w:t>
            </w:r>
          </w:p>
        </w:tc>
        <w:tc>
          <w:tcPr>
            <w:tcW w:w="1843" w:type="dxa"/>
            <w:tcBorders>
              <w:top w:val="nil"/>
              <w:left w:val="nil"/>
              <w:bottom w:val="nil"/>
              <w:right w:val="nil"/>
            </w:tcBorders>
            <w:shd w:val="clear" w:color="000000" w:fill="BDD7EE"/>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409 434,82</w:t>
            </w:r>
          </w:p>
        </w:tc>
      </w:tr>
      <w:tr w:rsidR="00024F60" w:rsidRPr="00024F60" w:rsidTr="00024F60">
        <w:trPr>
          <w:trHeight w:val="288"/>
        </w:trPr>
        <w:tc>
          <w:tcPr>
            <w:tcW w:w="342" w:type="dxa"/>
            <w:tcBorders>
              <w:top w:val="nil"/>
              <w:left w:val="nil"/>
              <w:bottom w:val="nil"/>
              <w:right w:val="nil"/>
            </w:tcBorders>
            <w:shd w:val="clear" w:color="auto" w:fill="auto"/>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72</w:t>
            </w:r>
          </w:p>
        </w:tc>
        <w:tc>
          <w:tcPr>
            <w:tcW w:w="6613" w:type="dxa"/>
            <w:tcBorders>
              <w:top w:val="nil"/>
              <w:left w:val="nil"/>
              <w:bottom w:val="nil"/>
              <w:right w:val="nil"/>
            </w:tcBorders>
            <w:shd w:val="clear" w:color="auto" w:fill="auto"/>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SOCIETE DE DEVELOPPEMENT INDUSTRIEL ET MINIER DU CONGO (SODIMICO)</w:t>
            </w:r>
          </w:p>
        </w:tc>
        <w:tc>
          <w:tcPr>
            <w:tcW w:w="1843" w:type="dxa"/>
            <w:tcBorders>
              <w:top w:val="nil"/>
              <w:left w:val="nil"/>
              <w:bottom w:val="nil"/>
              <w:right w:val="nil"/>
            </w:tcBorders>
            <w:shd w:val="clear" w:color="auto" w:fill="auto"/>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318 292,18</w:t>
            </w:r>
          </w:p>
        </w:tc>
      </w:tr>
      <w:tr w:rsidR="00024F60" w:rsidRPr="00024F60" w:rsidTr="00024F60">
        <w:trPr>
          <w:trHeight w:val="288"/>
        </w:trPr>
        <w:tc>
          <w:tcPr>
            <w:tcW w:w="342" w:type="dxa"/>
            <w:tcBorders>
              <w:top w:val="nil"/>
              <w:left w:val="nil"/>
              <w:bottom w:val="nil"/>
              <w:right w:val="nil"/>
            </w:tcBorders>
            <w:shd w:val="clear" w:color="000000" w:fill="BDD7EE"/>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73</w:t>
            </w:r>
          </w:p>
        </w:tc>
        <w:tc>
          <w:tcPr>
            <w:tcW w:w="6613" w:type="dxa"/>
            <w:tcBorders>
              <w:top w:val="nil"/>
              <w:left w:val="nil"/>
              <w:bottom w:val="nil"/>
              <w:right w:val="nil"/>
            </w:tcBorders>
            <w:shd w:val="clear" w:color="000000" w:fill="BDD7EE"/>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SOCIETE MINIERE DE KILO-MOTO</w:t>
            </w:r>
          </w:p>
        </w:tc>
        <w:tc>
          <w:tcPr>
            <w:tcW w:w="1843" w:type="dxa"/>
            <w:tcBorders>
              <w:top w:val="nil"/>
              <w:left w:val="nil"/>
              <w:bottom w:val="nil"/>
              <w:right w:val="nil"/>
            </w:tcBorders>
            <w:shd w:val="clear" w:color="000000" w:fill="BDD7EE"/>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309 025,22</w:t>
            </w:r>
          </w:p>
        </w:tc>
      </w:tr>
      <w:tr w:rsidR="00024F60" w:rsidRPr="00024F60" w:rsidTr="00024F60">
        <w:trPr>
          <w:trHeight w:val="288"/>
        </w:trPr>
        <w:tc>
          <w:tcPr>
            <w:tcW w:w="342" w:type="dxa"/>
            <w:tcBorders>
              <w:top w:val="nil"/>
              <w:left w:val="nil"/>
              <w:bottom w:val="nil"/>
              <w:right w:val="nil"/>
            </w:tcBorders>
            <w:shd w:val="clear" w:color="auto" w:fill="auto"/>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74</w:t>
            </w:r>
          </w:p>
        </w:tc>
        <w:tc>
          <w:tcPr>
            <w:tcW w:w="6613" w:type="dxa"/>
            <w:tcBorders>
              <w:top w:val="nil"/>
              <w:left w:val="nil"/>
              <w:bottom w:val="nil"/>
              <w:right w:val="nil"/>
            </w:tcBorders>
            <w:shd w:val="clear" w:color="auto" w:fill="auto"/>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AURUM SPRL</w:t>
            </w:r>
          </w:p>
        </w:tc>
        <w:tc>
          <w:tcPr>
            <w:tcW w:w="1843" w:type="dxa"/>
            <w:tcBorders>
              <w:top w:val="nil"/>
              <w:left w:val="nil"/>
              <w:bottom w:val="nil"/>
              <w:right w:val="nil"/>
            </w:tcBorders>
            <w:shd w:val="clear" w:color="auto" w:fill="auto"/>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293 457,60</w:t>
            </w:r>
          </w:p>
        </w:tc>
      </w:tr>
      <w:tr w:rsidR="00024F60" w:rsidRPr="00024F60" w:rsidTr="00024F60">
        <w:trPr>
          <w:trHeight w:val="288"/>
        </w:trPr>
        <w:tc>
          <w:tcPr>
            <w:tcW w:w="342" w:type="dxa"/>
            <w:tcBorders>
              <w:top w:val="nil"/>
              <w:left w:val="nil"/>
              <w:bottom w:val="nil"/>
              <w:right w:val="nil"/>
            </w:tcBorders>
            <w:shd w:val="clear" w:color="000000" w:fill="BDD7EE"/>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75</w:t>
            </w:r>
          </w:p>
        </w:tc>
        <w:tc>
          <w:tcPr>
            <w:tcW w:w="6613" w:type="dxa"/>
            <w:tcBorders>
              <w:top w:val="nil"/>
              <w:left w:val="nil"/>
              <w:bottom w:val="nil"/>
              <w:right w:val="nil"/>
            </w:tcBorders>
            <w:shd w:val="clear" w:color="000000" w:fill="BDD7EE"/>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METACHEM</w:t>
            </w:r>
          </w:p>
        </w:tc>
        <w:tc>
          <w:tcPr>
            <w:tcW w:w="1843" w:type="dxa"/>
            <w:tcBorders>
              <w:top w:val="nil"/>
              <w:left w:val="nil"/>
              <w:bottom w:val="nil"/>
              <w:right w:val="nil"/>
            </w:tcBorders>
            <w:shd w:val="clear" w:color="000000" w:fill="BDD7EE"/>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289 521,79</w:t>
            </w:r>
          </w:p>
        </w:tc>
      </w:tr>
      <w:tr w:rsidR="00024F60" w:rsidRPr="00024F60" w:rsidTr="00024F60">
        <w:trPr>
          <w:trHeight w:val="288"/>
        </w:trPr>
        <w:tc>
          <w:tcPr>
            <w:tcW w:w="342" w:type="dxa"/>
            <w:tcBorders>
              <w:top w:val="nil"/>
              <w:left w:val="nil"/>
              <w:bottom w:val="nil"/>
              <w:right w:val="nil"/>
            </w:tcBorders>
            <w:shd w:val="clear" w:color="auto" w:fill="auto"/>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76</w:t>
            </w:r>
          </w:p>
        </w:tc>
        <w:tc>
          <w:tcPr>
            <w:tcW w:w="6613" w:type="dxa"/>
            <w:tcBorders>
              <w:top w:val="nil"/>
              <w:left w:val="nil"/>
              <w:bottom w:val="nil"/>
              <w:right w:val="nil"/>
            </w:tcBorders>
            <w:shd w:val="clear" w:color="auto" w:fill="auto"/>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OM METAL RESSOURCES SARL</w:t>
            </w:r>
          </w:p>
        </w:tc>
        <w:tc>
          <w:tcPr>
            <w:tcW w:w="1843" w:type="dxa"/>
            <w:tcBorders>
              <w:top w:val="nil"/>
              <w:left w:val="nil"/>
              <w:bottom w:val="nil"/>
              <w:right w:val="nil"/>
            </w:tcBorders>
            <w:shd w:val="clear" w:color="auto" w:fill="auto"/>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268 415,87</w:t>
            </w:r>
          </w:p>
        </w:tc>
      </w:tr>
      <w:tr w:rsidR="00024F60" w:rsidRPr="00024F60" w:rsidTr="00024F60">
        <w:trPr>
          <w:trHeight w:val="288"/>
        </w:trPr>
        <w:tc>
          <w:tcPr>
            <w:tcW w:w="342" w:type="dxa"/>
            <w:tcBorders>
              <w:top w:val="nil"/>
              <w:left w:val="nil"/>
              <w:bottom w:val="nil"/>
              <w:right w:val="nil"/>
            </w:tcBorders>
            <w:shd w:val="clear" w:color="000000" w:fill="BDD7EE"/>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77</w:t>
            </w:r>
          </w:p>
        </w:tc>
        <w:tc>
          <w:tcPr>
            <w:tcW w:w="6613" w:type="dxa"/>
            <w:tcBorders>
              <w:top w:val="nil"/>
              <w:left w:val="nil"/>
              <w:bottom w:val="nil"/>
              <w:right w:val="nil"/>
            </w:tcBorders>
            <w:shd w:val="clear" w:color="000000" w:fill="BDD7EE"/>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SOCIETE AURIFERE DU KIVU ET DU MANIEMA (SAKIMA)</w:t>
            </w:r>
          </w:p>
        </w:tc>
        <w:tc>
          <w:tcPr>
            <w:tcW w:w="1843" w:type="dxa"/>
            <w:tcBorders>
              <w:top w:val="nil"/>
              <w:left w:val="nil"/>
              <w:bottom w:val="nil"/>
              <w:right w:val="nil"/>
            </w:tcBorders>
            <w:shd w:val="clear" w:color="000000" w:fill="BDD7EE"/>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262 383,83</w:t>
            </w:r>
          </w:p>
        </w:tc>
      </w:tr>
      <w:tr w:rsidR="00024F60" w:rsidRPr="00024F60" w:rsidTr="00024F60">
        <w:trPr>
          <w:trHeight w:val="288"/>
        </w:trPr>
        <w:tc>
          <w:tcPr>
            <w:tcW w:w="342" w:type="dxa"/>
            <w:tcBorders>
              <w:top w:val="nil"/>
              <w:left w:val="nil"/>
              <w:bottom w:val="nil"/>
              <w:right w:val="nil"/>
            </w:tcBorders>
            <w:shd w:val="clear" w:color="auto" w:fill="auto"/>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78</w:t>
            </w:r>
          </w:p>
        </w:tc>
        <w:tc>
          <w:tcPr>
            <w:tcW w:w="6613" w:type="dxa"/>
            <w:tcBorders>
              <w:top w:val="nil"/>
              <w:left w:val="nil"/>
              <w:bottom w:val="nil"/>
              <w:right w:val="nil"/>
            </w:tcBorders>
            <w:shd w:val="clear" w:color="auto" w:fill="auto"/>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COMPAGNIE MINIERE DE SAKANIA SARL</w:t>
            </w:r>
          </w:p>
        </w:tc>
        <w:tc>
          <w:tcPr>
            <w:tcW w:w="1843" w:type="dxa"/>
            <w:tcBorders>
              <w:top w:val="nil"/>
              <w:left w:val="nil"/>
              <w:bottom w:val="nil"/>
              <w:right w:val="nil"/>
            </w:tcBorders>
            <w:shd w:val="clear" w:color="auto" w:fill="auto"/>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250 546,51</w:t>
            </w:r>
          </w:p>
        </w:tc>
      </w:tr>
      <w:tr w:rsidR="00024F60" w:rsidRPr="00024F60" w:rsidTr="00024F60">
        <w:trPr>
          <w:trHeight w:val="288"/>
        </w:trPr>
        <w:tc>
          <w:tcPr>
            <w:tcW w:w="342" w:type="dxa"/>
            <w:tcBorders>
              <w:top w:val="nil"/>
              <w:left w:val="nil"/>
              <w:bottom w:val="nil"/>
              <w:right w:val="nil"/>
            </w:tcBorders>
            <w:shd w:val="clear" w:color="000000" w:fill="BDD7EE"/>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79</w:t>
            </w:r>
          </w:p>
        </w:tc>
        <w:tc>
          <w:tcPr>
            <w:tcW w:w="6613" w:type="dxa"/>
            <w:tcBorders>
              <w:top w:val="nil"/>
              <w:left w:val="nil"/>
              <w:bottom w:val="nil"/>
              <w:right w:val="nil"/>
            </w:tcBorders>
            <w:shd w:val="clear" w:color="000000" w:fill="BDD7EE"/>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LONG FEI MINING</w:t>
            </w:r>
          </w:p>
        </w:tc>
        <w:tc>
          <w:tcPr>
            <w:tcW w:w="1843" w:type="dxa"/>
            <w:tcBorders>
              <w:top w:val="nil"/>
              <w:left w:val="nil"/>
              <w:bottom w:val="nil"/>
              <w:right w:val="nil"/>
            </w:tcBorders>
            <w:shd w:val="clear" w:color="000000" w:fill="BDD7EE"/>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246 450,46</w:t>
            </w:r>
          </w:p>
        </w:tc>
      </w:tr>
      <w:tr w:rsidR="00024F60" w:rsidRPr="00024F60" w:rsidTr="00024F60">
        <w:trPr>
          <w:trHeight w:val="288"/>
        </w:trPr>
        <w:tc>
          <w:tcPr>
            <w:tcW w:w="342" w:type="dxa"/>
            <w:tcBorders>
              <w:top w:val="nil"/>
              <w:left w:val="nil"/>
              <w:bottom w:val="nil"/>
              <w:right w:val="nil"/>
            </w:tcBorders>
            <w:shd w:val="clear" w:color="auto" w:fill="auto"/>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80</w:t>
            </w:r>
          </w:p>
        </w:tc>
        <w:tc>
          <w:tcPr>
            <w:tcW w:w="6613" w:type="dxa"/>
            <w:tcBorders>
              <w:top w:val="nil"/>
              <w:left w:val="nil"/>
              <w:bottom w:val="nil"/>
              <w:right w:val="nil"/>
            </w:tcBorders>
            <w:shd w:val="clear" w:color="auto" w:fill="auto"/>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STR MINING SPRL</w:t>
            </w:r>
          </w:p>
        </w:tc>
        <w:tc>
          <w:tcPr>
            <w:tcW w:w="1843" w:type="dxa"/>
            <w:tcBorders>
              <w:top w:val="nil"/>
              <w:left w:val="nil"/>
              <w:bottom w:val="nil"/>
              <w:right w:val="nil"/>
            </w:tcBorders>
            <w:shd w:val="clear" w:color="auto" w:fill="auto"/>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245 577,86</w:t>
            </w:r>
          </w:p>
        </w:tc>
      </w:tr>
      <w:tr w:rsidR="00024F60" w:rsidRPr="00024F60" w:rsidTr="00024F60">
        <w:trPr>
          <w:trHeight w:val="288"/>
        </w:trPr>
        <w:tc>
          <w:tcPr>
            <w:tcW w:w="342" w:type="dxa"/>
            <w:tcBorders>
              <w:top w:val="nil"/>
              <w:left w:val="nil"/>
              <w:bottom w:val="nil"/>
              <w:right w:val="nil"/>
            </w:tcBorders>
            <w:shd w:val="clear" w:color="000000" w:fill="BDD7EE"/>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81</w:t>
            </w:r>
          </w:p>
        </w:tc>
        <w:tc>
          <w:tcPr>
            <w:tcW w:w="6613" w:type="dxa"/>
            <w:tcBorders>
              <w:top w:val="nil"/>
              <w:left w:val="nil"/>
              <w:bottom w:val="nil"/>
              <w:right w:val="nil"/>
            </w:tcBorders>
            <w:shd w:val="clear" w:color="000000" w:fill="BDD7EE"/>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SOCIETE DE DEVELOPPEMENT INDUSTRIEL ET MINIER DE KATANGA (SODIMIKA)</w:t>
            </w:r>
          </w:p>
        </w:tc>
        <w:tc>
          <w:tcPr>
            <w:tcW w:w="1843" w:type="dxa"/>
            <w:tcBorders>
              <w:top w:val="nil"/>
              <w:left w:val="nil"/>
              <w:bottom w:val="nil"/>
              <w:right w:val="nil"/>
            </w:tcBorders>
            <w:shd w:val="clear" w:color="000000" w:fill="BDD7EE"/>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244 689,04</w:t>
            </w:r>
          </w:p>
        </w:tc>
      </w:tr>
      <w:tr w:rsidR="00024F60" w:rsidRPr="00024F60" w:rsidTr="00024F60">
        <w:trPr>
          <w:trHeight w:val="288"/>
        </w:trPr>
        <w:tc>
          <w:tcPr>
            <w:tcW w:w="342" w:type="dxa"/>
            <w:tcBorders>
              <w:top w:val="nil"/>
              <w:left w:val="nil"/>
              <w:bottom w:val="nil"/>
              <w:right w:val="nil"/>
            </w:tcBorders>
            <w:shd w:val="clear" w:color="auto" w:fill="auto"/>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82</w:t>
            </w:r>
          </w:p>
        </w:tc>
        <w:tc>
          <w:tcPr>
            <w:tcW w:w="6613" w:type="dxa"/>
            <w:tcBorders>
              <w:top w:val="nil"/>
              <w:left w:val="nil"/>
              <w:bottom w:val="nil"/>
              <w:right w:val="nil"/>
            </w:tcBorders>
            <w:shd w:val="clear" w:color="auto" w:fill="auto"/>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LA MINIERE DE LA LUKUGA</w:t>
            </w:r>
          </w:p>
        </w:tc>
        <w:tc>
          <w:tcPr>
            <w:tcW w:w="1843" w:type="dxa"/>
            <w:tcBorders>
              <w:top w:val="nil"/>
              <w:left w:val="nil"/>
              <w:bottom w:val="nil"/>
              <w:right w:val="nil"/>
            </w:tcBorders>
            <w:shd w:val="clear" w:color="auto" w:fill="auto"/>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214 790,26</w:t>
            </w:r>
          </w:p>
        </w:tc>
      </w:tr>
      <w:tr w:rsidR="00024F60" w:rsidRPr="00024F60" w:rsidTr="008E08F2">
        <w:trPr>
          <w:trHeight w:val="288"/>
        </w:trPr>
        <w:tc>
          <w:tcPr>
            <w:tcW w:w="342" w:type="dxa"/>
            <w:tcBorders>
              <w:top w:val="nil"/>
              <w:left w:val="nil"/>
              <w:right w:val="nil"/>
            </w:tcBorders>
            <w:shd w:val="clear" w:color="000000" w:fill="BDD7EE"/>
            <w:noWrap/>
            <w:vAlign w:val="bottom"/>
            <w:hideMark/>
          </w:tcPr>
          <w:p w:rsidR="00024F60" w:rsidRPr="00024F60" w:rsidRDefault="00024F60" w:rsidP="00024F60">
            <w:pPr>
              <w:spacing w:after="0"/>
              <w:jc w:val="center"/>
              <w:rPr>
                <w:bCs w:val="0"/>
                <w:color w:val="000000"/>
                <w:sz w:val="18"/>
                <w:szCs w:val="18"/>
                <w:lang w:eastAsia="fr-FR"/>
              </w:rPr>
            </w:pPr>
            <w:r w:rsidRPr="00024F60">
              <w:rPr>
                <w:bCs w:val="0"/>
                <w:color w:val="000000"/>
                <w:sz w:val="18"/>
                <w:szCs w:val="18"/>
                <w:lang w:eastAsia="fr-FR"/>
              </w:rPr>
              <w:t>83</w:t>
            </w:r>
          </w:p>
        </w:tc>
        <w:tc>
          <w:tcPr>
            <w:tcW w:w="6613" w:type="dxa"/>
            <w:tcBorders>
              <w:top w:val="nil"/>
              <w:left w:val="nil"/>
              <w:right w:val="nil"/>
            </w:tcBorders>
            <w:shd w:val="clear" w:color="000000" w:fill="BDD7EE"/>
            <w:noWrap/>
            <w:vAlign w:val="bottom"/>
            <w:hideMark/>
          </w:tcPr>
          <w:p w:rsidR="00024F60" w:rsidRPr="00024F60" w:rsidRDefault="00024F60" w:rsidP="00024F60">
            <w:pPr>
              <w:spacing w:after="0"/>
              <w:jc w:val="left"/>
              <w:rPr>
                <w:bCs w:val="0"/>
                <w:color w:val="000000"/>
                <w:sz w:val="18"/>
                <w:szCs w:val="18"/>
                <w:lang w:eastAsia="fr-FR"/>
              </w:rPr>
            </w:pPr>
            <w:r w:rsidRPr="00024F60">
              <w:rPr>
                <w:bCs w:val="0"/>
                <w:color w:val="000000"/>
                <w:sz w:val="18"/>
                <w:szCs w:val="18"/>
                <w:lang w:eastAsia="fr-FR"/>
              </w:rPr>
              <w:t>SINO KATANGATIN</w:t>
            </w:r>
          </w:p>
        </w:tc>
        <w:tc>
          <w:tcPr>
            <w:tcW w:w="1843" w:type="dxa"/>
            <w:tcBorders>
              <w:top w:val="nil"/>
              <w:left w:val="nil"/>
              <w:right w:val="nil"/>
            </w:tcBorders>
            <w:shd w:val="clear" w:color="000000" w:fill="BDD7EE"/>
            <w:noWrap/>
            <w:vAlign w:val="bottom"/>
            <w:hideMark/>
          </w:tcPr>
          <w:p w:rsidR="00024F60" w:rsidRPr="00024F60" w:rsidRDefault="00024F60" w:rsidP="00024F60">
            <w:pPr>
              <w:spacing w:after="0"/>
              <w:jc w:val="right"/>
              <w:rPr>
                <w:bCs w:val="0"/>
                <w:color w:val="000000"/>
                <w:sz w:val="18"/>
                <w:szCs w:val="18"/>
                <w:lang w:eastAsia="fr-FR"/>
              </w:rPr>
            </w:pPr>
            <w:r w:rsidRPr="00024F60">
              <w:rPr>
                <w:bCs w:val="0"/>
                <w:color w:val="000000"/>
                <w:sz w:val="18"/>
                <w:szCs w:val="18"/>
                <w:lang w:eastAsia="fr-FR"/>
              </w:rPr>
              <w:t>212 223,98</w:t>
            </w:r>
          </w:p>
        </w:tc>
      </w:tr>
      <w:tr w:rsidR="008E08F2" w:rsidRPr="00024F60" w:rsidTr="008E08F2">
        <w:trPr>
          <w:trHeight w:val="288"/>
        </w:trPr>
        <w:tc>
          <w:tcPr>
            <w:tcW w:w="342" w:type="dxa"/>
            <w:tcBorders>
              <w:top w:val="nil"/>
              <w:left w:val="nil"/>
              <w:right w:val="nil"/>
            </w:tcBorders>
            <w:shd w:val="clear" w:color="000000" w:fill="auto"/>
            <w:noWrap/>
            <w:vAlign w:val="bottom"/>
            <w:hideMark/>
          </w:tcPr>
          <w:p w:rsidR="008E08F2" w:rsidRPr="00024F60" w:rsidRDefault="008E08F2" w:rsidP="00024F60">
            <w:pPr>
              <w:spacing w:after="0"/>
              <w:jc w:val="center"/>
              <w:rPr>
                <w:bCs w:val="0"/>
                <w:color w:val="000000"/>
                <w:sz w:val="18"/>
                <w:szCs w:val="18"/>
                <w:lang w:eastAsia="fr-FR"/>
              </w:rPr>
            </w:pPr>
            <w:r>
              <w:rPr>
                <w:bCs w:val="0"/>
                <w:color w:val="000000"/>
                <w:sz w:val="18"/>
                <w:szCs w:val="18"/>
                <w:lang w:eastAsia="fr-FR"/>
              </w:rPr>
              <w:t>84</w:t>
            </w:r>
          </w:p>
        </w:tc>
        <w:tc>
          <w:tcPr>
            <w:tcW w:w="6613" w:type="dxa"/>
            <w:tcBorders>
              <w:top w:val="nil"/>
              <w:left w:val="nil"/>
              <w:right w:val="nil"/>
            </w:tcBorders>
            <w:shd w:val="clear" w:color="000000" w:fill="auto"/>
            <w:noWrap/>
            <w:vAlign w:val="bottom"/>
            <w:hideMark/>
          </w:tcPr>
          <w:p w:rsidR="008E08F2" w:rsidRPr="00024F60" w:rsidRDefault="008E08F2" w:rsidP="00024F60">
            <w:pPr>
              <w:spacing w:after="0"/>
              <w:jc w:val="left"/>
              <w:rPr>
                <w:bCs w:val="0"/>
                <w:color w:val="000000"/>
                <w:sz w:val="18"/>
                <w:szCs w:val="18"/>
                <w:lang w:eastAsia="fr-FR"/>
              </w:rPr>
            </w:pPr>
            <w:r>
              <w:rPr>
                <w:bCs w:val="0"/>
                <w:color w:val="000000"/>
                <w:sz w:val="18"/>
                <w:szCs w:val="18"/>
                <w:lang w:eastAsia="fr-FR"/>
              </w:rPr>
              <w:t>SOMIMI</w:t>
            </w:r>
          </w:p>
        </w:tc>
        <w:tc>
          <w:tcPr>
            <w:tcW w:w="1843" w:type="dxa"/>
            <w:tcBorders>
              <w:top w:val="nil"/>
              <w:left w:val="nil"/>
              <w:right w:val="nil"/>
            </w:tcBorders>
            <w:shd w:val="clear" w:color="000000" w:fill="auto"/>
            <w:noWrap/>
            <w:vAlign w:val="bottom"/>
            <w:hideMark/>
          </w:tcPr>
          <w:p w:rsidR="008E08F2" w:rsidRPr="00024F60" w:rsidRDefault="008E08F2" w:rsidP="00024F60">
            <w:pPr>
              <w:spacing w:after="0"/>
              <w:jc w:val="right"/>
              <w:rPr>
                <w:bCs w:val="0"/>
                <w:color w:val="000000"/>
                <w:sz w:val="18"/>
                <w:szCs w:val="18"/>
                <w:lang w:eastAsia="fr-FR"/>
              </w:rPr>
            </w:pPr>
            <w:r>
              <w:rPr>
                <w:bCs w:val="0"/>
                <w:color w:val="000000"/>
                <w:sz w:val="18"/>
                <w:szCs w:val="18"/>
                <w:lang w:eastAsia="fr-FR"/>
              </w:rPr>
              <w:t>200 000,00</w:t>
            </w:r>
          </w:p>
        </w:tc>
      </w:tr>
      <w:tr w:rsidR="00024F60" w:rsidRPr="00024F60" w:rsidTr="008E08F2">
        <w:trPr>
          <w:trHeight w:val="288"/>
        </w:trPr>
        <w:tc>
          <w:tcPr>
            <w:tcW w:w="342" w:type="dxa"/>
            <w:tcBorders>
              <w:top w:val="nil"/>
              <w:left w:val="nil"/>
              <w:bottom w:val="nil"/>
              <w:right w:val="nil"/>
            </w:tcBorders>
            <w:shd w:val="clear" w:color="auto" w:fill="C6D9F1" w:themeFill="text2" w:themeFillTint="33"/>
            <w:noWrap/>
            <w:vAlign w:val="bottom"/>
            <w:hideMark/>
          </w:tcPr>
          <w:p w:rsidR="00024F60" w:rsidRPr="00024F60" w:rsidRDefault="00024F60" w:rsidP="00024F60">
            <w:pPr>
              <w:spacing w:after="0"/>
              <w:jc w:val="left"/>
              <w:rPr>
                <w:rFonts w:ascii="Calibri" w:hAnsi="Calibri" w:cs="Times New Roman"/>
                <w:bCs w:val="0"/>
                <w:color w:val="000000"/>
                <w:sz w:val="22"/>
                <w:lang w:eastAsia="fr-FR"/>
              </w:rPr>
            </w:pPr>
          </w:p>
        </w:tc>
        <w:tc>
          <w:tcPr>
            <w:tcW w:w="6613" w:type="dxa"/>
            <w:tcBorders>
              <w:top w:val="nil"/>
              <w:left w:val="nil"/>
              <w:bottom w:val="nil"/>
              <w:right w:val="nil"/>
            </w:tcBorders>
            <w:shd w:val="clear" w:color="auto" w:fill="C6D9F1" w:themeFill="text2" w:themeFillTint="33"/>
            <w:noWrap/>
            <w:vAlign w:val="bottom"/>
            <w:hideMark/>
          </w:tcPr>
          <w:p w:rsidR="00024F60" w:rsidRPr="00024F60" w:rsidRDefault="00024F60" w:rsidP="00024F60">
            <w:pPr>
              <w:spacing w:after="0"/>
              <w:jc w:val="left"/>
              <w:rPr>
                <w:rFonts w:ascii="Calibri" w:hAnsi="Calibri" w:cs="Times New Roman"/>
                <w:b/>
                <w:bCs w:val="0"/>
                <w:color w:val="000000"/>
                <w:sz w:val="22"/>
                <w:lang w:eastAsia="fr-FR"/>
              </w:rPr>
            </w:pPr>
            <w:r w:rsidRPr="00024F60">
              <w:rPr>
                <w:rFonts w:ascii="Calibri" w:hAnsi="Calibri" w:cs="Times New Roman"/>
                <w:b/>
                <w:bCs w:val="0"/>
                <w:color w:val="000000"/>
                <w:sz w:val="22"/>
                <w:lang w:eastAsia="fr-FR"/>
              </w:rPr>
              <w:t>Total</w:t>
            </w:r>
          </w:p>
        </w:tc>
        <w:tc>
          <w:tcPr>
            <w:tcW w:w="1843" w:type="dxa"/>
            <w:tcBorders>
              <w:top w:val="nil"/>
              <w:left w:val="nil"/>
              <w:bottom w:val="nil"/>
              <w:right w:val="nil"/>
            </w:tcBorders>
            <w:shd w:val="clear" w:color="auto" w:fill="C6D9F1" w:themeFill="text2" w:themeFillTint="33"/>
            <w:noWrap/>
            <w:vAlign w:val="bottom"/>
            <w:hideMark/>
          </w:tcPr>
          <w:p w:rsidR="00024F60" w:rsidRPr="00024F60" w:rsidRDefault="00024F60" w:rsidP="008E08F2">
            <w:pPr>
              <w:spacing w:after="0"/>
              <w:jc w:val="right"/>
              <w:rPr>
                <w:rFonts w:ascii="Calibri" w:hAnsi="Calibri" w:cs="Times New Roman"/>
                <w:b/>
                <w:bCs w:val="0"/>
                <w:color w:val="000000"/>
                <w:sz w:val="22"/>
                <w:lang w:eastAsia="fr-FR"/>
              </w:rPr>
            </w:pPr>
            <w:r w:rsidRPr="00024F60">
              <w:rPr>
                <w:rFonts w:ascii="Calibri" w:hAnsi="Calibri" w:cs="Times New Roman"/>
                <w:b/>
                <w:bCs w:val="0"/>
                <w:color w:val="000000"/>
                <w:sz w:val="22"/>
                <w:lang w:eastAsia="fr-FR"/>
              </w:rPr>
              <w:t xml:space="preserve">1 671 </w:t>
            </w:r>
            <w:r w:rsidR="008E08F2">
              <w:rPr>
                <w:rFonts w:ascii="Calibri" w:hAnsi="Calibri" w:cs="Times New Roman"/>
                <w:b/>
                <w:bCs w:val="0"/>
                <w:color w:val="000000"/>
                <w:sz w:val="22"/>
                <w:lang w:eastAsia="fr-FR"/>
              </w:rPr>
              <w:t>2</w:t>
            </w:r>
            <w:r w:rsidR="0023091D">
              <w:rPr>
                <w:rFonts w:ascii="Calibri" w:hAnsi="Calibri" w:cs="Times New Roman"/>
                <w:b/>
                <w:bCs w:val="0"/>
                <w:color w:val="000000"/>
                <w:sz w:val="22"/>
                <w:lang w:eastAsia="fr-FR"/>
              </w:rPr>
              <w:t>35</w:t>
            </w:r>
            <w:r w:rsidRPr="00024F60">
              <w:rPr>
                <w:rFonts w:ascii="Calibri" w:hAnsi="Calibri" w:cs="Times New Roman"/>
                <w:b/>
                <w:bCs w:val="0"/>
                <w:color w:val="000000"/>
                <w:sz w:val="22"/>
                <w:lang w:eastAsia="fr-FR"/>
              </w:rPr>
              <w:t xml:space="preserve"> </w:t>
            </w:r>
            <w:r w:rsidR="0023091D">
              <w:rPr>
                <w:rFonts w:ascii="Calibri" w:hAnsi="Calibri" w:cs="Times New Roman"/>
                <w:b/>
                <w:bCs w:val="0"/>
                <w:color w:val="000000"/>
                <w:sz w:val="22"/>
                <w:lang w:eastAsia="fr-FR"/>
              </w:rPr>
              <w:t>163</w:t>
            </w:r>
            <w:r w:rsidRPr="00024F60">
              <w:rPr>
                <w:rFonts w:ascii="Calibri" w:hAnsi="Calibri" w:cs="Times New Roman"/>
                <w:b/>
                <w:bCs w:val="0"/>
                <w:color w:val="000000"/>
                <w:sz w:val="22"/>
                <w:lang w:eastAsia="fr-FR"/>
              </w:rPr>
              <w:t>,</w:t>
            </w:r>
            <w:r w:rsidR="0023091D">
              <w:rPr>
                <w:rFonts w:ascii="Calibri" w:hAnsi="Calibri" w:cs="Times New Roman"/>
                <w:b/>
                <w:bCs w:val="0"/>
                <w:color w:val="000000"/>
                <w:sz w:val="22"/>
                <w:lang w:eastAsia="fr-FR"/>
              </w:rPr>
              <w:t>91</w:t>
            </w:r>
          </w:p>
        </w:tc>
      </w:tr>
    </w:tbl>
    <w:p w:rsidR="00A079F7" w:rsidRDefault="00A079F7" w:rsidP="00A079F7">
      <w:pPr>
        <w:spacing w:before="240" w:after="120"/>
      </w:pPr>
      <w:r w:rsidRPr="004A6219">
        <w:t>Par ailleurs, le Comité Exécutif avait opté pour que toutes les entreprises étatiques soient sélectionnées dans le périmètre de conciliation même si les paiements effectués par lesdites entreprises se trouvent en dessous du seuil de matérialité.</w:t>
      </w:r>
      <w:r w:rsidRPr="001F60A5">
        <w:t xml:space="preserve"> </w:t>
      </w:r>
    </w:p>
    <w:p w:rsidR="00A079F7" w:rsidRDefault="00A079F7" w:rsidP="00A079F7">
      <w:pPr>
        <w:spacing w:before="240"/>
      </w:pPr>
      <w:r w:rsidRPr="004A6219">
        <w:t xml:space="preserve">En nous référant à liste des EPE communiquée par le Ministère du Portefeuille, nous proposons donc d’ajouter </w:t>
      </w:r>
      <w:r w:rsidR="00E761A7">
        <w:t>3 EPE au périmètre 2015</w:t>
      </w:r>
      <w:r w:rsidRPr="004A6219">
        <w:t>:</w:t>
      </w:r>
    </w:p>
    <w:tbl>
      <w:tblPr>
        <w:tblW w:w="5340" w:type="dxa"/>
        <w:jc w:val="center"/>
        <w:tblInd w:w="61" w:type="dxa"/>
        <w:tblCellMar>
          <w:left w:w="70" w:type="dxa"/>
          <w:right w:w="70" w:type="dxa"/>
        </w:tblCellMar>
        <w:tblLook w:val="04A0" w:firstRow="1" w:lastRow="0" w:firstColumn="1" w:lastColumn="0" w:noHBand="0" w:noVBand="1"/>
      </w:tblPr>
      <w:tblGrid>
        <w:gridCol w:w="1740"/>
        <w:gridCol w:w="3600"/>
      </w:tblGrid>
      <w:tr w:rsidR="00E761A7" w:rsidRPr="00E761A7" w:rsidTr="00E761A7">
        <w:trPr>
          <w:trHeight w:val="504"/>
          <w:jc w:val="center"/>
        </w:trPr>
        <w:tc>
          <w:tcPr>
            <w:tcW w:w="1740" w:type="dxa"/>
            <w:tcBorders>
              <w:top w:val="single" w:sz="8" w:space="0" w:color="4F81BD"/>
              <w:left w:val="nil"/>
              <w:bottom w:val="single" w:sz="8" w:space="0" w:color="4F81BD"/>
              <w:right w:val="nil"/>
            </w:tcBorders>
            <w:shd w:val="clear" w:color="000000" w:fill="244061"/>
            <w:vAlign w:val="bottom"/>
            <w:hideMark/>
          </w:tcPr>
          <w:p w:rsidR="00E761A7" w:rsidRPr="00E761A7" w:rsidRDefault="00E761A7" w:rsidP="00E761A7">
            <w:pPr>
              <w:spacing w:after="0"/>
              <w:jc w:val="center"/>
              <w:rPr>
                <w:b/>
                <w:color w:val="FFFFFF"/>
                <w:sz w:val="18"/>
                <w:szCs w:val="18"/>
                <w:lang w:eastAsia="fr-FR"/>
              </w:rPr>
            </w:pPr>
            <w:r w:rsidRPr="00E761A7">
              <w:rPr>
                <w:b/>
                <w:color w:val="FFFFFF"/>
                <w:sz w:val="18"/>
                <w:szCs w:val="18"/>
                <w:lang w:eastAsia="fr-FR"/>
              </w:rPr>
              <w:t>EPE</w:t>
            </w:r>
          </w:p>
        </w:tc>
        <w:tc>
          <w:tcPr>
            <w:tcW w:w="3600" w:type="dxa"/>
            <w:tcBorders>
              <w:top w:val="single" w:sz="8" w:space="0" w:color="4F81BD"/>
              <w:left w:val="nil"/>
              <w:bottom w:val="single" w:sz="8" w:space="0" w:color="4F81BD"/>
              <w:right w:val="nil"/>
            </w:tcBorders>
            <w:shd w:val="clear" w:color="000000" w:fill="244061"/>
            <w:vAlign w:val="bottom"/>
            <w:hideMark/>
          </w:tcPr>
          <w:p w:rsidR="00E761A7" w:rsidRPr="00E761A7" w:rsidRDefault="00E761A7" w:rsidP="00E761A7">
            <w:pPr>
              <w:spacing w:after="0"/>
              <w:jc w:val="center"/>
              <w:rPr>
                <w:b/>
                <w:color w:val="FFFFFF"/>
                <w:sz w:val="18"/>
                <w:szCs w:val="18"/>
                <w:lang w:eastAsia="fr-FR"/>
              </w:rPr>
            </w:pPr>
            <w:r w:rsidRPr="00E761A7">
              <w:rPr>
                <w:b/>
                <w:color w:val="FFFFFF"/>
                <w:sz w:val="18"/>
                <w:szCs w:val="18"/>
                <w:lang w:eastAsia="fr-FR"/>
              </w:rPr>
              <w:t>Déclarations des entités publiques en USD</w:t>
            </w:r>
          </w:p>
        </w:tc>
      </w:tr>
      <w:tr w:rsidR="00E761A7" w:rsidRPr="00E761A7" w:rsidTr="00E761A7">
        <w:trPr>
          <w:trHeight w:val="288"/>
          <w:jc w:val="center"/>
        </w:trPr>
        <w:tc>
          <w:tcPr>
            <w:tcW w:w="1740" w:type="dxa"/>
            <w:tcBorders>
              <w:top w:val="nil"/>
              <w:left w:val="nil"/>
              <w:bottom w:val="nil"/>
              <w:right w:val="nil"/>
            </w:tcBorders>
            <w:shd w:val="clear" w:color="000000" w:fill="B8CCE4"/>
            <w:noWrap/>
            <w:vAlign w:val="bottom"/>
            <w:hideMark/>
          </w:tcPr>
          <w:p w:rsidR="00E761A7" w:rsidRPr="00E761A7" w:rsidRDefault="00E761A7" w:rsidP="00E761A7">
            <w:pPr>
              <w:spacing w:after="0"/>
              <w:jc w:val="left"/>
              <w:rPr>
                <w:bCs w:val="0"/>
                <w:color w:val="000000"/>
                <w:sz w:val="18"/>
                <w:szCs w:val="18"/>
                <w:lang w:eastAsia="fr-FR"/>
              </w:rPr>
            </w:pPr>
            <w:proofErr w:type="spellStart"/>
            <w:r w:rsidRPr="00E761A7">
              <w:rPr>
                <w:bCs w:val="0"/>
                <w:color w:val="000000"/>
                <w:sz w:val="18"/>
                <w:szCs w:val="18"/>
                <w:lang w:eastAsia="fr-FR"/>
              </w:rPr>
              <w:t>Miba</w:t>
            </w:r>
            <w:proofErr w:type="spellEnd"/>
          </w:p>
        </w:tc>
        <w:tc>
          <w:tcPr>
            <w:tcW w:w="3600" w:type="dxa"/>
            <w:tcBorders>
              <w:top w:val="nil"/>
              <w:left w:val="nil"/>
              <w:bottom w:val="nil"/>
              <w:right w:val="nil"/>
            </w:tcBorders>
            <w:shd w:val="clear" w:color="000000" w:fill="B8CCE4"/>
            <w:noWrap/>
            <w:vAlign w:val="bottom"/>
            <w:hideMark/>
          </w:tcPr>
          <w:p w:rsidR="00E761A7" w:rsidRPr="00E761A7" w:rsidRDefault="00E761A7" w:rsidP="00E761A7">
            <w:pPr>
              <w:spacing w:after="0"/>
              <w:jc w:val="right"/>
              <w:rPr>
                <w:rFonts w:ascii="Calibri" w:hAnsi="Calibri" w:cs="Times New Roman"/>
                <w:bCs w:val="0"/>
                <w:color w:val="000000"/>
                <w:sz w:val="22"/>
                <w:lang w:eastAsia="fr-FR"/>
              </w:rPr>
            </w:pPr>
            <w:r w:rsidRPr="00E761A7">
              <w:rPr>
                <w:rFonts w:ascii="Calibri" w:hAnsi="Calibri" w:cs="Times New Roman"/>
                <w:bCs w:val="0"/>
                <w:color w:val="000000"/>
                <w:sz w:val="22"/>
                <w:lang w:eastAsia="fr-FR"/>
              </w:rPr>
              <w:t>110 083,72</w:t>
            </w:r>
          </w:p>
        </w:tc>
      </w:tr>
      <w:tr w:rsidR="00E761A7" w:rsidRPr="00E761A7" w:rsidTr="00E761A7">
        <w:trPr>
          <w:trHeight w:val="288"/>
          <w:jc w:val="center"/>
        </w:trPr>
        <w:tc>
          <w:tcPr>
            <w:tcW w:w="1740" w:type="dxa"/>
            <w:tcBorders>
              <w:top w:val="nil"/>
              <w:left w:val="nil"/>
              <w:bottom w:val="nil"/>
              <w:right w:val="nil"/>
            </w:tcBorders>
            <w:shd w:val="clear" w:color="auto" w:fill="auto"/>
            <w:noWrap/>
            <w:vAlign w:val="bottom"/>
            <w:hideMark/>
          </w:tcPr>
          <w:p w:rsidR="00E761A7" w:rsidRPr="00E761A7" w:rsidRDefault="00E761A7" w:rsidP="00E761A7">
            <w:pPr>
              <w:spacing w:after="0"/>
              <w:jc w:val="left"/>
              <w:rPr>
                <w:rFonts w:ascii="Calibri" w:hAnsi="Calibri" w:cs="Times New Roman"/>
                <w:bCs w:val="0"/>
                <w:color w:val="000000"/>
                <w:sz w:val="22"/>
                <w:lang w:eastAsia="fr-FR"/>
              </w:rPr>
            </w:pPr>
            <w:proofErr w:type="spellStart"/>
            <w:r w:rsidRPr="00E761A7">
              <w:rPr>
                <w:rFonts w:ascii="Calibri" w:hAnsi="Calibri" w:cs="Times New Roman"/>
                <w:bCs w:val="0"/>
                <w:color w:val="000000"/>
                <w:sz w:val="22"/>
                <w:lang w:eastAsia="fr-FR"/>
              </w:rPr>
              <w:t>Cominière</w:t>
            </w:r>
            <w:proofErr w:type="spellEnd"/>
          </w:p>
        </w:tc>
        <w:tc>
          <w:tcPr>
            <w:tcW w:w="3600" w:type="dxa"/>
            <w:tcBorders>
              <w:top w:val="nil"/>
              <w:left w:val="nil"/>
              <w:bottom w:val="nil"/>
              <w:right w:val="nil"/>
            </w:tcBorders>
            <w:shd w:val="clear" w:color="auto" w:fill="auto"/>
            <w:noWrap/>
            <w:vAlign w:val="bottom"/>
            <w:hideMark/>
          </w:tcPr>
          <w:p w:rsidR="00E761A7" w:rsidRPr="00E761A7" w:rsidRDefault="00E761A7" w:rsidP="00E761A7">
            <w:pPr>
              <w:spacing w:after="0"/>
              <w:jc w:val="right"/>
              <w:rPr>
                <w:rFonts w:ascii="Calibri" w:hAnsi="Calibri" w:cs="Times New Roman"/>
                <w:bCs w:val="0"/>
                <w:color w:val="000000"/>
                <w:sz w:val="22"/>
                <w:lang w:eastAsia="fr-FR"/>
              </w:rPr>
            </w:pPr>
            <w:r w:rsidRPr="00E761A7">
              <w:rPr>
                <w:rFonts w:ascii="Calibri" w:hAnsi="Calibri" w:cs="Times New Roman"/>
                <w:bCs w:val="0"/>
                <w:color w:val="000000"/>
                <w:sz w:val="22"/>
                <w:lang w:eastAsia="fr-FR"/>
              </w:rPr>
              <w:t>12 595,86</w:t>
            </w:r>
          </w:p>
        </w:tc>
      </w:tr>
      <w:tr w:rsidR="00E761A7" w:rsidRPr="00E761A7" w:rsidTr="00E761A7">
        <w:trPr>
          <w:trHeight w:val="288"/>
          <w:jc w:val="center"/>
        </w:trPr>
        <w:tc>
          <w:tcPr>
            <w:tcW w:w="1740" w:type="dxa"/>
            <w:tcBorders>
              <w:top w:val="nil"/>
              <w:left w:val="nil"/>
              <w:bottom w:val="nil"/>
              <w:right w:val="nil"/>
            </w:tcBorders>
            <w:shd w:val="clear" w:color="000000" w:fill="B8CCE4"/>
            <w:noWrap/>
            <w:vAlign w:val="bottom"/>
            <w:hideMark/>
          </w:tcPr>
          <w:p w:rsidR="00E761A7" w:rsidRPr="00E761A7" w:rsidRDefault="00E761A7" w:rsidP="00E761A7">
            <w:pPr>
              <w:spacing w:after="0"/>
              <w:jc w:val="left"/>
              <w:rPr>
                <w:bCs w:val="0"/>
                <w:color w:val="000000"/>
                <w:sz w:val="18"/>
                <w:szCs w:val="18"/>
                <w:lang w:eastAsia="fr-FR"/>
              </w:rPr>
            </w:pPr>
            <w:proofErr w:type="spellStart"/>
            <w:r w:rsidRPr="00E761A7">
              <w:rPr>
                <w:bCs w:val="0"/>
                <w:color w:val="000000"/>
                <w:sz w:val="18"/>
                <w:szCs w:val="18"/>
                <w:lang w:eastAsia="fr-FR"/>
              </w:rPr>
              <w:t>Scmk</w:t>
            </w:r>
            <w:proofErr w:type="spellEnd"/>
            <w:r w:rsidRPr="00E761A7">
              <w:rPr>
                <w:bCs w:val="0"/>
                <w:color w:val="000000"/>
                <w:sz w:val="18"/>
                <w:szCs w:val="18"/>
                <w:lang w:eastAsia="fr-FR"/>
              </w:rPr>
              <w:t>-Mn</w:t>
            </w:r>
          </w:p>
        </w:tc>
        <w:tc>
          <w:tcPr>
            <w:tcW w:w="3600" w:type="dxa"/>
            <w:tcBorders>
              <w:top w:val="nil"/>
              <w:left w:val="nil"/>
              <w:bottom w:val="nil"/>
              <w:right w:val="nil"/>
            </w:tcBorders>
            <w:shd w:val="clear" w:color="000000" w:fill="B8CCE4"/>
            <w:noWrap/>
            <w:vAlign w:val="bottom"/>
            <w:hideMark/>
          </w:tcPr>
          <w:p w:rsidR="00E761A7" w:rsidRPr="00E761A7" w:rsidRDefault="00E761A7" w:rsidP="00E761A7">
            <w:pPr>
              <w:spacing w:after="0"/>
              <w:jc w:val="right"/>
              <w:rPr>
                <w:bCs w:val="0"/>
                <w:color w:val="000000"/>
                <w:sz w:val="18"/>
                <w:szCs w:val="18"/>
                <w:lang w:eastAsia="fr-FR"/>
              </w:rPr>
            </w:pPr>
            <w:r w:rsidRPr="00E761A7">
              <w:rPr>
                <w:bCs w:val="0"/>
                <w:color w:val="000000"/>
                <w:sz w:val="18"/>
                <w:szCs w:val="18"/>
                <w:lang w:eastAsia="fr-FR"/>
              </w:rPr>
              <w:t>2 014,03</w:t>
            </w:r>
          </w:p>
        </w:tc>
      </w:tr>
      <w:tr w:rsidR="00E761A7" w:rsidRPr="00E761A7" w:rsidTr="00E761A7">
        <w:trPr>
          <w:trHeight w:val="288"/>
          <w:jc w:val="center"/>
        </w:trPr>
        <w:tc>
          <w:tcPr>
            <w:tcW w:w="1740" w:type="dxa"/>
            <w:tcBorders>
              <w:top w:val="nil"/>
              <w:left w:val="nil"/>
              <w:bottom w:val="nil"/>
              <w:right w:val="nil"/>
            </w:tcBorders>
            <w:shd w:val="clear" w:color="000000" w:fill="BFBFBF"/>
            <w:noWrap/>
            <w:vAlign w:val="bottom"/>
            <w:hideMark/>
          </w:tcPr>
          <w:p w:rsidR="00E761A7" w:rsidRPr="00E761A7" w:rsidRDefault="00E761A7" w:rsidP="00E761A7">
            <w:pPr>
              <w:spacing w:after="0"/>
              <w:jc w:val="left"/>
              <w:rPr>
                <w:b/>
                <w:color w:val="000000"/>
                <w:sz w:val="18"/>
                <w:szCs w:val="18"/>
                <w:lang w:eastAsia="fr-FR"/>
              </w:rPr>
            </w:pPr>
            <w:r w:rsidRPr="00E761A7">
              <w:rPr>
                <w:b/>
                <w:color w:val="000000"/>
                <w:sz w:val="18"/>
                <w:szCs w:val="18"/>
                <w:lang w:eastAsia="fr-FR"/>
              </w:rPr>
              <w:t>Total</w:t>
            </w:r>
          </w:p>
        </w:tc>
        <w:tc>
          <w:tcPr>
            <w:tcW w:w="3600" w:type="dxa"/>
            <w:tcBorders>
              <w:top w:val="nil"/>
              <w:left w:val="nil"/>
              <w:bottom w:val="nil"/>
              <w:right w:val="nil"/>
            </w:tcBorders>
            <w:shd w:val="clear" w:color="000000" w:fill="BFBFBF"/>
            <w:noWrap/>
            <w:vAlign w:val="bottom"/>
            <w:hideMark/>
          </w:tcPr>
          <w:p w:rsidR="00E761A7" w:rsidRPr="00E761A7" w:rsidRDefault="00E761A7" w:rsidP="00E761A7">
            <w:pPr>
              <w:spacing w:after="0"/>
              <w:jc w:val="right"/>
              <w:rPr>
                <w:rFonts w:ascii="Calibri" w:hAnsi="Calibri" w:cs="Times New Roman"/>
                <w:bCs w:val="0"/>
                <w:color w:val="000000"/>
                <w:sz w:val="22"/>
                <w:lang w:eastAsia="fr-FR"/>
              </w:rPr>
            </w:pPr>
            <w:r w:rsidRPr="00E761A7">
              <w:rPr>
                <w:rFonts w:ascii="Calibri" w:hAnsi="Calibri" w:cs="Times New Roman"/>
                <w:bCs w:val="0"/>
                <w:color w:val="000000"/>
                <w:sz w:val="22"/>
                <w:lang w:eastAsia="fr-FR"/>
              </w:rPr>
              <w:t>124 693,61</w:t>
            </w:r>
          </w:p>
        </w:tc>
      </w:tr>
    </w:tbl>
    <w:p w:rsidR="00A079F7" w:rsidRDefault="00A079F7" w:rsidP="00A079F7">
      <w:pPr>
        <w:spacing w:before="240"/>
      </w:pPr>
      <w:r w:rsidRPr="009924BF">
        <w:t xml:space="preserve">De plus, le Comité exécutif avait opté pour que toutes les entreprises en JV avec les entreprises publiques soient sélectionnées dans le périmètre même si les paiements des dites entreprises se trouvent en dessous du seuil de matérialité. </w:t>
      </w:r>
    </w:p>
    <w:p w:rsidR="00A079F7" w:rsidRDefault="00A079F7" w:rsidP="00A079F7">
      <w:pPr>
        <w:spacing w:before="240"/>
      </w:pPr>
      <w:r w:rsidRPr="00E301B7">
        <w:t>Finalement, pour assurer la comparabilité entre les exercices 201</w:t>
      </w:r>
      <w:r w:rsidR="007E348B" w:rsidRPr="00E301B7">
        <w:t>4</w:t>
      </w:r>
      <w:r w:rsidRPr="00E301B7">
        <w:t xml:space="preserve"> et 201</w:t>
      </w:r>
      <w:r w:rsidR="007E348B" w:rsidRPr="00E301B7">
        <w:t>5</w:t>
      </w:r>
      <w:r w:rsidRPr="00E301B7">
        <w:t xml:space="preserve"> en termes de revenus réconciliés, le Comité Exécutif avait opté pour que toutes les entreprises inclus</w:t>
      </w:r>
      <w:r w:rsidR="007E348B" w:rsidRPr="00E301B7">
        <w:t>es</w:t>
      </w:r>
      <w:r w:rsidRPr="00E301B7">
        <w:t xml:space="preserve"> dans le périmètre de </w:t>
      </w:r>
      <w:r w:rsidRPr="00E301B7">
        <w:lastRenderedPageBreak/>
        <w:t>conciliation 201</w:t>
      </w:r>
      <w:r w:rsidR="00D81E99" w:rsidRPr="00E301B7">
        <w:t>4</w:t>
      </w:r>
      <w:r w:rsidRPr="00E301B7">
        <w:t xml:space="preserve"> soient reprises dans le périmètre 201</w:t>
      </w:r>
      <w:r w:rsidR="007E348B" w:rsidRPr="00E301B7">
        <w:t>5</w:t>
      </w:r>
      <w:r w:rsidRPr="00E301B7">
        <w:t xml:space="preserve"> même si les déclarations de certaines seraient en dessous du seuil de matérialité. Sur cette base, nous recommandons d’ajouter 36 sociétés minières qui sont détaillées comme suit :</w:t>
      </w:r>
    </w:p>
    <w:tbl>
      <w:tblPr>
        <w:tblW w:w="8582" w:type="dxa"/>
        <w:tblInd w:w="61" w:type="dxa"/>
        <w:tblCellMar>
          <w:left w:w="70" w:type="dxa"/>
          <w:right w:w="70" w:type="dxa"/>
        </w:tblCellMar>
        <w:tblLook w:val="04A0" w:firstRow="1" w:lastRow="0" w:firstColumn="1" w:lastColumn="0" w:noHBand="0" w:noVBand="1"/>
      </w:tblPr>
      <w:tblGrid>
        <w:gridCol w:w="342"/>
        <w:gridCol w:w="6580"/>
        <w:gridCol w:w="1660"/>
      </w:tblGrid>
      <w:tr w:rsidR="008623D1" w:rsidRPr="008623D1" w:rsidTr="008623D1">
        <w:trPr>
          <w:trHeight w:val="744"/>
          <w:tblHeader/>
        </w:trPr>
        <w:tc>
          <w:tcPr>
            <w:tcW w:w="342" w:type="dxa"/>
            <w:tcBorders>
              <w:top w:val="single" w:sz="8" w:space="0" w:color="5B9BD5"/>
              <w:left w:val="nil"/>
              <w:bottom w:val="single" w:sz="8" w:space="0" w:color="5B9BD5"/>
              <w:right w:val="nil"/>
            </w:tcBorders>
            <w:shd w:val="clear" w:color="000000" w:fill="244061"/>
            <w:vAlign w:val="center"/>
            <w:hideMark/>
          </w:tcPr>
          <w:p w:rsidR="008623D1" w:rsidRPr="008623D1" w:rsidRDefault="008623D1" w:rsidP="008623D1">
            <w:pPr>
              <w:spacing w:after="0"/>
              <w:jc w:val="left"/>
              <w:rPr>
                <w:b/>
                <w:color w:val="FFFFFF" w:themeColor="background1"/>
                <w:sz w:val="18"/>
                <w:szCs w:val="18"/>
                <w:lang w:eastAsia="fr-FR"/>
              </w:rPr>
            </w:pPr>
            <w:r w:rsidRPr="008623D1">
              <w:rPr>
                <w:b/>
                <w:color w:val="FFFFFF" w:themeColor="background1"/>
                <w:sz w:val="18"/>
                <w:szCs w:val="18"/>
                <w:lang w:eastAsia="fr-FR"/>
              </w:rPr>
              <w:t>N°</w:t>
            </w:r>
          </w:p>
        </w:tc>
        <w:tc>
          <w:tcPr>
            <w:tcW w:w="6580" w:type="dxa"/>
            <w:tcBorders>
              <w:top w:val="single" w:sz="8" w:space="0" w:color="5B9BD5"/>
              <w:left w:val="nil"/>
              <w:bottom w:val="single" w:sz="8" w:space="0" w:color="5B9BD5"/>
              <w:right w:val="nil"/>
            </w:tcBorders>
            <w:shd w:val="clear" w:color="000000" w:fill="244061"/>
            <w:vAlign w:val="center"/>
            <w:hideMark/>
          </w:tcPr>
          <w:p w:rsidR="008623D1" w:rsidRPr="008623D1" w:rsidRDefault="008623D1" w:rsidP="008623D1">
            <w:pPr>
              <w:spacing w:after="0"/>
              <w:jc w:val="left"/>
              <w:rPr>
                <w:b/>
                <w:color w:val="FFFFFF" w:themeColor="background1"/>
                <w:sz w:val="18"/>
                <w:szCs w:val="18"/>
                <w:lang w:eastAsia="fr-FR"/>
              </w:rPr>
            </w:pPr>
            <w:r w:rsidRPr="008623D1">
              <w:rPr>
                <w:b/>
                <w:color w:val="FFFFFF" w:themeColor="background1"/>
                <w:sz w:val="18"/>
                <w:szCs w:val="18"/>
                <w:lang w:eastAsia="fr-FR"/>
              </w:rPr>
              <w:t>Société minière</w:t>
            </w:r>
          </w:p>
        </w:tc>
        <w:tc>
          <w:tcPr>
            <w:tcW w:w="1660" w:type="dxa"/>
            <w:tcBorders>
              <w:top w:val="single" w:sz="8" w:space="0" w:color="5B9BD5"/>
              <w:left w:val="nil"/>
              <w:bottom w:val="single" w:sz="8" w:space="0" w:color="5B9BD5"/>
              <w:right w:val="nil"/>
            </w:tcBorders>
            <w:shd w:val="clear" w:color="000000" w:fill="244061"/>
            <w:vAlign w:val="bottom"/>
            <w:hideMark/>
          </w:tcPr>
          <w:p w:rsidR="008623D1" w:rsidRPr="008623D1" w:rsidRDefault="008623D1" w:rsidP="008623D1">
            <w:pPr>
              <w:spacing w:after="0"/>
              <w:jc w:val="center"/>
              <w:rPr>
                <w:b/>
                <w:color w:val="FFFFFF" w:themeColor="background1"/>
                <w:sz w:val="18"/>
                <w:szCs w:val="18"/>
                <w:lang w:eastAsia="fr-FR"/>
              </w:rPr>
            </w:pPr>
            <w:r w:rsidRPr="008623D1">
              <w:rPr>
                <w:b/>
                <w:color w:val="FFFFFF" w:themeColor="background1"/>
                <w:sz w:val="18"/>
                <w:szCs w:val="18"/>
                <w:lang w:eastAsia="fr-FR"/>
              </w:rPr>
              <w:t xml:space="preserve"> Déclarations des entités publiques USD</w:t>
            </w:r>
          </w:p>
        </w:tc>
      </w:tr>
      <w:tr w:rsidR="008623D1" w:rsidRPr="008623D1" w:rsidTr="008623D1">
        <w:trPr>
          <w:trHeight w:val="288"/>
        </w:trPr>
        <w:tc>
          <w:tcPr>
            <w:tcW w:w="342" w:type="dxa"/>
            <w:tcBorders>
              <w:top w:val="nil"/>
              <w:left w:val="nil"/>
              <w:bottom w:val="nil"/>
              <w:right w:val="nil"/>
            </w:tcBorders>
            <w:shd w:val="clear" w:color="000000" w:fill="BDD7EE"/>
            <w:noWrap/>
            <w:vAlign w:val="bottom"/>
            <w:hideMark/>
          </w:tcPr>
          <w:p w:rsidR="008623D1" w:rsidRPr="008623D1" w:rsidRDefault="008623D1" w:rsidP="008623D1">
            <w:pPr>
              <w:spacing w:after="0"/>
              <w:jc w:val="center"/>
              <w:rPr>
                <w:bCs w:val="0"/>
                <w:color w:val="000000"/>
                <w:sz w:val="18"/>
                <w:szCs w:val="18"/>
                <w:lang w:eastAsia="fr-FR"/>
              </w:rPr>
            </w:pPr>
            <w:r w:rsidRPr="008623D1">
              <w:rPr>
                <w:bCs w:val="0"/>
                <w:color w:val="000000"/>
                <w:sz w:val="18"/>
                <w:szCs w:val="18"/>
                <w:lang w:eastAsia="fr-FR"/>
              </w:rPr>
              <w:t>1</w:t>
            </w:r>
          </w:p>
        </w:tc>
        <w:tc>
          <w:tcPr>
            <w:tcW w:w="6580" w:type="dxa"/>
            <w:tcBorders>
              <w:top w:val="nil"/>
              <w:left w:val="nil"/>
              <w:bottom w:val="nil"/>
              <w:right w:val="nil"/>
            </w:tcBorders>
            <w:shd w:val="clear" w:color="000000" w:fill="BDD7EE"/>
            <w:noWrap/>
            <w:vAlign w:val="bottom"/>
            <w:hideMark/>
          </w:tcPr>
          <w:p w:rsidR="008623D1" w:rsidRPr="008623D1" w:rsidRDefault="008623D1" w:rsidP="008623D1">
            <w:pPr>
              <w:spacing w:after="0"/>
              <w:jc w:val="left"/>
              <w:rPr>
                <w:bCs w:val="0"/>
                <w:color w:val="000000"/>
                <w:sz w:val="18"/>
                <w:szCs w:val="18"/>
                <w:lang w:eastAsia="fr-FR"/>
              </w:rPr>
            </w:pPr>
            <w:r w:rsidRPr="008623D1">
              <w:rPr>
                <w:bCs w:val="0"/>
                <w:color w:val="000000"/>
                <w:sz w:val="18"/>
                <w:szCs w:val="18"/>
                <w:lang w:eastAsia="fr-FR"/>
              </w:rPr>
              <w:t>SASE MINING SARL</w:t>
            </w:r>
          </w:p>
        </w:tc>
        <w:tc>
          <w:tcPr>
            <w:tcW w:w="1660" w:type="dxa"/>
            <w:tcBorders>
              <w:top w:val="nil"/>
              <w:left w:val="nil"/>
              <w:bottom w:val="nil"/>
              <w:right w:val="nil"/>
            </w:tcBorders>
            <w:shd w:val="clear" w:color="000000" w:fill="BDD7EE"/>
            <w:noWrap/>
            <w:vAlign w:val="bottom"/>
            <w:hideMark/>
          </w:tcPr>
          <w:p w:rsidR="008623D1" w:rsidRPr="008623D1" w:rsidRDefault="008623D1" w:rsidP="008623D1">
            <w:pPr>
              <w:spacing w:after="0"/>
              <w:jc w:val="right"/>
              <w:rPr>
                <w:bCs w:val="0"/>
                <w:color w:val="000000"/>
                <w:sz w:val="18"/>
                <w:szCs w:val="18"/>
                <w:lang w:eastAsia="fr-FR"/>
              </w:rPr>
            </w:pPr>
            <w:r w:rsidRPr="008623D1">
              <w:rPr>
                <w:bCs w:val="0"/>
                <w:color w:val="000000"/>
                <w:sz w:val="18"/>
                <w:szCs w:val="18"/>
                <w:lang w:eastAsia="fr-FR"/>
              </w:rPr>
              <w:t>195 401,00</w:t>
            </w:r>
          </w:p>
        </w:tc>
      </w:tr>
      <w:tr w:rsidR="008623D1" w:rsidRPr="008623D1" w:rsidTr="008623D1">
        <w:trPr>
          <w:trHeight w:val="288"/>
        </w:trPr>
        <w:tc>
          <w:tcPr>
            <w:tcW w:w="342" w:type="dxa"/>
            <w:tcBorders>
              <w:top w:val="nil"/>
              <w:left w:val="nil"/>
              <w:bottom w:val="nil"/>
              <w:right w:val="nil"/>
            </w:tcBorders>
            <w:shd w:val="clear" w:color="auto" w:fill="auto"/>
            <w:noWrap/>
            <w:vAlign w:val="bottom"/>
            <w:hideMark/>
          </w:tcPr>
          <w:p w:rsidR="008623D1" w:rsidRPr="008623D1" w:rsidRDefault="008623D1" w:rsidP="008623D1">
            <w:pPr>
              <w:spacing w:after="0"/>
              <w:jc w:val="center"/>
              <w:rPr>
                <w:bCs w:val="0"/>
                <w:color w:val="000000"/>
                <w:sz w:val="18"/>
                <w:szCs w:val="18"/>
                <w:lang w:eastAsia="fr-FR"/>
              </w:rPr>
            </w:pPr>
            <w:r w:rsidRPr="008623D1">
              <w:rPr>
                <w:bCs w:val="0"/>
                <w:color w:val="000000"/>
                <w:sz w:val="18"/>
                <w:szCs w:val="18"/>
                <w:lang w:eastAsia="fr-FR"/>
              </w:rPr>
              <w:t>2</w:t>
            </w:r>
          </w:p>
        </w:tc>
        <w:tc>
          <w:tcPr>
            <w:tcW w:w="6580" w:type="dxa"/>
            <w:tcBorders>
              <w:top w:val="nil"/>
              <w:left w:val="nil"/>
              <w:bottom w:val="nil"/>
              <w:right w:val="nil"/>
            </w:tcBorders>
            <w:shd w:val="clear" w:color="auto" w:fill="auto"/>
            <w:noWrap/>
            <w:vAlign w:val="bottom"/>
            <w:hideMark/>
          </w:tcPr>
          <w:p w:rsidR="008623D1" w:rsidRPr="008623D1" w:rsidRDefault="008623D1" w:rsidP="008623D1">
            <w:pPr>
              <w:spacing w:after="0"/>
              <w:jc w:val="left"/>
              <w:rPr>
                <w:bCs w:val="0"/>
                <w:color w:val="000000"/>
                <w:sz w:val="18"/>
                <w:szCs w:val="18"/>
                <w:lang w:eastAsia="fr-FR"/>
              </w:rPr>
            </w:pPr>
            <w:r w:rsidRPr="008623D1">
              <w:rPr>
                <w:bCs w:val="0"/>
                <w:color w:val="000000"/>
                <w:sz w:val="18"/>
                <w:szCs w:val="18"/>
                <w:lang w:eastAsia="fr-FR"/>
              </w:rPr>
              <w:t>SOCIETE D'EXPLOITATION DE LA CASSITERITE AU KATANGA SPRL</w:t>
            </w:r>
          </w:p>
        </w:tc>
        <w:tc>
          <w:tcPr>
            <w:tcW w:w="1660" w:type="dxa"/>
            <w:tcBorders>
              <w:top w:val="nil"/>
              <w:left w:val="nil"/>
              <w:bottom w:val="nil"/>
              <w:right w:val="nil"/>
            </w:tcBorders>
            <w:shd w:val="clear" w:color="auto" w:fill="auto"/>
            <w:noWrap/>
            <w:vAlign w:val="bottom"/>
            <w:hideMark/>
          </w:tcPr>
          <w:p w:rsidR="008623D1" w:rsidRPr="008623D1" w:rsidRDefault="008623D1" w:rsidP="008623D1">
            <w:pPr>
              <w:spacing w:after="0"/>
              <w:jc w:val="right"/>
              <w:rPr>
                <w:bCs w:val="0"/>
                <w:color w:val="000000"/>
                <w:sz w:val="18"/>
                <w:szCs w:val="18"/>
                <w:lang w:eastAsia="fr-FR"/>
              </w:rPr>
            </w:pPr>
            <w:r w:rsidRPr="008623D1">
              <w:rPr>
                <w:bCs w:val="0"/>
                <w:color w:val="000000"/>
                <w:sz w:val="18"/>
                <w:szCs w:val="18"/>
                <w:lang w:eastAsia="fr-FR"/>
              </w:rPr>
              <w:t>192 541,94</w:t>
            </w:r>
          </w:p>
        </w:tc>
      </w:tr>
      <w:tr w:rsidR="008623D1" w:rsidRPr="008623D1" w:rsidTr="008623D1">
        <w:trPr>
          <w:trHeight w:val="288"/>
        </w:trPr>
        <w:tc>
          <w:tcPr>
            <w:tcW w:w="342" w:type="dxa"/>
            <w:tcBorders>
              <w:top w:val="nil"/>
              <w:left w:val="nil"/>
              <w:bottom w:val="nil"/>
              <w:right w:val="nil"/>
            </w:tcBorders>
            <w:shd w:val="clear" w:color="000000" w:fill="BDD7EE"/>
            <w:noWrap/>
            <w:vAlign w:val="bottom"/>
            <w:hideMark/>
          </w:tcPr>
          <w:p w:rsidR="008623D1" w:rsidRPr="008623D1" w:rsidRDefault="008623D1" w:rsidP="008623D1">
            <w:pPr>
              <w:spacing w:after="0"/>
              <w:jc w:val="center"/>
              <w:rPr>
                <w:bCs w:val="0"/>
                <w:color w:val="000000"/>
                <w:sz w:val="18"/>
                <w:szCs w:val="18"/>
                <w:lang w:eastAsia="fr-FR"/>
              </w:rPr>
            </w:pPr>
            <w:r w:rsidRPr="008623D1">
              <w:rPr>
                <w:bCs w:val="0"/>
                <w:color w:val="000000"/>
                <w:sz w:val="18"/>
                <w:szCs w:val="18"/>
                <w:lang w:eastAsia="fr-FR"/>
              </w:rPr>
              <w:t>3</w:t>
            </w:r>
          </w:p>
        </w:tc>
        <w:tc>
          <w:tcPr>
            <w:tcW w:w="6580" w:type="dxa"/>
            <w:tcBorders>
              <w:top w:val="nil"/>
              <w:left w:val="nil"/>
              <w:bottom w:val="nil"/>
              <w:right w:val="nil"/>
            </w:tcBorders>
            <w:shd w:val="clear" w:color="000000" w:fill="BDD7EE"/>
            <w:noWrap/>
            <w:vAlign w:val="bottom"/>
            <w:hideMark/>
          </w:tcPr>
          <w:p w:rsidR="008623D1" w:rsidRPr="008623D1" w:rsidRDefault="008623D1" w:rsidP="008623D1">
            <w:pPr>
              <w:spacing w:after="0"/>
              <w:jc w:val="left"/>
              <w:rPr>
                <w:bCs w:val="0"/>
                <w:color w:val="000000"/>
                <w:sz w:val="18"/>
                <w:szCs w:val="18"/>
                <w:lang w:eastAsia="fr-FR"/>
              </w:rPr>
            </w:pPr>
            <w:r w:rsidRPr="008623D1">
              <w:rPr>
                <w:bCs w:val="0"/>
                <w:color w:val="000000"/>
                <w:sz w:val="18"/>
                <w:szCs w:val="18"/>
                <w:lang w:eastAsia="fr-FR"/>
              </w:rPr>
              <w:t>LONCOR RESOURCES CONGO SPRL</w:t>
            </w:r>
          </w:p>
        </w:tc>
        <w:tc>
          <w:tcPr>
            <w:tcW w:w="1660" w:type="dxa"/>
            <w:tcBorders>
              <w:top w:val="nil"/>
              <w:left w:val="nil"/>
              <w:bottom w:val="nil"/>
              <w:right w:val="nil"/>
            </w:tcBorders>
            <w:shd w:val="clear" w:color="000000" w:fill="BDD7EE"/>
            <w:noWrap/>
            <w:vAlign w:val="bottom"/>
            <w:hideMark/>
          </w:tcPr>
          <w:p w:rsidR="008623D1" w:rsidRPr="008623D1" w:rsidRDefault="008623D1" w:rsidP="008623D1">
            <w:pPr>
              <w:spacing w:after="0"/>
              <w:jc w:val="right"/>
              <w:rPr>
                <w:bCs w:val="0"/>
                <w:color w:val="000000"/>
                <w:sz w:val="18"/>
                <w:szCs w:val="18"/>
                <w:lang w:eastAsia="fr-FR"/>
              </w:rPr>
            </w:pPr>
            <w:r w:rsidRPr="008623D1">
              <w:rPr>
                <w:bCs w:val="0"/>
                <w:color w:val="000000"/>
                <w:sz w:val="18"/>
                <w:szCs w:val="18"/>
                <w:lang w:eastAsia="fr-FR"/>
              </w:rPr>
              <w:t>165 267,07</w:t>
            </w:r>
          </w:p>
        </w:tc>
      </w:tr>
      <w:tr w:rsidR="008623D1" w:rsidRPr="008623D1" w:rsidTr="008623D1">
        <w:trPr>
          <w:trHeight w:val="288"/>
        </w:trPr>
        <w:tc>
          <w:tcPr>
            <w:tcW w:w="342" w:type="dxa"/>
            <w:tcBorders>
              <w:top w:val="nil"/>
              <w:left w:val="nil"/>
              <w:bottom w:val="nil"/>
              <w:right w:val="nil"/>
            </w:tcBorders>
            <w:shd w:val="clear" w:color="auto" w:fill="auto"/>
            <w:noWrap/>
            <w:vAlign w:val="bottom"/>
            <w:hideMark/>
          </w:tcPr>
          <w:p w:rsidR="008623D1" w:rsidRPr="008623D1" w:rsidRDefault="008623D1" w:rsidP="008623D1">
            <w:pPr>
              <w:spacing w:after="0"/>
              <w:jc w:val="center"/>
              <w:rPr>
                <w:bCs w:val="0"/>
                <w:color w:val="000000"/>
                <w:sz w:val="18"/>
                <w:szCs w:val="18"/>
                <w:lang w:eastAsia="fr-FR"/>
              </w:rPr>
            </w:pPr>
            <w:r w:rsidRPr="008623D1">
              <w:rPr>
                <w:bCs w:val="0"/>
                <w:color w:val="000000"/>
                <w:sz w:val="18"/>
                <w:szCs w:val="18"/>
                <w:lang w:eastAsia="fr-FR"/>
              </w:rPr>
              <w:t>4</w:t>
            </w:r>
          </w:p>
        </w:tc>
        <w:tc>
          <w:tcPr>
            <w:tcW w:w="6580" w:type="dxa"/>
            <w:tcBorders>
              <w:top w:val="nil"/>
              <w:left w:val="nil"/>
              <w:bottom w:val="nil"/>
              <w:right w:val="nil"/>
            </w:tcBorders>
            <w:shd w:val="clear" w:color="auto" w:fill="auto"/>
            <w:noWrap/>
            <w:vAlign w:val="bottom"/>
            <w:hideMark/>
          </w:tcPr>
          <w:p w:rsidR="008623D1" w:rsidRPr="008623D1" w:rsidRDefault="008623D1" w:rsidP="008623D1">
            <w:pPr>
              <w:spacing w:after="0"/>
              <w:jc w:val="left"/>
              <w:rPr>
                <w:bCs w:val="0"/>
                <w:color w:val="000000"/>
                <w:sz w:val="18"/>
                <w:szCs w:val="18"/>
                <w:lang w:eastAsia="fr-FR"/>
              </w:rPr>
            </w:pPr>
            <w:r w:rsidRPr="008623D1">
              <w:rPr>
                <w:bCs w:val="0"/>
                <w:color w:val="000000"/>
                <w:sz w:val="18"/>
                <w:szCs w:val="18"/>
                <w:lang w:eastAsia="fr-FR"/>
              </w:rPr>
              <w:t>TANGANYIKA MINING COMPANY SPRL</w:t>
            </w:r>
          </w:p>
        </w:tc>
        <w:tc>
          <w:tcPr>
            <w:tcW w:w="1660" w:type="dxa"/>
            <w:tcBorders>
              <w:top w:val="nil"/>
              <w:left w:val="nil"/>
              <w:bottom w:val="nil"/>
              <w:right w:val="nil"/>
            </w:tcBorders>
            <w:shd w:val="clear" w:color="auto" w:fill="auto"/>
            <w:noWrap/>
            <w:vAlign w:val="bottom"/>
            <w:hideMark/>
          </w:tcPr>
          <w:p w:rsidR="008623D1" w:rsidRPr="008623D1" w:rsidRDefault="008623D1" w:rsidP="008623D1">
            <w:pPr>
              <w:spacing w:after="0"/>
              <w:jc w:val="right"/>
              <w:rPr>
                <w:bCs w:val="0"/>
                <w:color w:val="000000"/>
                <w:sz w:val="18"/>
                <w:szCs w:val="18"/>
                <w:lang w:eastAsia="fr-FR"/>
              </w:rPr>
            </w:pPr>
            <w:r w:rsidRPr="008623D1">
              <w:rPr>
                <w:bCs w:val="0"/>
                <w:color w:val="000000"/>
                <w:sz w:val="18"/>
                <w:szCs w:val="18"/>
                <w:lang w:eastAsia="fr-FR"/>
              </w:rPr>
              <w:t>148 164,59</w:t>
            </w:r>
          </w:p>
        </w:tc>
      </w:tr>
      <w:tr w:rsidR="008623D1" w:rsidRPr="008623D1" w:rsidTr="008623D1">
        <w:trPr>
          <w:trHeight w:val="288"/>
        </w:trPr>
        <w:tc>
          <w:tcPr>
            <w:tcW w:w="342" w:type="dxa"/>
            <w:tcBorders>
              <w:top w:val="nil"/>
              <w:left w:val="nil"/>
              <w:bottom w:val="nil"/>
              <w:right w:val="nil"/>
            </w:tcBorders>
            <w:shd w:val="clear" w:color="000000" w:fill="BDD7EE"/>
            <w:noWrap/>
            <w:vAlign w:val="bottom"/>
            <w:hideMark/>
          </w:tcPr>
          <w:p w:rsidR="008623D1" w:rsidRPr="008623D1" w:rsidRDefault="008623D1" w:rsidP="008623D1">
            <w:pPr>
              <w:spacing w:after="0"/>
              <w:jc w:val="center"/>
              <w:rPr>
                <w:bCs w:val="0"/>
                <w:color w:val="000000"/>
                <w:sz w:val="18"/>
                <w:szCs w:val="18"/>
                <w:lang w:eastAsia="fr-FR"/>
              </w:rPr>
            </w:pPr>
            <w:r w:rsidRPr="008623D1">
              <w:rPr>
                <w:bCs w:val="0"/>
                <w:color w:val="000000"/>
                <w:sz w:val="18"/>
                <w:szCs w:val="18"/>
                <w:lang w:eastAsia="fr-FR"/>
              </w:rPr>
              <w:t>5</w:t>
            </w:r>
          </w:p>
        </w:tc>
        <w:tc>
          <w:tcPr>
            <w:tcW w:w="6580" w:type="dxa"/>
            <w:tcBorders>
              <w:top w:val="nil"/>
              <w:left w:val="nil"/>
              <w:bottom w:val="nil"/>
              <w:right w:val="nil"/>
            </w:tcBorders>
            <w:shd w:val="clear" w:color="000000" w:fill="BDD7EE"/>
            <w:noWrap/>
            <w:vAlign w:val="bottom"/>
            <w:hideMark/>
          </w:tcPr>
          <w:p w:rsidR="008623D1" w:rsidRPr="008623D1" w:rsidRDefault="008623D1" w:rsidP="008623D1">
            <w:pPr>
              <w:spacing w:after="0"/>
              <w:jc w:val="left"/>
              <w:rPr>
                <w:bCs w:val="0"/>
                <w:color w:val="000000"/>
                <w:sz w:val="18"/>
                <w:szCs w:val="18"/>
                <w:lang w:eastAsia="fr-FR"/>
              </w:rPr>
            </w:pPr>
            <w:r w:rsidRPr="008623D1">
              <w:rPr>
                <w:bCs w:val="0"/>
                <w:color w:val="000000"/>
                <w:sz w:val="18"/>
                <w:szCs w:val="18"/>
                <w:lang w:eastAsia="fr-FR"/>
              </w:rPr>
              <w:t>LUGUSHWA MINING</w:t>
            </w:r>
          </w:p>
        </w:tc>
        <w:tc>
          <w:tcPr>
            <w:tcW w:w="1660" w:type="dxa"/>
            <w:tcBorders>
              <w:top w:val="nil"/>
              <w:left w:val="nil"/>
              <w:bottom w:val="nil"/>
              <w:right w:val="nil"/>
            </w:tcBorders>
            <w:shd w:val="clear" w:color="000000" w:fill="BDD7EE"/>
            <w:noWrap/>
            <w:vAlign w:val="bottom"/>
            <w:hideMark/>
          </w:tcPr>
          <w:p w:rsidR="008623D1" w:rsidRPr="008623D1" w:rsidRDefault="008623D1" w:rsidP="008623D1">
            <w:pPr>
              <w:spacing w:after="0"/>
              <w:jc w:val="right"/>
              <w:rPr>
                <w:bCs w:val="0"/>
                <w:color w:val="000000"/>
                <w:sz w:val="18"/>
                <w:szCs w:val="18"/>
                <w:lang w:eastAsia="fr-FR"/>
              </w:rPr>
            </w:pPr>
            <w:r w:rsidRPr="008623D1">
              <w:rPr>
                <w:bCs w:val="0"/>
                <w:color w:val="000000"/>
                <w:sz w:val="18"/>
                <w:szCs w:val="18"/>
                <w:lang w:eastAsia="fr-FR"/>
              </w:rPr>
              <w:t>138 776,18</w:t>
            </w:r>
          </w:p>
        </w:tc>
      </w:tr>
      <w:tr w:rsidR="008623D1" w:rsidRPr="004C459A" w:rsidTr="008623D1">
        <w:trPr>
          <w:trHeight w:val="288"/>
        </w:trPr>
        <w:tc>
          <w:tcPr>
            <w:tcW w:w="342" w:type="dxa"/>
            <w:tcBorders>
              <w:top w:val="nil"/>
              <w:left w:val="nil"/>
              <w:bottom w:val="nil"/>
              <w:right w:val="nil"/>
            </w:tcBorders>
            <w:shd w:val="clear" w:color="auto" w:fill="auto"/>
            <w:noWrap/>
            <w:vAlign w:val="bottom"/>
            <w:hideMark/>
          </w:tcPr>
          <w:p w:rsidR="008623D1" w:rsidRPr="008623D1" w:rsidRDefault="008623D1" w:rsidP="008623D1">
            <w:pPr>
              <w:spacing w:after="0"/>
              <w:jc w:val="center"/>
              <w:rPr>
                <w:bCs w:val="0"/>
                <w:color w:val="000000"/>
                <w:sz w:val="18"/>
                <w:szCs w:val="18"/>
                <w:lang w:eastAsia="fr-FR"/>
              </w:rPr>
            </w:pPr>
            <w:r w:rsidRPr="008623D1">
              <w:rPr>
                <w:bCs w:val="0"/>
                <w:color w:val="000000"/>
                <w:sz w:val="18"/>
                <w:szCs w:val="18"/>
                <w:lang w:eastAsia="fr-FR"/>
              </w:rPr>
              <w:t>6</w:t>
            </w:r>
          </w:p>
        </w:tc>
        <w:tc>
          <w:tcPr>
            <w:tcW w:w="6580" w:type="dxa"/>
            <w:tcBorders>
              <w:top w:val="nil"/>
              <w:left w:val="nil"/>
              <w:bottom w:val="nil"/>
              <w:right w:val="nil"/>
            </w:tcBorders>
            <w:shd w:val="clear" w:color="auto" w:fill="auto"/>
            <w:noWrap/>
            <w:vAlign w:val="bottom"/>
            <w:hideMark/>
          </w:tcPr>
          <w:p w:rsidR="008623D1" w:rsidRPr="008623D1" w:rsidRDefault="008623D1" w:rsidP="008623D1">
            <w:pPr>
              <w:spacing w:after="0"/>
              <w:jc w:val="left"/>
              <w:rPr>
                <w:bCs w:val="0"/>
                <w:color w:val="000000"/>
                <w:sz w:val="18"/>
                <w:szCs w:val="18"/>
                <w:lang w:eastAsia="fr-FR"/>
              </w:rPr>
            </w:pPr>
            <w:r w:rsidRPr="008623D1">
              <w:rPr>
                <w:bCs w:val="0"/>
                <w:color w:val="000000"/>
                <w:sz w:val="18"/>
                <w:szCs w:val="18"/>
                <w:lang w:eastAsia="fr-FR"/>
              </w:rPr>
              <w:t>SOCIETE D'EXPLOITATION DE GISEMENT DE KALUKUNDI (SWANMINES)</w:t>
            </w:r>
          </w:p>
        </w:tc>
        <w:tc>
          <w:tcPr>
            <w:tcW w:w="1660" w:type="dxa"/>
            <w:tcBorders>
              <w:top w:val="nil"/>
              <w:left w:val="nil"/>
              <w:bottom w:val="nil"/>
              <w:right w:val="nil"/>
            </w:tcBorders>
            <w:shd w:val="clear" w:color="auto" w:fill="auto"/>
            <w:noWrap/>
            <w:vAlign w:val="bottom"/>
            <w:hideMark/>
          </w:tcPr>
          <w:p w:rsidR="008623D1" w:rsidRPr="008623D1" w:rsidRDefault="004C459A" w:rsidP="00E26BD4">
            <w:pPr>
              <w:spacing w:after="0"/>
              <w:jc w:val="right"/>
              <w:rPr>
                <w:bCs w:val="0"/>
                <w:color w:val="000000"/>
                <w:sz w:val="18"/>
                <w:szCs w:val="18"/>
                <w:lang w:eastAsia="fr-FR"/>
              </w:rPr>
            </w:pPr>
            <w:r>
              <w:rPr>
                <w:bCs w:val="0"/>
                <w:color w:val="000000"/>
                <w:sz w:val="18"/>
                <w:szCs w:val="18"/>
                <w:lang w:eastAsia="fr-FR"/>
              </w:rPr>
              <w:t>11</w:t>
            </w:r>
            <w:r w:rsidR="00E26BD4">
              <w:rPr>
                <w:bCs w:val="0"/>
                <w:color w:val="000000"/>
                <w:sz w:val="18"/>
                <w:szCs w:val="18"/>
                <w:lang w:eastAsia="fr-FR"/>
              </w:rPr>
              <w:t>3</w:t>
            </w:r>
            <w:r>
              <w:rPr>
                <w:bCs w:val="0"/>
                <w:color w:val="000000"/>
                <w:sz w:val="18"/>
                <w:szCs w:val="18"/>
                <w:lang w:eastAsia="fr-FR"/>
              </w:rPr>
              <w:t xml:space="preserve"> 0</w:t>
            </w:r>
            <w:r w:rsidR="00E26BD4">
              <w:rPr>
                <w:bCs w:val="0"/>
                <w:color w:val="000000"/>
                <w:sz w:val="18"/>
                <w:szCs w:val="18"/>
                <w:lang w:eastAsia="fr-FR"/>
              </w:rPr>
              <w:t>44</w:t>
            </w:r>
            <w:r>
              <w:rPr>
                <w:bCs w:val="0"/>
                <w:color w:val="000000"/>
                <w:sz w:val="18"/>
                <w:szCs w:val="18"/>
                <w:lang w:eastAsia="fr-FR"/>
              </w:rPr>
              <w:t>,3</w:t>
            </w:r>
            <w:r w:rsidR="00E26BD4">
              <w:rPr>
                <w:bCs w:val="0"/>
                <w:color w:val="000000"/>
                <w:sz w:val="18"/>
                <w:szCs w:val="18"/>
                <w:lang w:eastAsia="fr-FR"/>
              </w:rPr>
              <w:t>7</w:t>
            </w:r>
          </w:p>
        </w:tc>
      </w:tr>
      <w:tr w:rsidR="008623D1" w:rsidRPr="008623D1" w:rsidTr="008623D1">
        <w:trPr>
          <w:trHeight w:val="288"/>
        </w:trPr>
        <w:tc>
          <w:tcPr>
            <w:tcW w:w="342" w:type="dxa"/>
            <w:tcBorders>
              <w:top w:val="nil"/>
              <w:left w:val="nil"/>
              <w:bottom w:val="nil"/>
              <w:right w:val="nil"/>
            </w:tcBorders>
            <w:shd w:val="clear" w:color="000000" w:fill="BDD7EE"/>
            <w:noWrap/>
            <w:vAlign w:val="bottom"/>
            <w:hideMark/>
          </w:tcPr>
          <w:p w:rsidR="008623D1" w:rsidRPr="008623D1" w:rsidRDefault="008623D1" w:rsidP="008623D1">
            <w:pPr>
              <w:spacing w:after="0"/>
              <w:jc w:val="center"/>
              <w:rPr>
                <w:bCs w:val="0"/>
                <w:color w:val="000000"/>
                <w:sz w:val="18"/>
                <w:szCs w:val="18"/>
                <w:lang w:eastAsia="fr-FR"/>
              </w:rPr>
            </w:pPr>
            <w:r w:rsidRPr="008623D1">
              <w:rPr>
                <w:bCs w:val="0"/>
                <w:color w:val="000000"/>
                <w:sz w:val="18"/>
                <w:szCs w:val="18"/>
                <w:lang w:eastAsia="fr-FR"/>
              </w:rPr>
              <w:t>7</w:t>
            </w:r>
          </w:p>
        </w:tc>
        <w:tc>
          <w:tcPr>
            <w:tcW w:w="6580" w:type="dxa"/>
            <w:tcBorders>
              <w:top w:val="nil"/>
              <w:left w:val="nil"/>
              <w:bottom w:val="nil"/>
              <w:right w:val="nil"/>
            </w:tcBorders>
            <w:shd w:val="clear" w:color="000000" w:fill="BDD7EE"/>
            <w:noWrap/>
            <w:vAlign w:val="bottom"/>
            <w:hideMark/>
          </w:tcPr>
          <w:p w:rsidR="008623D1" w:rsidRPr="008623D1" w:rsidRDefault="008623D1" w:rsidP="008623D1">
            <w:pPr>
              <w:spacing w:after="0"/>
              <w:jc w:val="left"/>
              <w:rPr>
                <w:bCs w:val="0"/>
                <w:color w:val="000000"/>
                <w:sz w:val="18"/>
                <w:szCs w:val="18"/>
                <w:lang w:val="en-US" w:eastAsia="fr-FR"/>
              </w:rPr>
            </w:pPr>
            <w:r w:rsidRPr="008623D1">
              <w:rPr>
                <w:bCs w:val="0"/>
                <w:color w:val="000000"/>
                <w:sz w:val="18"/>
                <w:szCs w:val="18"/>
                <w:lang w:val="en-US" w:eastAsia="fr-FR"/>
              </w:rPr>
              <w:t>SOCIETE KAMITUGA MINING S.A.R.L</w:t>
            </w:r>
          </w:p>
        </w:tc>
        <w:tc>
          <w:tcPr>
            <w:tcW w:w="1660" w:type="dxa"/>
            <w:tcBorders>
              <w:top w:val="nil"/>
              <w:left w:val="nil"/>
              <w:bottom w:val="nil"/>
              <w:right w:val="nil"/>
            </w:tcBorders>
            <w:shd w:val="clear" w:color="000000" w:fill="BDD7EE"/>
            <w:noWrap/>
            <w:vAlign w:val="bottom"/>
            <w:hideMark/>
          </w:tcPr>
          <w:p w:rsidR="008623D1" w:rsidRPr="008623D1" w:rsidRDefault="008623D1" w:rsidP="008623D1">
            <w:pPr>
              <w:spacing w:after="0"/>
              <w:jc w:val="right"/>
              <w:rPr>
                <w:bCs w:val="0"/>
                <w:color w:val="000000"/>
                <w:sz w:val="18"/>
                <w:szCs w:val="18"/>
                <w:lang w:eastAsia="fr-FR"/>
              </w:rPr>
            </w:pPr>
            <w:r w:rsidRPr="008623D1">
              <w:rPr>
                <w:bCs w:val="0"/>
                <w:color w:val="000000"/>
                <w:sz w:val="18"/>
                <w:szCs w:val="18"/>
                <w:lang w:eastAsia="fr-FR"/>
              </w:rPr>
              <w:t>93 087,33</w:t>
            </w:r>
          </w:p>
        </w:tc>
      </w:tr>
      <w:tr w:rsidR="008623D1" w:rsidRPr="008623D1" w:rsidTr="008623D1">
        <w:trPr>
          <w:trHeight w:val="288"/>
        </w:trPr>
        <w:tc>
          <w:tcPr>
            <w:tcW w:w="342" w:type="dxa"/>
            <w:tcBorders>
              <w:top w:val="nil"/>
              <w:left w:val="nil"/>
              <w:bottom w:val="nil"/>
              <w:right w:val="nil"/>
            </w:tcBorders>
            <w:shd w:val="clear" w:color="auto" w:fill="auto"/>
            <w:noWrap/>
            <w:vAlign w:val="bottom"/>
            <w:hideMark/>
          </w:tcPr>
          <w:p w:rsidR="008623D1" w:rsidRPr="008623D1" w:rsidRDefault="008623D1" w:rsidP="008623D1">
            <w:pPr>
              <w:spacing w:after="0"/>
              <w:jc w:val="center"/>
              <w:rPr>
                <w:bCs w:val="0"/>
                <w:color w:val="000000"/>
                <w:sz w:val="18"/>
                <w:szCs w:val="18"/>
                <w:lang w:eastAsia="fr-FR"/>
              </w:rPr>
            </w:pPr>
            <w:r w:rsidRPr="008623D1">
              <w:rPr>
                <w:bCs w:val="0"/>
                <w:color w:val="000000"/>
                <w:sz w:val="18"/>
                <w:szCs w:val="18"/>
                <w:lang w:eastAsia="fr-FR"/>
              </w:rPr>
              <w:t>8</w:t>
            </w:r>
          </w:p>
        </w:tc>
        <w:tc>
          <w:tcPr>
            <w:tcW w:w="6580" w:type="dxa"/>
            <w:tcBorders>
              <w:top w:val="nil"/>
              <w:left w:val="nil"/>
              <w:bottom w:val="nil"/>
              <w:right w:val="nil"/>
            </w:tcBorders>
            <w:shd w:val="clear" w:color="auto" w:fill="auto"/>
            <w:noWrap/>
            <w:vAlign w:val="bottom"/>
            <w:hideMark/>
          </w:tcPr>
          <w:p w:rsidR="008623D1" w:rsidRPr="008623D1" w:rsidRDefault="008623D1" w:rsidP="008623D1">
            <w:pPr>
              <w:spacing w:after="0"/>
              <w:jc w:val="left"/>
              <w:rPr>
                <w:bCs w:val="0"/>
                <w:color w:val="000000"/>
                <w:sz w:val="18"/>
                <w:szCs w:val="18"/>
                <w:lang w:eastAsia="fr-FR"/>
              </w:rPr>
            </w:pPr>
            <w:r w:rsidRPr="008623D1">
              <w:rPr>
                <w:bCs w:val="0"/>
                <w:color w:val="000000"/>
                <w:sz w:val="18"/>
                <w:szCs w:val="18"/>
                <w:lang w:eastAsia="fr-FR"/>
              </w:rPr>
              <w:t>JMT MINING</w:t>
            </w:r>
          </w:p>
        </w:tc>
        <w:tc>
          <w:tcPr>
            <w:tcW w:w="1660" w:type="dxa"/>
            <w:tcBorders>
              <w:top w:val="nil"/>
              <w:left w:val="nil"/>
              <w:bottom w:val="nil"/>
              <w:right w:val="nil"/>
            </w:tcBorders>
            <w:shd w:val="clear" w:color="auto" w:fill="auto"/>
            <w:noWrap/>
            <w:vAlign w:val="bottom"/>
            <w:hideMark/>
          </w:tcPr>
          <w:p w:rsidR="008623D1" w:rsidRPr="008623D1" w:rsidRDefault="008623D1" w:rsidP="008623D1">
            <w:pPr>
              <w:spacing w:after="0"/>
              <w:jc w:val="right"/>
              <w:rPr>
                <w:bCs w:val="0"/>
                <w:color w:val="000000"/>
                <w:sz w:val="18"/>
                <w:szCs w:val="18"/>
                <w:lang w:eastAsia="fr-FR"/>
              </w:rPr>
            </w:pPr>
            <w:r w:rsidRPr="008623D1">
              <w:rPr>
                <w:bCs w:val="0"/>
                <w:color w:val="000000"/>
                <w:sz w:val="18"/>
                <w:szCs w:val="18"/>
                <w:lang w:eastAsia="fr-FR"/>
              </w:rPr>
              <w:t>80 214,87</w:t>
            </w:r>
          </w:p>
        </w:tc>
      </w:tr>
      <w:tr w:rsidR="008623D1" w:rsidRPr="008623D1" w:rsidTr="008623D1">
        <w:trPr>
          <w:trHeight w:val="288"/>
        </w:trPr>
        <w:tc>
          <w:tcPr>
            <w:tcW w:w="342" w:type="dxa"/>
            <w:tcBorders>
              <w:top w:val="nil"/>
              <w:left w:val="nil"/>
              <w:bottom w:val="nil"/>
              <w:right w:val="nil"/>
            </w:tcBorders>
            <w:shd w:val="clear" w:color="000000" w:fill="BDD7EE"/>
            <w:noWrap/>
            <w:vAlign w:val="bottom"/>
            <w:hideMark/>
          </w:tcPr>
          <w:p w:rsidR="008623D1" w:rsidRPr="008623D1" w:rsidRDefault="008623D1" w:rsidP="008623D1">
            <w:pPr>
              <w:spacing w:after="0"/>
              <w:jc w:val="center"/>
              <w:rPr>
                <w:bCs w:val="0"/>
                <w:color w:val="000000"/>
                <w:sz w:val="18"/>
                <w:szCs w:val="18"/>
                <w:lang w:eastAsia="fr-FR"/>
              </w:rPr>
            </w:pPr>
            <w:r w:rsidRPr="008623D1">
              <w:rPr>
                <w:bCs w:val="0"/>
                <w:color w:val="000000"/>
                <w:sz w:val="18"/>
                <w:szCs w:val="18"/>
                <w:lang w:eastAsia="fr-FR"/>
              </w:rPr>
              <w:t>9</w:t>
            </w:r>
          </w:p>
        </w:tc>
        <w:tc>
          <w:tcPr>
            <w:tcW w:w="6580" w:type="dxa"/>
            <w:tcBorders>
              <w:top w:val="nil"/>
              <w:left w:val="nil"/>
              <w:bottom w:val="nil"/>
              <w:right w:val="nil"/>
            </w:tcBorders>
            <w:shd w:val="clear" w:color="000000" w:fill="BDD7EE"/>
            <w:noWrap/>
            <w:vAlign w:val="bottom"/>
            <w:hideMark/>
          </w:tcPr>
          <w:p w:rsidR="008623D1" w:rsidRPr="008623D1" w:rsidRDefault="008623D1" w:rsidP="008623D1">
            <w:pPr>
              <w:spacing w:after="0"/>
              <w:jc w:val="left"/>
              <w:rPr>
                <w:bCs w:val="0"/>
                <w:color w:val="000000"/>
                <w:sz w:val="18"/>
                <w:szCs w:val="18"/>
                <w:lang w:eastAsia="fr-FR"/>
              </w:rPr>
            </w:pPr>
            <w:r w:rsidRPr="008623D1">
              <w:rPr>
                <w:bCs w:val="0"/>
                <w:color w:val="000000"/>
                <w:sz w:val="18"/>
                <w:szCs w:val="18"/>
                <w:lang w:eastAsia="fr-FR"/>
              </w:rPr>
              <w:t>CLUFF MINING CONGO SPRL</w:t>
            </w:r>
          </w:p>
        </w:tc>
        <w:tc>
          <w:tcPr>
            <w:tcW w:w="1660" w:type="dxa"/>
            <w:tcBorders>
              <w:top w:val="nil"/>
              <w:left w:val="nil"/>
              <w:bottom w:val="nil"/>
              <w:right w:val="nil"/>
            </w:tcBorders>
            <w:shd w:val="clear" w:color="000000" w:fill="BDD7EE"/>
            <w:noWrap/>
            <w:vAlign w:val="bottom"/>
            <w:hideMark/>
          </w:tcPr>
          <w:p w:rsidR="008623D1" w:rsidRPr="008623D1" w:rsidRDefault="008623D1" w:rsidP="008623D1">
            <w:pPr>
              <w:spacing w:after="0"/>
              <w:jc w:val="right"/>
              <w:rPr>
                <w:bCs w:val="0"/>
                <w:color w:val="000000"/>
                <w:sz w:val="18"/>
                <w:szCs w:val="18"/>
                <w:lang w:eastAsia="fr-FR"/>
              </w:rPr>
            </w:pPr>
            <w:r w:rsidRPr="008623D1">
              <w:rPr>
                <w:bCs w:val="0"/>
                <w:color w:val="000000"/>
                <w:sz w:val="18"/>
                <w:szCs w:val="18"/>
                <w:lang w:eastAsia="fr-FR"/>
              </w:rPr>
              <w:t>52 686,77</w:t>
            </w:r>
          </w:p>
        </w:tc>
      </w:tr>
      <w:tr w:rsidR="008623D1" w:rsidRPr="008623D1" w:rsidTr="008623D1">
        <w:trPr>
          <w:trHeight w:val="288"/>
        </w:trPr>
        <w:tc>
          <w:tcPr>
            <w:tcW w:w="342" w:type="dxa"/>
            <w:tcBorders>
              <w:top w:val="nil"/>
              <w:left w:val="nil"/>
              <w:bottom w:val="nil"/>
              <w:right w:val="nil"/>
            </w:tcBorders>
            <w:shd w:val="clear" w:color="auto" w:fill="auto"/>
            <w:noWrap/>
            <w:vAlign w:val="bottom"/>
            <w:hideMark/>
          </w:tcPr>
          <w:p w:rsidR="008623D1" w:rsidRPr="008623D1" w:rsidRDefault="008623D1" w:rsidP="008623D1">
            <w:pPr>
              <w:spacing w:after="0"/>
              <w:jc w:val="center"/>
              <w:rPr>
                <w:bCs w:val="0"/>
                <w:color w:val="000000"/>
                <w:sz w:val="18"/>
                <w:szCs w:val="18"/>
                <w:lang w:eastAsia="fr-FR"/>
              </w:rPr>
            </w:pPr>
            <w:r w:rsidRPr="008623D1">
              <w:rPr>
                <w:bCs w:val="0"/>
                <w:color w:val="000000"/>
                <w:sz w:val="18"/>
                <w:szCs w:val="18"/>
                <w:lang w:eastAsia="fr-FR"/>
              </w:rPr>
              <w:t>10</w:t>
            </w:r>
          </w:p>
        </w:tc>
        <w:tc>
          <w:tcPr>
            <w:tcW w:w="6580" w:type="dxa"/>
            <w:tcBorders>
              <w:top w:val="nil"/>
              <w:left w:val="nil"/>
              <w:bottom w:val="nil"/>
              <w:right w:val="nil"/>
            </w:tcBorders>
            <w:shd w:val="clear" w:color="auto" w:fill="auto"/>
            <w:noWrap/>
            <w:vAlign w:val="bottom"/>
            <w:hideMark/>
          </w:tcPr>
          <w:p w:rsidR="008623D1" w:rsidRPr="008623D1" w:rsidRDefault="008623D1" w:rsidP="008623D1">
            <w:pPr>
              <w:spacing w:after="0"/>
              <w:jc w:val="left"/>
              <w:rPr>
                <w:bCs w:val="0"/>
                <w:color w:val="000000"/>
                <w:sz w:val="18"/>
                <w:szCs w:val="18"/>
                <w:lang w:eastAsia="fr-FR"/>
              </w:rPr>
            </w:pPr>
            <w:r w:rsidRPr="008623D1">
              <w:rPr>
                <w:bCs w:val="0"/>
                <w:color w:val="000000"/>
                <w:sz w:val="18"/>
                <w:szCs w:val="18"/>
                <w:lang w:eastAsia="fr-FR"/>
              </w:rPr>
              <w:t>SOCIETE MINIERE DE DIAMANT DE LUPATAPATA</w:t>
            </w:r>
          </w:p>
        </w:tc>
        <w:tc>
          <w:tcPr>
            <w:tcW w:w="1660" w:type="dxa"/>
            <w:tcBorders>
              <w:top w:val="nil"/>
              <w:left w:val="nil"/>
              <w:bottom w:val="nil"/>
              <w:right w:val="nil"/>
            </w:tcBorders>
            <w:shd w:val="clear" w:color="auto" w:fill="auto"/>
            <w:noWrap/>
            <w:vAlign w:val="bottom"/>
            <w:hideMark/>
          </w:tcPr>
          <w:p w:rsidR="008623D1" w:rsidRPr="008623D1" w:rsidRDefault="008623D1" w:rsidP="008623D1">
            <w:pPr>
              <w:spacing w:after="0"/>
              <w:jc w:val="right"/>
              <w:rPr>
                <w:bCs w:val="0"/>
                <w:color w:val="000000"/>
                <w:sz w:val="18"/>
                <w:szCs w:val="18"/>
                <w:lang w:eastAsia="fr-FR"/>
              </w:rPr>
            </w:pPr>
            <w:r w:rsidRPr="008623D1">
              <w:rPr>
                <w:bCs w:val="0"/>
                <w:color w:val="000000"/>
                <w:sz w:val="18"/>
                <w:szCs w:val="18"/>
                <w:lang w:eastAsia="fr-FR"/>
              </w:rPr>
              <w:t>50 179,69</w:t>
            </w:r>
          </w:p>
        </w:tc>
      </w:tr>
      <w:tr w:rsidR="008623D1" w:rsidRPr="008623D1" w:rsidTr="008623D1">
        <w:trPr>
          <w:trHeight w:val="288"/>
        </w:trPr>
        <w:tc>
          <w:tcPr>
            <w:tcW w:w="342" w:type="dxa"/>
            <w:tcBorders>
              <w:top w:val="nil"/>
              <w:left w:val="nil"/>
              <w:bottom w:val="nil"/>
              <w:right w:val="nil"/>
            </w:tcBorders>
            <w:shd w:val="clear" w:color="000000" w:fill="BDD7EE"/>
            <w:noWrap/>
            <w:vAlign w:val="bottom"/>
            <w:hideMark/>
          </w:tcPr>
          <w:p w:rsidR="008623D1" w:rsidRPr="008623D1" w:rsidRDefault="008623D1" w:rsidP="008623D1">
            <w:pPr>
              <w:spacing w:after="0"/>
              <w:jc w:val="center"/>
              <w:rPr>
                <w:bCs w:val="0"/>
                <w:color w:val="000000"/>
                <w:sz w:val="18"/>
                <w:szCs w:val="18"/>
                <w:lang w:eastAsia="fr-FR"/>
              </w:rPr>
            </w:pPr>
            <w:r w:rsidRPr="008623D1">
              <w:rPr>
                <w:bCs w:val="0"/>
                <w:color w:val="000000"/>
                <w:sz w:val="18"/>
                <w:szCs w:val="18"/>
                <w:lang w:eastAsia="fr-FR"/>
              </w:rPr>
              <w:t>11</w:t>
            </w:r>
          </w:p>
        </w:tc>
        <w:tc>
          <w:tcPr>
            <w:tcW w:w="6580" w:type="dxa"/>
            <w:tcBorders>
              <w:top w:val="nil"/>
              <w:left w:val="nil"/>
              <w:bottom w:val="nil"/>
              <w:right w:val="nil"/>
            </w:tcBorders>
            <w:shd w:val="clear" w:color="000000" w:fill="BDD7EE"/>
            <w:noWrap/>
            <w:vAlign w:val="bottom"/>
            <w:hideMark/>
          </w:tcPr>
          <w:p w:rsidR="008623D1" w:rsidRPr="008623D1" w:rsidRDefault="008623D1" w:rsidP="008623D1">
            <w:pPr>
              <w:spacing w:after="0"/>
              <w:jc w:val="left"/>
              <w:rPr>
                <w:bCs w:val="0"/>
                <w:color w:val="000000"/>
                <w:sz w:val="18"/>
                <w:szCs w:val="18"/>
                <w:lang w:eastAsia="fr-FR"/>
              </w:rPr>
            </w:pPr>
            <w:r w:rsidRPr="008623D1">
              <w:rPr>
                <w:bCs w:val="0"/>
                <w:color w:val="000000"/>
                <w:sz w:val="18"/>
                <w:szCs w:val="18"/>
                <w:lang w:eastAsia="fr-FR"/>
              </w:rPr>
              <w:t>SOCOMEX</w:t>
            </w:r>
          </w:p>
        </w:tc>
        <w:tc>
          <w:tcPr>
            <w:tcW w:w="1660" w:type="dxa"/>
            <w:tcBorders>
              <w:top w:val="nil"/>
              <w:left w:val="nil"/>
              <w:bottom w:val="nil"/>
              <w:right w:val="nil"/>
            </w:tcBorders>
            <w:shd w:val="clear" w:color="000000" w:fill="BDD7EE"/>
            <w:noWrap/>
            <w:vAlign w:val="bottom"/>
            <w:hideMark/>
          </w:tcPr>
          <w:p w:rsidR="008623D1" w:rsidRPr="008623D1" w:rsidRDefault="008623D1" w:rsidP="008623D1">
            <w:pPr>
              <w:spacing w:after="0"/>
              <w:jc w:val="right"/>
              <w:rPr>
                <w:bCs w:val="0"/>
                <w:color w:val="000000"/>
                <w:sz w:val="18"/>
                <w:szCs w:val="18"/>
                <w:lang w:eastAsia="fr-FR"/>
              </w:rPr>
            </w:pPr>
            <w:r w:rsidRPr="008623D1">
              <w:rPr>
                <w:bCs w:val="0"/>
                <w:color w:val="000000"/>
                <w:sz w:val="18"/>
                <w:szCs w:val="18"/>
                <w:lang w:eastAsia="fr-FR"/>
              </w:rPr>
              <w:t>47 562,26</w:t>
            </w:r>
          </w:p>
        </w:tc>
      </w:tr>
      <w:tr w:rsidR="008623D1" w:rsidRPr="008623D1" w:rsidTr="008623D1">
        <w:trPr>
          <w:trHeight w:val="288"/>
        </w:trPr>
        <w:tc>
          <w:tcPr>
            <w:tcW w:w="342" w:type="dxa"/>
            <w:tcBorders>
              <w:top w:val="nil"/>
              <w:left w:val="nil"/>
              <w:bottom w:val="nil"/>
              <w:right w:val="nil"/>
            </w:tcBorders>
            <w:shd w:val="clear" w:color="auto" w:fill="auto"/>
            <w:noWrap/>
            <w:vAlign w:val="bottom"/>
            <w:hideMark/>
          </w:tcPr>
          <w:p w:rsidR="008623D1" w:rsidRPr="008623D1" w:rsidRDefault="008623D1" w:rsidP="008623D1">
            <w:pPr>
              <w:spacing w:after="0"/>
              <w:jc w:val="center"/>
              <w:rPr>
                <w:bCs w:val="0"/>
                <w:color w:val="000000"/>
                <w:sz w:val="18"/>
                <w:szCs w:val="18"/>
                <w:lang w:eastAsia="fr-FR"/>
              </w:rPr>
            </w:pPr>
            <w:r w:rsidRPr="008623D1">
              <w:rPr>
                <w:bCs w:val="0"/>
                <w:color w:val="000000"/>
                <w:sz w:val="18"/>
                <w:szCs w:val="18"/>
                <w:lang w:eastAsia="fr-FR"/>
              </w:rPr>
              <w:t>12</w:t>
            </w:r>
          </w:p>
        </w:tc>
        <w:tc>
          <w:tcPr>
            <w:tcW w:w="6580" w:type="dxa"/>
            <w:tcBorders>
              <w:top w:val="nil"/>
              <w:left w:val="nil"/>
              <w:bottom w:val="nil"/>
              <w:right w:val="nil"/>
            </w:tcBorders>
            <w:shd w:val="clear" w:color="auto" w:fill="auto"/>
            <w:noWrap/>
            <w:vAlign w:val="bottom"/>
            <w:hideMark/>
          </w:tcPr>
          <w:p w:rsidR="008623D1" w:rsidRPr="008623D1" w:rsidRDefault="008623D1" w:rsidP="008623D1">
            <w:pPr>
              <w:spacing w:after="0"/>
              <w:jc w:val="left"/>
              <w:rPr>
                <w:bCs w:val="0"/>
                <w:color w:val="000000"/>
                <w:sz w:val="18"/>
                <w:szCs w:val="18"/>
                <w:lang w:eastAsia="fr-FR"/>
              </w:rPr>
            </w:pPr>
            <w:r w:rsidRPr="008623D1">
              <w:rPr>
                <w:bCs w:val="0"/>
                <w:color w:val="000000"/>
                <w:sz w:val="18"/>
                <w:szCs w:val="18"/>
                <w:lang w:eastAsia="fr-FR"/>
              </w:rPr>
              <w:t>SOCIETE MINIERE DE KOLWEZI</w:t>
            </w:r>
          </w:p>
        </w:tc>
        <w:tc>
          <w:tcPr>
            <w:tcW w:w="1660" w:type="dxa"/>
            <w:tcBorders>
              <w:top w:val="nil"/>
              <w:left w:val="nil"/>
              <w:bottom w:val="nil"/>
              <w:right w:val="nil"/>
            </w:tcBorders>
            <w:shd w:val="clear" w:color="auto" w:fill="auto"/>
            <w:noWrap/>
            <w:vAlign w:val="bottom"/>
            <w:hideMark/>
          </w:tcPr>
          <w:p w:rsidR="008623D1" w:rsidRPr="008623D1" w:rsidRDefault="008623D1" w:rsidP="008623D1">
            <w:pPr>
              <w:spacing w:after="0"/>
              <w:jc w:val="right"/>
              <w:rPr>
                <w:bCs w:val="0"/>
                <w:color w:val="000000"/>
                <w:sz w:val="18"/>
                <w:szCs w:val="18"/>
                <w:lang w:eastAsia="fr-FR"/>
              </w:rPr>
            </w:pPr>
            <w:r w:rsidRPr="008623D1">
              <w:rPr>
                <w:bCs w:val="0"/>
                <w:color w:val="000000"/>
                <w:sz w:val="18"/>
                <w:szCs w:val="18"/>
                <w:lang w:eastAsia="fr-FR"/>
              </w:rPr>
              <w:t>45 687,31</w:t>
            </w:r>
          </w:p>
        </w:tc>
      </w:tr>
      <w:tr w:rsidR="008623D1" w:rsidRPr="008623D1" w:rsidTr="008623D1">
        <w:trPr>
          <w:trHeight w:val="288"/>
        </w:trPr>
        <w:tc>
          <w:tcPr>
            <w:tcW w:w="342" w:type="dxa"/>
            <w:tcBorders>
              <w:top w:val="nil"/>
              <w:left w:val="nil"/>
              <w:bottom w:val="nil"/>
              <w:right w:val="nil"/>
            </w:tcBorders>
            <w:shd w:val="clear" w:color="000000" w:fill="BDD7EE"/>
            <w:noWrap/>
            <w:vAlign w:val="bottom"/>
            <w:hideMark/>
          </w:tcPr>
          <w:p w:rsidR="008623D1" w:rsidRPr="008623D1" w:rsidRDefault="008623D1" w:rsidP="008623D1">
            <w:pPr>
              <w:spacing w:after="0"/>
              <w:jc w:val="center"/>
              <w:rPr>
                <w:bCs w:val="0"/>
                <w:color w:val="000000"/>
                <w:sz w:val="18"/>
                <w:szCs w:val="18"/>
                <w:lang w:eastAsia="fr-FR"/>
              </w:rPr>
            </w:pPr>
            <w:r w:rsidRPr="008623D1">
              <w:rPr>
                <w:bCs w:val="0"/>
                <w:color w:val="000000"/>
                <w:sz w:val="18"/>
                <w:szCs w:val="18"/>
                <w:lang w:eastAsia="fr-FR"/>
              </w:rPr>
              <w:t>13</w:t>
            </w:r>
          </w:p>
        </w:tc>
        <w:tc>
          <w:tcPr>
            <w:tcW w:w="6580" w:type="dxa"/>
            <w:tcBorders>
              <w:top w:val="nil"/>
              <w:left w:val="nil"/>
              <w:bottom w:val="nil"/>
              <w:right w:val="nil"/>
            </w:tcBorders>
            <w:shd w:val="clear" w:color="000000" w:fill="BDD7EE"/>
            <w:noWrap/>
            <w:vAlign w:val="bottom"/>
            <w:hideMark/>
          </w:tcPr>
          <w:p w:rsidR="008623D1" w:rsidRPr="008623D1" w:rsidRDefault="008623D1" w:rsidP="008623D1">
            <w:pPr>
              <w:spacing w:after="0"/>
              <w:jc w:val="left"/>
              <w:rPr>
                <w:bCs w:val="0"/>
                <w:color w:val="000000"/>
                <w:sz w:val="18"/>
                <w:szCs w:val="18"/>
                <w:lang w:eastAsia="fr-FR"/>
              </w:rPr>
            </w:pPr>
            <w:r w:rsidRPr="008623D1">
              <w:rPr>
                <w:bCs w:val="0"/>
                <w:color w:val="000000"/>
                <w:sz w:val="18"/>
                <w:szCs w:val="18"/>
                <w:lang w:eastAsia="fr-FR"/>
              </w:rPr>
              <w:t>MURUMBI MINERALS SPRL</w:t>
            </w:r>
          </w:p>
        </w:tc>
        <w:tc>
          <w:tcPr>
            <w:tcW w:w="1660" w:type="dxa"/>
            <w:tcBorders>
              <w:top w:val="nil"/>
              <w:left w:val="nil"/>
              <w:bottom w:val="nil"/>
              <w:right w:val="nil"/>
            </w:tcBorders>
            <w:shd w:val="clear" w:color="000000" w:fill="BDD7EE"/>
            <w:noWrap/>
            <w:vAlign w:val="bottom"/>
            <w:hideMark/>
          </w:tcPr>
          <w:p w:rsidR="008623D1" w:rsidRPr="008623D1" w:rsidRDefault="008623D1" w:rsidP="008623D1">
            <w:pPr>
              <w:spacing w:after="0"/>
              <w:jc w:val="right"/>
              <w:rPr>
                <w:bCs w:val="0"/>
                <w:color w:val="000000"/>
                <w:sz w:val="18"/>
                <w:szCs w:val="18"/>
                <w:lang w:eastAsia="fr-FR"/>
              </w:rPr>
            </w:pPr>
            <w:r w:rsidRPr="008623D1">
              <w:rPr>
                <w:bCs w:val="0"/>
                <w:color w:val="000000"/>
                <w:sz w:val="18"/>
                <w:szCs w:val="18"/>
                <w:lang w:eastAsia="fr-FR"/>
              </w:rPr>
              <w:t>45 558,48</w:t>
            </w:r>
          </w:p>
        </w:tc>
      </w:tr>
      <w:tr w:rsidR="008623D1" w:rsidRPr="008623D1" w:rsidTr="008623D1">
        <w:trPr>
          <w:trHeight w:val="288"/>
        </w:trPr>
        <w:tc>
          <w:tcPr>
            <w:tcW w:w="342" w:type="dxa"/>
            <w:tcBorders>
              <w:top w:val="nil"/>
              <w:left w:val="nil"/>
              <w:bottom w:val="nil"/>
              <w:right w:val="nil"/>
            </w:tcBorders>
            <w:shd w:val="clear" w:color="auto" w:fill="auto"/>
            <w:noWrap/>
            <w:vAlign w:val="bottom"/>
            <w:hideMark/>
          </w:tcPr>
          <w:p w:rsidR="008623D1" w:rsidRPr="008623D1" w:rsidRDefault="008623D1" w:rsidP="008623D1">
            <w:pPr>
              <w:spacing w:after="0"/>
              <w:jc w:val="center"/>
              <w:rPr>
                <w:bCs w:val="0"/>
                <w:color w:val="000000"/>
                <w:sz w:val="18"/>
                <w:szCs w:val="18"/>
                <w:lang w:eastAsia="fr-FR"/>
              </w:rPr>
            </w:pPr>
            <w:r w:rsidRPr="008623D1">
              <w:rPr>
                <w:bCs w:val="0"/>
                <w:color w:val="000000"/>
                <w:sz w:val="18"/>
                <w:szCs w:val="18"/>
                <w:lang w:eastAsia="fr-FR"/>
              </w:rPr>
              <w:t>14</w:t>
            </w:r>
          </w:p>
        </w:tc>
        <w:tc>
          <w:tcPr>
            <w:tcW w:w="6580" w:type="dxa"/>
            <w:tcBorders>
              <w:top w:val="nil"/>
              <w:left w:val="nil"/>
              <w:bottom w:val="nil"/>
              <w:right w:val="nil"/>
            </w:tcBorders>
            <w:shd w:val="clear" w:color="auto" w:fill="auto"/>
            <w:noWrap/>
            <w:vAlign w:val="bottom"/>
            <w:hideMark/>
          </w:tcPr>
          <w:p w:rsidR="008623D1" w:rsidRPr="008623D1" w:rsidRDefault="008623D1" w:rsidP="008623D1">
            <w:pPr>
              <w:spacing w:after="0"/>
              <w:jc w:val="left"/>
              <w:rPr>
                <w:bCs w:val="0"/>
                <w:color w:val="000000"/>
                <w:sz w:val="18"/>
                <w:szCs w:val="18"/>
                <w:lang w:eastAsia="fr-FR"/>
              </w:rPr>
            </w:pPr>
            <w:r w:rsidRPr="008623D1">
              <w:rPr>
                <w:bCs w:val="0"/>
                <w:color w:val="000000"/>
                <w:sz w:val="18"/>
                <w:szCs w:val="18"/>
                <w:lang w:eastAsia="fr-FR"/>
              </w:rPr>
              <w:t>ENTREPRISE MINIERE DE MOSOSHI</w:t>
            </w:r>
          </w:p>
        </w:tc>
        <w:tc>
          <w:tcPr>
            <w:tcW w:w="1660" w:type="dxa"/>
            <w:tcBorders>
              <w:top w:val="nil"/>
              <w:left w:val="nil"/>
              <w:bottom w:val="nil"/>
              <w:right w:val="nil"/>
            </w:tcBorders>
            <w:shd w:val="clear" w:color="auto" w:fill="auto"/>
            <w:noWrap/>
            <w:vAlign w:val="bottom"/>
            <w:hideMark/>
          </w:tcPr>
          <w:p w:rsidR="008623D1" w:rsidRPr="008623D1" w:rsidRDefault="008623D1" w:rsidP="008623D1">
            <w:pPr>
              <w:spacing w:after="0"/>
              <w:jc w:val="right"/>
              <w:rPr>
                <w:bCs w:val="0"/>
                <w:color w:val="000000"/>
                <w:sz w:val="18"/>
                <w:szCs w:val="18"/>
                <w:lang w:eastAsia="fr-FR"/>
              </w:rPr>
            </w:pPr>
            <w:r w:rsidRPr="008623D1">
              <w:rPr>
                <w:bCs w:val="0"/>
                <w:color w:val="000000"/>
                <w:sz w:val="18"/>
                <w:szCs w:val="18"/>
                <w:lang w:eastAsia="fr-FR"/>
              </w:rPr>
              <w:t>36 598,21</w:t>
            </w:r>
          </w:p>
        </w:tc>
      </w:tr>
      <w:tr w:rsidR="008623D1" w:rsidRPr="008623D1" w:rsidTr="008623D1">
        <w:trPr>
          <w:trHeight w:val="288"/>
        </w:trPr>
        <w:tc>
          <w:tcPr>
            <w:tcW w:w="342" w:type="dxa"/>
            <w:tcBorders>
              <w:top w:val="nil"/>
              <w:left w:val="nil"/>
              <w:bottom w:val="nil"/>
              <w:right w:val="nil"/>
            </w:tcBorders>
            <w:shd w:val="clear" w:color="000000" w:fill="BDD7EE"/>
            <w:noWrap/>
            <w:vAlign w:val="bottom"/>
            <w:hideMark/>
          </w:tcPr>
          <w:p w:rsidR="008623D1" w:rsidRPr="008623D1" w:rsidRDefault="008623D1" w:rsidP="008623D1">
            <w:pPr>
              <w:spacing w:after="0"/>
              <w:jc w:val="center"/>
              <w:rPr>
                <w:bCs w:val="0"/>
                <w:color w:val="000000"/>
                <w:sz w:val="18"/>
                <w:szCs w:val="18"/>
                <w:lang w:eastAsia="fr-FR"/>
              </w:rPr>
            </w:pPr>
            <w:r w:rsidRPr="008623D1">
              <w:rPr>
                <w:bCs w:val="0"/>
                <w:color w:val="000000"/>
                <w:sz w:val="18"/>
                <w:szCs w:val="18"/>
                <w:lang w:eastAsia="fr-FR"/>
              </w:rPr>
              <w:t>15</w:t>
            </w:r>
          </w:p>
        </w:tc>
        <w:tc>
          <w:tcPr>
            <w:tcW w:w="6580" w:type="dxa"/>
            <w:tcBorders>
              <w:top w:val="nil"/>
              <w:left w:val="nil"/>
              <w:bottom w:val="nil"/>
              <w:right w:val="nil"/>
            </w:tcBorders>
            <w:shd w:val="clear" w:color="000000" w:fill="BDD7EE"/>
            <w:noWrap/>
            <w:vAlign w:val="bottom"/>
            <w:hideMark/>
          </w:tcPr>
          <w:p w:rsidR="008623D1" w:rsidRPr="008623D1" w:rsidRDefault="008623D1" w:rsidP="008623D1">
            <w:pPr>
              <w:spacing w:after="0"/>
              <w:jc w:val="left"/>
              <w:rPr>
                <w:bCs w:val="0"/>
                <w:color w:val="000000"/>
                <w:sz w:val="18"/>
                <w:szCs w:val="18"/>
                <w:lang w:eastAsia="fr-FR"/>
              </w:rPr>
            </w:pPr>
            <w:r w:rsidRPr="008623D1">
              <w:rPr>
                <w:bCs w:val="0"/>
                <w:color w:val="000000"/>
                <w:sz w:val="18"/>
                <w:szCs w:val="18"/>
                <w:lang w:eastAsia="fr-FR"/>
              </w:rPr>
              <w:t>SOCIETE D'EXPLOITATION DES GISEMENTS DE MALEMBA NKULU SPRL</w:t>
            </w:r>
          </w:p>
        </w:tc>
        <w:tc>
          <w:tcPr>
            <w:tcW w:w="1660" w:type="dxa"/>
            <w:tcBorders>
              <w:top w:val="nil"/>
              <w:left w:val="nil"/>
              <w:bottom w:val="nil"/>
              <w:right w:val="nil"/>
            </w:tcBorders>
            <w:shd w:val="clear" w:color="000000" w:fill="BDD7EE"/>
            <w:noWrap/>
            <w:vAlign w:val="bottom"/>
            <w:hideMark/>
          </w:tcPr>
          <w:p w:rsidR="008623D1" w:rsidRPr="008623D1" w:rsidRDefault="008623D1" w:rsidP="008623D1">
            <w:pPr>
              <w:spacing w:after="0"/>
              <w:jc w:val="right"/>
              <w:rPr>
                <w:bCs w:val="0"/>
                <w:color w:val="000000"/>
                <w:sz w:val="18"/>
                <w:szCs w:val="18"/>
                <w:lang w:eastAsia="fr-FR"/>
              </w:rPr>
            </w:pPr>
            <w:r w:rsidRPr="008623D1">
              <w:rPr>
                <w:bCs w:val="0"/>
                <w:color w:val="000000"/>
                <w:sz w:val="18"/>
                <w:szCs w:val="18"/>
                <w:lang w:eastAsia="fr-FR"/>
              </w:rPr>
              <w:t>25 286,03</w:t>
            </w:r>
          </w:p>
        </w:tc>
      </w:tr>
      <w:tr w:rsidR="008623D1" w:rsidRPr="008623D1" w:rsidTr="008623D1">
        <w:trPr>
          <w:trHeight w:val="288"/>
        </w:trPr>
        <w:tc>
          <w:tcPr>
            <w:tcW w:w="342" w:type="dxa"/>
            <w:tcBorders>
              <w:top w:val="nil"/>
              <w:left w:val="nil"/>
              <w:bottom w:val="nil"/>
              <w:right w:val="nil"/>
            </w:tcBorders>
            <w:shd w:val="clear" w:color="auto" w:fill="auto"/>
            <w:noWrap/>
            <w:vAlign w:val="bottom"/>
            <w:hideMark/>
          </w:tcPr>
          <w:p w:rsidR="008623D1" w:rsidRPr="008623D1" w:rsidRDefault="008623D1" w:rsidP="008623D1">
            <w:pPr>
              <w:spacing w:after="0"/>
              <w:jc w:val="center"/>
              <w:rPr>
                <w:bCs w:val="0"/>
                <w:color w:val="000000"/>
                <w:sz w:val="18"/>
                <w:szCs w:val="18"/>
                <w:lang w:eastAsia="fr-FR"/>
              </w:rPr>
            </w:pPr>
            <w:r w:rsidRPr="008623D1">
              <w:rPr>
                <w:bCs w:val="0"/>
                <w:color w:val="000000"/>
                <w:sz w:val="18"/>
                <w:szCs w:val="18"/>
                <w:lang w:eastAsia="fr-FR"/>
              </w:rPr>
              <w:t>16</w:t>
            </w:r>
          </w:p>
        </w:tc>
        <w:tc>
          <w:tcPr>
            <w:tcW w:w="6580" w:type="dxa"/>
            <w:tcBorders>
              <w:top w:val="nil"/>
              <w:left w:val="nil"/>
              <w:bottom w:val="nil"/>
              <w:right w:val="nil"/>
            </w:tcBorders>
            <w:shd w:val="clear" w:color="auto" w:fill="auto"/>
            <w:noWrap/>
            <w:vAlign w:val="bottom"/>
            <w:hideMark/>
          </w:tcPr>
          <w:p w:rsidR="008623D1" w:rsidRPr="008623D1" w:rsidRDefault="008623D1" w:rsidP="008623D1">
            <w:pPr>
              <w:spacing w:after="0"/>
              <w:jc w:val="left"/>
              <w:rPr>
                <w:bCs w:val="0"/>
                <w:color w:val="000000"/>
                <w:sz w:val="18"/>
                <w:szCs w:val="18"/>
                <w:lang w:eastAsia="fr-FR"/>
              </w:rPr>
            </w:pPr>
            <w:r w:rsidRPr="008623D1">
              <w:rPr>
                <w:bCs w:val="0"/>
                <w:color w:val="000000"/>
                <w:sz w:val="18"/>
                <w:szCs w:val="18"/>
                <w:lang w:eastAsia="fr-FR"/>
              </w:rPr>
              <w:t>DE BEERS RDC EXPLORATION SARL</w:t>
            </w:r>
          </w:p>
        </w:tc>
        <w:tc>
          <w:tcPr>
            <w:tcW w:w="1660" w:type="dxa"/>
            <w:tcBorders>
              <w:top w:val="nil"/>
              <w:left w:val="nil"/>
              <w:bottom w:val="nil"/>
              <w:right w:val="nil"/>
            </w:tcBorders>
            <w:shd w:val="clear" w:color="auto" w:fill="auto"/>
            <w:noWrap/>
            <w:vAlign w:val="bottom"/>
            <w:hideMark/>
          </w:tcPr>
          <w:p w:rsidR="008623D1" w:rsidRPr="008623D1" w:rsidRDefault="008623D1" w:rsidP="008623D1">
            <w:pPr>
              <w:spacing w:after="0"/>
              <w:jc w:val="right"/>
              <w:rPr>
                <w:bCs w:val="0"/>
                <w:color w:val="000000"/>
                <w:sz w:val="18"/>
                <w:szCs w:val="18"/>
                <w:lang w:eastAsia="fr-FR"/>
              </w:rPr>
            </w:pPr>
            <w:r w:rsidRPr="008623D1">
              <w:rPr>
                <w:bCs w:val="0"/>
                <w:color w:val="000000"/>
                <w:sz w:val="18"/>
                <w:szCs w:val="18"/>
                <w:lang w:eastAsia="fr-FR"/>
              </w:rPr>
              <w:t>13 562,83</w:t>
            </w:r>
          </w:p>
        </w:tc>
      </w:tr>
      <w:tr w:rsidR="008623D1" w:rsidRPr="008623D1" w:rsidTr="008623D1">
        <w:trPr>
          <w:trHeight w:val="288"/>
        </w:trPr>
        <w:tc>
          <w:tcPr>
            <w:tcW w:w="342" w:type="dxa"/>
            <w:tcBorders>
              <w:top w:val="nil"/>
              <w:left w:val="nil"/>
              <w:bottom w:val="nil"/>
              <w:right w:val="nil"/>
            </w:tcBorders>
            <w:shd w:val="clear" w:color="000000" w:fill="BDD7EE"/>
            <w:noWrap/>
            <w:vAlign w:val="bottom"/>
            <w:hideMark/>
          </w:tcPr>
          <w:p w:rsidR="008623D1" w:rsidRPr="008623D1" w:rsidRDefault="008623D1" w:rsidP="008623D1">
            <w:pPr>
              <w:spacing w:after="0"/>
              <w:jc w:val="center"/>
              <w:rPr>
                <w:bCs w:val="0"/>
                <w:color w:val="000000"/>
                <w:sz w:val="18"/>
                <w:szCs w:val="18"/>
                <w:lang w:eastAsia="fr-FR"/>
              </w:rPr>
            </w:pPr>
            <w:r w:rsidRPr="008623D1">
              <w:rPr>
                <w:bCs w:val="0"/>
                <w:color w:val="000000"/>
                <w:sz w:val="18"/>
                <w:szCs w:val="18"/>
                <w:lang w:eastAsia="fr-FR"/>
              </w:rPr>
              <w:t>17</w:t>
            </w:r>
          </w:p>
        </w:tc>
        <w:tc>
          <w:tcPr>
            <w:tcW w:w="6580" w:type="dxa"/>
            <w:tcBorders>
              <w:top w:val="nil"/>
              <w:left w:val="nil"/>
              <w:bottom w:val="nil"/>
              <w:right w:val="nil"/>
            </w:tcBorders>
            <w:shd w:val="clear" w:color="000000" w:fill="BDD7EE"/>
            <w:noWrap/>
            <w:vAlign w:val="bottom"/>
            <w:hideMark/>
          </w:tcPr>
          <w:p w:rsidR="008623D1" w:rsidRPr="008623D1" w:rsidRDefault="008623D1" w:rsidP="008623D1">
            <w:pPr>
              <w:spacing w:after="0"/>
              <w:jc w:val="left"/>
              <w:rPr>
                <w:bCs w:val="0"/>
                <w:color w:val="000000"/>
                <w:sz w:val="18"/>
                <w:szCs w:val="18"/>
                <w:lang w:eastAsia="fr-FR"/>
              </w:rPr>
            </w:pPr>
            <w:r w:rsidRPr="008623D1">
              <w:rPr>
                <w:bCs w:val="0"/>
                <w:color w:val="000000"/>
                <w:sz w:val="18"/>
                <w:szCs w:val="18"/>
                <w:lang w:eastAsia="fr-FR"/>
              </w:rPr>
              <w:t>CHABARA</w:t>
            </w:r>
          </w:p>
        </w:tc>
        <w:tc>
          <w:tcPr>
            <w:tcW w:w="1660" w:type="dxa"/>
            <w:tcBorders>
              <w:top w:val="nil"/>
              <w:left w:val="nil"/>
              <w:bottom w:val="nil"/>
              <w:right w:val="nil"/>
            </w:tcBorders>
            <w:shd w:val="clear" w:color="000000" w:fill="BDD7EE"/>
            <w:noWrap/>
            <w:vAlign w:val="bottom"/>
            <w:hideMark/>
          </w:tcPr>
          <w:p w:rsidR="008623D1" w:rsidRPr="008623D1" w:rsidRDefault="008623D1" w:rsidP="008623D1">
            <w:pPr>
              <w:spacing w:after="0"/>
              <w:jc w:val="right"/>
              <w:rPr>
                <w:bCs w:val="0"/>
                <w:color w:val="000000"/>
                <w:sz w:val="18"/>
                <w:szCs w:val="18"/>
                <w:lang w:eastAsia="fr-FR"/>
              </w:rPr>
            </w:pPr>
            <w:r w:rsidRPr="008623D1">
              <w:rPr>
                <w:bCs w:val="0"/>
                <w:color w:val="000000"/>
                <w:sz w:val="18"/>
                <w:szCs w:val="18"/>
                <w:lang w:eastAsia="fr-FR"/>
              </w:rPr>
              <w:t>13 166,87</w:t>
            </w:r>
          </w:p>
        </w:tc>
      </w:tr>
      <w:tr w:rsidR="00911A73" w:rsidRPr="008623D1" w:rsidTr="00911A73">
        <w:trPr>
          <w:trHeight w:val="288"/>
        </w:trPr>
        <w:tc>
          <w:tcPr>
            <w:tcW w:w="342" w:type="dxa"/>
            <w:tcBorders>
              <w:top w:val="nil"/>
              <w:left w:val="nil"/>
              <w:right w:val="nil"/>
            </w:tcBorders>
            <w:shd w:val="clear" w:color="auto" w:fill="auto"/>
            <w:noWrap/>
            <w:vAlign w:val="bottom"/>
            <w:hideMark/>
          </w:tcPr>
          <w:p w:rsidR="00911A73" w:rsidRDefault="00911A73" w:rsidP="008623D1">
            <w:pPr>
              <w:spacing w:after="0"/>
              <w:jc w:val="center"/>
              <w:rPr>
                <w:bCs w:val="0"/>
                <w:color w:val="000000"/>
                <w:sz w:val="18"/>
                <w:szCs w:val="18"/>
                <w:lang w:eastAsia="fr-FR"/>
              </w:rPr>
            </w:pPr>
            <w:r>
              <w:rPr>
                <w:bCs w:val="0"/>
                <w:color w:val="000000"/>
                <w:sz w:val="18"/>
                <w:szCs w:val="18"/>
                <w:lang w:eastAsia="fr-FR"/>
              </w:rPr>
              <w:t>18</w:t>
            </w:r>
          </w:p>
        </w:tc>
        <w:tc>
          <w:tcPr>
            <w:tcW w:w="6580" w:type="dxa"/>
            <w:tcBorders>
              <w:top w:val="nil"/>
              <w:left w:val="nil"/>
              <w:right w:val="nil"/>
            </w:tcBorders>
            <w:shd w:val="clear" w:color="auto" w:fill="auto"/>
            <w:noWrap/>
            <w:vAlign w:val="bottom"/>
            <w:hideMark/>
          </w:tcPr>
          <w:p w:rsidR="00911A73" w:rsidRPr="008623D1" w:rsidRDefault="00911A73" w:rsidP="008623D1">
            <w:pPr>
              <w:spacing w:after="0"/>
              <w:jc w:val="left"/>
              <w:rPr>
                <w:bCs w:val="0"/>
                <w:color w:val="000000"/>
                <w:sz w:val="18"/>
                <w:szCs w:val="18"/>
                <w:lang w:eastAsia="fr-FR"/>
              </w:rPr>
            </w:pPr>
            <w:r>
              <w:rPr>
                <w:bCs w:val="0"/>
                <w:color w:val="000000"/>
                <w:sz w:val="18"/>
                <w:szCs w:val="18"/>
                <w:lang w:eastAsia="fr-FR"/>
              </w:rPr>
              <w:t>ORAMA</w:t>
            </w:r>
          </w:p>
        </w:tc>
        <w:tc>
          <w:tcPr>
            <w:tcW w:w="1660" w:type="dxa"/>
            <w:tcBorders>
              <w:top w:val="nil"/>
              <w:left w:val="nil"/>
              <w:right w:val="nil"/>
            </w:tcBorders>
            <w:shd w:val="clear" w:color="auto" w:fill="auto"/>
            <w:noWrap/>
            <w:vAlign w:val="bottom"/>
            <w:hideMark/>
          </w:tcPr>
          <w:p w:rsidR="00911A73" w:rsidRPr="008623D1" w:rsidRDefault="00911A73" w:rsidP="008623D1">
            <w:pPr>
              <w:spacing w:after="0"/>
              <w:jc w:val="right"/>
              <w:rPr>
                <w:bCs w:val="0"/>
                <w:color w:val="000000"/>
                <w:sz w:val="18"/>
                <w:szCs w:val="18"/>
                <w:lang w:eastAsia="fr-FR"/>
              </w:rPr>
            </w:pPr>
            <w:r>
              <w:rPr>
                <w:bCs w:val="0"/>
                <w:color w:val="000000"/>
                <w:sz w:val="18"/>
                <w:szCs w:val="18"/>
                <w:lang w:eastAsia="fr-FR"/>
              </w:rPr>
              <w:t>10 000,00</w:t>
            </w:r>
          </w:p>
        </w:tc>
      </w:tr>
      <w:tr w:rsidR="008623D1" w:rsidRPr="008623D1" w:rsidTr="00911A73">
        <w:trPr>
          <w:trHeight w:val="288"/>
        </w:trPr>
        <w:tc>
          <w:tcPr>
            <w:tcW w:w="342" w:type="dxa"/>
            <w:tcBorders>
              <w:top w:val="nil"/>
              <w:left w:val="nil"/>
              <w:bottom w:val="nil"/>
              <w:right w:val="nil"/>
            </w:tcBorders>
            <w:shd w:val="clear" w:color="auto" w:fill="C6D9F1" w:themeFill="text2" w:themeFillTint="33"/>
            <w:noWrap/>
            <w:vAlign w:val="bottom"/>
            <w:hideMark/>
          </w:tcPr>
          <w:p w:rsidR="008623D1" w:rsidRPr="008623D1" w:rsidRDefault="00911A73" w:rsidP="008623D1">
            <w:pPr>
              <w:spacing w:after="0"/>
              <w:jc w:val="center"/>
              <w:rPr>
                <w:bCs w:val="0"/>
                <w:color w:val="000000"/>
                <w:sz w:val="18"/>
                <w:szCs w:val="18"/>
                <w:lang w:eastAsia="fr-FR"/>
              </w:rPr>
            </w:pPr>
            <w:r>
              <w:rPr>
                <w:bCs w:val="0"/>
                <w:color w:val="000000"/>
                <w:sz w:val="18"/>
                <w:szCs w:val="18"/>
                <w:lang w:eastAsia="fr-FR"/>
              </w:rPr>
              <w:t>19</w:t>
            </w:r>
          </w:p>
        </w:tc>
        <w:tc>
          <w:tcPr>
            <w:tcW w:w="6580" w:type="dxa"/>
            <w:tcBorders>
              <w:top w:val="nil"/>
              <w:left w:val="nil"/>
              <w:bottom w:val="nil"/>
              <w:right w:val="nil"/>
            </w:tcBorders>
            <w:shd w:val="clear" w:color="auto" w:fill="C6D9F1" w:themeFill="text2" w:themeFillTint="33"/>
            <w:noWrap/>
            <w:vAlign w:val="bottom"/>
            <w:hideMark/>
          </w:tcPr>
          <w:p w:rsidR="008623D1" w:rsidRPr="008623D1" w:rsidRDefault="008623D1" w:rsidP="008623D1">
            <w:pPr>
              <w:spacing w:after="0"/>
              <w:jc w:val="left"/>
              <w:rPr>
                <w:bCs w:val="0"/>
                <w:color w:val="000000"/>
                <w:sz w:val="18"/>
                <w:szCs w:val="18"/>
                <w:lang w:eastAsia="fr-FR"/>
              </w:rPr>
            </w:pPr>
            <w:r w:rsidRPr="008623D1">
              <w:rPr>
                <w:bCs w:val="0"/>
                <w:color w:val="000000"/>
                <w:sz w:val="18"/>
                <w:szCs w:val="18"/>
                <w:lang w:eastAsia="fr-FR"/>
              </w:rPr>
              <w:t>COMPANY MINIERE DE DILALA</w:t>
            </w:r>
          </w:p>
        </w:tc>
        <w:tc>
          <w:tcPr>
            <w:tcW w:w="1660" w:type="dxa"/>
            <w:tcBorders>
              <w:top w:val="nil"/>
              <w:left w:val="nil"/>
              <w:bottom w:val="nil"/>
              <w:right w:val="nil"/>
            </w:tcBorders>
            <w:shd w:val="clear" w:color="auto" w:fill="C6D9F1" w:themeFill="text2" w:themeFillTint="33"/>
            <w:noWrap/>
            <w:vAlign w:val="bottom"/>
            <w:hideMark/>
          </w:tcPr>
          <w:p w:rsidR="008623D1" w:rsidRPr="008623D1" w:rsidRDefault="008623D1" w:rsidP="008623D1">
            <w:pPr>
              <w:spacing w:after="0"/>
              <w:jc w:val="right"/>
              <w:rPr>
                <w:bCs w:val="0"/>
                <w:color w:val="000000"/>
                <w:sz w:val="18"/>
                <w:szCs w:val="18"/>
                <w:lang w:eastAsia="fr-FR"/>
              </w:rPr>
            </w:pPr>
            <w:r w:rsidRPr="008623D1">
              <w:rPr>
                <w:bCs w:val="0"/>
                <w:color w:val="000000"/>
                <w:sz w:val="18"/>
                <w:szCs w:val="18"/>
                <w:lang w:eastAsia="fr-FR"/>
              </w:rPr>
              <w:t>7 070,00</w:t>
            </w:r>
          </w:p>
        </w:tc>
      </w:tr>
      <w:tr w:rsidR="008623D1" w:rsidRPr="008623D1" w:rsidTr="008623D1">
        <w:trPr>
          <w:trHeight w:val="288"/>
        </w:trPr>
        <w:tc>
          <w:tcPr>
            <w:tcW w:w="342" w:type="dxa"/>
            <w:tcBorders>
              <w:top w:val="nil"/>
              <w:left w:val="nil"/>
              <w:bottom w:val="nil"/>
              <w:right w:val="nil"/>
            </w:tcBorders>
            <w:shd w:val="clear" w:color="auto" w:fill="auto"/>
            <w:noWrap/>
            <w:vAlign w:val="bottom"/>
            <w:hideMark/>
          </w:tcPr>
          <w:p w:rsidR="008623D1" w:rsidRPr="008623D1" w:rsidRDefault="008623D1" w:rsidP="004C459A">
            <w:pPr>
              <w:spacing w:after="0"/>
              <w:jc w:val="center"/>
              <w:rPr>
                <w:bCs w:val="0"/>
                <w:color w:val="000000"/>
                <w:sz w:val="18"/>
                <w:szCs w:val="18"/>
                <w:lang w:eastAsia="fr-FR"/>
              </w:rPr>
            </w:pPr>
            <w:r w:rsidRPr="008623D1">
              <w:rPr>
                <w:bCs w:val="0"/>
                <w:color w:val="000000"/>
                <w:sz w:val="18"/>
                <w:szCs w:val="18"/>
                <w:lang w:eastAsia="fr-FR"/>
              </w:rPr>
              <w:t>2</w:t>
            </w:r>
            <w:r w:rsidR="004C459A">
              <w:rPr>
                <w:bCs w:val="0"/>
                <w:color w:val="000000"/>
                <w:sz w:val="18"/>
                <w:szCs w:val="18"/>
                <w:lang w:eastAsia="fr-FR"/>
              </w:rPr>
              <w:t>0</w:t>
            </w:r>
          </w:p>
        </w:tc>
        <w:tc>
          <w:tcPr>
            <w:tcW w:w="6580" w:type="dxa"/>
            <w:tcBorders>
              <w:top w:val="nil"/>
              <w:left w:val="nil"/>
              <w:bottom w:val="nil"/>
              <w:right w:val="nil"/>
            </w:tcBorders>
            <w:shd w:val="clear" w:color="auto" w:fill="auto"/>
            <w:noWrap/>
            <w:vAlign w:val="bottom"/>
            <w:hideMark/>
          </w:tcPr>
          <w:p w:rsidR="008623D1" w:rsidRPr="008623D1" w:rsidRDefault="008623D1" w:rsidP="008623D1">
            <w:pPr>
              <w:spacing w:after="0"/>
              <w:jc w:val="left"/>
              <w:rPr>
                <w:bCs w:val="0"/>
                <w:color w:val="000000"/>
                <w:sz w:val="18"/>
                <w:szCs w:val="18"/>
                <w:lang w:val="en-US" w:eastAsia="fr-FR"/>
              </w:rPr>
            </w:pPr>
            <w:r w:rsidRPr="008623D1">
              <w:rPr>
                <w:bCs w:val="0"/>
                <w:color w:val="000000"/>
                <w:sz w:val="18"/>
                <w:szCs w:val="18"/>
                <w:lang w:val="en-US" w:eastAsia="fr-FR"/>
              </w:rPr>
              <w:t>RIO TINTO CONGO RDC SPRL</w:t>
            </w:r>
          </w:p>
        </w:tc>
        <w:tc>
          <w:tcPr>
            <w:tcW w:w="1660" w:type="dxa"/>
            <w:tcBorders>
              <w:top w:val="nil"/>
              <w:left w:val="nil"/>
              <w:bottom w:val="nil"/>
              <w:right w:val="nil"/>
            </w:tcBorders>
            <w:shd w:val="clear" w:color="auto" w:fill="auto"/>
            <w:noWrap/>
            <w:vAlign w:val="bottom"/>
            <w:hideMark/>
          </w:tcPr>
          <w:p w:rsidR="008623D1" w:rsidRPr="008623D1" w:rsidRDefault="008623D1" w:rsidP="008623D1">
            <w:pPr>
              <w:spacing w:after="0"/>
              <w:jc w:val="right"/>
              <w:rPr>
                <w:bCs w:val="0"/>
                <w:color w:val="000000"/>
                <w:sz w:val="18"/>
                <w:szCs w:val="18"/>
                <w:lang w:eastAsia="fr-FR"/>
              </w:rPr>
            </w:pPr>
            <w:r w:rsidRPr="008623D1">
              <w:rPr>
                <w:bCs w:val="0"/>
                <w:color w:val="000000"/>
                <w:sz w:val="18"/>
                <w:szCs w:val="18"/>
                <w:lang w:eastAsia="fr-FR"/>
              </w:rPr>
              <w:t>2 493,00</w:t>
            </w:r>
          </w:p>
        </w:tc>
      </w:tr>
      <w:tr w:rsidR="008623D1" w:rsidRPr="008623D1" w:rsidTr="008623D1">
        <w:trPr>
          <w:trHeight w:val="288"/>
        </w:trPr>
        <w:tc>
          <w:tcPr>
            <w:tcW w:w="342" w:type="dxa"/>
            <w:tcBorders>
              <w:top w:val="nil"/>
              <w:left w:val="nil"/>
              <w:bottom w:val="nil"/>
              <w:right w:val="nil"/>
            </w:tcBorders>
            <w:shd w:val="clear" w:color="000000" w:fill="BDD7EE"/>
            <w:noWrap/>
            <w:vAlign w:val="bottom"/>
            <w:hideMark/>
          </w:tcPr>
          <w:p w:rsidR="008623D1" w:rsidRPr="008623D1" w:rsidRDefault="008623D1" w:rsidP="004C459A">
            <w:pPr>
              <w:spacing w:after="0"/>
              <w:jc w:val="center"/>
              <w:rPr>
                <w:bCs w:val="0"/>
                <w:color w:val="000000"/>
                <w:sz w:val="18"/>
                <w:szCs w:val="18"/>
                <w:lang w:eastAsia="fr-FR"/>
              </w:rPr>
            </w:pPr>
            <w:r w:rsidRPr="008623D1">
              <w:rPr>
                <w:bCs w:val="0"/>
                <w:color w:val="000000"/>
                <w:sz w:val="18"/>
                <w:szCs w:val="18"/>
                <w:lang w:eastAsia="fr-FR"/>
              </w:rPr>
              <w:t>2</w:t>
            </w:r>
            <w:r w:rsidR="004C459A">
              <w:rPr>
                <w:bCs w:val="0"/>
                <w:color w:val="000000"/>
                <w:sz w:val="18"/>
                <w:szCs w:val="18"/>
                <w:lang w:eastAsia="fr-FR"/>
              </w:rPr>
              <w:t>1</w:t>
            </w:r>
          </w:p>
        </w:tc>
        <w:tc>
          <w:tcPr>
            <w:tcW w:w="6580" w:type="dxa"/>
            <w:tcBorders>
              <w:top w:val="nil"/>
              <w:left w:val="nil"/>
              <w:bottom w:val="nil"/>
              <w:right w:val="nil"/>
            </w:tcBorders>
            <w:shd w:val="clear" w:color="000000" w:fill="BDD7EE"/>
            <w:noWrap/>
            <w:vAlign w:val="bottom"/>
            <w:hideMark/>
          </w:tcPr>
          <w:p w:rsidR="008623D1" w:rsidRPr="008623D1" w:rsidRDefault="008623D1" w:rsidP="008623D1">
            <w:pPr>
              <w:spacing w:after="0"/>
              <w:jc w:val="left"/>
              <w:rPr>
                <w:bCs w:val="0"/>
                <w:color w:val="000000"/>
                <w:sz w:val="18"/>
                <w:szCs w:val="18"/>
                <w:lang w:eastAsia="fr-FR"/>
              </w:rPr>
            </w:pPr>
            <w:r w:rsidRPr="008623D1">
              <w:rPr>
                <w:bCs w:val="0"/>
                <w:color w:val="000000"/>
                <w:sz w:val="18"/>
                <w:szCs w:val="18"/>
                <w:lang w:eastAsia="fr-FR"/>
              </w:rPr>
              <w:t>SODIFOR SPRL</w:t>
            </w:r>
          </w:p>
        </w:tc>
        <w:tc>
          <w:tcPr>
            <w:tcW w:w="1660" w:type="dxa"/>
            <w:tcBorders>
              <w:top w:val="nil"/>
              <w:left w:val="nil"/>
              <w:bottom w:val="nil"/>
              <w:right w:val="nil"/>
            </w:tcBorders>
            <w:shd w:val="clear" w:color="000000" w:fill="BDD7EE"/>
            <w:noWrap/>
            <w:vAlign w:val="bottom"/>
            <w:hideMark/>
          </w:tcPr>
          <w:p w:rsidR="008623D1" w:rsidRPr="008623D1" w:rsidRDefault="008623D1" w:rsidP="008623D1">
            <w:pPr>
              <w:spacing w:after="0"/>
              <w:jc w:val="right"/>
              <w:rPr>
                <w:bCs w:val="0"/>
                <w:color w:val="000000"/>
                <w:sz w:val="18"/>
                <w:szCs w:val="18"/>
                <w:lang w:eastAsia="fr-FR"/>
              </w:rPr>
            </w:pPr>
            <w:r w:rsidRPr="008623D1">
              <w:rPr>
                <w:bCs w:val="0"/>
                <w:color w:val="000000"/>
                <w:sz w:val="18"/>
                <w:szCs w:val="18"/>
                <w:lang w:eastAsia="fr-FR"/>
              </w:rPr>
              <w:t>536,43</w:t>
            </w:r>
          </w:p>
        </w:tc>
      </w:tr>
      <w:tr w:rsidR="008623D1" w:rsidRPr="008623D1" w:rsidTr="008623D1">
        <w:trPr>
          <w:trHeight w:val="288"/>
        </w:trPr>
        <w:tc>
          <w:tcPr>
            <w:tcW w:w="342" w:type="dxa"/>
            <w:tcBorders>
              <w:top w:val="nil"/>
              <w:left w:val="nil"/>
              <w:bottom w:val="nil"/>
              <w:right w:val="nil"/>
            </w:tcBorders>
            <w:shd w:val="clear" w:color="auto" w:fill="auto"/>
            <w:noWrap/>
            <w:vAlign w:val="bottom"/>
            <w:hideMark/>
          </w:tcPr>
          <w:p w:rsidR="008623D1" w:rsidRPr="008623D1" w:rsidRDefault="008623D1" w:rsidP="004C459A">
            <w:pPr>
              <w:spacing w:after="0"/>
              <w:jc w:val="center"/>
              <w:rPr>
                <w:bCs w:val="0"/>
                <w:color w:val="000000"/>
                <w:sz w:val="18"/>
                <w:szCs w:val="18"/>
                <w:lang w:eastAsia="fr-FR"/>
              </w:rPr>
            </w:pPr>
            <w:r w:rsidRPr="008623D1">
              <w:rPr>
                <w:bCs w:val="0"/>
                <w:color w:val="000000"/>
                <w:sz w:val="18"/>
                <w:szCs w:val="18"/>
                <w:lang w:eastAsia="fr-FR"/>
              </w:rPr>
              <w:t>2</w:t>
            </w:r>
            <w:r w:rsidR="004C459A">
              <w:rPr>
                <w:bCs w:val="0"/>
                <w:color w:val="000000"/>
                <w:sz w:val="18"/>
                <w:szCs w:val="18"/>
                <w:lang w:eastAsia="fr-FR"/>
              </w:rPr>
              <w:t>2</w:t>
            </w:r>
          </w:p>
        </w:tc>
        <w:tc>
          <w:tcPr>
            <w:tcW w:w="6580" w:type="dxa"/>
            <w:tcBorders>
              <w:top w:val="nil"/>
              <w:left w:val="nil"/>
              <w:bottom w:val="nil"/>
              <w:right w:val="nil"/>
            </w:tcBorders>
            <w:shd w:val="clear" w:color="auto" w:fill="auto"/>
            <w:noWrap/>
            <w:vAlign w:val="bottom"/>
            <w:hideMark/>
          </w:tcPr>
          <w:p w:rsidR="008623D1" w:rsidRPr="008623D1" w:rsidRDefault="008623D1" w:rsidP="008623D1">
            <w:pPr>
              <w:spacing w:after="0"/>
              <w:jc w:val="left"/>
              <w:rPr>
                <w:bCs w:val="0"/>
                <w:color w:val="000000"/>
                <w:sz w:val="18"/>
                <w:szCs w:val="18"/>
                <w:lang w:eastAsia="fr-FR"/>
              </w:rPr>
            </w:pPr>
            <w:r w:rsidRPr="008623D1">
              <w:rPr>
                <w:bCs w:val="0"/>
                <w:color w:val="000000"/>
                <w:sz w:val="18"/>
                <w:szCs w:val="18"/>
                <w:lang w:eastAsia="fr-FR"/>
              </w:rPr>
              <w:t>EXPLOITATION ARTISANALE DU CONGO</w:t>
            </w:r>
          </w:p>
        </w:tc>
        <w:tc>
          <w:tcPr>
            <w:tcW w:w="1660" w:type="dxa"/>
            <w:tcBorders>
              <w:top w:val="nil"/>
              <w:left w:val="nil"/>
              <w:bottom w:val="nil"/>
              <w:right w:val="nil"/>
            </w:tcBorders>
            <w:shd w:val="clear" w:color="auto" w:fill="auto"/>
            <w:noWrap/>
            <w:vAlign w:val="bottom"/>
            <w:hideMark/>
          </w:tcPr>
          <w:p w:rsidR="008623D1" w:rsidRPr="008623D1" w:rsidRDefault="008623D1" w:rsidP="008623D1">
            <w:pPr>
              <w:spacing w:after="0"/>
              <w:jc w:val="right"/>
              <w:rPr>
                <w:bCs w:val="0"/>
                <w:color w:val="000000"/>
                <w:sz w:val="18"/>
                <w:szCs w:val="18"/>
                <w:lang w:eastAsia="fr-FR"/>
              </w:rPr>
            </w:pPr>
            <w:r w:rsidRPr="008623D1">
              <w:rPr>
                <w:bCs w:val="0"/>
                <w:color w:val="000000"/>
                <w:sz w:val="18"/>
                <w:szCs w:val="18"/>
                <w:lang w:eastAsia="fr-FR"/>
              </w:rPr>
              <w:t>275,66</w:t>
            </w:r>
          </w:p>
        </w:tc>
      </w:tr>
      <w:tr w:rsidR="008623D1" w:rsidRPr="008623D1" w:rsidTr="008623D1">
        <w:trPr>
          <w:trHeight w:val="288"/>
        </w:trPr>
        <w:tc>
          <w:tcPr>
            <w:tcW w:w="342" w:type="dxa"/>
            <w:tcBorders>
              <w:top w:val="nil"/>
              <w:left w:val="nil"/>
              <w:bottom w:val="nil"/>
              <w:right w:val="nil"/>
            </w:tcBorders>
            <w:shd w:val="clear" w:color="000000" w:fill="BDD7EE"/>
            <w:noWrap/>
            <w:vAlign w:val="bottom"/>
            <w:hideMark/>
          </w:tcPr>
          <w:p w:rsidR="008623D1" w:rsidRPr="008623D1" w:rsidRDefault="008623D1" w:rsidP="004C459A">
            <w:pPr>
              <w:spacing w:after="0"/>
              <w:jc w:val="center"/>
              <w:rPr>
                <w:bCs w:val="0"/>
                <w:color w:val="000000"/>
                <w:sz w:val="18"/>
                <w:szCs w:val="18"/>
                <w:lang w:eastAsia="fr-FR"/>
              </w:rPr>
            </w:pPr>
            <w:r w:rsidRPr="008623D1">
              <w:rPr>
                <w:bCs w:val="0"/>
                <w:color w:val="000000"/>
                <w:sz w:val="18"/>
                <w:szCs w:val="18"/>
                <w:lang w:eastAsia="fr-FR"/>
              </w:rPr>
              <w:t>2</w:t>
            </w:r>
            <w:r w:rsidR="004C459A">
              <w:rPr>
                <w:bCs w:val="0"/>
                <w:color w:val="000000"/>
                <w:sz w:val="18"/>
                <w:szCs w:val="18"/>
                <w:lang w:eastAsia="fr-FR"/>
              </w:rPr>
              <w:t>3</w:t>
            </w:r>
          </w:p>
        </w:tc>
        <w:tc>
          <w:tcPr>
            <w:tcW w:w="6580" w:type="dxa"/>
            <w:tcBorders>
              <w:top w:val="nil"/>
              <w:left w:val="nil"/>
              <w:bottom w:val="nil"/>
              <w:right w:val="nil"/>
            </w:tcBorders>
            <w:shd w:val="clear" w:color="000000" w:fill="BDD7EE"/>
            <w:noWrap/>
            <w:vAlign w:val="bottom"/>
            <w:hideMark/>
          </w:tcPr>
          <w:p w:rsidR="008623D1" w:rsidRPr="008623D1" w:rsidRDefault="008623D1" w:rsidP="008623D1">
            <w:pPr>
              <w:spacing w:after="0"/>
              <w:jc w:val="left"/>
              <w:rPr>
                <w:bCs w:val="0"/>
                <w:color w:val="000000"/>
                <w:sz w:val="18"/>
                <w:szCs w:val="18"/>
                <w:lang w:eastAsia="fr-FR"/>
              </w:rPr>
            </w:pPr>
            <w:r w:rsidRPr="008623D1">
              <w:rPr>
                <w:bCs w:val="0"/>
                <w:color w:val="000000"/>
                <w:sz w:val="18"/>
                <w:szCs w:val="18"/>
                <w:lang w:eastAsia="fr-FR"/>
              </w:rPr>
              <w:t>ALSESY TRADING</w:t>
            </w:r>
          </w:p>
        </w:tc>
        <w:tc>
          <w:tcPr>
            <w:tcW w:w="1660" w:type="dxa"/>
            <w:tcBorders>
              <w:top w:val="nil"/>
              <w:left w:val="nil"/>
              <w:bottom w:val="nil"/>
              <w:right w:val="nil"/>
            </w:tcBorders>
            <w:shd w:val="clear" w:color="000000" w:fill="BDD7EE"/>
            <w:noWrap/>
            <w:vAlign w:val="bottom"/>
            <w:hideMark/>
          </w:tcPr>
          <w:p w:rsidR="008623D1" w:rsidRPr="008623D1" w:rsidRDefault="008623D1" w:rsidP="008623D1">
            <w:pPr>
              <w:spacing w:after="0"/>
              <w:jc w:val="right"/>
              <w:rPr>
                <w:bCs w:val="0"/>
                <w:color w:val="000000"/>
                <w:sz w:val="18"/>
                <w:szCs w:val="18"/>
                <w:lang w:eastAsia="fr-FR"/>
              </w:rPr>
            </w:pPr>
            <w:r w:rsidRPr="008623D1">
              <w:rPr>
                <w:bCs w:val="0"/>
                <w:color w:val="000000"/>
                <w:sz w:val="18"/>
                <w:szCs w:val="18"/>
                <w:lang w:eastAsia="fr-FR"/>
              </w:rPr>
              <w:t>-</w:t>
            </w:r>
          </w:p>
        </w:tc>
      </w:tr>
      <w:tr w:rsidR="008623D1" w:rsidRPr="008623D1" w:rsidTr="008623D1">
        <w:trPr>
          <w:trHeight w:val="288"/>
        </w:trPr>
        <w:tc>
          <w:tcPr>
            <w:tcW w:w="342" w:type="dxa"/>
            <w:tcBorders>
              <w:top w:val="nil"/>
              <w:left w:val="nil"/>
              <w:bottom w:val="nil"/>
              <w:right w:val="nil"/>
            </w:tcBorders>
            <w:shd w:val="clear" w:color="auto" w:fill="auto"/>
            <w:noWrap/>
            <w:vAlign w:val="bottom"/>
            <w:hideMark/>
          </w:tcPr>
          <w:p w:rsidR="008623D1" w:rsidRPr="008623D1" w:rsidRDefault="008623D1" w:rsidP="004C459A">
            <w:pPr>
              <w:spacing w:after="0"/>
              <w:jc w:val="center"/>
              <w:rPr>
                <w:bCs w:val="0"/>
                <w:color w:val="000000"/>
                <w:sz w:val="18"/>
                <w:szCs w:val="18"/>
                <w:lang w:eastAsia="fr-FR"/>
              </w:rPr>
            </w:pPr>
            <w:r w:rsidRPr="008623D1">
              <w:rPr>
                <w:bCs w:val="0"/>
                <w:color w:val="000000"/>
                <w:sz w:val="18"/>
                <w:szCs w:val="18"/>
                <w:lang w:eastAsia="fr-FR"/>
              </w:rPr>
              <w:t>2</w:t>
            </w:r>
            <w:r w:rsidR="004C459A">
              <w:rPr>
                <w:bCs w:val="0"/>
                <w:color w:val="000000"/>
                <w:sz w:val="18"/>
                <w:szCs w:val="18"/>
                <w:lang w:eastAsia="fr-FR"/>
              </w:rPr>
              <w:t>4</w:t>
            </w:r>
          </w:p>
        </w:tc>
        <w:tc>
          <w:tcPr>
            <w:tcW w:w="6580" w:type="dxa"/>
            <w:tcBorders>
              <w:top w:val="nil"/>
              <w:left w:val="nil"/>
              <w:bottom w:val="nil"/>
              <w:right w:val="nil"/>
            </w:tcBorders>
            <w:shd w:val="clear" w:color="auto" w:fill="auto"/>
            <w:noWrap/>
            <w:vAlign w:val="bottom"/>
            <w:hideMark/>
          </w:tcPr>
          <w:p w:rsidR="008623D1" w:rsidRPr="008623D1" w:rsidRDefault="008623D1" w:rsidP="008623D1">
            <w:pPr>
              <w:spacing w:after="0"/>
              <w:jc w:val="left"/>
              <w:rPr>
                <w:bCs w:val="0"/>
                <w:color w:val="000000"/>
                <w:sz w:val="18"/>
                <w:szCs w:val="18"/>
                <w:lang w:val="en-US" w:eastAsia="fr-FR"/>
              </w:rPr>
            </w:pPr>
            <w:r w:rsidRPr="008623D1">
              <w:rPr>
                <w:bCs w:val="0"/>
                <w:color w:val="000000"/>
                <w:sz w:val="18"/>
                <w:szCs w:val="18"/>
                <w:lang w:val="en-US" w:eastAsia="fr-FR"/>
              </w:rPr>
              <w:t>BON GENIE K</w:t>
            </w:r>
            <w:proofErr w:type="gramStart"/>
            <w:r w:rsidRPr="008623D1">
              <w:rPr>
                <w:bCs w:val="0"/>
                <w:color w:val="000000"/>
                <w:sz w:val="18"/>
                <w:szCs w:val="18"/>
                <w:lang w:val="en-US" w:eastAsia="fr-FR"/>
              </w:rPr>
              <w:t>,MINING</w:t>
            </w:r>
            <w:proofErr w:type="gramEnd"/>
            <w:r w:rsidRPr="008623D1">
              <w:rPr>
                <w:bCs w:val="0"/>
                <w:color w:val="000000"/>
                <w:sz w:val="18"/>
                <w:szCs w:val="18"/>
                <w:lang w:val="en-US" w:eastAsia="fr-FR"/>
              </w:rPr>
              <w:t xml:space="preserve"> SPRL</w:t>
            </w:r>
          </w:p>
        </w:tc>
        <w:tc>
          <w:tcPr>
            <w:tcW w:w="1660" w:type="dxa"/>
            <w:tcBorders>
              <w:top w:val="nil"/>
              <w:left w:val="nil"/>
              <w:bottom w:val="nil"/>
              <w:right w:val="nil"/>
            </w:tcBorders>
            <w:shd w:val="clear" w:color="auto" w:fill="auto"/>
            <w:noWrap/>
            <w:vAlign w:val="bottom"/>
            <w:hideMark/>
          </w:tcPr>
          <w:p w:rsidR="008623D1" w:rsidRPr="008623D1" w:rsidRDefault="008623D1" w:rsidP="008623D1">
            <w:pPr>
              <w:spacing w:after="0"/>
              <w:jc w:val="right"/>
              <w:rPr>
                <w:bCs w:val="0"/>
                <w:color w:val="000000"/>
                <w:sz w:val="18"/>
                <w:szCs w:val="18"/>
                <w:lang w:eastAsia="fr-FR"/>
              </w:rPr>
            </w:pPr>
            <w:r w:rsidRPr="008623D1">
              <w:rPr>
                <w:bCs w:val="0"/>
                <w:color w:val="000000"/>
                <w:sz w:val="18"/>
                <w:szCs w:val="18"/>
                <w:lang w:eastAsia="fr-FR"/>
              </w:rPr>
              <w:t>-</w:t>
            </w:r>
          </w:p>
        </w:tc>
      </w:tr>
      <w:tr w:rsidR="008623D1" w:rsidRPr="008623D1" w:rsidTr="001C18F2">
        <w:trPr>
          <w:trHeight w:val="288"/>
        </w:trPr>
        <w:tc>
          <w:tcPr>
            <w:tcW w:w="342" w:type="dxa"/>
            <w:tcBorders>
              <w:top w:val="nil"/>
              <w:left w:val="nil"/>
              <w:right w:val="nil"/>
            </w:tcBorders>
            <w:shd w:val="clear" w:color="000000" w:fill="BDD7EE"/>
            <w:noWrap/>
            <w:vAlign w:val="bottom"/>
            <w:hideMark/>
          </w:tcPr>
          <w:p w:rsidR="008623D1" w:rsidRPr="008623D1" w:rsidRDefault="008623D1" w:rsidP="004C459A">
            <w:pPr>
              <w:spacing w:after="0"/>
              <w:jc w:val="center"/>
              <w:rPr>
                <w:bCs w:val="0"/>
                <w:color w:val="000000"/>
                <w:sz w:val="18"/>
                <w:szCs w:val="18"/>
                <w:lang w:eastAsia="fr-FR"/>
              </w:rPr>
            </w:pPr>
            <w:r w:rsidRPr="008623D1">
              <w:rPr>
                <w:bCs w:val="0"/>
                <w:color w:val="000000"/>
                <w:sz w:val="18"/>
                <w:szCs w:val="18"/>
                <w:lang w:eastAsia="fr-FR"/>
              </w:rPr>
              <w:t>2</w:t>
            </w:r>
            <w:r w:rsidR="004C459A">
              <w:rPr>
                <w:bCs w:val="0"/>
                <w:color w:val="000000"/>
                <w:sz w:val="18"/>
                <w:szCs w:val="18"/>
                <w:lang w:eastAsia="fr-FR"/>
              </w:rPr>
              <w:t>5</w:t>
            </w:r>
          </w:p>
        </w:tc>
        <w:tc>
          <w:tcPr>
            <w:tcW w:w="6580" w:type="dxa"/>
            <w:tcBorders>
              <w:top w:val="nil"/>
              <w:left w:val="nil"/>
              <w:right w:val="nil"/>
            </w:tcBorders>
            <w:shd w:val="clear" w:color="000000" w:fill="BDD7EE"/>
            <w:noWrap/>
            <w:vAlign w:val="bottom"/>
            <w:hideMark/>
          </w:tcPr>
          <w:p w:rsidR="008623D1" w:rsidRPr="004C459A" w:rsidRDefault="008623D1" w:rsidP="004C459A">
            <w:pPr>
              <w:spacing w:after="0"/>
              <w:jc w:val="left"/>
              <w:rPr>
                <w:bCs w:val="0"/>
                <w:color w:val="000000"/>
                <w:sz w:val="18"/>
                <w:szCs w:val="18"/>
                <w:lang w:val="en-US" w:eastAsia="fr-FR"/>
              </w:rPr>
            </w:pPr>
            <w:r w:rsidRPr="008623D1">
              <w:rPr>
                <w:bCs w:val="0"/>
                <w:color w:val="000000"/>
                <w:sz w:val="18"/>
                <w:szCs w:val="18"/>
                <w:lang w:val="en-US" w:eastAsia="fr-FR"/>
              </w:rPr>
              <w:t xml:space="preserve">WANGA MINING COMPANY </w:t>
            </w:r>
            <w:proofErr w:type="gramStart"/>
            <w:r w:rsidRPr="008623D1">
              <w:rPr>
                <w:bCs w:val="0"/>
                <w:color w:val="000000"/>
                <w:sz w:val="18"/>
                <w:szCs w:val="18"/>
                <w:lang w:val="en-US" w:eastAsia="fr-FR"/>
              </w:rPr>
              <w:t>SARL</w:t>
            </w:r>
            <w:r w:rsidR="004C459A">
              <w:rPr>
                <w:bCs w:val="0"/>
                <w:color w:val="000000"/>
                <w:sz w:val="18"/>
                <w:szCs w:val="18"/>
                <w:lang w:val="en-US" w:eastAsia="fr-FR"/>
              </w:rPr>
              <w:t>(</w:t>
            </w:r>
            <w:proofErr w:type="gramEnd"/>
            <w:r w:rsidR="004C459A">
              <w:rPr>
                <w:bCs w:val="0"/>
                <w:color w:val="000000"/>
                <w:sz w:val="18"/>
                <w:szCs w:val="18"/>
                <w:lang w:val="en-US" w:eastAsia="fr-FR"/>
              </w:rPr>
              <w:t>Mineral Invest International Congo)</w:t>
            </w:r>
          </w:p>
        </w:tc>
        <w:tc>
          <w:tcPr>
            <w:tcW w:w="1660" w:type="dxa"/>
            <w:tcBorders>
              <w:top w:val="nil"/>
              <w:left w:val="nil"/>
              <w:right w:val="nil"/>
            </w:tcBorders>
            <w:shd w:val="clear" w:color="000000" w:fill="BDD7EE"/>
            <w:noWrap/>
            <w:vAlign w:val="bottom"/>
            <w:hideMark/>
          </w:tcPr>
          <w:p w:rsidR="008623D1" w:rsidRPr="008623D1" w:rsidRDefault="008623D1" w:rsidP="008623D1">
            <w:pPr>
              <w:spacing w:after="0"/>
              <w:jc w:val="right"/>
              <w:rPr>
                <w:bCs w:val="0"/>
                <w:color w:val="000000"/>
                <w:sz w:val="18"/>
                <w:szCs w:val="18"/>
                <w:lang w:eastAsia="fr-FR"/>
              </w:rPr>
            </w:pPr>
            <w:r w:rsidRPr="008623D1">
              <w:rPr>
                <w:bCs w:val="0"/>
                <w:color w:val="000000"/>
                <w:sz w:val="18"/>
                <w:szCs w:val="18"/>
                <w:lang w:eastAsia="fr-FR"/>
              </w:rPr>
              <w:t>-</w:t>
            </w:r>
          </w:p>
        </w:tc>
      </w:tr>
      <w:tr w:rsidR="008623D1" w:rsidRPr="008623D1" w:rsidTr="001C18F2">
        <w:trPr>
          <w:trHeight w:val="288"/>
        </w:trPr>
        <w:tc>
          <w:tcPr>
            <w:tcW w:w="342" w:type="dxa"/>
            <w:tcBorders>
              <w:top w:val="nil"/>
              <w:left w:val="nil"/>
              <w:bottom w:val="nil"/>
              <w:right w:val="nil"/>
            </w:tcBorders>
            <w:shd w:val="clear" w:color="000000" w:fill="auto"/>
            <w:noWrap/>
            <w:vAlign w:val="bottom"/>
            <w:hideMark/>
          </w:tcPr>
          <w:p w:rsidR="008623D1" w:rsidRPr="008623D1" w:rsidRDefault="008623D1" w:rsidP="004C459A">
            <w:pPr>
              <w:spacing w:after="0"/>
              <w:jc w:val="center"/>
              <w:rPr>
                <w:bCs w:val="0"/>
                <w:color w:val="000000"/>
                <w:sz w:val="18"/>
                <w:szCs w:val="18"/>
                <w:lang w:eastAsia="fr-FR"/>
              </w:rPr>
            </w:pPr>
            <w:r w:rsidRPr="008623D1">
              <w:rPr>
                <w:bCs w:val="0"/>
                <w:color w:val="000000"/>
                <w:sz w:val="18"/>
                <w:szCs w:val="18"/>
                <w:lang w:eastAsia="fr-FR"/>
              </w:rPr>
              <w:t>2</w:t>
            </w:r>
            <w:r w:rsidR="004C459A">
              <w:rPr>
                <w:bCs w:val="0"/>
                <w:color w:val="000000"/>
                <w:sz w:val="18"/>
                <w:szCs w:val="18"/>
                <w:lang w:eastAsia="fr-FR"/>
              </w:rPr>
              <w:t>6</w:t>
            </w:r>
          </w:p>
        </w:tc>
        <w:tc>
          <w:tcPr>
            <w:tcW w:w="6580" w:type="dxa"/>
            <w:tcBorders>
              <w:top w:val="nil"/>
              <w:left w:val="nil"/>
              <w:bottom w:val="nil"/>
              <w:right w:val="nil"/>
            </w:tcBorders>
            <w:shd w:val="clear" w:color="000000" w:fill="auto"/>
            <w:noWrap/>
            <w:vAlign w:val="bottom"/>
            <w:hideMark/>
          </w:tcPr>
          <w:p w:rsidR="008623D1" w:rsidRPr="008623D1" w:rsidRDefault="008623D1" w:rsidP="008623D1">
            <w:pPr>
              <w:spacing w:after="0"/>
              <w:jc w:val="left"/>
              <w:rPr>
                <w:bCs w:val="0"/>
                <w:color w:val="000000"/>
                <w:sz w:val="18"/>
                <w:szCs w:val="18"/>
                <w:lang w:eastAsia="fr-FR"/>
              </w:rPr>
            </w:pPr>
            <w:r w:rsidRPr="008623D1">
              <w:rPr>
                <w:bCs w:val="0"/>
                <w:color w:val="000000"/>
                <w:sz w:val="18"/>
                <w:szCs w:val="18"/>
                <w:lang w:eastAsia="fr-FR"/>
              </w:rPr>
              <w:t>SOCIETE IMMOBILIERE DU CONGO SAS</w:t>
            </w:r>
          </w:p>
        </w:tc>
        <w:tc>
          <w:tcPr>
            <w:tcW w:w="1660" w:type="dxa"/>
            <w:tcBorders>
              <w:top w:val="nil"/>
              <w:left w:val="nil"/>
              <w:bottom w:val="nil"/>
              <w:right w:val="nil"/>
            </w:tcBorders>
            <w:shd w:val="clear" w:color="000000" w:fill="auto"/>
            <w:noWrap/>
            <w:vAlign w:val="bottom"/>
            <w:hideMark/>
          </w:tcPr>
          <w:p w:rsidR="008623D1" w:rsidRPr="008623D1" w:rsidRDefault="008623D1" w:rsidP="008623D1">
            <w:pPr>
              <w:spacing w:after="0"/>
              <w:jc w:val="right"/>
              <w:rPr>
                <w:bCs w:val="0"/>
                <w:color w:val="000000"/>
                <w:sz w:val="18"/>
                <w:szCs w:val="18"/>
                <w:lang w:eastAsia="fr-FR"/>
              </w:rPr>
            </w:pPr>
            <w:r w:rsidRPr="008623D1">
              <w:rPr>
                <w:bCs w:val="0"/>
                <w:color w:val="000000"/>
                <w:sz w:val="18"/>
                <w:szCs w:val="18"/>
                <w:lang w:eastAsia="fr-FR"/>
              </w:rPr>
              <w:t>-</w:t>
            </w:r>
          </w:p>
        </w:tc>
      </w:tr>
      <w:tr w:rsidR="00AE3767" w:rsidRPr="008623D1" w:rsidTr="008B0804">
        <w:trPr>
          <w:trHeight w:val="288"/>
        </w:trPr>
        <w:tc>
          <w:tcPr>
            <w:tcW w:w="342" w:type="dxa"/>
            <w:tcBorders>
              <w:top w:val="nil"/>
              <w:left w:val="nil"/>
              <w:right w:val="nil"/>
            </w:tcBorders>
            <w:shd w:val="clear" w:color="000000" w:fill="BDD7EE"/>
            <w:noWrap/>
            <w:vAlign w:val="bottom"/>
            <w:hideMark/>
          </w:tcPr>
          <w:p w:rsidR="00AE3767" w:rsidRPr="008623D1" w:rsidRDefault="00AE3767" w:rsidP="004C459A">
            <w:pPr>
              <w:spacing w:after="0"/>
              <w:jc w:val="center"/>
              <w:rPr>
                <w:bCs w:val="0"/>
                <w:color w:val="000000"/>
                <w:sz w:val="18"/>
                <w:szCs w:val="18"/>
                <w:lang w:eastAsia="fr-FR"/>
              </w:rPr>
            </w:pPr>
            <w:r>
              <w:rPr>
                <w:bCs w:val="0"/>
                <w:color w:val="000000"/>
                <w:sz w:val="18"/>
                <w:szCs w:val="18"/>
                <w:lang w:eastAsia="fr-FR"/>
              </w:rPr>
              <w:t>27</w:t>
            </w:r>
          </w:p>
        </w:tc>
        <w:tc>
          <w:tcPr>
            <w:tcW w:w="6580" w:type="dxa"/>
            <w:tcBorders>
              <w:top w:val="nil"/>
              <w:left w:val="nil"/>
              <w:right w:val="nil"/>
            </w:tcBorders>
            <w:shd w:val="clear" w:color="000000" w:fill="BDD7EE"/>
            <w:noWrap/>
            <w:vAlign w:val="bottom"/>
            <w:hideMark/>
          </w:tcPr>
          <w:p w:rsidR="00AE3767" w:rsidRPr="008623D1" w:rsidRDefault="00AE3767" w:rsidP="008623D1">
            <w:pPr>
              <w:spacing w:after="0"/>
              <w:jc w:val="left"/>
              <w:rPr>
                <w:bCs w:val="0"/>
                <w:color w:val="000000"/>
                <w:sz w:val="18"/>
                <w:szCs w:val="18"/>
                <w:lang w:eastAsia="fr-FR"/>
              </w:rPr>
            </w:pPr>
            <w:r>
              <w:rPr>
                <w:bCs w:val="0"/>
                <w:color w:val="000000"/>
                <w:sz w:val="18"/>
                <w:szCs w:val="18"/>
                <w:lang w:eastAsia="fr-FR"/>
              </w:rPr>
              <w:t>DFSA</w:t>
            </w:r>
          </w:p>
        </w:tc>
        <w:tc>
          <w:tcPr>
            <w:tcW w:w="1660" w:type="dxa"/>
            <w:tcBorders>
              <w:top w:val="nil"/>
              <w:left w:val="nil"/>
              <w:right w:val="nil"/>
            </w:tcBorders>
            <w:shd w:val="clear" w:color="000000" w:fill="BDD7EE"/>
            <w:noWrap/>
            <w:vAlign w:val="bottom"/>
            <w:hideMark/>
          </w:tcPr>
          <w:p w:rsidR="00AE3767" w:rsidRPr="008623D1" w:rsidRDefault="00AE3767" w:rsidP="008623D1">
            <w:pPr>
              <w:spacing w:after="0"/>
              <w:jc w:val="right"/>
              <w:rPr>
                <w:bCs w:val="0"/>
                <w:color w:val="000000"/>
                <w:sz w:val="18"/>
                <w:szCs w:val="18"/>
                <w:lang w:eastAsia="fr-FR"/>
              </w:rPr>
            </w:pPr>
            <w:r>
              <w:rPr>
                <w:bCs w:val="0"/>
                <w:color w:val="000000"/>
                <w:sz w:val="18"/>
                <w:szCs w:val="18"/>
                <w:lang w:eastAsia="fr-FR"/>
              </w:rPr>
              <w:t>-</w:t>
            </w:r>
          </w:p>
        </w:tc>
      </w:tr>
      <w:tr w:rsidR="008623D1" w:rsidRPr="008623D1" w:rsidTr="008B0804">
        <w:trPr>
          <w:trHeight w:val="288"/>
        </w:trPr>
        <w:tc>
          <w:tcPr>
            <w:tcW w:w="342" w:type="dxa"/>
            <w:tcBorders>
              <w:top w:val="nil"/>
              <w:left w:val="nil"/>
              <w:bottom w:val="nil"/>
              <w:right w:val="nil"/>
            </w:tcBorders>
            <w:shd w:val="clear" w:color="auto" w:fill="auto"/>
            <w:noWrap/>
            <w:vAlign w:val="bottom"/>
            <w:hideMark/>
          </w:tcPr>
          <w:p w:rsidR="008623D1" w:rsidRPr="008623D1" w:rsidRDefault="008623D1" w:rsidP="008623D1">
            <w:pPr>
              <w:spacing w:after="0"/>
              <w:jc w:val="center"/>
              <w:rPr>
                <w:bCs w:val="0"/>
                <w:color w:val="000000"/>
                <w:sz w:val="18"/>
                <w:szCs w:val="18"/>
                <w:lang w:eastAsia="fr-FR"/>
              </w:rPr>
            </w:pPr>
            <w:r w:rsidRPr="008623D1">
              <w:rPr>
                <w:bCs w:val="0"/>
                <w:color w:val="000000"/>
                <w:sz w:val="18"/>
                <w:szCs w:val="18"/>
                <w:lang w:eastAsia="fr-FR"/>
              </w:rPr>
              <w:t> </w:t>
            </w:r>
          </w:p>
        </w:tc>
        <w:tc>
          <w:tcPr>
            <w:tcW w:w="6580" w:type="dxa"/>
            <w:tcBorders>
              <w:top w:val="nil"/>
              <w:left w:val="nil"/>
              <w:bottom w:val="nil"/>
              <w:right w:val="nil"/>
            </w:tcBorders>
            <w:shd w:val="clear" w:color="auto" w:fill="auto"/>
            <w:noWrap/>
            <w:vAlign w:val="bottom"/>
            <w:hideMark/>
          </w:tcPr>
          <w:p w:rsidR="008623D1" w:rsidRPr="008623D1" w:rsidRDefault="008623D1" w:rsidP="008623D1">
            <w:pPr>
              <w:spacing w:after="0"/>
              <w:jc w:val="left"/>
              <w:rPr>
                <w:b/>
                <w:color w:val="000000"/>
                <w:sz w:val="18"/>
                <w:szCs w:val="18"/>
                <w:lang w:eastAsia="fr-FR"/>
              </w:rPr>
            </w:pPr>
            <w:r w:rsidRPr="008623D1">
              <w:rPr>
                <w:b/>
                <w:color w:val="000000"/>
                <w:sz w:val="18"/>
                <w:szCs w:val="18"/>
                <w:lang w:eastAsia="fr-FR"/>
              </w:rPr>
              <w:t>TOTAL</w:t>
            </w:r>
          </w:p>
        </w:tc>
        <w:tc>
          <w:tcPr>
            <w:tcW w:w="1660" w:type="dxa"/>
            <w:tcBorders>
              <w:top w:val="nil"/>
              <w:left w:val="nil"/>
              <w:bottom w:val="nil"/>
              <w:right w:val="nil"/>
            </w:tcBorders>
            <w:shd w:val="clear" w:color="auto" w:fill="auto"/>
            <w:noWrap/>
            <w:vAlign w:val="bottom"/>
            <w:hideMark/>
          </w:tcPr>
          <w:p w:rsidR="008623D1" w:rsidRPr="008623D1" w:rsidRDefault="000B6F97" w:rsidP="000B6F97">
            <w:pPr>
              <w:spacing w:after="0"/>
              <w:jc w:val="right"/>
              <w:rPr>
                <w:b/>
                <w:color w:val="000000"/>
                <w:sz w:val="18"/>
                <w:szCs w:val="18"/>
                <w:lang w:eastAsia="fr-FR"/>
              </w:rPr>
            </w:pPr>
            <w:r w:rsidRPr="000B6F97">
              <w:rPr>
                <w:b/>
                <w:color w:val="000000"/>
                <w:sz w:val="18"/>
                <w:szCs w:val="18"/>
                <w:lang w:eastAsia="fr-FR"/>
              </w:rPr>
              <w:t>1</w:t>
            </w:r>
            <w:r>
              <w:rPr>
                <w:b/>
                <w:color w:val="000000"/>
                <w:sz w:val="18"/>
                <w:szCs w:val="18"/>
                <w:lang w:eastAsia="fr-FR"/>
              </w:rPr>
              <w:t xml:space="preserve"> </w:t>
            </w:r>
            <w:r w:rsidRPr="000B6F97">
              <w:rPr>
                <w:b/>
                <w:color w:val="000000"/>
                <w:sz w:val="18"/>
                <w:szCs w:val="18"/>
                <w:lang w:eastAsia="fr-FR"/>
              </w:rPr>
              <w:t>477</w:t>
            </w:r>
            <w:r>
              <w:rPr>
                <w:b/>
                <w:color w:val="000000"/>
                <w:sz w:val="18"/>
                <w:szCs w:val="18"/>
                <w:lang w:eastAsia="fr-FR"/>
              </w:rPr>
              <w:t xml:space="preserve"> </w:t>
            </w:r>
            <w:r w:rsidRPr="000B6F97">
              <w:rPr>
                <w:b/>
                <w:color w:val="000000"/>
                <w:sz w:val="18"/>
                <w:szCs w:val="18"/>
                <w:lang w:eastAsia="fr-FR"/>
              </w:rPr>
              <w:t>160,89</w:t>
            </w:r>
          </w:p>
        </w:tc>
      </w:tr>
    </w:tbl>
    <w:p w:rsidR="00A079F7" w:rsidRDefault="00A079F7" w:rsidP="00A079F7">
      <w:pPr>
        <w:spacing w:before="240"/>
      </w:pPr>
      <w:r w:rsidRPr="008623D1">
        <w:t>En considérant le seuil de matérialité de 200 mille USD ainsi que les conclusions présentées ci-dessus indiquées, le nombre des entreprises à retenir dans le périmètre de conciliation s’élève à 1</w:t>
      </w:r>
      <w:r w:rsidR="00DF423E">
        <w:t>14</w:t>
      </w:r>
      <w:r w:rsidRPr="008623D1">
        <w:t xml:space="preserve"> dont la contribution dans le total des flux de paiements déclarés par les régies fi</w:t>
      </w:r>
      <w:r w:rsidR="008623D1" w:rsidRPr="008623D1">
        <w:t xml:space="preserve">nancières de l’Etat est de 99.78 </w:t>
      </w:r>
      <w:r w:rsidRPr="008623D1">
        <w:t>%.</w:t>
      </w:r>
      <w:r w:rsidRPr="001F60A5">
        <w:t xml:space="preserve"> </w:t>
      </w:r>
    </w:p>
    <w:p w:rsidR="00207583" w:rsidRDefault="00BF11EB" w:rsidP="00A079F7">
      <w:pPr>
        <w:spacing w:before="240"/>
      </w:pPr>
      <w:r>
        <w:t xml:space="preserve">Parmi ces </w:t>
      </w:r>
      <w:r w:rsidR="00725E17">
        <w:t>entreprises</w:t>
      </w:r>
      <w:r>
        <w:t xml:space="preserve">, </w:t>
      </w:r>
      <w:r w:rsidR="00F74DFA">
        <w:t>dix</w:t>
      </w:r>
      <w:r>
        <w:t xml:space="preserve"> (</w:t>
      </w:r>
      <w:r w:rsidR="00F74DFA">
        <w:t>10</w:t>
      </w:r>
      <w:r>
        <w:t>) nouvelles intègrent le périmètre du Rapport ITIE-RDC 2015 et se détaillent comme suit :</w:t>
      </w:r>
    </w:p>
    <w:p w:rsidR="00E74B2E" w:rsidRDefault="00E74B2E" w:rsidP="00A079F7">
      <w:pPr>
        <w:spacing w:before="240"/>
      </w:pPr>
    </w:p>
    <w:tbl>
      <w:tblPr>
        <w:tblStyle w:val="Tramemoyenne1-Accent11"/>
        <w:tblW w:w="6480" w:type="dxa"/>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240"/>
        <w:gridCol w:w="5240"/>
      </w:tblGrid>
      <w:tr w:rsidR="00207583" w:rsidRPr="00207583" w:rsidTr="00BF11EB">
        <w:trPr>
          <w:cnfStyle w:val="100000000000" w:firstRow="1" w:lastRow="0" w:firstColumn="0" w:lastColumn="0" w:oddVBand="0" w:evenVBand="0" w:oddHBand="0" w:evenHBand="0" w:firstRowFirstColumn="0" w:firstRowLastColumn="0" w:lastRowFirstColumn="0" w:lastRowLastColumn="0"/>
          <w:trHeight w:val="321"/>
          <w:tblHeader/>
          <w:jc w:val="center"/>
        </w:trPr>
        <w:tc>
          <w:tcPr>
            <w:cnfStyle w:val="001000000000" w:firstRow="0" w:lastRow="0" w:firstColumn="1" w:lastColumn="0" w:oddVBand="0" w:evenVBand="0" w:oddHBand="0" w:evenHBand="0" w:firstRowFirstColumn="0" w:firstRowLastColumn="0" w:lastRowFirstColumn="0" w:lastRowLastColumn="0"/>
            <w:tcW w:w="1240" w:type="dxa"/>
            <w:tcBorders>
              <w:top w:val="none" w:sz="0" w:space="0" w:color="auto"/>
              <w:left w:val="none" w:sz="0" w:space="0" w:color="auto"/>
              <w:bottom w:val="none" w:sz="0" w:space="0" w:color="auto"/>
              <w:right w:val="none" w:sz="0" w:space="0" w:color="auto"/>
            </w:tcBorders>
            <w:hideMark/>
          </w:tcPr>
          <w:p w:rsidR="00207583" w:rsidRPr="00207583" w:rsidRDefault="00BF11EB" w:rsidP="00D238F2">
            <w:pPr>
              <w:spacing w:after="0"/>
              <w:jc w:val="left"/>
              <w:rPr>
                <w:rFonts w:ascii="Calibri" w:hAnsi="Calibri" w:cs="Times New Roman"/>
                <w:color w:val="000000"/>
                <w:sz w:val="18"/>
                <w:szCs w:val="22"/>
              </w:rPr>
            </w:pPr>
            <w:r>
              <w:rPr>
                <w:rFonts w:ascii="Calibri" w:hAnsi="Calibri" w:cs="Times New Roman"/>
                <w:color w:val="000000"/>
                <w:sz w:val="18"/>
                <w:szCs w:val="22"/>
              </w:rPr>
              <w:t>NIF</w:t>
            </w:r>
          </w:p>
        </w:tc>
        <w:tc>
          <w:tcPr>
            <w:tcW w:w="5240" w:type="dxa"/>
            <w:tcBorders>
              <w:top w:val="none" w:sz="0" w:space="0" w:color="auto"/>
              <w:left w:val="none" w:sz="0" w:space="0" w:color="auto"/>
              <w:bottom w:val="none" w:sz="0" w:space="0" w:color="auto"/>
              <w:right w:val="none" w:sz="0" w:space="0" w:color="auto"/>
            </w:tcBorders>
            <w:hideMark/>
          </w:tcPr>
          <w:p w:rsidR="00207583" w:rsidRPr="00207583" w:rsidRDefault="00BF11EB" w:rsidP="00D238F2">
            <w:pPr>
              <w:spacing w:after="0"/>
              <w:jc w:val="left"/>
              <w:cnfStyle w:val="100000000000" w:firstRow="1" w:lastRow="0" w:firstColumn="0" w:lastColumn="0" w:oddVBand="0" w:evenVBand="0" w:oddHBand="0" w:evenHBand="0" w:firstRowFirstColumn="0" w:firstRowLastColumn="0" w:lastRowFirstColumn="0" w:lastRowLastColumn="0"/>
              <w:rPr>
                <w:rFonts w:ascii="Calibri" w:hAnsi="Calibri" w:cs="Times New Roman"/>
                <w:color w:val="000000"/>
                <w:sz w:val="18"/>
                <w:szCs w:val="22"/>
              </w:rPr>
            </w:pPr>
            <w:r>
              <w:rPr>
                <w:rFonts w:ascii="Calibri" w:hAnsi="Calibri" w:cs="Times New Roman"/>
                <w:color w:val="000000"/>
                <w:sz w:val="18"/>
                <w:szCs w:val="22"/>
              </w:rPr>
              <w:t>Raison Sociale</w:t>
            </w:r>
          </w:p>
        </w:tc>
      </w:tr>
      <w:tr w:rsidR="00207583" w:rsidRPr="00207583" w:rsidTr="00207583">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1240" w:type="dxa"/>
            <w:tcBorders>
              <w:right w:val="none" w:sz="0" w:space="0" w:color="auto"/>
            </w:tcBorders>
            <w:hideMark/>
          </w:tcPr>
          <w:p w:rsidR="00207583" w:rsidRPr="00207583" w:rsidRDefault="00207583" w:rsidP="00D238F2">
            <w:pPr>
              <w:spacing w:after="0"/>
              <w:jc w:val="left"/>
              <w:rPr>
                <w:rFonts w:ascii="Calibri" w:hAnsi="Calibri" w:cs="Times New Roman"/>
                <w:color w:val="000000"/>
                <w:sz w:val="18"/>
                <w:szCs w:val="22"/>
              </w:rPr>
            </w:pPr>
            <w:r w:rsidRPr="00207583">
              <w:rPr>
                <w:rFonts w:ascii="Calibri" w:hAnsi="Calibri" w:cs="Times New Roman"/>
                <w:color w:val="000000"/>
                <w:sz w:val="18"/>
                <w:szCs w:val="22"/>
              </w:rPr>
              <w:t>A1213242H</w:t>
            </w:r>
          </w:p>
        </w:tc>
        <w:tc>
          <w:tcPr>
            <w:tcW w:w="5240" w:type="dxa"/>
            <w:tcBorders>
              <w:left w:val="none" w:sz="0" w:space="0" w:color="auto"/>
            </w:tcBorders>
            <w:hideMark/>
          </w:tcPr>
          <w:p w:rsidR="00207583" w:rsidRPr="00207583" w:rsidRDefault="00207583" w:rsidP="00D238F2">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Times New Roman"/>
                <w:bCs w:val="0"/>
                <w:color w:val="000000"/>
                <w:sz w:val="18"/>
                <w:szCs w:val="22"/>
              </w:rPr>
            </w:pPr>
            <w:r w:rsidRPr="00207583">
              <w:rPr>
                <w:rFonts w:ascii="Calibri" w:hAnsi="Calibri" w:cs="Times New Roman"/>
                <w:bCs w:val="0"/>
                <w:color w:val="000000"/>
                <w:sz w:val="18"/>
                <w:szCs w:val="22"/>
              </w:rPr>
              <w:t>IVANHOE MINES DRC SPRL</w:t>
            </w:r>
          </w:p>
        </w:tc>
      </w:tr>
      <w:tr w:rsidR="00207583" w:rsidRPr="00207583" w:rsidTr="00207583">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1240" w:type="dxa"/>
            <w:tcBorders>
              <w:right w:val="none" w:sz="0" w:space="0" w:color="auto"/>
            </w:tcBorders>
            <w:hideMark/>
          </w:tcPr>
          <w:p w:rsidR="00207583" w:rsidRPr="00207583" w:rsidRDefault="00207583" w:rsidP="00D238F2">
            <w:pPr>
              <w:spacing w:after="0"/>
              <w:jc w:val="left"/>
              <w:rPr>
                <w:rFonts w:ascii="Calibri" w:hAnsi="Calibri" w:cs="Times New Roman"/>
                <w:color w:val="000000"/>
                <w:sz w:val="18"/>
                <w:szCs w:val="22"/>
              </w:rPr>
            </w:pPr>
            <w:r w:rsidRPr="00207583">
              <w:rPr>
                <w:rFonts w:ascii="Calibri" w:hAnsi="Calibri" w:cs="Times New Roman"/>
                <w:color w:val="000000"/>
                <w:sz w:val="18"/>
                <w:szCs w:val="22"/>
              </w:rPr>
              <w:t>A0705928C</w:t>
            </w:r>
          </w:p>
        </w:tc>
        <w:tc>
          <w:tcPr>
            <w:tcW w:w="5240" w:type="dxa"/>
            <w:tcBorders>
              <w:left w:val="none" w:sz="0" w:space="0" w:color="auto"/>
            </w:tcBorders>
            <w:hideMark/>
          </w:tcPr>
          <w:p w:rsidR="00207583" w:rsidRPr="00207583" w:rsidRDefault="00207583" w:rsidP="00D238F2">
            <w:pPr>
              <w:spacing w:after="0"/>
              <w:jc w:val="left"/>
              <w:cnfStyle w:val="000000010000" w:firstRow="0" w:lastRow="0" w:firstColumn="0" w:lastColumn="0" w:oddVBand="0" w:evenVBand="0" w:oddHBand="0" w:evenHBand="1" w:firstRowFirstColumn="0" w:firstRowLastColumn="0" w:lastRowFirstColumn="0" w:lastRowLastColumn="0"/>
              <w:rPr>
                <w:rFonts w:ascii="Calibri" w:hAnsi="Calibri" w:cs="Times New Roman"/>
                <w:bCs w:val="0"/>
                <w:color w:val="000000"/>
                <w:sz w:val="18"/>
                <w:szCs w:val="22"/>
              </w:rPr>
            </w:pPr>
            <w:r w:rsidRPr="00207583">
              <w:rPr>
                <w:rFonts w:ascii="Calibri" w:hAnsi="Calibri" w:cs="Times New Roman"/>
                <w:bCs w:val="0"/>
                <w:color w:val="000000"/>
                <w:sz w:val="18"/>
                <w:szCs w:val="22"/>
              </w:rPr>
              <w:t>MINING PROCESSING AND CONGO</w:t>
            </w:r>
          </w:p>
        </w:tc>
      </w:tr>
      <w:tr w:rsidR="00207583" w:rsidRPr="00207583" w:rsidTr="00207583">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1240" w:type="dxa"/>
            <w:tcBorders>
              <w:right w:val="none" w:sz="0" w:space="0" w:color="auto"/>
            </w:tcBorders>
            <w:hideMark/>
          </w:tcPr>
          <w:p w:rsidR="00207583" w:rsidRPr="00207583" w:rsidRDefault="00207583" w:rsidP="00D238F2">
            <w:pPr>
              <w:spacing w:after="0"/>
              <w:jc w:val="left"/>
              <w:rPr>
                <w:rFonts w:ascii="Calibri" w:hAnsi="Calibri" w:cs="Times New Roman"/>
                <w:color w:val="000000"/>
                <w:sz w:val="18"/>
                <w:szCs w:val="22"/>
              </w:rPr>
            </w:pPr>
            <w:r w:rsidRPr="00207583">
              <w:rPr>
                <w:rFonts w:ascii="Calibri" w:hAnsi="Calibri" w:cs="Times New Roman"/>
                <w:color w:val="000000"/>
                <w:sz w:val="18"/>
                <w:szCs w:val="22"/>
              </w:rPr>
              <w:t>A0901953J</w:t>
            </w:r>
          </w:p>
        </w:tc>
        <w:tc>
          <w:tcPr>
            <w:tcW w:w="5240" w:type="dxa"/>
            <w:tcBorders>
              <w:left w:val="none" w:sz="0" w:space="0" w:color="auto"/>
            </w:tcBorders>
            <w:hideMark/>
          </w:tcPr>
          <w:p w:rsidR="00207583" w:rsidRPr="00207583" w:rsidRDefault="00207583" w:rsidP="00D238F2">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Times New Roman"/>
                <w:bCs w:val="0"/>
                <w:color w:val="000000"/>
                <w:sz w:val="18"/>
                <w:szCs w:val="22"/>
              </w:rPr>
            </w:pPr>
            <w:r w:rsidRPr="00207583">
              <w:rPr>
                <w:rFonts w:ascii="Calibri" w:hAnsi="Calibri" w:cs="Times New Roman"/>
                <w:bCs w:val="0"/>
                <w:color w:val="000000"/>
                <w:sz w:val="18"/>
                <w:szCs w:val="22"/>
              </w:rPr>
              <w:t>TIGER CONGO</w:t>
            </w:r>
          </w:p>
        </w:tc>
      </w:tr>
      <w:tr w:rsidR="00207583" w:rsidRPr="00207583" w:rsidTr="00207583">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1240" w:type="dxa"/>
            <w:tcBorders>
              <w:right w:val="none" w:sz="0" w:space="0" w:color="auto"/>
            </w:tcBorders>
            <w:hideMark/>
          </w:tcPr>
          <w:p w:rsidR="00207583" w:rsidRPr="00207583" w:rsidRDefault="00207583" w:rsidP="00D238F2">
            <w:pPr>
              <w:spacing w:after="0"/>
              <w:jc w:val="left"/>
              <w:rPr>
                <w:rFonts w:ascii="Calibri" w:hAnsi="Calibri" w:cs="Times New Roman"/>
                <w:color w:val="000000"/>
                <w:sz w:val="18"/>
                <w:szCs w:val="22"/>
              </w:rPr>
            </w:pPr>
            <w:r w:rsidRPr="00207583">
              <w:rPr>
                <w:rFonts w:ascii="Calibri" w:hAnsi="Calibri" w:cs="Times New Roman"/>
                <w:color w:val="000000"/>
                <w:sz w:val="18"/>
                <w:szCs w:val="22"/>
              </w:rPr>
              <w:t>A1214036W</w:t>
            </w:r>
          </w:p>
        </w:tc>
        <w:tc>
          <w:tcPr>
            <w:tcW w:w="5240" w:type="dxa"/>
            <w:tcBorders>
              <w:left w:val="none" w:sz="0" w:space="0" w:color="auto"/>
            </w:tcBorders>
            <w:hideMark/>
          </w:tcPr>
          <w:p w:rsidR="00207583" w:rsidRPr="00207583" w:rsidRDefault="00207583" w:rsidP="00D238F2">
            <w:pPr>
              <w:spacing w:after="0"/>
              <w:jc w:val="left"/>
              <w:cnfStyle w:val="000000010000" w:firstRow="0" w:lastRow="0" w:firstColumn="0" w:lastColumn="0" w:oddVBand="0" w:evenVBand="0" w:oddHBand="0" w:evenHBand="1" w:firstRowFirstColumn="0" w:firstRowLastColumn="0" w:lastRowFirstColumn="0" w:lastRowLastColumn="0"/>
              <w:rPr>
                <w:rFonts w:ascii="Calibri" w:hAnsi="Calibri" w:cs="Times New Roman"/>
                <w:bCs w:val="0"/>
                <w:color w:val="000000"/>
                <w:sz w:val="18"/>
                <w:szCs w:val="22"/>
              </w:rPr>
            </w:pPr>
            <w:r w:rsidRPr="00207583">
              <w:rPr>
                <w:rFonts w:ascii="Calibri" w:hAnsi="Calibri" w:cs="Times New Roman"/>
                <w:bCs w:val="0"/>
                <w:color w:val="000000"/>
                <w:sz w:val="18"/>
                <w:szCs w:val="22"/>
              </w:rPr>
              <w:t>MANIEMA MINING COMPANY</w:t>
            </w:r>
          </w:p>
        </w:tc>
      </w:tr>
      <w:tr w:rsidR="00207583" w:rsidRPr="00207583" w:rsidTr="00207583">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1240" w:type="dxa"/>
            <w:tcBorders>
              <w:right w:val="none" w:sz="0" w:space="0" w:color="auto"/>
            </w:tcBorders>
            <w:hideMark/>
          </w:tcPr>
          <w:p w:rsidR="00207583" w:rsidRPr="00207583" w:rsidRDefault="00207583" w:rsidP="00D238F2">
            <w:pPr>
              <w:spacing w:after="0"/>
              <w:jc w:val="left"/>
              <w:rPr>
                <w:rFonts w:ascii="Calibri" w:hAnsi="Calibri" w:cs="Times New Roman"/>
                <w:color w:val="000000"/>
                <w:sz w:val="18"/>
                <w:szCs w:val="22"/>
              </w:rPr>
            </w:pPr>
            <w:r w:rsidRPr="00207583">
              <w:rPr>
                <w:rFonts w:ascii="Calibri" w:hAnsi="Calibri" w:cs="Times New Roman"/>
                <w:color w:val="000000"/>
                <w:sz w:val="18"/>
                <w:szCs w:val="22"/>
              </w:rPr>
              <w:lastRenderedPageBreak/>
              <w:t>A1301003F</w:t>
            </w:r>
          </w:p>
        </w:tc>
        <w:tc>
          <w:tcPr>
            <w:tcW w:w="5240" w:type="dxa"/>
            <w:tcBorders>
              <w:left w:val="none" w:sz="0" w:space="0" w:color="auto"/>
            </w:tcBorders>
            <w:hideMark/>
          </w:tcPr>
          <w:p w:rsidR="00207583" w:rsidRPr="00207583" w:rsidRDefault="00207583" w:rsidP="00D238F2">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Times New Roman"/>
                <w:bCs w:val="0"/>
                <w:color w:val="000000"/>
                <w:sz w:val="18"/>
                <w:szCs w:val="22"/>
              </w:rPr>
            </w:pPr>
            <w:r w:rsidRPr="00207583">
              <w:rPr>
                <w:rFonts w:ascii="Calibri" w:hAnsi="Calibri" w:cs="Times New Roman"/>
                <w:bCs w:val="0"/>
                <w:color w:val="000000"/>
                <w:sz w:val="18"/>
                <w:szCs w:val="22"/>
              </w:rPr>
              <w:t>DRAGON INTERNATIONAL MINING SARL</w:t>
            </w:r>
          </w:p>
        </w:tc>
      </w:tr>
      <w:tr w:rsidR="00207583" w:rsidRPr="00207583" w:rsidTr="00207583">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1240" w:type="dxa"/>
            <w:tcBorders>
              <w:right w:val="none" w:sz="0" w:space="0" w:color="auto"/>
            </w:tcBorders>
            <w:hideMark/>
          </w:tcPr>
          <w:p w:rsidR="00207583" w:rsidRPr="00207583" w:rsidRDefault="00207583" w:rsidP="00D238F2">
            <w:pPr>
              <w:spacing w:after="0"/>
              <w:jc w:val="left"/>
              <w:rPr>
                <w:rFonts w:ascii="Calibri" w:hAnsi="Calibri" w:cs="Times New Roman"/>
                <w:color w:val="000000"/>
                <w:sz w:val="18"/>
                <w:szCs w:val="22"/>
              </w:rPr>
            </w:pPr>
            <w:r w:rsidRPr="00207583">
              <w:rPr>
                <w:rFonts w:ascii="Calibri" w:hAnsi="Calibri" w:cs="Times New Roman"/>
                <w:color w:val="000000"/>
                <w:sz w:val="18"/>
                <w:szCs w:val="22"/>
              </w:rPr>
              <w:t>A0704864W</w:t>
            </w:r>
          </w:p>
        </w:tc>
        <w:tc>
          <w:tcPr>
            <w:tcW w:w="5240" w:type="dxa"/>
            <w:tcBorders>
              <w:left w:val="none" w:sz="0" w:space="0" w:color="auto"/>
            </w:tcBorders>
            <w:hideMark/>
          </w:tcPr>
          <w:p w:rsidR="00207583" w:rsidRPr="00207583" w:rsidRDefault="00207583" w:rsidP="00D238F2">
            <w:pPr>
              <w:spacing w:after="0"/>
              <w:jc w:val="left"/>
              <w:cnfStyle w:val="000000010000" w:firstRow="0" w:lastRow="0" w:firstColumn="0" w:lastColumn="0" w:oddVBand="0" w:evenVBand="0" w:oddHBand="0" w:evenHBand="1" w:firstRowFirstColumn="0" w:firstRowLastColumn="0" w:lastRowFirstColumn="0" w:lastRowLastColumn="0"/>
              <w:rPr>
                <w:rFonts w:ascii="Calibri" w:hAnsi="Calibri" w:cs="Times New Roman"/>
                <w:bCs w:val="0"/>
                <w:color w:val="000000"/>
                <w:sz w:val="18"/>
                <w:szCs w:val="22"/>
              </w:rPr>
            </w:pPr>
            <w:r w:rsidRPr="00207583">
              <w:rPr>
                <w:rFonts w:ascii="Calibri" w:hAnsi="Calibri" w:cs="Times New Roman"/>
                <w:bCs w:val="0"/>
                <w:color w:val="000000"/>
                <w:sz w:val="18"/>
                <w:szCs w:val="22"/>
              </w:rPr>
              <w:t>AURUM SPRL</w:t>
            </w:r>
          </w:p>
        </w:tc>
      </w:tr>
      <w:tr w:rsidR="00207583" w:rsidRPr="00207583" w:rsidTr="00207583">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1240" w:type="dxa"/>
            <w:tcBorders>
              <w:right w:val="none" w:sz="0" w:space="0" w:color="auto"/>
            </w:tcBorders>
            <w:hideMark/>
          </w:tcPr>
          <w:p w:rsidR="00207583" w:rsidRPr="00207583" w:rsidRDefault="00207583" w:rsidP="00D238F2">
            <w:pPr>
              <w:spacing w:after="0"/>
              <w:jc w:val="left"/>
              <w:rPr>
                <w:rFonts w:ascii="Calibri" w:hAnsi="Calibri" w:cs="Times New Roman"/>
                <w:color w:val="000000"/>
                <w:sz w:val="18"/>
                <w:szCs w:val="22"/>
              </w:rPr>
            </w:pPr>
            <w:r w:rsidRPr="00207583">
              <w:rPr>
                <w:rFonts w:ascii="Calibri" w:hAnsi="Calibri" w:cs="Times New Roman"/>
                <w:color w:val="000000"/>
                <w:sz w:val="18"/>
                <w:szCs w:val="22"/>
              </w:rPr>
              <w:t>A1201610P</w:t>
            </w:r>
          </w:p>
        </w:tc>
        <w:tc>
          <w:tcPr>
            <w:tcW w:w="5240" w:type="dxa"/>
            <w:tcBorders>
              <w:left w:val="none" w:sz="0" w:space="0" w:color="auto"/>
            </w:tcBorders>
            <w:hideMark/>
          </w:tcPr>
          <w:p w:rsidR="00207583" w:rsidRPr="00207583" w:rsidRDefault="00207583" w:rsidP="00D238F2">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Times New Roman"/>
                <w:bCs w:val="0"/>
                <w:color w:val="000000"/>
                <w:sz w:val="18"/>
                <w:szCs w:val="22"/>
              </w:rPr>
            </w:pPr>
            <w:r w:rsidRPr="00207583">
              <w:rPr>
                <w:rFonts w:ascii="Calibri" w:hAnsi="Calibri" w:cs="Times New Roman"/>
                <w:bCs w:val="0"/>
                <w:color w:val="000000"/>
                <w:sz w:val="18"/>
                <w:szCs w:val="22"/>
              </w:rPr>
              <w:t>METACHEM</w:t>
            </w:r>
          </w:p>
        </w:tc>
      </w:tr>
      <w:tr w:rsidR="00207583" w:rsidRPr="00207583" w:rsidTr="00207583">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1240" w:type="dxa"/>
            <w:tcBorders>
              <w:right w:val="none" w:sz="0" w:space="0" w:color="auto"/>
            </w:tcBorders>
            <w:hideMark/>
          </w:tcPr>
          <w:p w:rsidR="00207583" w:rsidRPr="00207583" w:rsidRDefault="00207583" w:rsidP="00D238F2">
            <w:pPr>
              <w:spacing w:after="0"/>
              <w:jc w:val="left"/>
              <w:rPr>
                <w:rFonts w:ascii="Calibri" w:hAnsi="Calibri" w:cs="Times New Roman"/>
                <w:color w:val="000000"/>
                <w:sz w:val="18"/>
                <w:szCs w:val="22"/>
              </w:rPr>
            </w:pPr>
            <w:r w:rsidRPr="00207583">
              <w:rPr>
                <w:rFonts w:ascii="Calibri" w:hAnsi="Calibri" w:cs="Times New Roman"/>
                <w:color w:val="000000"/>
                <w:sz w:val="18"/>
                <w:szCs w:val="22"/>
              </w:rPr>
              <w:t>A1212519X</w:t>
            </w:r>
          </w:p>
        </w:tc>
        <w:tc>
          <w:tcPr>
            <w:tcW w:w="5240" w:type="dxa"/>
            <w:tcBorders>
              <w:left w:val="none" w:sz="0" w:space="0" w:color="auto"/>
            </w:tcBorders>
            <w:hideMark/>
          </w:tcPr>
          <w:p w:rsidR="00207583" w:rsidRPr="00207583" w:rsidRDefault="00207583" w:rsidP="00D238F2">
            <w:pPr>
              <w:spacing w:after="0"/>
              <w:jc w:val="left"/>
              <w:cnfStyle w:val="000000010000" w:firstRow="0" w:lastRow="0" w:firstColumn="0" w:lastColumn="0" w:oddVBand="0" w:evenVBand="0" w:oddHBand="0" w:evenHBand="1" w:firstRowFirstColumn="0" w:firstRowLastColumn="0" w:lastRowFirstColumn="0" w:lastRowLastColumn="0"/>
              <w:rPr>
                <w:rFonts w:ascii="Calibri" w:hAnsi="Calibri" w:cs="Times New Roman"/>
                <w:bCs w:val="0"/>
                <w:color w:val="000000"/>
                <w:sz w:val="18"/>
                <w:szCs w:val="22"/>
              </w:rPr>
            </w:pPr>
            <w:r w:rsidRPr="00207583">
              <w:rPr>
                <w:rFonts w:ascii="Calibri" w:hAnsi="Calibri" w:cs="Times New Roman"/>
                <w:bCs w:val="0"/>
                <w:color w:val="000000"/>
                <w:sz w:val="18"/>
                <w:szCs w:val="22"/>
              </w:rPr>
              <w:t>OM METAL RESSOURCES SARL</w:t>
            </w:r>
          </w:p>
        </w:tc>
      </w:tr>
      <w:tr w:rsidR="00207583" w:rsidRPr="00207583" w:rsidTr="00207583">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1240" w:type="dxa"/>
          </w:tcPr>
          <w:p w:rsidR="00207583" w:rsidRPr="00207583" w:rsidRDefault="00207583" w:rsidP="00D238F2">
            <w:pPr>
              <w:spacing w:after="0"/>
              <w:jc w:val="left"/>
              <w:rPr>
                <w:rFonts w:ascii="Calibri" w:hAnsi="Calibri" w:cs="Times New Roman"/>
                <w:color w:val="000000"/>
                <w:sz w:val="18"/>
                <w:szCs w:val="22"/>
              </w:rPr>
            </w:pPr>
            <w:r w:rsidRPr="00207583">
              <w:rPr>
                <w:rFonts w:ascii="Calibri" w:hAnsi="Calibri" w:cs="Times New Roman"/>
                <w:color w:val="000000"/>
                <w:sz w:val="18"/>
                <w:szCs w:val="22"/>
              </w:rPr>
              <w:t>A1111135R</w:t>
            </w:r>
          </w:p>
        </w:tc>
        <w:tc>
          <w:tcPr>
            <w:tcW w:w="5240" w:type="dxa"/>
          </w:tcPr>
          <w:p w:rsidR="00207583" w:rsidRPr="00207583" w:rsidRDefault="00207583" w:rsidP="00D238F2">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Times New Roman"/>
                <w:bCs w:val="0"/>
                <w:color w:val="000000"/>
                <w:sz w:val="18"/>
                <w:szCs w:val="22"/>
              </w:rPr>
            </w:pPr>
            <w:r w:rsidRPr="00207583">
              <w:rPr>
                <w:rFonts w:ascii="Calibri" w:hAnsi="Calibri" w:cs="Times New Roman"/>
                <w:bCs w:val="0"/>
                <w:color w:val="000000"/>
                <w:sz w:val="18"/>
                <w:szCs w:val="22"/>
              </w:rPr>
              <w:t>SINO KATANGATIN</w:t>
            </w:r>
          </w:p>
        </w:tc>
      </w:tr>
      <w:tr w:rsidR="003A3A9E" w:rsidRPr="00207583" w:rsidTr="00207583">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1240" w:type="dxa"/>
          </w:tcPr>
          <w:p w:rsidR="003A3A9E" w:rsidRPr="00207583" w:rsidRDefault="003A3A9E" w:rsidP="00D238F2">
            <w:pPr>
              <w:spacing w:after="0"/>
              <w:jc w:val="left"/>
              <w:rPr>
                <w:rFonts w:ascii="Calibri" w:hAnsi="Calibri" w:cs="Times New Roman"/>
                <w:color w:val="000000"/>
                <w:sz w:val="18"/>
              </w:rPr>
            </w:pPr>
            <w:r>
              <w:rPr>
                <w:rFonts w:ascii="Calibri" w:hAnsi="Calibri" w:cs="Times New Roman"/>
                <w:color w:val="000000"/>
                <w:sz w:val="18"/>
              </w:rPr>
              <w:t>A</w:t>
            </w:r>
            <w:r w:rsidR="003234B1">
              <w:rPr>
                <w:rFonts w:ascii="Calibri" w:hAnsi="Calibri" w:cs="Times New Roman"/>
                <w:color w:val="000000"/>
                <w:sz w:val="18"/>
              </w:rPr>
              <w:t>1202532R</w:t>
            </w:r>
          </w:p>
        </w:tc>
        <w:tc>
          <w:tcPr>
            <w:tcW w:w="5240" w:type="dxa"/>
          </w:tcPr>
          <w:p w:rsidR="003A3A9E" w:rsidRPr="00207583" w:rsidRDefault="003A3A9E" w:rsidP="00D238F2">
            <w:pPr>
              <w:spacing w:after="0"/>
              <w:jc w:val="left"/>
              <w:cnfStyle w:val="000000010000" w:firstRow="0" w:lastRow="0" w:firstColumn="0" w:lastColumn="0" w:oddVBand="0" w:evenVBand="0" w:oddHBand="0" w:evenHBand="1" w:firstRowFirstColumn="0" w:firstRowLastColumn="0" w:lastRowFirstColumn="0" w:lastRowLastColumn="0"/>
              <w:rPr>
                <w:rFonts w:ascii="Calibri" w:hAnsi="Calibri" w:cs="Times New Roman"/>
                <w:bCs w:val="0"/>
                <w:color w:val="000000"/>
                <w:sz w:val="18"/>
              </w:rPr>
            </w:pPr>
            <w:r>
              <w:rPr>
                <w:rFonts w:ascii="Calibri" w:hAnsi="Calibri" w:cs="Times New Roman"/>
                <w:bCs w:val="0"/>
                <w:color w:val="000000"/>
                <w:sz w:val="18"/>
              </w:rPr>
              <w:t>SOCIETE MINIERE DE DIAMANT DE LUPATAPATA</w:t>
            </w:r>
          </w:p>
        </w:tc>
      </w:tr>
    </w:tbl>
    <w:p w:rsidR="00F239A7" w:rsidRPr="001F60A5" w:rsidRDefault="00F239A7" w:rsidP="00D238F2">
      <w:r>
        <w:t>Les autres entreprises ayant effectué un paiement inférieur à 200 mille USD et n'ayant pas rencontré l'un des critères fixés par le Comité Exécutif feront l'objet d'une déclaration unilatéral</w:t>
      </w:r>
      <w:r w:rsidR="004B43DA">
        <w:t>e de l'Etat.</w:t>
      </w:r>
    </w:p>
    <w:p w:rsidR="00A079F7" w:rsidRPr="001F60A5" w:rsidRDefault="00A079F7" w:rsidP="00A079F7">
      <w:pPr>
        <w:pStyle w:val="Heading3"/>
        <w:numPr>
          <w:ilvl w:val="2"/>
          <w:numId w:val="2"/>
        </w:numPr>
        <w:tabs>
          <w:tab w:val="left" w:pos="800"/>
        </w:tabs>
        <w:spacing w:before="120"/>
        <w:rPr>
          <w:b/>
          <w:bCs w:val="0"/>
          <w:i w:val="0"/>
          <w:iCs w:val="0"/>
          <w:color w:val="0070C0"/>
        </w:rPr>
      </w:pPr>
      <w:r w:rsidRPr="001F60A5">
        <w:rPr>
          <w:b/>
          <w:bCs w:val="0"/>
          <w:i w:val="0"/>
          <w:iCs w:val="0"/>
          <w:color w:val="0070C0"/>
        </w:rPr>
        <w:t>Sélection des flux de paiement</w:t>
      </w:r>
    </w:p>
    <w:p w:rsidR="00A079F7" w:rsidRPr="001F60A5" w:rsidRDefault="00A079F7" w:rsidP="00A079F7">
      <w:pPr>
        <w:autoSpaceDE w:val="0"/>
        <w:autoSpaceDN w:val="0"/>
        <w:adjustRightInd w:val="0"/>
        <w:spacing w:before="120" w:after="120"/>
        <w:rPr>
          <w:szCs w:val="20"/>
        </w:rPr>
      </w:pPr>
      <w:r w:rsidRPr="004E333A">
        <w:rPr>
          <w:szCs w:val="20"/>
        </w:rPr>
        <w:t>Pour la détermination des flux de paiement significatifs, la matérialité a été analysée sur la base des catégories de flux suivantes:</w:t>
      </w:r>
    </w:p>
    <w:p w:rsidR="00A079F7" w:rsidRPr="004E333A" w:rsidRDefault="00A079F7" w:rsidP="007B0F6C">
      <w:pPr>
        <w:pStyle w:val="ListParagraph"/>
        <w:numPr>
          <w:ilvl w:val="0"/>
          <w:numId w:val="27"/>
        </w:numPr>
        <w:spacing w:before="240"/>
        <w:ind w:left="714" w:hanging="357"/>
        <w:rPr>
          <w:szCs w:val="20"/>
          <w:u w:val="single"/>
        </w:rPr>
      </w:pPr>
      <w:r w:rsidRPr="004E333A">
        <w:rPr>
          <w:szCs w:val="20"/>
          <w:u w:val="single"/>
        </w:rPr>
        <w:t>Paiements spécifiques au secteur extractif</w:t>
      </w:r>
    </w:p>
    <w:p w:rsidR="00A079F7" w:rsidRPr="004E333A" w:rsidRDefault="00A079F7" w:rsidP="00A079F7">
      <w:pPr>
        <w:spacing w:before="120" w:after="120"/>
        <w:rPr>
          <w:szCs w:val="20"/>
        </w:rPr>
      </w:pPr>
      <w:r w:rsidRPr="004E333A">
        <w:rPr>
          <w:szCs w:val="20"/>
        </w:rPr>
        <w:t>Tous les paiements spécifiques au secteur des industries extractives recensés ont été retenus dans le périmètre de conciliation sans application de seuil de matérialité.</w:t>
      </w:r>
    </w:p>
    <w:p w:rsidR="00A079F7" w:rsidRDefault="00A079F7" w:rsidP="00A079F7">
      <w:pPr>
        <w:spacing w:before="120"/>
        <w:rPr>
          <w:szCs w:val="20"/>
        </w:rPr>
      </w:pPr>
      <w:r w:rsidRPr="004E333A">
        <w:rPr>
          <w:szCs w:val="20"/>
        </w:rPr>
        <w:t>Le recensement a été effectué sur la base de l’analyse de la réglementation régissant le secteur minier et des taxes et impôts payables aux Régies Financières.</w:t>
      </w:r>
    </w:p>
    <w:p w:rsidR="00A079F7" w:rsidRPr="001F60A5" w:rsidRDefault="00A079F7" w:rsidP="007B0F6C">
      <w:pPr>
        <w:pStyle w:val="ListParagraph"/>
        <w:numPr>
          <w:ilvl w:val="0"/>
          <w:numId w:val="27"/>
        </w:numPr>
        <w:spacing w:before="240"/>
        <w:ind w:left="714" w:hanging="357"/>
        <w:rPr>
          <w:szCs w:val="20"/>
          <w:u w:val="single"/>
        </w:rPr>
      </w:pPr>
      <w:r w:rsidRPr="001F60A5">
        <w:rPr>
          <w:szCs w:val="20"/>
          <w:u w:val="single"/>
        </w:rPr>
        <w:t>Impôts et taxes du droit commun</w:t>
      </w:r>
    </w:p>
    <w:p w:rsidR="00A079F7" w:rsidRDefault="00A079F7" w:rsidP="00A079F7">
      <w:pPr>
        <w:spacing w:before="120" w:after="120"/>
        <w:rPr>
          <w:szCs w:val="20"/>
        </w:rPr>
      </w:pPr>
      <w:r w:rsidRPr="00EE3A24">
        <w:rPr>
          <w:szCs w:val="20"/>
        </w:rPr>
        <w:t>Tous les impôts et taxes déclarés par les Régies financières dont le total par flux était supérieur ou égal à 200 mille USD ont été retenus dans le périmètre de conciliation</w:t>
      </w:r>
      <w:r w:rsidR="00FF355F">
        <w:rPr>
          <w:szCs w:val="20"/>
        </w:rPr>
        <w:t>.</w:t>
      </w:r>
    </w:p>
    <w:p w:rsidR="00A079F7" w:rsidRDefault="00A079F7" w:rsidP="007B0F6C">
      <w:pPr>
        <w:pStyle w:val="ListParagraph"/>
        <w:numPr>
          <w:ilvl w:val="0"/>
          <w:numId w:val="27"/>
        </w:numPr>
        <w:spacing w:before="240"/>
        <w:ind w:left="714" w:hanging="357"/>
        <w:rPr>
          <w:szCs w:val="20"/>
          <w:u w:val="single"/>
        </w:rPr>
      </w:pPr>
      <w:r w:rsidRPr="00AC628D">
        <w:rPr>
          <w:szCs w:val="20"/>
          <w:u w:val="single"/>
        </w:rPr>
        <w:t>Paiements Sociaux</w:t>
      </w:r>
    </w:p>
    <w:p w:rsidR="00A079F7" w:rsidRPr="00CF2516" w:rsidRDefault="00A079F7" w:rsidP="00A079F7">
      <w:pPr>
        <w:spacing w:before="240"/>
      </w:pPr>
      <w:r w:rsidRPr="00CF2516">
        <w:t>Dans le cadre de la responsabilité sociétale, les entreprises extractives peuvent être amenées à participer dans des projets de développement dans les communes abritant les champs pétroliers ou les projets miniers. Ces contributions peuvent avoir le caractère obligatoire ou volontaire comme suit :</w:t>
      </w:r>
    </w:p>
    <w:tbl>
      <w:tblPr>
        <w:tblW w:w="5000" w:type="pct"/>
        <w:tblBorders>
          <w:bottom w:val="single" w:sz="2" w:space="0" w:color="4F81BD"/>
          <w:insideH w:val="single" w:sz="2" w:space="0" w:color="4F81BD"/>
        </w:tblBorders>
        <w:tblCellMar>
          <w:left w:w="70" w:type="dxa"/>
          <w:right w:w="70" w:type="dxa"/>
        </w:tblCellMar>
        <w:tblLook w:val="04A0" w:firstRow="1" w:lastRow="0" w:firstColumn="1" w:lastColumn="0" w:noHBand="0" w:noVBand="1"/>
      </w:tblPr>
      <w:tblGrid>
        <w:gridCol w:w="2546"/>
        <w:gridCol w:w="6666"/>
      </w:tblGrid>
      <w:tr w:rsidR="00A079F7" w:rsidRPr="00AC628D" w:rsidTr="00E514F4">
        <w:trPr>
          <w:trHeight w:val="300"/>
        </w:trPr>
        <w:tc>
          <w:tcPr>
            <w:tcW w:w="1382" w:type="pct"/>
            <w:shd w:val="clear" w:color="000000" w:fill="244061"/>
            <w:vAlign w:val="center"/>
            <w:hideMark/>
          </w:tcPr>
          <w:p w:rsidR="00A079F7" w:rsidRPr="00AC628D" w:rsidRDefault="00A079F7" w:rsidP="00E514F4">
            <w:pPr>
              <w:spacing w:after="0"/>
              <w:jc w:val="left"/>
              <w:rPr>
                <w:b/>
                <w:color w:val="FFFFFF"/>
                <w:sz w:val="18"/>
                <w:szCs w:val="16"/>
                <w:lang w:eastAsia="fr-FR"/>
              </w:rPr>
            </w:pPr>
            <w:r w:rsidRPr="00AC628D">
              <w:rPr>
                <w:b/>
                <w:color w:val="FFFFFF"/>
                <w:sz w:val="18"/>
                <w:szCs w:val="16"/>
                <w:lang w:eastAsia="fr-FR"/>
              </w:rPr>
              <w:t>Flux</w:t>
            </w:r>
          </w:p>
        </w:tc>
        <w:tc>
          <w:tcPr>
            <w:tcW w:w="3618" w:type="pct"/>
            <w:shd w:val="clear" w:color="000000" w:fill="244061"/>
            <w:vAlign w:val="center"/>
            <w:hideMark/>
          </w:tcPr>
          <w:p w:rsidR="00A079F7" w:rsidRPr="00AC628D" w:rsidRDefault="00A079F7" w:rsidP="00E514F4">
            <w:pPr>
              <w:spacing w:after="0"/>
              <w:jc w:val="left"/>
              <w:rPr>
                <w:b/>
                <w:color w:val="FFFFFF"/>
                <w:sz w:val="18"/>
                <w:szCs w:val="16"/>
                <w:lang w:eastAsia="fr-FR"/>
              </w:rPr>
            </w:pPr>
            <w:r w:rsidRPr="00AC628D">
              <w:rPr>
                <w:b/>
                <w:color w:val="FFFFFF"/>
                <w:sz w:val="18"/>
                <w:szCs w:val="16"/>
                <w:lang w:eastAsia="fr-FR"/>
              </w:rPr>
              <w:t>Définition</w:t>
            </w:r>
          </w:p>
        </w:tc>
      </w:tr>
      <w:tr w:rsidR="00A079F7" w:rsidRPr="00AC628D" w:rsidTr="00E514F4">
        <w:trPr>
          <w:trHeight w:val="690"/>
        </w:trPr>
        <w:tc>
          <w:tcPr>
            <w:tcW w:w="1382" w:type="pct"/>
            <w:shd w:val="clear" w:color="000000" w:fill="C6D9F1"/>
            <w:vAlign w:val="center"/>
            <w:hideMark/>
          </w:tcPr>
          <w:p w:rsidR="00A079F7" w:rsidRPr="00AC628D" w:rsidRDefault="00A079F7" w:rsidP="00E514F4">
            <w:pPr>
              <w:spacing w:before="20" w:after="20"/>
              <w:jc w:val="left"/>
              <w:rPr>
                <w:bCs w:val="0"/>
                <w:color w:val="000000"/>
                <w:sz w:val="18"/>
                <w:szCs w:val="16"/>
                <w:lang w:eastAsia="fr-FR"/>
              </w:rPr>
            </w:pPr>
            <w:r w:rsidRPr="00AC628D">
              <w:rPr>
                <w:bCs w:val="0"/>
                <w:color w:val="000000"/>
                <w:sz w:val="18"/>
                <w:szCs w:val="16"/>
                <w:lang w:eastAsia="fr-FR"/>
              </w:rPr>
              <w:t>Paiements sociaux volontaires</w:t>
            </w:r>
          </w:p>
        </w:tc>
        <w:tc>
          <w:tcPr>
            <w:tcW w:w="3618" w:type="pct"/>
            <w:shd w:val="clear" w:color="000000" w:fill="C6D9F1"/>
            <w:vAlign w:val="center"/>
            <w:hideMark/>
          </w:tcPr>
          <w:p w:rsidR="00A079F7" w:rsidRPr="00AC628D" w:rsidRDefault="00A079F7" w:rsidP="00E514F4">
            <w:pPr>
              <w:spacing w:before="20" w:after="20"/>
              <w:rPr>
                <w:bCs w:val="0"/>
                <w:color w:val="000000"/>
                <w:sz w:val="18"/>
                <w:szCs w:val="16"/>
                <w:lang w:eastAsia="fr-FR"/>
              </w:rPr>
            </w:pPr>
            <w:r w:rsidRPr="00AC628D">
              <w:rPr>
                <w:bCs w:val="0"/>
                <w:color w:val="000000"/>
                <w:sz w:val="18"/>
                <w:szCs w:val="16"/>
                <w:lang w:eastAsia="fr-FR"/>
              </w:rPr>
              <w:t>Ces flux concernent l’ensemble des contributions volontaires faites par les sociétés extractives dans le cadre du développement local.</w:t>
            </w:r>
          </w:p>
          <w:p w:rsidR="00A079F7" w:rsidRPr="00AC628D" w:rsidRDefault="00A079F7" w:rsidP="00E514F4">
            <w:pPr>
              <w:spacing w:before="20" w:after="20"/>
              <w:rPr>
                <w:bCs w:val="0"/>
                <w:color w:val="000000"/>
                <w:sz w:val="18"/>
                <w:szCs w:val="16"/>
                <w:lang w:eastAsia="fr-FR"/>
              </w:rPr>
            </w:pPr>
            <w:r w:rsidRPr="00AC628D">
              <w:rPr>
                <w:bCs w:val="0"/>
                <w:color w:val="000000"/>
                <w:sz w:val="18"/>
                <w:szCs w:val="16"/>
                <w:lang w:eastAsia="fr-FR"/>
              </w:rPr>
              <w:t>Sont notamment concernées par cette rubrique : les versements effectués par les sociétés extractives pour le financement de projets d’infrastructures sanitaires, scolaires, routiers, maraîchages et celles d’appui aux actions des communautés locales.</w:t>
            </w:r>
          </w:p>
        </w:tc>
      </w:tr>
      <w:tr w:rsidR="00A079F7" w:rsidRPr="00AC628D" w:rsidTr="00E514F4">
        <w:trPr>
          <w:trHeight w:val="465"/>
        </w:trPr>
        <w:tc>
          <w:tcPr>
            <w:tcW w:w="1382" w:type="pct"/>
            <w:shd w:val="clear" w:color="000000" w:fill="FFFFFF"/>
            <w:vAlign w:val="center"/>
            <w:hideMark/>
          </w:tcPr>
          <w:p w:rsidR="00A079F7" w:rsidRPr="00AC628D" w:rsidRDefault="00A079F7" w:rsidP="00E514F4">
            <w:pPr>
              <w:spacing w:before="20" w:after="20"/>
              <w:jc w:val="left"/>
              <w:rPr>
                <w:bCs w:val="0"/>
                <w:color w:val="000000"/>
                <w:sz w:val="18"/>
                <w:szCs w:val="16"/>
                <w:lang w:eastAsia="fr-FR"/>
              </w:rPr>
            </w:pPr>
            <w:r w:rsidRPr="00AC628D">
              <w:rPr>
                <w:bCs w:val="0"/>
                <w:color w:val="000000"/>
                <w:sz w:val="18"/>
                <w:szCs w:val="16"/>
                <w:lang w:eastAsia="fr-FR"/>
              </w:rPr>
              <w:t>Paiements sociaux obligatoires</w:t>
            </w:r>
          </w:p>
        </w:tc>
        <w:tc>
          <w:tcPr>
            <w:tcW w:w="3618" w:type="pct"/>
            <w:shd w:val="clear" w:color="000000" w:fill="FFFFFF"/>
            <w:vAlign w:val="center"/>
            <w:hideMark/>
          </w:tcPr>
          <w:p w:rsidR="00A079F7" w:rsidRPr="00AC628D" w:rsidRDefault="00A079F7" w:rsidP="00E514F4">
            <w:pPr>
              <w:spacing w:before="20" w:after="20"/>
              <w:rPr>
                <w:bCs w:val="0"/>
                <w:color w:val="000000"/>
                <w:sz w:val="18"/>
                <w:szCs w:val="16"/>
                <w:lang w:eastAsia="fr-FR"/>
              </w:rPr>
            </w:pPr>
            <w:r w:rsidRPr="00AC628D">
              <w:rPr>
                <w:bCs w:val="0"/>
                <w:color w:val="000000"/>
                <w:sz w:val="18"/>
                <w:szCs w:val="16"/>
                <w:lang w:eastAsia="fr-FR"/>
              </w:rPr>
              <w:t xml:space="preserve">Ces flux concernent l’ensemble des contributions obligatoires faites par les sociétés extractives dans le cadre du développement local en vertu des conventions conclus. </w:t>
            </w:r>
          </w:p>
          <w:p w:rsidR="00A079F7" w:rsidRPr="00AC628D" w:rsidRDefault="00A079F7" w:rsidP="00E514F4">
            <w:pPr>
              <w:spacing w:before="20" w:after="20"/>
              <w:rPr>
                <w:bCs w:val="0"/>
                <w:color w:val="000000"/>
                <w:sz w:val="18"/>
                <w:szCs w:val="16"/>
                <w:lang w:eastAsia="fr-FR"/>
              </w:rPr>
            </w:pPr>
            <w:r w:rsidRPr="00AC628D">
              <w:rPr>
                <w:bCs w:val="0"/>
                <w:color w:val="000000"/>
                <w:sz w:val="18"/>
                <w:szCs w:val="16"/>
                <w:lang w:eastAsia="fr-FR"/>
              </w:rPr>
              <w:t>Sont notamment concernées par cette rubrique : les versements effectués par les sociétés extractives pour le financement de projets d’infrastructures sanitaires, scolaires, routiers, maraîchages et celles d’appui aux actions des communautés locales, les compensations autres que celles accordées en contrepartie d’un dédommagement directe des individus.</w:t>
            </w:r>
          </w:p>
        </w:tc>
      </w:tr>
    </w:tbl>
    <w:p w:rsidR="00E74B2E" w:rsidRDefault="00E74B2E" w:rsidP="00E74B2E">
      <w:pPr>
        <w:pStyle w:val="ListParagraph"/>
        <w:spacing w:before="240"/>
        <w:ind w:left="714"/>
        <w:rPr>
          <w:szCs w:val="20"/>
          <w:u w:val="single"/>
        </w:rPr>
      </w:pPr>
    </w:p>
    <w:p w:rsidR="00A079F7" w:rsidRDefault="00A079F7" w:rsidP="007B0F6C">
      <w:pPr>
        <w:pStyle w:val="ListParagraph"/>
        <w:numPr>
          <w:ilvl w:val="0"/>
          <w:numId w:val="27"/>
        </w:numPr>
        <w:spacing w:before="240"/>
        <w:ind w:left="714" w:hanging="357"/>
        <w:rPr>
          <w:szCs w:val="20"/>
          <w:u w:val="single"/>
        </w:rPr>
      </w:pPr>
      <w:r w:rsidRPr="001F60A5">
        <w:rPr>
          <w:szCs w:val="20"/>
          <w:u w:val="single"/>
        </w:rPr>
        <w:t>Transferts infranationaux</w:t>
      </w:r>
    </w:p>
    <w:p w:rsidR="00A079F7" w:rsidRPr="00AC628D" w:rsidRDefault="00A079F7" w:rsidP="00A079F7">
      <w:pPr>
        <w:spacing w:after="120"/>
        <w:rPr>
          <w:szCs w:val="20"/>
          <w:lang w:eastAsia="fr-FR"/>
        </w:rPr>
      </w:pPr>
      <w:r w:rsidRPr="00AC628D">
        <w:rPr>
          <w:szCs w:val="20"/>
        </w:rPr>
        <w:t>L’Article 175 de la Constitution de la RDC prévoit que l</w:t>
      </w:r>
      <w:r w:rsidRPr="00AC628D">
        <w:rPr>
          <w:szCs w:val="20"/>
          <w:lang w:eastAsia="fr-FR"/>
        </w:rPr>
        <w:t xml:space="preserve">e budget des recettes et des dépenses de l'Etat, à savoir celui du pouvoir central et des provinces, est arrêté chaque année par une loi. Il prévoit également que la part des recettes à caractère national allouées aux provinces est établie à 40% et elle est retenue à la source. </w:t>
      </w:r>
    </w:p>
    <w:p w:rsidR="00A079F7" w:rsidRPr="00AC628D" w:rsidRDefault="00A079F7" w:rsidP="00A079F7">
      <w:pPr>
        <w:autoSpaceDE w:val="0"/>
        <w:autoSpaceDN w:val="0"/>
        <w:adjustRightInd w:val="0"/>
        <w:spacing w:after="120"/>
        <w:rPr>
          <w:szCs w:val="20"/>
          <w:lang w:eastAsia="fr-FR"/>
        </w:rPr>
      </w:pPr>
      <w:r w:rsidRPr="00AC628D">
        <w:rPr>
          <w:szCs w:val="20"/>
          <w:lang w:eastAsia="fr-FR"/>
        </w:rPr>
        <w:lastRenderedPageBreak/>
        <w:t>L’Article 242 du Code Minier prévoit un mécanisme de partage de la redevance minière versée par le titulaire du titre minier d’exploitation au Trésor Public. Le taux et les modalités de partage sont fixés comme suit :</w:t>
      </w:r>
    </w:p>
    <w:p w:rsidR="00A079F7" w:rsidRPr="00AC628D" w:rsidRDefault="00A079F7" w:rsidP="007B0F6C">
      <w:pPr>
        <w:pStyle w:val="ListParagraph"/>
        <w:numPr>
          <w:ilvl w:val="0"/>
          <w:numId w:val="29"/>
        </w:numPr>
        <w:autoSpaceDE w:val="0"/>
        <w:autoSpaceDN w:val="0"/>
        <w:adjustRightInd w:val="0"/>
        <w:spacing w:after="0"/>
        <w:rPr>
          <w:szCs w:val="20"/>
          <w:lang w:eastAsia="fr-FR"/>
        </w:rPr>
      </w:pPr>
      <w:r w:rsidRPr="00AC628D">
        <w:rPr>
          <w:szCs w:val="20"/>
          <w:lang w:eastAsia="fr-FR"/>
        </w:rPr>
        <w:t>60% resteront acquis au Gouvernement Central ;</w:t>
      </w:r>
    </w:p>
    <w:p w:rsidR="00A079F7" w:rsidRPr="00AC628D" w:rsidRDefault="00A079F7" w:rsidP="007B0F6C">
      <w:pPr>
        <w:pStyle w:val="ListParagraph"/>
        <w:numPr>
          <w:ilvl w:val="0"/>
          <w:numId w:val="29"/>
        </w:numPr>
        <w:autoSpaceDE w:val="0"/>
        <w:autoSpaceDN w:val="0"/>
        <w:adjustRightInd w:val="0"/>
        <w:spacing w:after="0"/>
        <w:rPr>
          <w:szCs w:val="20"/>
          <w:lang w:eastAsia="fr-FR"/>
        </w:rPr>
      </w:pPr>
      <w:r w:rsidRPr="00AC628D">
        <w:rPr>
          <w:szCs w:val="20"/>
          <w:lang w:eastAsia="fr-FR"/>
        </w:rPr>
        <w:t>25% sont versés sur un compte désigné par l’Administration de la Province où se trouve le projet ; et</w:t>
      </w:r>
    </w:p>
    <w:p w:rsidR="00A079F7" w:rsidRPr="00AC628D" w:rsidRDefault="00A079F7" w:rsidP="007B0F6C">
      <w:pPr>
        <w:pStyle w:val="ListParagraph"/>
        <w:numPr>
          <w:ilvl w:val="0"/>
          <w:numId w:val="29"/>
        </w:numPr>
        <w:autoSpaceDE w:val="0"/>
        <w:autoSpaceDN w:val="0"/>
        <w:adjustRightInd w:val="0"/>
        <w:ind w:left="357" w:hanging="357"/>
        <w:rPr>
          <w:szCs w:val="20"/>
          <w:lang w:eastAsia="fr-FR"/>
        </w:rPr>
      </w:pPr>
      <w:r w:rsidRPr="00AC628D">
        <w:rPr>
          <w:szCs w:val="20"/>
          <w:lang w:eastAsia="fr-FR"/>
        </w:rPr>
        <w:t>15% sont versés sur un compte désigné par la Ville ou le Territoire dans le ressort duquel s’opère l’exploitation.</w:t>
      </w:r>
    </w:p>
    <w:p w:rsidR="00A079F7" w:rsidRPr="00AC628D" w:rsidRDefault="00A079F7" w:rsidP="00A079F7">
      <w:pPr>
        <w:spacing w:after="120"/>
        <w:rPr>
          <w:szCs w:val="20"/>
        </w:rPr>
      </w:pPr>
      <w:r w:rsidRPr="00AC628D">
        <w:rPr>
          <w:szCs w:val="20"/>
        </w:rPr>
        <w:t>L’analyse du mécanisme de paiement de cette redevance ainsi que le processus de sa rétrocession aux régions révèle que ces revenus ne sont pas retenus à la source en contradiction avec l’Article 175 de la Constitution de la RDC qui prévoit que la part des recettes à caractère national allouées aux provinces est établie à 40% et elle est retenue à la source. L’affectation de ces revenus aux bénéficiaires se fait à travers le Ministère des Finances.</w:t>
      </w:r>
    </w:p>
    <w:p w:rsidR="00A079F7" w:rsidRDefault="00EE3A24" w:rsidP="00A079F7">
      <w:pPr>
        <w:spacing w:before="120" w:after="120"/>
        <w:rPr>
          <w:szCs w:val="20"/>
        </w:rPr>
      </w:pPr>
      <w:r>
        <w:rPr>
          <w:szCs w:val="20"/>
        </w:rPr>
        <w:t>On effectuera u</w:t>
      </w:r>
      <w:r w:rsidR="00A079F7" w:rsidRPr="00EE3A24">
        <w:rPr>
          <w:szCs w:val="20"/>
        </w:rPr>
        <w:t>ne conciliation des transferts infranationaux relatifs à la Redevance Minière entre le Ministère des Finances et la DRKAT dans le cadre du rapport ITIE 201</w:t>
      </w:r>
      <w:r w:rsidRPr="00EE3A24">
        <w:rPr>
          <w:szCs w:val="20"/>
        </w:rPr>
        <w:t>5</w:t>
      </w:r>
      <w:r w:rsidR="00A079F7" w:rsidRPr="00EE3A24">
        <w:rPr>
          <w:szCs w:val="20"/>
        </w:rPr>
        <w:t>.</w:t>
      </w:r>
    </w:p>
    <w:p w:rsidR="000430A7" w:rsidRDefault="000430A7" w:rsidP="00A079F7">
      <w:pPr>
        <w:spacing w:before="120" w:after="120"/>
        <w:rPr>
          <w:szCs w:val="20"/>
        </w:rPr>
      </w:pPr>
    </w:p>
    <w:p w:rsidR="00A079F7" w:rsidRPr="008A4C56" w:rsidRDefault="00A079F7" w:rsidP="007B0F6C">
      <w:pPr>
        <w:pStyle w:val="ListParagraph"/>
        <w:numPr>
          <w:ilvl w:val="0"/>
          <w:numId w:val="27"/>
        </w:numPr>
        <w:spacing w:before="240"/>
        <w:ind w:left="714" w:hanging="357"/>
        <w:rPr>
          <w:szCs w:val="20"/>
          <w:u w:val="single"/>
        </w:rPr>
      </w:pPr>
      <w:r>
        <w:rPr>
          <w:szCs w:val="20"/>
          <w:u w:val="single"/>
        </w:rPr>
        <w:t>C</w:t>
      </w:r>
      <w:r w:rsidRPr="008A4C56">
        <w:rPr>
          <w:szCs w:val="20"/>
          <w:u w:val="single"/>
        </w:rPr>
        <w:t>onsidérations particulières pour les Entreprises étatiques et les joints ventures</w:t>
      </w:r>
    </w:p>
    <w:p w:rsidR="00A079F7" w:rsidRPr="008A4C56" w:rsidRDefault="00A079F7" w:rsidP="00A079F7">
      <w:pPr>
        <w:spacing w:before="120" w:after="120"/>
        <w:rPr>
          <w:szCs w:val="20"/>
          <w:u w:val="single"/>
        </w:rPr>
      </w:pPr>
      <w:r w:rsidRPr="008A4C56">
        <w:rPr>
          <w:szCs w:val="20"/>
          <w:u w:val="single"/>
        </w:rPr>
        <w:t>Entreprises Etatiques</w:t>
      </w:r>
    </w:p>
    <w:p w:rsidR="00A079F7" w:rsidRPr="008A4C56" w:rsidRDefault="00A079F7" w:rsidP="00A079F7">
      <w:pPr>
        <w:spacing w:before="120" w:after="120"/>
        <w:rPr>
          <w:szCs w:val="20"/>
        </w:rPr>
      </w:pPr>
      <w:r w:rsidRPr="008A4C56">
        <w:rPr>
          <w:szCs w:val="20"/>
        </w:rPr>
        <w:t>Les entreprises étatiques identifiées dans le secteur extractif feront l’objet de deux types de déclarations :</w:t>
      </w:r>
    </w:p>
    <w:p w:rsidR="00A079F7" w:rsidRPr="008A4C56" w:rsidRDefault="00A079F7" w:rsidP="007B0F6C">
      <w:pPr>
        <w:pStyle w:val="ListParagraph"/>
        <w:numPr>
          <w:ilvl w:val="0"/>
          <w:numId w:val="28"/>
        </w:numPr>
        <w:spacing w:before="120" w:after="120"/>
        <w:rPr>
          <w:szCs w:val="20"/>
        </w:rPr>
      </w:pPr>
      <w:r w:rsidRPr="008A4C56">
        <w:rPr>
          <w:szCs w:val="20"/>
        </w:rPr>
        <w:t xml:space="preserve">des déclarations de perception à leur </w:t>
      </w:r>
      <w:r w:rsidRPr="00D72BCF">
        <w:rPr>
          <w:szCs w:val="20"/>
          <w:shd w:val="clear" w:color="auto" w:fill="FFFFFF" w:themeFill="background1"/>
        </w:rPr>
        <w:t xml:space="preserve">titre </w:t>
      </w:r>
      <w:r w:rsidR="003C7857" w:rsidRPr="00D72BCF">
        <w:rPr>
          <w:szCs w:val="20"/>
          <w:shd w:val="clear" w:color="auto" w:fill="FFFFFF" w:themeFill="background1"/>
        </w:rPr>
        <w:t>comme entités perceptrices</w:t>
      </w:r>
      <w:r w:rsidRPr="00D72BCF">
        <w:rPr>
          <w:szCs w:val="20"/>
          <w:shd w:val="clear" w:color="auto" w:fill="FFFFFF" w:themeFill="background1"/>
        </w:rPr>
        <w:t xml:space="preserve"> ;</w:t>
      </w:r>
      <w:r w:rsidRPr="008A4C56">
        <w:rPr>
          <w:szCs w:val="20"/>
        </w:rPr>
        <w:t xml:space="preserve"> et</w:t>
      </w:r>
    </w:p>
    <w:p w:rsidR="00A079F7" w:rsidRPr="008A4C56" w:rsidRDefault="00A079F7" w:rsidP="007B0F6C">
      <w:pPr>
        <w:pStyle w:val="ListParagraph"/>
        <w:numPr>
          <w:ilvl w:val="0"/>
          <w:numId w:val="28"/>
        </w:numPr>
        <w:spacing w:before="120" w:after="120"/>
        <w:rPr>
          <w:szCs w:val="20"/>
        </w:rPr>
      </w:pPr>
      <w:r w:rsidRPr="008A4C56">
        <w:rPr>
          <w:szCs w:val="20"/>
        </w:rPr>
        <w:t>des déclarations de paiement à leur titre de sociétés extractives.</w:t>
      </w:r>
    </w:p>
    <w:p w:rsidR="00A079F7" w:rsidRPr="008A4C56" w:rsidRDefault="00A079F7" w:rsidP="00A079F7">
      <w:pPr>
        <w:spacing w:before="120" w:after="120"/>
        <w:rPr>
          <w:szCs w:val="20"/>
        </w:rPr>
      </w:pPr>
      <w:r w:rsidRPr="008A4C56">
        <w:rPr>
          <w:szCs w:val="20"/>
        </w:rPr>
        <w:t>Aux termes de l’Article 2 de la Loi n° 08/010 du 07 juillet 2008 fixant les règles relatives à l’organisation et à la gestion du portefeuille de l’Etat, une entreprise publique est « toute entreprise du portefeuille de l’Etat dans laquelle l’Etat ou toute autre personne morale de droit public détient la totalité ou la majorité absolue du capital social »</w:t>
      </w:r>
      <w:r>
        <w:rPr>
          <w:szCs w:val="20"/>
        </w:rPr>
        <w:t>.</w:t>
      </w:r>
    </w:p>
    <w:p w:rsidR="00A079F7" w:rsidRPr="008A4C56" w:rsidRDefault="00A079F7" w:rsidP="00A079F7">
      <w:pPr>
        <w:spacing w:before="120" w:after="120"/>
        <w:rPr>
          <w:szCs w:val="20"/>
        </w:rPr>
      </w:pPr>
      <w:r w:rsidRPr="008A4C56">
        <w:rPr>
          <w:szCs w:val="20"/>
        </w:rPr>
        <w:t>Le même article définit une entreprise du portefeuille de l’Etat (EPE) comme « toute société dans laquelle l’Etat ou toute autre personne morale de droit public détient la totalité du capital social ou une participation ».</w:t>
      </w:r>
    </w:p>
    <w:p w:rsidR="00A079F7" w:rsidRPr="008A4C56" w:rsidRDefault="00A079F7" w:rsidP="00A079F7">
      <w:pPr>
        <w:spacing w:before="120" w:after="120"/>
        <w:rPr>
          <w:szCs w:val="20"/>
        </w:rPr>
      </w:pPr>
      <w:r w:rsidRPr="008A4C56">
        <w:rPr>
          <w:szCs w:val="20"/>
        </w:rPr>
        <w:t xml:space="preserve">Pour le Référentiel ITIE 2014, les entreprises étatiques retenues sont celles du portefeuille de l’état. Cette option permet d’élargir le champ des entreprises à retenir en captant toute entreprise dans laquelle l’Etat (ou toute autre personne morale de droit public) détient une participation et ce, quelle que soit le pourcentage de cette participation. </w:t>
      </w:r>
    </w:p>
    <w:p w:rsidR="00A079F7" w:rsidRPr="008A4C56" w:rsidRDefault="00A079F7" w:rsidP="00A079F7">
      <w:pPr>
        <w:spacing w:before="120" w:after="120"/>
        <w:rPr>
          <w:szCs w:val="20"/>
        </w:rPr>
      </w:pPr>
      <w:r w:rsidRPr="008A4C56">
        <w:rPr>
          <w:szCs w:val="20"/>
        </w:rPr>
        <w:t>Une interprétation stricte de l’Article 2 susvisé limite sa portée aux participations directes ce qui exclut les participations indirectes.</w:t>
      </w:r>
    </w:p>
    <w:p w:rsidR="00A079F7" w:rsidRPr="008A4C56" w:rsidRDefault="00A079F7" w:rsidP="00A079F7">
      <w:pPr>
        <w:spacing w:before="120" w:after="120"/>
        <w:rPr>
          <w:szCs w:val="20"/>
        </w:rPr>
      </w:pPr>
      <w:r w:rsidRPr="008A4C56">
        <w:rPr>
          <w:szCs w:val="20"/>
        </w:rPr>
        <w:t xml:space="preserve">Il s’ensuit que les filiales des EPE, n’ont pas été considérées comme des Entreprises étatiques vu qu’elles ne remplissent pas les conditions de l’Article 2 de la </w:t>
      </w:r>
      <w:r>
        <w:rPr>
          <w:szCs w:val="20"/>
        </w:rPr>
        <w:t>l</w:t>
      </w:r>
      <w:r w:rsidRPr="008A4C56">
        <w:rPr>
          <w:szCs w:val="20"/>
        </w:rPr>
        <w:t>oi susvisée. En effet, les filiales des EPE :</w:t>
      </w:r>
    </w:p>
    <w:p w:rsidR="00A079F7" w:rsidRPr="008A4C56" w:rsidRDefault="00A079F7" w:rsidP="007B0F6C">
      <w:pPr>
        <w:pStyle w:val="ListParagraph"/>
        <w:numPr>
          <w:ilvl w:val="0"/>
          <w:numId w:val="28"/>
        </w:numPr>
        <w:spacing w:before="120" w:after="120"/>
        <w:rPr>
          <w:szCs w:val="20"/>
        </w:rPr>
      </w:pPr>
      <w:r w:rsidRPr="008A4C56">
        <w:rPr>
          <w:szCs w:val="20"/>
        </w:rPr>
        <w:t>n’ont pas une participation directe de l’Etat ; et</w:t>
      </w:r>
    </w:p>
    <w:p w:rsidR="00A079F7" w:rsidRPr="008A4C56" w:rsidRDefault="00A079F7" w:rsidP="007B0F6C">
      <w:pPr>
        <w:pStyle w:val="ListParagraph"/>
        <w:numPr>
          <w:ilvl w:val="0"/>
          <w:numId w:val="28"/>
        </w:numPr>
        <w:spacing w:before="120" w:after="120"/>
        <w:rPr>
          <w:szCs w:val="20"/>
        </w:rPr>
      </w:pPr>
      <w:r w:rsidRPr="008A4C56">
        <w:rPr>
          <w:szCs w:val="20"/>
        </w:rPr>
        <w:t>n’ont pas une participation directe d’une personne morale de droit public.</w:t>
      </w:r>
    </w:p>
    <w:p w:rsidR="00A079F7" w:rsidRPr="008A4C56" w:rsidRDefault="00A079F7" w:rsidP="00A079F7">
      <w:pPr>
        <w:spacing w:before="120" w:after="120"/>
        <w:rPr>
          <w:szCs w:val="20"/>
        </w:rPr>
      </w:pPr>
      <w:r w:rsidRPr="008A4C56">
        <w:rPr>
          <w:szCs w:val="20"/>
        </w:rPr>
        <w:t>A ce niveau les EPE ne sont pas des personnes morales de droit public et par conséquent leur participation ne peut être prise en compte pour la définition.</w:t>
      </w:r>
    </w:p>
    <w:p w:rsidR="00A079F7" w:rsidRPr="008A4C56" w:rsidRDefault="00A079F7" w:rsidP="00A079F7">
      <w:pPr>
        <w:spacing w:before="120" w:after="120"/>
        <w:rPr>
          <w:szCs w:val="20"/>
          <w:lang w:eastAsia="fr-FR"/>
        </w:rPr>
      </w:pPr>
      <w:r w:rsidRPr="008A4C56">
        <w:rPr>
          <w:szCs w:val="20"/>
          <w:lang w:eastAsia="fr-FR"/>
        </w:rPr>
        <w:t xml:space="preserve">En effet, au sens de l’Article 4 de la Loi n° 08/007 du 07 juillet 2008 portant dispositions générales </w:t>
      </w:r>
      <w:r w:rsidRPr="008A4C56">
        <w:rPr>
          <w:szCs w:val="20"/>
        </w:rPr>
        <w:t>relatives</w:t>
      </w:r>
      <w:r w:rsidRPr="008A4C56">
        <w:rPr>
          <w:szCs w:val="20"/>
          <w:lang w:eastAsia="fr-FR"/>
        </w:rPr>
        <w:t xml:space="preserve"> à la transformation des entreprises publiques, ces entreprises sont soumises au régime de droit commun.</w:t>
      </w:r>
    </w:p>
    <w:p w:rsidR="00A079F7" w:rsidRPr="008A4C56" w:rsidRDefault="00A079F7" w:rsidP="00A079F7">
      <w:pPr>
        <w:spacing w:before="120" w:after="120"/>
        <w:rPr>
          <w:szCs w:val="20"/>
          <w:lang w:eastAsia="fr-FR"/>
        </w:rPr>
      </w:pPr>
      <w:r w:rsidRPr="008A4C56">
        <w:rPr>
          <w:szCs w:val="20"/>
          <w:lang w:eastAsia="fr-FR"/>
        </w:rPr>
        <w:t xml:space="preserve">L’Article 1 de l’Acte Uniforme relatif au droit des Sociétés Commerciales et du Groupement d’Intérêt Economique classe également les EPE dans la catégorie des Personne Morales de Droit Privé en statuant que toute société commerciale, y compris celle dans laquelle un Etat ou une personne morale </w:t>
      </w:r>
      <w:r w:rsidRPr="008A4C56">
        <w:rPr>
          <w:szCs w:val="20"/>
          <w:lang w:eastAsia="fr-FR"/>
        </w:rPr>
        <w:lastRenderedPageBreak/>
        <w:t>de droit public est associé, dont le siège social est situé sur le territoire (du Congo) est soumise à la règlementation commerciale.</w:t>
      </w:r>
    </w:p>
    <w:p w:rsidR="00A079F7" w:rsidRPr="008A4C56" w:rsidRDefault="00A079F7" w:rsidP="00A079F7">
      <w:pPr>
        <w:spacing w:before="120" w:after="120"/>
        <w:rPr>
          <w:szCs w:val="20"/>
          <w:lang w:eastAsia="fr-FR"/>
        </w:rPr>
      </w:pPr>
      <w:r w:rsidRPr="008A4C56">
        <w:rPr>
          <w:szCs w:val="20"/>
          <w:lang w:eastAsia="fr-FR"/>
        </w:rPr>
        <w:t>La conséquence pratique de ce qui précède pour le Référentiel ITIE est que :</w:t>
      </w:r>
    </w:p>
    <w:p w:rsidR="00A079F7" w:rsidRPr="008A4C56" w:rsidRDefault="00A079F7" w:rsidP="007B0F6C">
      <w:pPr>
        <w:pStyle w:val="ListParagraph"/>
        <w:numPr>
          <w:ilvl w:val="0"/>
          <w:numId w:val="28"/>
        </w:numPr>
        <w:spacing w:before="120" w:after="120"/>
        <w:rPr>
          <w:szCs w:val="20"/>
          <w:lang w:eastAsia="fr-FR"/>
        </w:rPr>
      </w:pPr>
      <w:r w:rsidRPr="008A4C56">
        <w:rPr>
          <w:szCs w:val="20"/>
          <w:lang w:eastAsia="fr-FR"/>
        </w:rPr>
        <w:t xml:space="preserve">les EPE peuvent être des Entreprises Publiques si </w:t>
      </w:r>
      <w:r w:rsidRPr="008A4C56">
        <w:rPr>
          <w:szCs w:val="20"/>
        </w:rPr>
        <w:t>l’Etat ou toute autre personne morale de droit public détient la totalité ou la majorité absolue de son capital social. Dans ce cas elle sera assimilée à une Régie Financière perceptrice au nom de l’état. Pour le Référentiel ITIE 2014, la notion d’entreprise étatique, au lieu de se limiter aux entreprises publiques, a été élargie à toutes les EPE ce qui permet de capter toutes les perceptions de ces entités ; et</w:t>
      </w:r>
    </w:p>
    <w:p w:rsidR="00A079F7" w:rsidRPr="008A4C56" w:rsidRDefault="00A079F7" w:rsidP="007B0F6C">
      <w:pPr>
        <w:pStyle w:val="ListParagraph"/>
        <w:numPr>
          <w:ilvl w:val="0"/>
          <w:numId w:val="28"/>
        </w:numPr>
        <w:spacing w:before="120" w:after="120"/>
        <w:rPr>
          <w:szCs w:val="20"/>
          <w:lang w:eastAsia="fr-FR"/>
        </w:rPr>
      </w:pPr>
      <w:r w:rsidRPr="008A4C56">
        <w:rPr>
          <w:szCs w:val="20"/>
        </w:rPr>
        <w:t>les filiales des EPE, ne pouvant pas être assimilées à des Entreprises Publiques ou des EPE, ne peuvent pas être considérées comme des Régies Financières perceptrices au nom de l’Etat.</w:t>
      </w:r>
    </w:p>
    <w:p w:rsidR="00A079F7" w:rsidRPr="008A4C56" w:rsidRDefault="00A079F7" w:rsidP="00A079F7">
      <w:pPr>
        <w:spacing w:before="120" w:after="120"/>
        <w:rPr>
          <w:szCs w:val="20"/>
          <w:u w:val="single"/>
        </w:rPr>
      </w:pPr>
      <w:r w:rsidRPr="008A4C56">
        <w:rPr>
          <w:szCs w:val="20"/>
          <w:u w:val="single"/>
        </w:rPr>
        <w:t>Les Joint-Ventures</w:t>
      </w:r>
    </w:p>
    <w:p w:rsidR="00A079F7" w:rsidRDefault="00A079F7" w:rsidP="00A079F7">
      <w:pPr>
        <w:spacing w:before="120" w:after="120"/>
        <w:rPr>
          <w:szCs w:val="20"/>
        </w:rPr>
      </w:pPr>
      <w:r w:rsidRPr="000430A7">
        <w:rPr>
          <w:szCs w:val="20"/>
        </w:rPr>
        <w:t>Pour le Référentiel ITIE 2014, les joint-ventures sont les entreprises créées en participation avec une entreprise étatique telle que définie dans le paragraphe précédent.</w:t>
      </w:r>
      <w:r>
        <w:rPr>
          <w:szCs w:val="20"/>
        </w:rPr>
        <w:t xml:space="preserve"> </w:t>
      </w:r>
    </w:p>
    <w:p w:rsidR="00A079F7" w:rsidRPr="001F60A5" w:rsidRDefault="00A079F7" w:rsidP="007B0F6C">
      <w:pPr>
        <w:pStyle w:val="ListParagraph"/>
        <w:numPr>
          <w:ilvl w:val="0"/>
          <w:numId w:val="27"/>
        </w:numPr>
        <w:spacing w:before="120" w:after="120"/>
        <w:ind w:left="714" w:hanging="357"/>
        <w:rPr>
          <w:szCs w:val="20"/>
          <w:u w:val="single"/>
        </w:rPr>
      </w:pPr>
      <w:r>
        <w:rPr>
          <w:szCs w:val="20"/>
          <w:u w:val="single"/>
        </w:rPr>
        <w:t>Cas particulier des flux financiers de la SICOMINES</w:t>
      </w:r>
    </w:p>
    <w:p w:rsidR="00A079F7" w:rsidRPr="008A4C56" w:rsidRDefault="00A079F7" w:rsidP="00A079F7">
      <w:pPr>
        <w:spacing w:before="120" w:after="120"/>
        <w:rPr>
          <w:szCs w:val="20"/>
        </w:rPr>
      </w:pPr>
      <w:r w:rsidRPr="008A4C56">
        <w:rPr>
          <w:szCs w:val="20"/>
        </w:rPr>
        <w:t>La Sino-Congolaise des Mines (SICOMINES) est un projet de coopération mettant en relation le Gouvernement de la RDC représenté par la Gécamines d'une part, et la Chine représentée par le Groupement d'entreprises chinoises, financées par EXIM BANK, à travers les entreprises CREC et SINHOHYDRO, d'autre part.</w:t>
      </w:r>
    </w:p>
    <w:p w:rsidR="00A079F7" w:rsidRPr="008A4C56" w:rsidRDefault="00A079F7" w:rsidP="00A079F7">
      <w:pPr>
        <w:spacing w:before="120" w:after="120"/>
        <w:rPr>
          <w:szCs w:val="20"/>
        </w:rPr>
      </w:pPr>
      <w:r w:rsidRPr="008A4C56">
        <w:rPr>
          <w:szCs w:val="20"/>
        </w:rPr>
        <w:t>La SICOMINES a été constituée en septembre 2008. Le capital social est détenu à raison de 32% par la Gécamines et 68% par le Groupement d'entreprises chinoises.</w:t>
      </w:r>
    </w:p>
    <w:p w:rsidR="00A079F7" w:rsidRPr="008A4C56" w:rsidRDefault="00A079F7" w:rsidP="00A079F7">
      <w:pPr>
        <w:spacing w:before="120" w:after="120"/>
        <w:rPr>
          <w:szCs w:val="20"/>
        </w:rPr>
      </w:pPr>
      <w:r w:rsidRPr="008A4C56">
        <w:rPr>
          <w:szCs w:val="20"/>
        </w:rPr>
        <w:t>La Coopération porte sur deux projets : la réalisation des infrastructures en RDC et le développement d'un projet d'exploitation minière.</w:t>
      </w:r>
    </w:p>
    <w:p w:rsidR="00A079F7" w:rsidRPr="008A4C56" w:rsidRDefault="00A079F7" w:rsidP="00A079F7">
      <w:pPr>
        <w:spacing w:before="120" w:after="120"/>
        <w:rPr>
          <w:szCs w:val="20"/>
        </w:rPr>
      </w:pPr>
      <w:r w:rsidRPr="008A4C56">
        <w:rPr>
          <w:szCs w:val="20"/>
        </w:rPr>
        <w:t>En vertu de l’accord de coopération, le groupement d’entreprises chinoises alloue des prêts à la SICOMINES pour le projet d’infrastructures (max.3 milliards USD) et le projet minier (environ 3.2 milliards USD).</w:t>
      </w:r>
    </w:p>
    <w:p w:rsidR="00A079F7" w:rsidRPr="008A4C56" w:rsidRDefault="00A079F7" w:rsidP="00A079F7">
      <w:pPr>
        <w:autoSpaceDE w:val="0"/>
        <w:autoSpaceDN w:val="0"/>
        <w:adjustRightInd w:val="0"/>
        <w:spacing w:before="120" w:after="120"/>
        <w:rPr>
          <w:szCs w:val="20"/>
        </w:rPr>
      </w:pPr>
      <w:r w:rsidRPr="008A4C56">
        <w:rPr>
          <w:szCs w:val="20"/>
        </w:rPr>
        <w:t>Les remboursements des infrastructures et de l’investissement minier se feront sur les bénéfices futurs de la SICOMINES. Jusqu’à la fin des remboursements, la SICOMINES bénéficie d’exonérations fiscales complètes. Les bénéfices de la SICOMINES rembourseront d’abord les infrastructures urgentes, puis l’investissement minier, et enfin le reste des infrastructures</w:t>
      </w:r>
      <w:r>
        <w:rPr>
          <w:szCs w:val="20"/>
        </w:rPr>
        <w:t>.</w:t>
      </w:r>
    </w:p>
    <w:p w:rsidR="00A079F7" w:rsidRPr="008A4C56" w:rsidRDefault="00A079F7" w:rsidP="00A079F7">
      <w:pPr>
        <w:spacing w:before="120" w:after="120"/>
        <w:rPr>
          <w:szCs w:val="20"/>
        </w:rPr>
      </w:pPr>
      <w:r w:rsidRPr="008A4C56">
        <w:rPr>
          <w:szCs w:val="20"/>
        </w:rPr>
        <w:t xml:space="preserve">Le Projet Minier vise l'exploitation par la SICOMINES des gisements de </w:t>
      </w:r>
      <w:proofErr w:type="spellStart"/>
      <w:r w:rsidRPr="008A4C56">
        <w:rPr>
          <w:szCs w:val="20"/>
        </w:rPr>
        <w:t>Dikuluwe</w:t>
      </w:r>
      <w:proofErr w:type="spellEnd"/>
      <w:r w:rsidRPr="008A4C56">
        <w:rPr>
          <w:szCs w:val="20"/>
        </w:rPr>
        <w:t xml:space="preserve">, Jonction Dima, </w:t>
      </w:r>
      <w:proofErr w:type="spellStart"/>
      <w:r w:rsidRPr="008A4C56">
        <w:rPr>
          <w:szCs w:val="20"/>
        </w:rPr>
        <w:t>Mashamba</w:t>
      </w:r>
      <w:proofErr w:type="spellEnd"/>
      <w:r w:rsidRPr="008A4C56">
        <w:rPr>
          <w:szCs w:val="20"/>
        </w:rPr>
        <w:t xml:space="preserve"> Ouest, Cuvette Dima Cuvette </w:t>
      </w:r>
      <w:proofErr w:type="spellStart"/>
      <w:r w:rsidRPr="008A4C56">
        <w:rPr>
          <w:szCs w:val="20"/>
        </w:rPr>
        <w:t>Mashamba</w:t>
      </w:r>
      <w:proofErr w:type="spellEnd"/>
      <w:r w:rsidRPr="008A4C56">
        <w:rPr>
          <w:szCs w:val="20"/>
        </w:rPr>
        <w:t xml:space="preserve"> et Synclinal </w:t>
      </w:r>
      <w:proofErr w:type="spellStart"/>
      <w:r w:rsidRPr="008A4C56">
        <w:rPr>
          <w:szCs w:val="20"/>
        </w:rPr>
        <w:t>Dik</w:t>
      </w:r>
      <w:proofErr w:type="spellEnd"/>
      <w:r w:rsidRPr="008A4C56">
        <w:rPr>
          <w:szCs w:val="20"/>
        </w:rPr>
        <w:t xml:space="preserve"> Colline D7 qui constituent les Permis d’Exploitation (PE) 9681 et 9682, tous localisés dans le Territoire de </w:t>
      </w:r>
      <w:proofErr w:type="spellStart"/>
      <w:r w:rsidRPr="008A4C56">
        <w:rPr>
          <w:szCs w:val="20"/>
        </w:rPr>
        <w:t>Mutshatsha</w:t>
      </w:r>
      <w:proofErr w:type="spellEnd"/>
      <w:r w:rsidRPr="008A4C56">
        <w:rPr>
          <w:szCs w:val="20"/>
        </w:rPr>
        <w:t>, dans le District de Kolwezi situé dans la Province du Katanga.</w:t>
      </w:r>
    </w:p>
    <w:p w:rsidR="00A079F7" w:rsidRPr="008A4C56" w:rsidRDefault="00A079F7" w:rsidP="00A079F7">
      <w:pPr>
        <w:spacing w:before="120" w:after="120"/>
        <w:rPr>
          <w:szCs w:val="20"/>
        </w:rPr>
      </w:pPr>
      <w:r w:rsidRPr="008A4C56">
        <w:rPr>
          <w:szCs w:val="20"/>
        </w:rPr>
        <w:t>Les flux financiers de la SICOMINES qui concernent l’année fiscale 201</w:t>
      </w:r>
      <w:r>
        <w:rPr>
          <w:szCs w:val="20"/>
        </w:rPr>
        <w:t xml:space="preserve">4 </w:t>
      </w:r>
      <w:r w:rsidRPr="008A4C56">
        <w:rPr>
          <w:szCs w:val="20"/>
        </w:rPr>
        <w:t>aurons trait aux :</w:t>
      </w:r>
    </w:p>
    <w:p w:rsidR="00A079F7" w:rsidRPr="008A4C56" w:rsidRDefault="00A079F7" w:rsidP="007B0F6C">
      <w:pPr>
        <w:pStyle w:val="ListParagraph"/>
        <w:numPr>
          <w:ilvl w:val="0"/>
          <w:numId w:val="28"/>
        </w:numPr>
        <w:spacing w:before="120" w:after="120"/>
        <w:ind w:left="714" w:hanging="357"/>
        <w:rPr>
          <w:szCs w:val="20"/>
        </w:rPr>
      </w:pPr>
      <w:r>
        <w:rPr>
          <w:szCs w:val="20"/>
        </w:rPr>
        <w:t>p</w:t>
      </w:r>
      <w:r w:rsidRPr="008A4C56">
        <w:rPr>
          <w:szCs w:val="20"/>
        </w:rPr>
        <w:t>rêts perçues de la part des entités financières (</w:t>
      </w:r>
      <w:proofErr w:type="spellStart"/>
      <w:r w:rsidRPr="008A4C56">
        <w:rPr>
          <w:szCs w:val="20"/>
        </w:rPr>
        <w:t>Exim</w:t>
      </w:r>
      <w:proofErr w:type="spellEnd"/>
      <w:r w:rsidRPr="008A4C56">
        <w:rPr>
          <w:szCs w:val="20"/>
        </w:rPr>
        <w:t xml:space="preserve"> Bank et/ou Consortium) pour l’investissement minier ;</w:t>
      </w:r>
    </w:p>
    <w:p w:rsidR="00A079F7" w:rsidRPr="008A4C56" w:rsidRDefault="00A079F7" w:rsidP="007B0F6C">
      <w:pPr>
        <w:pStyle w:val="ListParagraph"/>
        <w:numPr>
          <w:ilvl w:val="0"/>
          <w:numId w:val="28"/>
        </w:numPr>
        <w:spacing w:before="120" w:after="120"/>
        <w:ind w:left="714" w:hanging="357"/>
        <w:rPr>
          <w:szCs w:val="20"/>
        </w:rPr>
      </w:pPr>
      <w:r>
        <w:rPr>
          <w:szCs w:val="20"/>
        </w:rPr>
        <w:t>p</w:t>
      </w:r>
      <w:r w:rsidRPr="008A4C56">
        <w:rPr>
          <w:szCs w:val="20"/>
        </w:rPr>
        <w:t>rêts perçus de la part des entités financières (</w:t>
      </w:r>
      <w:proofErr w:type="spellStart"/>
      <w:r w:rsidRPr="008A4C56">
        <w:rPr>
          <w:szCs w:val="20"/>
        </w:rPr>
        <w:t>Exim</w:t>
      </w:r>
      <w:proofErr w:type="spellEnd"/>
      <w:r w:rsidRPr="008A4C56">
        <w:rPr>
          <w:szCs w:val="20"/>
        </w:rPr>
        <w:t xml:space="preserve"> Bank et/ou Consortium) pour les projets d’infrastructures ;</w:t>
      </w:r>
    </w:p>
    <w:p w:rsidR="00A079F7" w:rsidRPr="008A4C56" w:rsidRDefault="00A079F7" w:rsidP="007B0F6C">
      <w:pPr>
        <w:pStyle w:val="ListParagraph"/>
        <w:numPr>
          <w:ilvl w:val="0"/>
          <w:numId w:val="28"/>
        </w:numPr>
        <w:spacing w:before="120" w:after="120"/>
        <w:ind w:left="714" w:hanging="357"/>
        <w:rPr>
          <w:szCs w:val="20"/>
        </w:rPr>
      </w:pPr>
      <w:r>
        <w:rPr>
          <w:szCs w:val="20"/>
        </w:rPr>
        <w:t>d</w:t>
      </w:r>
      <w:r w:rsidRPr="008A4C56">
        <w:rPr>
          <w:szCs w:val="20"/>
        </w:rPr>
        <w:t>écaissements aux entreprises effectuant les travaux relatifs à l’investissement minier ; et</w:t>
      </w:r>
    </w:p>
    <w:p w:rsidR="00A079F7" w:rsidRPr="008A4C56" w:rsidRDefault="00A079F7" w:rsidP="007B0F6C">
      <w:pPr>
        <w:pStyle w:val="ListParagraph"/>
        <w:numPr>
          <w:ilvl w:val="0"/>
          <w:numId w:val="28"/>
        </w:numPr>
        <w:spacing w:before="120" w:after="120"/>
        <w:ind w:left="714" w:hanging="357"/>
        <w:rPr>
          <w:szCs w:val="20"/>
        </w:rPr>
      </w:pPr>
      <w:r>
        <w:rPr>
          <w:szCs w:val="20"/>
        </w:rPr>
        <w:t>d</w:t>
      </w:r>
      <w:r w:rsidRPr="008A4C56">
        <w:rPr>
          <w:szCs w:val="20"/>
        </w:rPr>
        <w:t>écaissements aux entreprises effectuant les travaux d’infrastructure</w:t>
      </w:r>
      <w:r>
        <w:rPr>
          <w:szCs w:val="20"/>
        </w:rPr>
        <w:t>s</w:t>
      </w:r>
      <w:r w:rsidRPr="008A4C56">
        <w:rPr>
          <w:szCs w:val="20"/>
        </w:rPr>
        <w:t> ;</w:t>
      </w:r>
    </w:p>
    <w:p w:rsidR="00A079F7" w:rsidRPr="008A4C56" w:rsidRDefault="00A079F7" w:rsidP="00A079F7">
      <w:pPr>
        <w:spacing w:before="120" w:after="120"/>
        <w:rPr>
          <w:szCs w:val="20"/>
        </w:rPr>
      </w:pPr>
      <w:r w:rsidRPr="008A4C56">
        <w:rPr>
          <w:szCs w:val="20"/>
        </w:rPr>
        <w:t>Ces quatre flux seront captés à travers un formulaire (comportant une déclaration pour chaque flux) et qui sera spécialement dédié à la SICOMINES.</w:t>
      </w:r>
    </w:p>
    <w:p w:rsidR="00A079F7" w:rsidRPr="008A4C56" w:rsidRDefault="00A079F7" w:rsidP="00A079F7">
      <w:pPr>
        <w:spacing w:before="120" w:after="0"/>
        <w:rPr>
          <w:szCs w:val="20"/>
        </w:rPr>
      </w:pPr>
      <w:r w:rsidRPr="008A4C56">
        <w:rPr>
          <w:szCs w:val="20"/>
        </w:rPr>
        <w:t>Les flux financiers ainsi que les relations contractuelles régissant l’accord de coopération peuvent être représentés par le schéma suivant :</w:t>
      </w:r>
    </w:p>
    <w:p w:rsidR="00A079F7" w:rsidRPr="008A4C56" w:rsidRDefault="00A079F7" w:rsidP="00A079F7">
      <w:pPr>
        <w:spacing w:after="0"/>
        <w:jc w:val="center"/>
        <w:rPr>
          <w:szCs w:val="20"/>
        </w:rPr>
      </w:pPr>
      <w:r w:rsidRPr="008A4C56">
        <w:rPr>
          <w:noProof/>
          <w:color w:val="FF0000"/>
          <w:lang w:val="en-US"/>
        </w:rPr>
        <w:lastRenderedPageBreak/>
        <w:drawing>
          <wp:inline distT="0" distB="0" distL="0" distR="0">
            <wp:extent cx="3465195" cy="2496910"/>
            <wp:effectExtent l="19050" t="19050" r="20955" b="1769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0207" cy="2514933"/>
                    </a:xfrm>
                    <a:prstGeom prst="rect">
                      <a:avLst/>
                    </a:prstGeom>
                    <a:noFill/>
                    <a:ln w="3175">
                      <a:solidFill>
                        <a:schemeClr val="tx1"/>
                      </a:solidFill>
                    </a:ln>
                  </pic:spPr>
                </pic:pic>
              </a:graphicData>
            </a:graphic>
          </wp:inline>
        </w:drawing>
      </w:r>
    </w:p>
    <w:p w:rsidR="00A079F7" w:rsidRPr="007B1004" w:rsidRDefault="00A079F7" w:rsidP="00A079F7">
      <w:pPr>
        <w:spacing w:after="120"/>
        <w:ind w:left="1701" w:right="1698"/>
        <w:rPr>
          <w:sz w:val="16"/>
          <w:szCs w:val="16"/>
        </w:rPr>
      </w:pPr>
      <w:r w:rsidRPr="008A4C56">
        <w:rPr>
          <w:sz w:val="16"/>
          <w:szCs w:val="16"/>
        </w:rPr>
        <w:t xml:space="preserve">Source : Propositions techniques, Le Centre Carter, Conférence des parties prenantes Lubumbashi, 27 </w:t>
      </w:r>
      <w:r w:rsidRPr="004E05C8">
        <w:rPr>
          <w:sz w:val="16"/>
          <w:szCs w:val="16"/>
        </w:rPr>
        <w:t>août</w:t>
      </w:r>
      <w:r w:rsidRPr="008A4C56">
        <w:rPr>
          <w:sz w:val="16"/>
          <w:szCs w:val="16"/>
        </w:rPr>
        <w:t xml:space="preserve"> 2013 (version révisée 13 Novembre 2013)</w:t>
      </w:r>
    </w:p>
    <w:p w:rsidR="00A079F7" w:rsidRPr="008A4C56" w:rsidRDefault="00A079F7" w:rsidP="007B0F6C">
      <w:pPr>
        <w:pStyle w:val="ListParagraph"/>
        <w:numPr>
          <w:ilvl w:val="0"/>
          <w:numId w:val="27"/>
        </w:numPr>
        <w:ind w:left="714" w:hanging="357"/>
        <w:rPr>
          <w:szCs w:val="20"/>
          <w:u w:val="single"/>
        </w:rPr>
      </w:pPr>
      <w:r w:rsidRPr="008A4C56">
        <w:rPr>
          <w:szCs w:val="20"/>
          <w:u w:val="single"/>
        </w:rPr>
        <w:t xml:space="preserve">Production et exportation </w:t>
      </w:r>
    </w:p>
    <w:p w:rsidR="00A079F7" w:rsidRPr="008A4C56" w:rsidRDefault="00A079F7" w:rsidP="00A079F7">
      <w:pPr>
        <w:spacing w:after="120"/>
        <w:rPr>
          <w:b/>
          <w:szCs w:val="20"/>
          <w:u w:val="single"/>
        </w:rPr>
      </w:pPr>
      <w:r w:rsidRPr="008A4C56">
        <w:rPr>
          <w:b/>
          <w:szCs w:val="20"/>
          <w:u w:val="single"/>
        </w:rPr>
        <w:t>Secteur des Hydrocarbures :</w:t>
      </w:r>
    </w:p>
    <w:p w:rsidR="00A079F7" w:rsidRPr="008A4C56" w:rsidRDefault="009D7DDB" w:rsidP="00A079F7">
      <w:pPr>
        <w:spacing w:after="120"/>
        <w:rPr>
          <w:szCs w:val="20"/>
        </w:rPr>
      </w:pPr>
      <w:r>
        <w:rPr>
          <w:szCs w:val="20"/>
        </w:rPr>
        <w:t xml:space="preserve">Les </w:t>
      </w:r>
      <w:r w:rsidR="00A079F7" w:rsidRPr="008A4C56">
        <w:rPr>
          <w:szCs w:val="20"/>
        </w:rPr>
        <w:t>données sur la production et sur les exportations dans le référentiel 201</w:t>
      </w:r>
      <w:r>
        <w:rPr>
          <w:szCs w:val="20"/>
        </w:rPr>
        <w:t>5 seront captées</w:t>
      </w:r>
      <w:r w:rsidR="00A079F7" w:rsidRPr="008A4C56">
        <w:rPr>
          <w:szCs w:val="20"/>
        </w:rPr>
        <w:t xml:space="preserve"> de la manière suivante :</w:t>
      </w:r>
    </w:p>
    <w:p w:rsidR="00A079F7" w:rsidRPr="008A4C56" w:rsidRDefault="00A079F7" w:rsidP="007B0F6C">
      <w:pPr>
        <w:pStyle w:val="ListParagraph"/>
        <w:numPr>
          <w:ilvl w:val="0"/>
          <w:numId w:val="28"/>
        </w:numPr>
        <w:spacing w:after="120"/>
        <w:rPr>
          <w:szCs w:val="20"/>
        </w:rPr>
      </w:pPr>
      <w:r>
        <w:rPr>
          <w:szCs w:val="20"/>
        </w:rPr>
        <w:t>l</w:t>
      </w:r>
      <w:r w:rsidRPr="008A4C56">
        <w:rPr>
          <w:szCs w:val="20"/>
        </w:rPr>
        <w:t xml:space="preserve">es données sur la production : Les volumes de production feront l’objet de déclaration par les sociétés pétrolières, et seront conciliés avec la déclaration </w:t>
      </w:r>
      <w:r w:rsidR="00857949">
        <w:rPr>
          <w:szCs w:val="20"/>
        </w:rPr>
        <w:t>du</w:t>
      </w:r>
      <w:r w:rsidRPr="008A4C56">
        <w:rPr>
          <w:szCs w:val="20"/>
        </w:rPr>
        <w:t xml:space="preserve"> SGH</w:t>
      </w:r>
      <w:r>
        <w:rPr>
          <w:szCs w:val="20"/>
        </w:rPr>
        <w:t> ; et</w:t>
      </w:r>
    </w:p>
    <w:p w:rsidR="00A079F7" w:rsidRPr="008A4C56" w:rsidRDefault="00A079F7" w:rsidP="007B0F6C">
      <w:pPr>
        <w:pStyle w:val="ListParagraph"/>
        <w:numPr>
          <w:ilvl w:val="0"/>
          <w:numId w:val="28"/>
        </w:numPr>
        <w:ind w:left="714" w:hanging="357"/>
        <w:rPr>
          <w:szCs w:val="20"/>
        </w:rPr>
      </w:pPr>
      <w:r>
        <w:rPr>
          <w:szCs w:val="20"/>
        </w:rPr>
        <w:t>l</w:t>
      </w:r>
      <w:r w:rsidRPr="008A4C56">
        <w:rPr>
          <w:szCs w:val="20"/>
        </w:rPr>
        <w:t>es données sur les exportations : les volumes et valeurs des exportations feront l’objet de déclarations par les sociétés pétrolières d’une part et d’une déclaration du SGH d’autre part. Les données collectées seront conciliées.</w:t>
      </w:r>
    </w:p>
    <w:p w:rsidR="00A079F7" w:rsidRPr="008A4C56" w:rsidRDefault="00A079F7" w:rsidP="00A079F7">
      <w:pPr>
        <w:spacing w:after="120"/>
        <w:rPr>
          <w:b/>
          <w:szCs w:val="20"/>
          <w:u w:val="single"/>
        </w:rPr>
      </w:pPr>
      <w:r w:rsidRPr="008A4C56">
        <w:rPr>
          <w:b/>
          <w:szCs w:val="20"/>
          <w:u w:val="single"/>
        </w:rPr>
        <w:t>Secteur Minier :</w:t>
      </w:r>
    </w:p>
    <w:p w:rsidR="009D7DDB" w:rsidRPr="009D7DDB" w:rsidRDefault="009D7DDB" w:rsidP="009D7DDB">
      <w:pPr>
        <w:spacing w:after="120"/>
        <w:rPr>
          <w:szCs w:val="20"/>
        </w:rPr>
      </w:pPr>
      <w:r w:rsidRPr="009D7DDB">
        <w:rPr>
          <w:szCs w:val="20"/>
        </w:rPr>
        <w:t>Les données sur la production et sur les exportations dans le référentiel 2015 seront captées de la manière suivante :</w:t>
      </w:r>
    </w:p>
    <w:p w:rsidR="00E83F5D" w:rsidRDefault="00A079F7" w:rsidP="007B0F6C">
      <w:pPr>
        <w:pStyle w:val="ListParagraph"/>
        <w:numPr>
          <w:ilvl w:val="0"/>
          <w:numId w:val="28"/>
        </w:numPr>
        <w:spacing w:after="120"/>
        <w:rPr>
          <w:szCs w:val="20"/>
        </w:rPr>
      </w:pPr>
      <w:r>
        <w:rPr>
          <w:szCs w:val="20"/>
        </w:rPr>
        <w:t>l</w:t>
      </w:r>
      <w:r w:rsidRPr="008A4C56">
        <w:rPr>
          <w:szCs w:val="20"/>
        </w:rPr>
        <w:t xml:space="preserve">es données sur la production : </w:t>
      </w:r>
      <w:r w:rsidR="00132C94">
        <w:rPr>
          <w:szCs w:val="20"/>
        </w:rPr>
        <w:t>Conformément à</w:t>
      </w:r>
      <w:r w:rsidR="00132C94" w:rsidRPr="00132C94">
        <w:rPr>
          <w:szCs w:val="20"/>
        </w:rPr>
        <w:t xml:space="preserve"> la recommandation de la Commission chargée de la définition du mécanisme d'enregistrement et de déclaration des Statistiques de production et des exportations des produits miniers, les volumes de production seront déclarés unilatéralement par les Entreprises</w:t>
      </w:r>
      <w:r w:rsidR="00132C94">
        <w:rPr>
          <w:szCs w:val="20"/>
        </w:rPr>
        <w:t xml:space="preserve"> à savoir la quantité brute du produit</w:t>
      </w:r>
      <w:r w:rsidR="00330F59">
        <w:rPr>
          <w:szCs w:val="20"/>
        </w:rPr>
        <w:t xml:space="preserve"> marchand</w:t>
      </w:r>
      <w:r w:rsidR="00132C94">
        <w:rPr>
          <w:szCs w:val="20"/>
        </w:rPr>
        <w:t xml:space="preserve"> et la quantité du métal contenu (ou des métaux contenus)</w:t>
      </w:r>
      <w:r w:rsidR="00330F59">
        <w:rPr>
          <w:szCs w:val="20"/>
        </w:rPr>
        <w:t xml:space="preserve"> </w:t>
      </w:r>
      <w:r w:rsidR="005B44AE">
        <w:rPr>
          <w:szCs w:val="20"/>
        </w:rPr>
        <w:t>suivant la nomenclature fixée par les arrêtés interministériels N°0122/CAB.MIN/MINES/01/2013 et N° 782/CAB.MIN/FINANCES/2013</w:t>
      </w:r>
      <w:r w:rsidR="00132C94" w:rsidRPr="00132C94">
        <w:rPr>
          <w:szCs w:val="20"/>
        </w:rPr>
        <w:t>.</w:t>
      </w:r>
      <w:r w:rsidR="00707AE1">
        <w:rPr>
          <w:szCs w:val="20"/>
        </w:rPr>
        <w:t xml:space="preserve"> </w:t>
      </w:r>
    </w:p>
    <w:p w:rsidR="00132C94" w:rsidRPr="005B44AE" w:rsidRDefault="00707AE1" w:rsidP="00E83F5D">
      <w:pPr>
        <w:pStyle w:val="ListParagraph"/>
        <w:spacing w:after="120"/>
        <w:ind w:left="720"/>
        <w:rPr>
          <w:szCs w:val="20"/>
        </w:rPr>
      </w:pPr>
      <w:r>
        <w:rPr>
          <w:szCs w:val="20"/>
        </w:rPr>
        <w:t>La production globale du secteur sera rensei</w:t>
      </w:r>
      <w:r w:rsidR="000C7EC2">
        <w:rPr>
          <w:szCs w:val="20"/>
        </w:rPr>
        <w:t>gnée, à titre indicatif, par l'A</w:t>
      </w:r>
      <w:r>
        <w:rPr>
          <w:szCs w:val="20"/>
        </w:rPr>
        <w:t>dministration des Mines.</w:t>
      </w:r>
    </w:p>
    <w:p w:rsidR="00132C94" w:rsidRDefault="00A079F7" w:rsidP="007B0F6C">
      <w:pPr>
        <w:pStyle w:val="ListParagraph"/>
        <w:numPr>
          <w:ilvl w:val="0"/>
          <w:numId w:val="28"/>
        </w:numPr>
        <w:ind w:left="714" w:hanging="357"/>
        <w:rPr>
          <w:szCs w:val="20"/>
        </w:rPr>
      </w:pPr>
      <w:r>
        <w:rPr>
          <w:szCs w:val="20"/>
        </w:rPr>
        <w:t>l</w:t>
      </w:r>
      <w:r w:rsidRPr="008A4C56">
        <w:rPr>
          <w:szCs w:val="20"/>
        </w:rPr>
        <w:t xml:space="preserve">es données sur les exportations : les volumes </w:t>
      </w:r>
      <w:r w:rsidR="00A84FC5">
        <w:rPr>
          <w:szCs w:val="20"/>
        </w:rPr>
        <w:t xml:space="preserve">seront réconciliés </w:t>
      </w:r>
      <w:r w:rsidRPr="008A4C56">
        <w:rPr>
          <w:szCs w:val="20"/>
        </w:rPr>
        <w:t>et valeurs des exportations feront l’objet d</w:t>
      </w:r>
      <w:r w:rsidR="00744FE0">
        <w:rPr>
          <w:szCs w:val="20"/>
        </w:rPr>
        <w:t xml:space="preserve">'une déclaration unilatérale </w:t>
      </w:r>
      <w:r w:rsidRPr="008A4C56">
        <w:rPr>
          <w:szCs w:val="20"/>
        </w:rPr>
        <w:t xml:space="preserve">par les </w:t>
      </w:r>
      <w:r w:rsidR="00744FE0">
        <w:rPr>
          <w:szCs w:val="20"/>
        </w:rPr>
        <w:t>deux parties</w:t>
      </w:r>
      <w:r w:rsidRPr="008A4C56">
        <w:rPr>
          <w:szCs w:val="20"/>
        </w:rPr>
        <w:t xml:space="preserve">. </w:t>
      </w:r>
    </w:p>
    <w:p w:rsidR="00A079F7" w:rsidRPr="000023DC" w:rsidRDefault="00A079F7" w:rsidP="007B0F6C">
      <w:pPr>
        <w:pStyle w:val="ListParagraph"/>
        <w:numPr>
          <w:ilvl w:val="0"/>
          <w:numId w:val="27"/>
        </w:numPr>
        <w:ind w:left="714" w:hanging="357"/>
        <w:rPr>
          <w:szCs w:val="20"/>
          <w:u w:val="single"/>
        </w:rPr>
      </w:pPr>
      <w:r w:rsidRPr="008A4C56">
        <w:rPr>
          <w:szCs w:val="20"/>
          <w:u w:val="single"/>
        </w:rPr>
        <w:t>Emploi</w:t>
      </w:r>
      <w:r w:rsidRPr="000023DC">
        <w:rPr>
          <w:szCs w:val="20"/>
          <w:u w:val="single"/>
        </w:rPr>
        <w:t xml:space="preserve"> dans le secteur extractif</w:t>
      </w:r>
    </w:p>
    <w:p w:rsidR="00A079F7" w:rsidRPr="00743378" w:rsidRDefault="00A079F7" w:rsidP="00A079F7">
      <w:r w:rsidRPr="00743378">
        <w:t xml:space="preserve">Pour les données afférentes à l’emploi dans le Secteur Extractif, nous recommandons à ce que les effectifs employés par les sociétés extractives soient divulguées en distinguant les employés locaux des expatriés. </w:t>
      </w:r>
    </w:p>
    <w:p w:rsidR="00A079F7" w:rsidRPr="00743378" w:rsidRDefault="00A079F7" w:rsidP="00A079F7">
      <w:r w:rsidRPr="00743378">
        <w:t>Les entreprises extractives seront également amenées à fournir la même information pour leurs sous-traitants. Les données collectées permettront ainsi d’avoir une vue d’ensemble sur l’emploi dans le secteur.</w:t>
      </w:r>
    </w:p>
    <w:p w:rsidR="00A079F7" w:rsidRPr="00743378" w:rsidRDefault="00A079F7" w:rsidP="00A079F7">
      <w:r w:rsidRPr="00743378">
        <w:lastRenderedPageBreak/>
        <w:t>Nous avons examiné la possibilité de rapprochement de l’information des données sur l’emploi avec les données disponibles chez l’Office National de l’Emploi (ONEM). Cependant ce rapprochement ne pourra pas être effectué puisque l’ONEM ne dispose pas du nom des sous-traitants pour les entreprises. A ce stade, l’information sur les noms des sous-traitants n’est disponible que chez les entreprises extractives elles-mêmes.</w:t>
      </w:r>
    </w:p>
    <w:p w:rsidR="00A079F7" w:rsidRDefault="00A079F7" w:rsidP="00A079F7">
      <w:r w:rsidRPr="00743378">
        <w:t>Par conséquent, nous optons pour une déclaration de ces données par les entreprises extractives d’une part et une déclaration des données disponibles par l’ONEM d’autre part.</w:t>
      </w:r>
    </w:p>
    <w:p w:rsidR="00A079F7" w:rsidRPr="001F60A5" w:rsidRDefault="00A079F7" w:rsidP="007B0F6C">
      <w:pPr>
        <w:pStyle w:val="ListParagraph"/>
        <w:numPr>
          <w:ilvl w:val="0"/>
          <w:numId w:val="27"/>
        </w:numPr>
        <w:ind w:left="714" w:hanging="357"/>
        <w:rPr>
          <w:szCs w:val="20"/>
          <w:u w:val="single"/>
        </w:rPr>
      </w:pPr>
      <w:r w:rsidRPr="001F60A5">
        <w:rPr>
          <w:szCs w:val="20"/>
          <w:u w:val="single"/>
        </w:rPr>
        <w:t xml:space="preserve">Autres flux de paiement significatifs </w:t>
      </w:r>
    </w:p>
    <w:p w:rsidR="00A079F7" w:rsidRPr="00743378" w:rsidRDefault="00A079F7" w:rsidP="00A079F7">
      <w:pPr>
        <w:pStyle w:val="Heading3"/>
        <w:numPr>
          <w:ilvl w:val="0"/>
          <w:numId w:val="0"/>
        </w:numPr>
        <w:tabs>
          <w:tab w:val="left" w:pos="0"/>
        </w:tabs>
        <w:spacing w:before="120"/>
        <w:ind w:hanging="11"/>
        <w:rPr>
          <w:rFonts w:cs="Arial"/>
          <w:szCs w:val="20"/>
        </w:rPr>
      </w:pPr>
      <w:r w:rsidRPr="00743378">
        <w:rPr>
          <w:rFonts w:cs="Arial"/>
          <w:i w:val="0"/>
          <w:iCs w:val="0"/>
          <w:szCs w:val="20"/>
        </w:rPr>
        <w:t xml:space="preserve">Afin d’éviter des omissions qui pourront être considérées comme significatives, nous recommandons de prévoir une ligne intitulée « Autres paiements significatifs» dans le formulaire de déclaration destinée aux entreprises extractives et aux Régies financières pour reporter tout paiement effectué ou recette perçue dont le flux de paiement </w:t>
      </w:r>
      <w:proofErr w:type="gramStart"/>
      <w:r w:rsidRPr="00743378">
        <w:rPr>
          <w:rFonts w:cs="Arial"/>
          <w:i w:val="0"/>
          <w:iCs w:val="0"/>
          <w:szCs w:val="20"/>
        </w:rPr>
        <w:t>n’ a</w:t>
      </w:r>
      <w:proofErr w:type="gramEnd"/>
      <w:r w:rsidRPr="00743378">
        <w:rPr>
          <w:rFonts w:cs="Arial"/>
          <w:i w:val="0"/>
          <w:iCs w:val="0"/>
          <w:szCs w:val="20"/>
        </w:rPr>
        <w:t xml:space="preserve"> pas été identifié dans le cadre de cette étude de cadrage et par conséquent n’a pas été prévu dans le formulaire de déclaration</w:t>
      </w:r>
      <w:r w:rsidRPr="00743378">
        <w:rPr>
          <w:rFonts w:cs="Arial"/>
          <w:szCs w:val="20"/>
        </w:rPr>
        <w:t>.</w:t>
      </w:r>
    </w:p>
    <w:p w:rsidR="00E74B2E" w:rsidRDefault="00A079F7" w:rsidP="00A079F7">
      <w:r w:rsidRPr="00743378">
        <w:t xml:space="preserve">Nous présentons au </w:t>
      </w:r>
      <w:r w:rsidRPr="00EC58B6">
        <w:t xml:space="preserve">niveau </w:t>
      </w:r>
      <w:r w:rsidRPr="00F30F8E">
        <w:t>de l’Annexe</w:t>
      </w:r>
      <w:r w:rsidR="000C7662">
        <w:t xml:space="preserve"> </w:t>
      </w:r>
      <w:r w:rsidR="00983765">
        <w:t>4</w:t>
      </w:r>
      <w:r w:rsidRPr="00743378">
        <w:t xml:space="preserve"> du présent rapport les définitions des différents flux de paiement identifiées durant nos travaux de cadrage et qui seront inclus dans le périmètre de </w:t>
      </w:r>
      <w:r w:rsidRPr="00B9679E">
        <w:t xml:space="preserve">conciliation pour le rapport ITIE </w:t>
      </w:r>
      <w:r w:rsidR="00B9679E" w:rsidRPr="00B9679E">
        <w:t>2015</w:t>
      </w:r>
      <w:r w:rsidRPr="00B9679E">
        <w:t>.</w:t>
      </w:r>
    </w:p>
    <w:p w:rsidR="00A079F7" w:rsidRPr="00BD46C9" w:rsidRDefault="00A079F7" w:rsidP="00A079F7">
      <w:pPr>
        <w:rPr>
          <w:sz w:val="18"/>
          <w:szCs w:val="18"/>
        </w:rPr>
      </w:pPr>
    </w:p>
    <w:p w:rsidR="00A079F7" w:rsidRPr="001F60A5" w:rsidRDefault="00A079F7" w:rsidP="00A079F7">
      <w:pPr>
        <w:pStyle w:val="Heading3"/>
        <w:numPr>
          <w:ilvl w:val="2"/>
          <w:numId w:val="2"/>
        </w:numPr>
        <w:tabs>
          <w:tab w:val="left" w:pos="800"/>
        </w:tabs>
        <w:spacing w:before="120"/>
        <w:rPr>
          <w:b/>
          <w:bCs w:val="0"/>
          <w:i w:val="0"/>
          <w:iCs w:val="0"/>
          <w:color w:val="0070C0"/>
        </w:rPr>
      </w:pPr>
      <w:r w:rsidRPr="001F60A5">
        <w:rPr>
          <w:b/>
          <w:bCs w:val="0"/>
          <w:i w:val="0"/>
          <w:iCs w:val="0"/>
          <w:color w:val="0070C0"/>
        </w:rPr>
        <w:t xml:space="preserve">Sélection des </w:t>
      </w:r>
      <w:r w:rsidR="001169EA">
        <w:rPr>
          <w:b/>
          <w:bCs w:val="0"/>
          <w:i w:val="0"/>
          <w:iCs w:val="0"/>
          <w:color w:val="0070C0"/>
        </w:rPr>
        <w:t>Agences F</w:t>
      </w:r>
      <w:r w:rsidRPr="001F60A5">
        <w:rPr>
          <w:b/>
          <w:bCs w:val="0"/>
          <w:i w:val="0"/>
          <w:iCs w:val="0"/>
          <w:color w:val="0070C0"/>
        </w:rPr>
        <w:t>inancières et des entreprises du Portefeuille de l’Etat</w:t>
      </w:r>
    </w:p>
    <w:p w:rsidR="00A079F7" w:rsidRDefault="00A079F7" w:rsidP="00A079F7">
      <w:pPr>
        <w:spacing w:before="240"/>
        <w:rPr>
          <w:bCs w:val="0"/>
          <w:szCs w:val="20"/>
          <w:lang w:eastAsia="fr-FR"/>
        </w:rPr>
      </w:pPr>
      <w:r w:rsidRPr="003E42CE">
        <w:rPr>
          <w:szCs w:val="20"/>
        </w:rPr>
        <w:t>Sur la base du périmètre retenu des sociétés minières et des flux de paiement pour l’année 201</w:t>
      </w:r>
      <w:r w:rsidR="003E42CE">
        <w:rPr>
          <w:szCs w:val="20"/>
        </w:rPr>
        <w:t xml:space="preserve">5, nous </w:t>
      </w:r>
      <w:r w:rsidRPr="003E42CE">
        <w:rPr>
          <w:bCs w:val="0"/>
          <w:szCs w:val="20"/>
          <w:lang w:eastAsia="fr-FR"/>
        </w:rPr>
        <w:t>mainten</w:t>
      </w:r>
      <w:r w:rsidR="003E42CE">
        <w:rPr>
          <w:bCs w:val="0"/>
          <w:szCs w:val="20"/>
          <w:lang w:eastAsia="fr-FR"/>
        </w:rPr>
        <w:t>ons</w:t>
      </w:r>
      <w:r w:rsidRPr="003E42CE">
        <w:rPr>
          <w:bCs w:val="0"/>
          <w:szCs w:val="20"/>
          <w:lang w:eastAsia="fr-FR"/>
        </w:rPr>
        <w:t xml:space="preserve"> les mêmes Régies Financières</w:t>
      </w:r>
      <w:r w:rsidR="003E42CE">
        <w:rPr>
          <w:bCs w:val="0"/>
          <w:szCs w:val="20"/>
          <w:lang w:eastAsia="fr-FR"/>
        </w:rPr>
        <w:t xml:space="preserve"> retenues dans le périmètre 2014</w:t>
      </w:r>
      <w:r w:rsidRPr="003E42CE">
        <w:rPr>
          <w:bCs w:val="0"/>
          <w:szCs w:val="20"/>
          <w:lang w:eastAsia="fr-FR"/>
        </w:rPr>
        <w:t xml:space="preserve">. </w:t>
      </w:r>
      <w:r w:rsidRPr="003E42CE">
        <w:t>Par ailleurs, nous recommandons de retenir les autres directions provinciales (autres que la DRKAT) pour une déclaration unilatérale des recettes perçues du secteur extractif.</w:t>
      </w:r>
    </w:p>
    <w:p w:rsidR="005D369E" w:rsidRDefault="00324639" w:rsidP="00A079F7">
      <w:pPr>
        <w:spacing w:before="240"/>
        <w:rPr>
          <w:bCs w:val="0"/>
          <w:szCs w:val="20"/>
          <w:lang w:eastAsia="fr-FR"/>
        </w:rPr>
      </w:pPr>
      <w:r>
        <w:rPr>
          <w:bCs w:val="0"/>
          <w:szCs w:val="20"/>
          <w:lang w:eastAsia="fr-FR"/>
        </w:rPr>
        <w:t>T</w:t>
      </w:r>
      <w:r w:rsidR="00A079F7" w:rsidRPr="00C52B4D">
        <w:rPr>
          <w:bCs w:val="0"/>
          <w:szCs w:val="20"/>
          <w:lang w:eastAsia="fr-FR"/>
        </w:rPr>
        <w:t xml:space="preserve">outes les entreprises du Portefeuille de l’Etat seront sollicitées pour la déclaration des paiements reçus des entreprises minières. </w:t>
      </w:r>
    </w:p>
    <w:tbl>
      <w:tblPr>
        <w:tblpPr w:leftFromText="141" w:rightFromText="141" w:vertAnchor="text" w:horzAnchor="margin" w:tblpY="82"/>
        <w:tblW w:w="1500" w:type="pct"/>
        <w:tblCellMar>
          <w:left w:w="70" w:type="dxa"/>
          <w:right w:w="70" w:type="dxa"/>
        </w:tblCellMar>
        <w:tblLook w:val="04A0" w:firstRow="1" w:lastRow="0" w:firstColumn="1" w:lastColumn="0" w:noHBand="0" w:noVBand="1"/>
      </w:tblPr>
      <w:tblGrid>
        <w:gridCol w:w="2764"/>
      </w:tblGrid>
      <w:tr w:rsidR="005C6EB5" w:rsidRPr="00A774DA" w:rsidTr="005C6EB5">
        <w:trPr>
          <w:trHeight w:val="300"/>
        </w:trPr>
        <w:tc>
          <w:tcPr>
            <w:tcW w:w="5000" w:type="pct"/>
            <w:tcBorders>
              <w:top w:val="single" w:sz="4" w:space="0" w:color="4F81BD" w:themeColor="accent1"/>
              <w:left w:val="nil"/>
              <w:bottom w:val="single" w:sz="4" w:space="0" w:color="4F81BD" w:themeColor="accent1"/>
              <w:right w:val="nil"/>
            </w:tcBorders>
            <w:shd w:val="clear" w:color="000000" w:fill="B8CCE4"/>
            <w:vAlign w:val="center"/>
            <w:hideMark/>
          </w:tcPr>
          <w:p w:rsidR="005C6EB5" w:rsidRPr="00A774DA" w:rsidRDefault="005C6EB5" w:rsidP="005C6EB5">
            <w:pPr>
              <w:spacing w:after="0"/>
              <w:jc w:val="left"/>
              <w:rPr>
                <w:bCs w:val="0"/>
                <w:color w:val="000000"/>
                <w:sz w:val="18"/>
                <w:szCs w:val="18"/>
                <w:lang w:eastAsia="fr-FR"/>
              </w:rPr>
            </w:pPr>
            <w:r w:rsidRPr="00A774DA">
              <w:rPr>
                <w:bCs w:val="0"/>
                <w:color w:val="000000"/>
                <w:sz w:val="18"/>
                <w:szCs w:val="18"/>
                <w:lang w:eastAsia="fr-FR"/>
              </w:rPr>
              <w:t>DGI</w:t>
            </w:r>
          </w:p>
        </w:tc>
      </w:tr>
      <w:tr w:rsidR="005C6EB5" w:rsidRPr="00A774DA" w:rsidTr="005C6EB5">
        <w:trPr>
          <w:trHeight w:val="300"/>
        </w:trPr>
        <w:tc>
          <w:tcPr>
            <w:tcW w:w="5000" w:type="pct"/>
            <w:tcBorders>
              <w:top w:val="single" w:sz="4" w:space="0" w:color="4F81BD" w:themeColor="accent1"/>
              <w:left w:val="nil"/>
              <w:bottom w:val="single" w:sz="4" w:space="0" w:color="4F81BD" w:themeColor="accent1"/>
              <w:right w:val="nil"/>
            </w:tcBorders>
            <w:shd w:val="clear" w:color="auto" w:fill="auto"/>
            <w:vAlign w:val="center"/>
          </w:tcPr>
          <w:p w:rsidR="005C6EB5" w:rsidRPr="00A774DA" w:rsidRDefault="005C6EB5" w:rsidP="005C6EB5">
            <w:pPr>
              <w:spacing w:after="0"/>
              <w:jc w:val="left"/>
              <w:rPr>
                <w:bCs w:val="0"/>
                <w:color w:val="000000"/>
                <w:sz w:val="18"/>
                <w:szCs w:val="18"/>
                <w:lang w:eastAsia="fr-FR"/>
              </w:rPr>
            </w:pPr>
            <w:r w:rsidRPr="00A774DA">
              <w:rPr>
                <w:bCs w:val="0"/>
                <w:color w:val="000000"/>
                <w:sz w:val="18"/>
                <w:szCs w:val="18"/>
                <w:lang w:eastAsia="fr-FR"/>
              </w:rPr>
              <w:t>DGRAD</w:t>
            </w:r>
          </w:p>
        </w:tc>
      </w:tr>
      <w:tr w:rsidR="005C6EB5" w:rsidRPr="00A774DA" w:rsidTr="005C6EB5">
        <w:trPr>
          <w:trHeight w:val="300"/>
        </w:trPr>
        <w:tc>
          <w:tcPr>
            <w:tcW w:w="5000" w:type="pct"/>
            <w:tcBorders>
              <w:top w:val="single" w:sz="4" w:space="0" w:color="4F81BD" w:themeColor="accent1"/>
              <w:left w:val="nil"/>
              <w:bottom w:val="single" w:sz="4" w:space="0" w:color="4F81BD" w:themeColor="accent1"/>
              <w:right w:val="nil"/>
            </w:tcBorders>
            <w:shd w:val="clear" w:color="000000" w:fill="B8CCE4"/>
            <w:vAlign w:val="center"/>
          </w:tcPr>
          <w:p w:rsidR="005C6EB5" w:rsidRPr="00A774DA" w:rsidRDefault="005C6EB5" w:rsidP="005C6EB5">
            <w:pPr>
              <w:spacing w:after="0"/>
              <w:jc w:val="left"/>
              <w:rPr>
                <w:bCs w:val="0"/>
                <w:color w:val="000000"/>
                <w:sz w:val="18"/>
                <w:szCs w:val="18"/>
                <w:lang w:eastAsia="fr-FR"/>
              </w:rPr>
            </w:pPr>
            <w:r w:rsidRPr="00A774DA">
              <w:rPr>
                <w:bCs w:val="0"/>
                <w:color w:val="000000"/>
                <w:sz w:val="18"/>
                <w:szCs w:val="18"/>
                <w:lang w:eastAsia="fr-FR"/>
              </w:rPr>
              <w:t>DGDA</w:t>
            </w:r>
          </w:p>
        </w:tc>
      </w:tr>
      <w:tr w:rsidR="005C6EB5" w:rsidRPr="00A774DA" w:rsidTr="005C6EB5">
        <w:trPr>
          <w:trHeight w:val="300"/>
        </w:trPr>
        <w:tc>
          <w:tcPr>
            <w:tcW w:w="5000" w:type="pct"/>
            <w:tcBorders>
              <w:top w:val="single" w:sz="4" w:space="0" w:color="4F81BD" w:themeColor="accent1"/>
              <w:left w:val="nil"/>
              <w:bottom w:val="single" w:sz="4" w:space="0" w:color="4F81BD" w:themeColor="accent1"/>
              <w:right w:val="nil"/>
            </w:tcBorders>
            <w:shd w:val="clear" w:color="auto" w:fill="auto"/>
            <w:vAlign w:val="center"/>
          </w:tcPr>
          <w:p w:rsidR="005C6EB5" w:rsidRPr="00A774DA" w:rsidRDefault="005C6EB5" w:rsidP="005C6EB5">
            <w:pPr>
              <w:spacing w:after="0"/>
              <w:jc w:val="left"/>
              <w:rPr>
                <w:bCs w:val="0"/>
                <w:color w:val="000000"/>
                <w:sz w:val="18"/>
                <w:szCs w:val="18"/>
                <w:lang w:eastAsia="fr-FR"/>
              </w:rPr>
            </w:pPr>
            <w:r>
              <w:rPr>
                <w:bCs w:val="0"/>
                <w:color w:val="000000"/>
                <w:sz w:val="18"/>
                <w:szCs w:val="18"/>
                <w:lang w:eastAsia="fr-FR"/>
              </w:rPr>
              <w:t>DRKAT</w:t>
            </w:r>
          </w:p>
        </w:tc>
      </w:tr>
      <w:tr w:rsidR="005C6EB5" w:rsidRPr="00A774DA" w:rsidTr="005C6EB5">
        <w:trPr>
          <w:trHeight w:val="300"/>
        </w:trPr>
        <w:tc>
          <w:tcPr>
            <w:tcW w:w="5000" w:type="pct"/>
            <w:tcBorders>
              <w:top w:val="single" w:sz="4" w:space="0" w:color="4F81BD" w:themeColor="accent1"/>
              <w:left w:val="nil"/>
              <w:bottom w:val="single" w:sz="4" w:space="0" w:color="4F81BD" w:themeColor="accent1"/>
              <w:right w:val="nil"/>
            </w:tcBorders>
            <w:shd w:val="clear" w:color="auto" w:fill="B8CCE4" w:themeFill="accent1" w:themeFillTint="66"/>
            <w:vAlign w:val="center"/>
          </w:tcPr>
          <w:p w:rsidR="005C6EB5" w:rsidRPr="00A774DA" w:rsidRDefault="005C6EB5" w:rsidP="005C6EB5">
            <w:pPr>
              <w:spacing w:after="0"/>
              <w:jc w:val="left"/>
              <w:rPr>
                <w:bCs w:val="0"/>
                <w:color w:val="000000"/>
                <w:sz w:val="18"/>
                <w:szCs w:val="18"/>
                <w:lang w:eastAsia="fr-FR"/>
              </w:rPr>
            </w:pPr>
            <w:r>
              <w:rPr>
                <w:bCs w:val="0"/>
                <w:color w:val="000000"/>
                <w:sz w:val="18"/>
                <w:szCs w:val="18"/>
                <w:lang w:eastAsia="fr-FR"/>
              </w:rPr>
              <w:t>SGH</w:t>
            </w:r>
          </w:p>
        </w:tc>
      </w:tr>
      <w:tr w:rsidR="005C6EB5" w:rsidRPr="00A774DA" w:rsidTr="005C6EB5">
        <w:trPr>
          <w:trHeight w:val="300"/>
        </w:trPr>
        <w:tc>
          <w:tcPr>
            <w:tcW w:w="5000" w:type="pct"/>
            <w:tcBorders>
              <w:top w:val="single" w:sz="4" w:space="0" w:color="4F81BD" w:themeColor="accent1"/>
              <w:left w:val="nil"/>
              <w:bottom w:val="single" w:sz="4" w:space="0" w:color="4F81BD" w:themeColor="accent1"/>
              <w:right w:val="nil"/>
            </w:tcBorders>
            <w:shd w:val="clear" w:color="auto" w:fill="auto"/>
            <w:vAlign w:val="center"/>
          </w:tcPr>
          <w:p w:rsidR="005C6EB5" w:rsidRPr="00A774DA" w:rsidRDefault="005C6EB5" w:rsidP="005C6EB5">
            <w:pPr>
              <w:spacing w:after="0"/>
              <w:jc w:val="left"/>
              <w:rPr>
                <w:bCs w:val="0"/>
                <w:color w:val="000000"/>
                <w:sz w:val="18"/>
                <w:szCs w:val="18"/>
                <w:lang w:eastAsia="fr-FR"/>
              </w:rPr>
            </w:pPr>
            <w:r w:rsidRPr="00A774DA">
              <w:rPr>
                <w:bCs w:val="0"/>
                <w:color w:val="000000"/>
                <w:sz w:val="18"/>
                <w:szCs w:val="18"/>
                <w:lang w:eastAsia="fr-FR"/>
              </w:rPr>
              <w:t>EPE</w:t>
            </w:r>
          </w:p>
        </w:tc>
      </w:tr>
      <w:tr w:rsidR="005C6EB5" w:rsidRPr="00A774DA" w:rsidTr="005C6EB5">
        <w:trPr>
          <w:trHeight w:val="300"/>
        </w:trPr>
        <w:tc>
          <w:tcPr>
            <w:tcW w:w="5000" w:type="pct"/>
            <w:tcBorders>
              <w:top w:val="single" w:sz="4" w:space="0" w:color="4F81BD" w:themeColor="accent1"/>
              <w:left w:val="nil"/>
              <w:bottom w:val="single" w:sz="4" w:space="0" w:color="4F81BD" w:themeColor="accent1"/>
              <w:right w:val="nil"/>
            </w:tcBorders>
            <w:shd w:val="clear" w:color="auto" w:fill="C6D9F1" w:themeFill="text2" w:themeFillTint="33"/>
            <w:vAlign w:val="center"/>
          </w:tcPr>
          <w:p w:rsidR="005C6EB5" w:rsidRPr="00A774DA" w:rsidRDefault="005C6EB5" w:rsidP="005C6EB5">
            <w:pPr>
              <w:spacing w:after="0"/>
              <w:jc w:val="left"/>
              <w:rPr>
                <w:bCs w:val="0"/>
                <w:color w:val="000000"/>
                <w:sz w:val="18"/>
                <w:szCs w:val="18"/>
                <w:lang w:eastAsia="fr-FR"/>
              </w:rPr>
            </w:pPr>
            <w:r>
              <w:rPr>
                <w:bCs w:val="0"/>
                <w:color w:val="000000"/>
                <w:sz w:val="18"/>
                <w:szCs w:val="18"/>
                <w:lang w:eastAsia="fr-FR"/>
              </w:rPr>
              <w:t>GEE</w:t>
            </w:r>
          </w:p>
        </w:tc>
      </w:tr>
    </w:tbl>
    <w:p w:rsidR="005D369E" w:rsidRDefault="005D369E" w:rsidP="00A079F7">
      <w:pPr>
        <w:spacing w:before="240"/>
        <w:rPr>
          <w:bCs w:val="0"/>
          <w:szCs w:val="20"/>
          <w:lang w:eastAsia="fr-FR"/>
        </w:rPr>
      </w:pPr>
    </w:p>
    <w:p w:rsidR="00A079F7" w:rsidRDefault="00A079F7" w:rsidP="00A079F7">
      <w:pPr>
        <w:spacing w:before="240"/>
        <w:rPr>
          <w:bCs w:val="0"/>
          <w:szCs w:val="20"/>
          <w:lang w:eastAsia="fr-FR"/>
        </w:rPr>
      </w:pPr>
    </w:p>
    <w:p w:rsidR="005C6EB5" w:rsidRDefault="005C6EB5" w:rsidP="00A079F7">
      <w:pPr>
        <w:spacing w:before="240"/>
        <w:rPr>
          <w:bCs w:val="0"/>
          <w:szCs w:val="20"/>
          <w:lang w:eastAsia="fr-FR"/>
        </w:rPr>
      </w:pPr>
    </w:p>
    <w:p w:rsidR="005C6EB5" w:rsidRDefault="005C6EB5" w:rsidP="00A079F7">
      <w:pPr>
        <w:spacing w:before="240"/>
        <w:rPr>
          <w:bCs w:val="0"/>
          <w:szCs w:val="20"/>
          <w:lang w:eastAsia="fr-FR"/>
        </w:rPr>
      </w:pPr>
    </w:p>
    <w:p w:rsidR="005C6EB5" w:rsidRDefault="005C6EB5" w:rsidP="00A079F7">
      <w:pPr>
        <w:spacing w:before="240"/>
        <w:rPr>
          <w:bCs w:val="0"/>
          <w:szCs w:val="20"/>
          <w:lang w:eastAsia="fr-FR"/>
        </w:rPr>
      </w:pPr>
    </w:p>
    <w:p w:rsidR="005C6EB5" w:rsidRDefault="005C6EB5" w:rsidP="00A079F7">
      <w:pPr>
        <w:spacing w:before="240"/>
        <w:rPr>
          <w:bCs w:val="0"/>
          <w:szCs w:val="20"/>
          <w:lang w:eastAsia="fr-FR"/>
        </w:rPr>
      </w:pPr>
    </w:p>
    <w:p w:rsidR="005C6EB5" w:rsidRDefault="005C6EB5" w:rsidP="00A079F7">
      <w:pPr>
        <w:spacing w:before="240"/>
        <w:rPr>
          <w:bCs w:val="0"/>
          <w:szCs w:val="20"/>
          <w:lang w:eastAsia="fr-FR"/>
        </w:rPr>
      </w:pPr>
    </w:p>
    <w:p w:rsidR="005C6EB5" w:rsidRDefault="005C6EB5" w:rsidP="00A079F7">
      <w:pPr>
        <w:spacing w:before="240"/>
        <w:rPr>
          <w:bCs w:val="0"/>
          <w:szCs w:val="20"/>
          <w:lang w:eastAsia="fr-FR"/>
        </w:rPr>
      </w:pPr>
    </w:p>
    <w:p w:rsidR="005C6EB5" w:rsidRDefault="005C6EB5" w:rsidP="00A079F7">
      <w:pPr>
        <w:spacing w:before="240"/>
        <w:rPr>
          <w:bCs w:val="0"/>
          <w:szCs w:val="20"/>
          <w:lang w:eastAsia="fr-FR"/>
        </w:rPr>
      </w:pPr>
    </w:p>
    <w:p w:rsidR="005C6EB5" w:rsidRDefault="005C6EB5" w:rsidP="00A079F7">
      <w:pPr>
        <w:spacing w:before="240"/>
        <w:rPr>
          <w:bCs w:val="0"/>
          <w:szCs w:val="20"/>
          <w:lang w:eastAsia="fr-FR"/>
        </w:rPr>
      </w:pPr>
    </w:p>
    <w:p w:rsidR="005C6EB5" w:rsidRDefault="005C6EB5" w:rsidP="00A079F7">
      <w:pPr>
        <w:spacing w:before="240"/>
        <w:rPr>
          <w:bCs w:val="0"/>
          <w:szCs w:val="20"/>
          <w:lang w:eastAsia="fr-FR"/>
        </w:rPr>
      </w:pPr>
    </w:p>
    <w:p w:rsidR="005C6EB5" w:rsidRDefault="005C6EB5" w:rsidP="00A079F7">
      <w:pPr>
        <w:spacing w:before="240"/>
        <w:rPr>
          <w:bCs w:val="0"/>
          <w:szCs w:val="20"/>
          <w:lang w:eastAsia="fr-FR"/>
        </w:rPr>
      </w:pPr>
    </w:p>
    <w:p w:rsidR="005C6EB5" w:rsidRDefault="005C6EB5" w:rsidP="00A079F7">
      <w:pPr>
        <w:spacing w:before="240"/>
        <w:rPr>
          <w:bCs w:val="0"/>
          <w:szCs w:val="20"/>
          <w:lang w:eastAsia="fr-FR"/>
        </w:rPr>
      </w:pPr>
    </w:p>
    <w:p w:rsidR="00A079F7" w:rsidRPr="001F60A5" w:rsidRDefault="00B52BF2" w:rsidP="00A079F7">
      <w:pPr>
        <w:pStyle w:val="Heading2"/>
        <w:numPr>
          <w:ilvl w:val="1"/>
          <w:numId w:val="2"/>
        </w:numPr>
        <w:shd w:val="clear" w:color="auto" w:fill="BFBFBF"/>
        <w:spacing w:before="360" w:after="0"/>
        <w:ind w:hanging="720"/>
        <w:rPr>
          <w:sz w:val="24"/>
          <w:szCs w:val="24"/>
        </w:rPr>
      </w:pPr>
      <w:bookmarkStart w:id="32" w:name="_Toc373673707"/>
      <w:bookmarkStart w:id="33" w:name="_Toc429359780"/>
      <w:bookmarkStart w:id="34" w:name="_Toc451431101"/>
      <w:r>
        <w:rPr>
          <w:sz w:val="24"/>
          <w:szCs w:val="24"/>
        </w:rPr>
        <w:lastRenderedPageBreak/>
        <w:t>Périmètre</w:t>
      </w:r>
      <w:r w:rsidRPr="001F60A5">
        <w:rPr>
          <w:sz w:val="24"/>
          <w:szCs w:val="24"/>
        </w:rPr>
        <w:t xml:space="preserve"> </w:t>
      </w:r>
      <w:r>
        <w:rPr>
          <w:sz w:val="24"/>
          <w:szCs w:val="24"/>
        </w:rPr>
        <w:t>ITIE RDC 2015</w:t>
      </w:r>
      <w:r w:rsidRPr="001F60A5">
        <w:rPr>
          <w:sz w:val="24"/>
          <w:szCs w:val="24"/>
        </w:rPr>
        <w:t xml:space="preserve"> </w:t>
      </w:r>
      <w:r w:rsidR="00A079F7" w:rsidRPr="001F60A5">
        <w:rPr>
          <w:sz w:val="24"/>
          <w:szCs w:val="24"/>
        </w:rPr>
        <w:t>– Flux de paiement</w:t>
      </w:r>
      <w:bookmarkEnd w:id="32"/>
      <w:bookmarkEnd w:id="33"/>
      <w:bookmarkEnd w:id="34"/>
    </w:p>
    <w:p w:rsidR="00A079F7" w:rsidRPr="001F60A5" w:rsidRDefault="00A079F7" w:rsidP="00A079F7">
      <w:pPr>
        <w:spacing w:after="120"/>
        <w:rPr>
          <w:szCs w:val="20"/>
        </w:rPr>
      </w:pPr>
    </w:p>
    <w:p w:rsidR="00A079F7" w:rsidRPr="00D057BE" w:rsidRDefault="00A079F7" w:rsidP="008F5085">
      <w:pPr>
        <w:pStyle w:val="Heading3"/>
        <w:numPr>
          <w:ilvl w:val="0"/>
          <w:numId w:val="0"/>
        </w:numPr>
        <w:tabs>
          <w:tab w:val="left" w:pos="567"/>
        </w:tabs>
        <w:rPr>
          <w:b/>
          <w:i w:val="0"/>
          <w:iCs w:val="0"/>
          <w:color w:val="4F81BD" w:themeColor="accent1"/>
          <w:szCs w:val="20"/>
        </w:rPr>
      </w:pPr>
      <w:r w:rsidRPr="00D057BE">
        <w:rPr>
          <w:b/>
          <w:i w:val="0"/>
          <w:iCs w:val="0"/>
          <w:color w:val="4F81BD" w:themeColor="accent1"/>
          <w:szCs w:val="20"/>
        </w:rPr>
        <w:t>Flux de paiement en numéraires</w:t>
      </w:r>
      <w:r w:rsidRPr="00D057BE">
        <w:rPr>
          <w:rFonts w:cs="Arial"/>
          <w:szCs w:val="20"/>
        </w:rPr>
        <w:t xml:space="preserve"> </w:t>
      </w:r>
    </w:p>
    <w:p w:rsidR="00A079F7" w:rsidRDefault="00A079F7" w:rsidP="00A079F7">
      <w:r w:rsidRPr="00D057BE">
        <w:t>Sur la base de notre examen d</w:t>
      </w:r>
      <w:r w:rsidR="00FA660B">
        <w:t xml:space="preserve">u cadrage, les flux de paiement </w:t>
      </w:r>
      <w:r w:rsidRPr="00D057BE">
        <w:t>à retenir dans le périmètre de conciliation se présentent comme suit:</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left w:w="70" w:type="dxa"/>
          <w:right w:w="70" w:type="dxa"/>
        </w:tblCellMar>
        <w:tblLook w:val="04A0" w:firstRow="1" w:lastRow="0" w:firstColumn="1" w:lastColumn="0" w:noHBand="0" w:noVBand="1"/>
      </w:tblPr>
      <w:tblGrid>
        <w:gridCol w:w="473"/>
        <w:gridCol w:w="7680"/>
        <w:gridCol w:w="353"/>
        <w:gridCol w:w="353"/>
        <w:gridCol w:w="353"/>
      </w:tblGrid>
      <w:tr w:rsidR="00A079F7" w:rsidRPr="00C45D38" w:rsidTr="00E514F4">
        <w:trPr>
          <w:trHeight w:val="1500"/>
          <w:tblHeader/>
        </w:trPr>
        <w:tc>
          <w:tcPr>
            <w:tcW w:w="0" w:type="auto"/>
            <w:tcBorders>
              <w:top w:val="single" w:sz="12" w:space="0" w:color="17365D" w:themeColor="text2" w:themeShade="BF"/>
              <w:bottom w:val="single" w:sz="12" w:space="0" w:color="17365D" w:themeColor="text2" w:themeShade="BF"/>
            </w:tcBorders>
            <w:shd w:val="clear" w:color="000000" w:fill="17365D" w:themeFill="text2" w:themeFillShade="BF"/>
            <w:textDirection w:val="btLr"/>
            <w:vAlign w:val="center"/>
            <w:hideMark/>
          </w:tcPr>
          <w:p w:rsidR="00A079F7" w:rsidRPr="00C45D38" w:rsidRDefault="00A079F7" w:rsidP="00E514F4">
            <w:pPr>
              <w:spacing w:after="0"/>
              <w:jc w:val="center"/>
              <w:rPr>
                <w:b/>
                <w:color w:val="FFFFFF"/>
                <w:sz w:val="18"/>
                <w:szCs w:val="18"/>
                <w:lang w:eastAsia="fr-FR"/>
              </w:rPr>
            </w:pPr>
            <w:r w:rsidRPr="00C45D38">
              <w:rPr>
                <w:b/>
                <w:color w:val="FFFFFF"/>
                <w:sz w:val="18"/>
                <w:szCs w:val="18"/>
                <w:lang w:eastAsia="fr-FR"/>
              </w:rPr>
              <w:t>Percepteurs</w:t>
            </w:r>
          </w:p>
        </w:tc>
        <w:tc>
          <w:tcPr>
            <w:tcW w:w="0" w:type="auto"/>
            <w:tcBorders>
              <w:top w:val="single" w:sz="12" w:space="0" w:color="17365D" w:themeColor="text2" w:themeShade="BF"/>
              <w:bottom w:val="single" w:sz="12" w:space="0" w:color="17365D" w:themeColor="text2" w:themeShade="BF"/>
            </w:tcBorders>
            <w:shd w:val="clear" w:color="000000" w:fill="17365D" w:themeFill="text2" w:themeFillShade="BF"/>
            <w:vAlign w:val="center"/>
            <w:hideMark/>
          </w:tcPr>
          <w:p w:rsidR="00A079F7" w:rsidRPr="00C45D38" w:rsidRDefault="00A079F7" w:rsidP="00E514F4">
            <w:pPr>
              <w:spacing w:after="0"/>
              <w:jc w:val="left"/>
              <w:rPr>
                <w:b/>
                <w:color w:val="FFFFFF"/>
                <w:sz w:val="18"/>
                <w:szCs w:val="18"/>
                <w:lang w:eastAsia="fr-FR"/>
              </w:rPr>
            </w:pPr>
            <w:r w:rsidRPr="00C45D38">
              <w:rPr>
                <w:b/>
                <w:color w:val="FFFFFF"/>
                <w:sz w:val="18"/>
                <w:szCs w:val="18"/>
                <w:lang w:eastAsia="fr-FR"/>
              </w:rPr>
              <w:t>Type de flux financiers</w:t>
            </w:r>
          </w:p>
        </w:tc>
        <w:tc>
          <w:tcPr>
            <w:tcW w:w="0" w:type="auto"/>
            <w:tcBorders>
              <w:top w:val="single" w:sz="12" w:space="0" w:color="17365D" w:themeColor="text2" w:themeShade="BF"/>
              <w:bottom w:val="single" w:sz="12" w:space="0" w:color="17365D" w:themeColor="text2" w:themeShade="BF"/>
            </w:tcBorders>
            <w:shd w:val="clear" w:color="000000" w:fill="17365D" w:themeFill="text2" w:themeFillShade="BF"/>
            <w:textDirection w:val="btLr"/>
            <w:vAlign w:val="center"/>
            <w:hideMark/>
          </w:tcPr>
          <w:p w:rsidR="00A079F7" w:rsidRPr="00C45D38" w:rsidRDefault="00A079F7" w:rsidP="00E514F4">
            <w:pPr>
              <w:spacing w:after="0"/>
              <w:jc w:val="center"/>
              <w:rPr>
                <w:b/>
                <w:color w:val="FFFFFF"/>
                <w:sz w:val="18"/>
                <w:szCs w:val="18"/>
                <w:lang w:eastAsia="fr-FR"/>
              </w:rPr>
            </w:pPr>
            <w:r w:rsidRPr="00C45D38">
              <w:rPr>
                <w:b/>
                <w:color w:val="FFFFFF"/>
                <w:sz w:val="18"/>
                <w:szCs w:val="18"/>
                <w:lang w:eastAsia="fr-FR"/>
              </w:rPr>
              <w:t>Pétroliers</w:t>
            </w:r>
          </w:p>
        </w:tc>
        <w:tc>
          <w:tcPr>
            <w:tcW w:w="0" w:type="auto"/>
            <w:tcBorders>
              <w:top w:val="single" w:sz="12" w:space="0" w:color="17365D" w:themeColor="text2" w:themeShade="BF"/>
              <w:bottom w:val="single" w:sz="12" w:space="0" w:color="17365D" w:themeColor="text2" w:themeShade="BF"/>
            </w:tcBorders>
            <w:shd w:val="clear" w:color="000000" w:fill="17365D" w:themeFill="text2" w:themeFillShade="BF"/>
            <w:textDirection w:val="btLr"/>
            <w:vAlign w:val="center"/>
            <w:hideMark/>
          </w:tcPr>
          <w:p w:rsidR="00A079F7" w:rsidRPr="00C45D38" w:rsidRDefault="00A079F7" w:rsidP="00E514F4">
            <w:pPr>
              <w:spacing w:after="0"/>
              <w:jc w:val="center"/>
              <w:rPr>
                <w:b/>
                <w:color w:val="FFFFFF"/>
                <w:sz w:val="18"/>
                <w:szCs w:val="18"/>
                <w:lang w:eastAsia="fr-FR"/>
              </w:rPr>
            </w:pPr>
            <w:r w:rsidRPr="00C45D38">
              <w:rPr>
                <w:b/>
                <w:color w:val="FFFFFF"/>
                <w:sz w:val="18"/>
                <w:szCs w:val="18"/>
                <w:lang w:eastAsia="fr-FR"/>
              </w:rPr>
              <w:t>Miniers</w:t>
            </w:r>
          </w:p>
        </w:tc>
        <w:tc>
          <w:tcPr>
            <w:tcW w:w="0" w:type="auto"/>
            <w:tcBorders>
              <w:top w:val="single" w:sz="12" w:space="0" w:color="17365D" w:themeColor="text2" w:themeShade="BF"/>
              <w:bottom w:val="single" w:sz="12" w:space="0" w:color="17365D" w:themeColor="text2" w:themeShade="BF"/>
              <w:right w:val="single" w:sz="4" w:space="0" w:color="4F81BD" w:themeColor="accent1"/>
            </w:tcBorders>
            <w:shd w:val="clear" w:color="000000" w:fill="17365D" w:themeFill="text2" w:themeFillShade="BF"/>
            <w:textDirection w:val="btLr"/>
            <w:vAlign w:val="center"/>
            <w:hideMark/>
          </w:tcPr>
          <w:p w:rsidR="00A079F7" w:rsidRPr="00C45D38" w:rsidRDefault="00A079F7" w:rsidP="00E514F4">
            <w:pPr>
              <w:spacing w:after="0"/>
              <w:jc w:val="center"/>
              <w:rPr>
                <w:b/>
                <w:color w:val="FFFFFF"/>
                <w:sz w:val="18"/>
                <w:szCs w:val="18"/>
                <w:lang w:eastAsia="fr-FR"/>
              </w:rPr>
            </w:pPr>
            <w:r w:rsidRPr="00C45D38">
              <w:rPr>
                <w:b/>
                <w:color w:val="FFFFFF"/>
                <w:sz w:val="18"/>
                <w:szCs w:val="18"/>
                <w:lang w:eastAsia="fr-FR"/>
              </w:rPr>
              <w:t>Déclaration(R/U) (i)</w:t>
            </w:r>
          </w:p>
        </w:tc>
      </w:tr>
      <w:tr w:rsidR="00A079F7" w:rsidRPr="005159F3" w:rsidTr="00E514F4">
        <w:trPr>
          <w:trHeight w:val="285"/>
        </w:trPr>
        <w:tc>
          <w:tcPr>
            <w:tcW w:w="0" w:type="auto"/>
            <w:vMerge w:val="restart"/>
            <w:tcBorders>
              <w:top w:val="single" w:sz="12" w:space="0" w:color="17365D" w:themeColor="text2" w:themeShade="BF"/>
            </w:tcBorders>
            <w:shd w:val="clear" w:color="000000" w:fill="FFFFFF"/>
            <w:textDirection w:val="btLr"/>
            <w:vAlign w:val="center"/>
            <w:hideMark/>
          </w:tcPr>
          <w:p w:rsidR="00A079F7" w:rsidRPr="005159F3" w:rsidRDefault="00A079F7" w:rsidP="00E514F4">
            <w:pPr>
              <w:spacing w:before="60" w:after="60"/>
              <w:jc w:val="center"/>
              <w:rPr>
                <w:b/>
                <w:sz w:val="18"/>
                <w:szCs w:val="18"/>
                <w:highlight w:val="yellow"/>
                <w:lang w:eastAsia="fr-FR"/>
              </w:rPr>
            </w:pPr>
            <w:r w:rsidRPr="005477B2">
              <w:rPr>
                <w:b/>
                <w:sz w:val="18"/>
                <w:szCs w:val="18"/>
                <w:lang w:eastAsia="fr-FR"/>
              </w:rPr>
              <w:t>DGI</w:t>
            </w:r>
          </w:p>
        </w:tc>
        <w:tc>
          <w:tcPr>
            <w:tcW w:w="0" w:type="auto"/>
            <w:tcBorders>
              <w:top w:val="single" w:sz="12" w:space="0" w:color="17365D" w:themeColor="text2" w:themeShade="BF"/>
            </w:tcBorders>
            <w:shd w:val="clear" w:color="000000" w:fill="B8CCE4"/>
            <w:vAlign w:val="center"/>
            <w:hideMark/>
          </w:tcPr>
          <w:p w:rsidR="00A079F7" w:rsidRPr="00A60652" w:rsidRDefault="00A079F7" w:rsidP="00E514F4">
            <w:pPr>
              <w:spacing w:before="60" w:after="60"/>
              <w:jc w:val="left"/>
              <w:rPr>
                <w:bCs w:val="0"/>
                <w:color w:val="000000"/>
                <w:sz w:val="18"/>
                <w:szCs w:val="18"/>
                <w:lang w:eastAsia="fr-FR"/>
              </w:rPr>
            </w:pPr>
            <w:r w:rsidRPr="00A60652">
              <w:rPr>
                <w:bCs w:val="0"/>
                <w:color w:val="000000"/>
                <w:sz w:val="18"/>
                <w:szCs w:val="18"/>
                <w:lang w:eastAsia="fr-FR"/>
              </w:rPr>
              <w:t>Av</w:t>
            </w:r>
            <w:r>
              <w:rPr>
                <w:bCs w:val="0"/>
                <w:color w:val="000000"/>
                <w:sz w:val="18"/>
                <w:szCs w:val="18"/>
                <w:lang w:eastAsia="fr-FR"/>
              </w:rPr>
              <w:t xml:space="preserve">is de Mise en Recouvrement (AMR </w:t>
            </w:r>
            <w:r w:rsidRPr="00A60652">
              <w:rPr>
                <w:bCs w:val="0"/>
                <w:color w:val="000000"/>
                <w:sz w:val="18"/>
                <w:szCs w:val="18"/>
                <w:lang w:eastAsia="fr-FR"/>
              </w:rPr>
              <w:t>A)</w:t>
            </w:r>
          </w:p>
        </w:tc>
        <w:tc>
          <w:tcPr>
            <w:tcW w:w="0" w:type="auto"/>
            <w:tcBorders>
              <w:top w:val="single" w:sz="12" w:space="0" w:color="17365D" w:themeColor="text2" w:themeShade="BF"/>
            </w:tcBorders>
            <w:shd w:val="clear" w:color="000000" w:fill="B8CCE4"/>
            <w:noWrap/>
            <w:vAlign w:val="center"/>
            <w:hideMark/>
          </w:tcPr>
          <w:p w:rsidR="00A079F7" w:rsidRPr="00A60652" w:rsidRDefault="00A079F7" w:rsidP="00E514F4">
            <w:pPr>
              <w:spacing w:before="60" w:after="60"/>
              <w:jc w:val="center"/>
              <w:rPr>
                <w:rFonts w:ascii="Wingdings" w:hAnsi="Wingdings" w:cs="Times New Roman"/>
                <w:bCs w:val="0"/>
                <w:color w:val="000000"/>
                <w:sz w:val="22"/>
                <w:lang w:eastAsia="fr-FR"/>
              </w:rPr>
            </w:pPr>
            <w:r w:rsidRPr="00A60652">
              <w:rPr>
                <w:rFonts w:ascii="Wingdings" w:hAnsi="Wingdings" w:cs="Times New Roman"/>
                <w:bCs w:val="0"/>
                <w:color w:val="000000"/>
                <w:sz w:val="22"/>
                <w:lang w:eastAsia="fr-FR"/>
              </w:rPr>
              <w:t></w:t>
            </w:r>
          </w:p>
        </w:tc>
        <w:tc>
          <w:tcPr>
            <w:tcW w:w="0" w:type="auto"/>
            <w:tcBorders>
              <w:top w:val="single" w:sz="12" w:space="0" w:color="17365D" w:themeColor="text2" w:themeShade="BF"/>
            </w:tcBorders>
            <w:shd w:val="clear" w:color="000000" w:fill="B8CCE4"/>
            <w:noWrap/>
            <w:vAlign w:val="center"/>
            <w:hideMark/>
          </w:tcPr>
          <w:p w:rsidR="00A079F7" w:rsidRPr="00A60652" w:rsidRDefault="00A079F7" w:rsidP="00E514F4">
            <w:pPr>
              <w:spacing w:before="60" w:after="60"/>
              <w:jc w:val="center"/>
              <w:rPr>
                <w:rFonts w:ascii="Wingdings" w:hAnsi="Wingdings" w:cs="Times New Roman"/>
                <w:bCs w:val="0"/>
                <w:color w:val="000000"/>
                <w:sz w:val="22"/>
                <w:lang w:eastAsia="fr-FR"/>
              </w:rPr>
            </w:pPr>
            <w:r w:rsidRPr="00A60652">
              <w:rPr>
                <w:rFonts w:ascii="Wingdings" w:hAnsi="Wingdings" w:cs="Times New Roman"/>
                <w:bCs w:val="0"/>
                <w:color w:val="000000"/>
                <w:sz w:val="22"/>
                <w:lang w:eastAsia="fr-FR"/>
              </w:rPr>
              <w:t></w:t>
            </w:r>
          </w:p>
        </w:tc>
        <w:tc>
          <w:tcPr>
            <w:tcW w:w="0" w:type="auto"/>
            <w:tcBorders>
              <w:top w:val="single" w:sz="12" w:space="0" w:color="17365D" w:themeColor="text2" w:themeShade="BF"/>
              <w:right w:val="single" w:sz="4" w:space="0" w:color="4F81BD" w:themeColor="accent1"/>
            </w:tcBorders>
            <w:shd w:val="clear" w:color="000000" w:fill="B8CCE4"/>
            <w:vAlign w:val="center"/>
            <w:hideMark/>
          </w:tcPr>
          <w:p w:rsidR="00A079F7" w:rsidRPr="00A60652" w:rsidRDefault="00A079F7" w:rsidP="00E514F4">
            <w:pPr>
              <w:spacing w:before="60" w:after="60"/>
              <w:jc w:val="center"/>
              <w:rPr>
                <w:bCs w:val="0"/>
                <w:color w:val="000000"/>
                <w:sz w:val="18"/>
                <w:szCs w:val="18"/>
                <w:lang w:eastAsia="fr-FR"/>
              </w:rPr>
            </w:pPr>
            <w:r w:rsidRPr="00A60652">
              <w:rPr>
                <w:bCs w:val="0"/>
                <w:color w:val="000000"/>
                <w:sz w:val="18"/>
                <w:szCs w:val="18"/>
                <w:lang w:eastAsia="fr-FR"/>
              </w:rPr>
              <w:t>R</w:t>
            </w:r>
          </w:p>
        </w:tc>
      </w:tr>
      <w:tr w:rsidR="00A079F7" w:rsidRPr="005159F3" w:rsidTr="00E514F4">
        <w:trPr>
          <w:trHeight w:val="285"/>
        </w:trPr>
        <w:tc>
          <w:tcPr>
            <w:tcW w:w="0" w:type="auto"/>
            <w:vMerge/>
            <w:vAlign w:val="center"/>
            <w:hideMark/>
          </w:tcPr>
          <w:p w:rsidR="00A079F7" w:rsidRPr="005159F3" w:rsidRDefault="00A079F7" w:rsidP="00E514F4">
            <w:pPr>
              <w:spacing w:before="60" w:after="60"/>
              <w:jc w:val="left"/>
              <w:rPr>
                <w:b/>
                <w:sz w:val="18"/>
                <w:szCs w:val="18"/>
                <w:highlight w:val="yellow"/>
                <w:lang w:eastAsia="fr-FR"/>
              </w:rPr>
            </w:pPr>
          </w:p>
        </w:tc>
        <w:tc>
          <w:tcPr>
            <w:tcW w:w="0" w:type="auto"/>
            <w:shd w:val="clear" w:color="000000" w:fill="FFFFFF"/>
            <w:vAlign w:val="center"/>
            <w:hideMark/>
          </w:tcPr>
          <w:p w:rsidR="00A079F7" w:rsidRPr="00A60652" w:rsidRDefault="00A079F7" w:rsidP="00E514F4">
            <w:pPr>
              <w:spacing w:before="60" w:after="60"/>
              <w:jc w:val="left"/>
              <w:rPr>
                <w:bCs w:val="0"/>
                <w:color w:val="000000"/>
                <w:sz w:val="18"/>
                <w:szCs w:val="18"/>
                <w:lang w:eastAsia="fr-FR"/>
              </w:rPr>
            </w:pPr>
            <w:r w:rsidRPr="00A60652">
              <w:rPr>
                <w:bCs w:val="0"/>
                <w:color w:val="000000"/>
                <w:sz w:val="18"/>
                <w:szCs w:val="18"/>
                <w:lang w:eastAsia="fr-FR"/>
              </w:rPr>
              <w:t>Av</w:t>
            </w:r>
            <w:r>
              <w:rPr>
                <w:bCs w:val="0"/>
                <w:color w:val="000000"/>
                <w:sz w:val="18"/>
                <w:szCs w:val="18"/>
                <w:lang w:eastAsia="fr-FR"/>
              </w:rPr>
              <w:t xml:space="preserve">is de Mise en Recouvrement (AMR </w:t>
            </w:r>
            <w:r w:rsidRPr="00A60652">
              <w:rPr>
                <w:bCs w:val="0"/>
                <w:color w:val="000000"/>
                <w:sz w:val="18"/>
                <w:szCs w:val="18"/>
                <w:lang w:eastAsia="fr-FR"/>
              </w:rPr>
              <w:t>B)</w:t>
            </w:r>
          </w:p>
        </w:tc>
        <w:tc>
          <w:tcPr>
            <w:tcW w:w="0" w:type="auto"/>
            <w:shd w:val="clear" w:color="auto" w:fill="auto"/>
            <w:noWrap/>
            <w:vAlign w:val="center"/>
            <w:hideMark/>
          </w:tcPr>
          <w:p w:rsidR="00A079F7" w:rsidRPr="00A60652" w:rsidRDefault="00A079F7" w:rsidP="00E514F4">
            <w:pPr>
              <w:spacing w:before="60" w:after="60"/>
              <w:jc w:val="center"/>
              <w:rPr>
                <w:rFonts w:ascii="Wingdings" w:hAnsi="Wingdings" w:cs="Times New Roman"/>
                <w:bCs w:val="0"/>
                <w:color w:val="000000"/>
                <w:sz w:val="22"/>
                <w:lang w:eastAsia="fr-FR"/>
              </w:rPr>
            </w:pPr>
            <w:r w:rsidRPr="00A60652">
              <w:rPr>
                <w:rFonts w:ascii="Wingdings" w:hAnsi="Wingdings" w:cs="Times New Roman"/>
                <w:bCs w:val="0"/>
                <w:color w:val="000000"/>
                <w:sz w:val="22"/>
                <w:lang w:eastAsia="fr-FR"/>
              </w:rPr>
              <w:t></w:t>
            </w:r>
          </w:p>
        </w:tc>
        <w:tc>
          <w:tcPr>
            <w:tcW w:w="0" w:type="auto"/>
            <w:shd w:val="clear" w:color="auto" w:fill="auto"/>
            <w:noWrap/>
            <w:vAlign w:val="center"/>
            <w:hideMark/>
          </w:tcPr>
          <w:p w:rsidR="00A079F7" w:rsidRPr="00A60652" w:rsidRDefault="00A079F7" w:rsidP="00E514F4">
            <w:pPr>
              <w:spacing w:before="60" w:after="60"/>
              <w:jc w:val="center"/>
              <w:rPr>
                <w:rFonts w:ascii="Wingdings" w:hAnsi="Wingdings" w:cs="Times New Roman"/>
                <w:bCs w:val="0"/>
                <w:color w:val="000000"/>
                <w:sz w:val="22"/>
                <w:lang w:eastAsia="fr-FR"/>
              </w:rPr>
            </w:pPr>
            <w:r w:rsidRPr="00A60652">
              <w:rPr>
                <w:rFonts w:ascii="Wingdings" w:hAnsi="Wingdings" w:cs="Times New Roman"/>
                <w:bCs w:val="0"/>
                <w:color w:val="000000"/>
                <w:sz w:val="22"/>
                <w:lang w:eastAsia="fr-FR"/>
              </w:rPr>
              <w:t></w:t>
            </w:r>
          </w:p>
        </w:tc>
        <w:tc>
          <w:tcPr>
            <w:tcW w:w="0" w:type="auto"/>
            <w:tcBorders>
              <w:right w:val="single" w:sz="4" w:space="0" w:color="4F81BD" w:themeColor="accent1"/>
            </w:tcBorders>
            <w:shd w:val="clear" w:color="000000" w:fill="FFFFFF"/>
            <w:vAlign w:val="center"/>
            <w:hideMark/>
          </w:tcPr>
          <w:p w:rsidR="00A079F7" w:rsidRPr="00A60652" w:rsidRDefault="00A079F7" w:rsidP="00E514F4">
            <w:pPr>
              <w:spacing w:before="60" w:after="60"/>
              <w:jc w:val="center"/>
              <w:rPr>
                <w:bCs w:val="0"/>
                <w:color w:val="000000"/>
                <w:sz w:val="18"/>
                <w:szCs w:val="18"/>
                <w:lang w:eastAsia="fr-FR"/>
              </w:rPr>
            </w:pPr>
            <w:r w:rsidRPr="00A60652">
              <w:rPr>
                <w:bCs w:val="0"/>
                <w:color w:val="000000"/>
                <w:sz w:val="18"/>
                <w:szCs w:val="18"/>
                <w:lang w:eastAsia="fr-FR"/>
              </w:rPr>
              <w:t>R</w:t>
            </w:r>
          </w:p>
        </w:tc>
      </w:tr>
      <w:tr w:rsidR="00A079F7" w:rsidRPr="005159F3" w:rsidTr="00E514F4">
        <w:trPr>
          <w:trHeight w:val="285"/>
        </w:trPr>
        <w:tc>
          <w:tcPr>
            <w:tcW w:w="0" w:type="auto"/>
            <w:vMerge/>
            <w:vAlign w:val="center"/>
            <w:hideMark/>
          </w:tcPr>
          <w:p w:rsidR="00A079F7" w:rsidRPr="005159F3" w:rsidRDefault="00A079F7" w:rsidP="00E514F4">
            <w:pPr>
              <w:spacing w:before="60" w:after="60"/>
              <w:jc w:val="left"/>
              <w:rPr>
                <w:b/>
                <w:sz w:val="18"/>
                <w:szCs w:val="18"/>
                <w:highlight w:val="yellow"/>
                <w:lang w:eastAsia="fr-FR"/>
              </w:rPr>
            </w:pPr>
          </w:p>
        </w:tc>
        <w:tc>
          <w:tcPr>
            <w:tcW w:w="0" w:type="auto"/>
            <w:shd w:val="clear" w:color="000000" w:fill="B8CCE4"/>
            <w:vAlign w:val="center"/>
            <w:hideMark/>
          </w:tcPr>
          <w:p w:rsidR="00A079F7" w:rsidRPr="00A60652" w:rsidRDefault="00A079F7" w:rsidP="00E514F4">
            <w:pPr>
              <w:spacing w:before="60" w:after="60"/>
              <w:jc w:val="left"/>
              <w:rPr>
                <w:bCs w:val="0"/>
                <w:color w:val="000000"/>
                <w:sz w:val="18"/>
                <w:szCs w:val="18"/>
                <w:lang w:eastAsia="fr-FR"/>
              </w:rPr>
            </w:pPr>
            <w:r w:rsidRPr="00A60652">
              <w:rPr>
                <w:bCs w:val="0"/>
                <w:color w:val="000000"/>
                <w:sz w:val="18"/>
                <w:szCs w:val="18"/>
                <w:lang w:eastAsia="fr-FR"/>
              </w:rPr>
              <w:t>Impôt sur les bénéfices et profits (IBP)</w:t>
            </w:r>
          </w:p>
        </w:tc>
        <w:tc>
          <w:tcPr>
            <w:tcW w:w="0" w:type="auto"/>
            <w:shd w:val="clear" w:color="000000" w:fill="B8CCE4"/>
            <w:noWrap/>
            <w:vAlign w:val="center"/>
            <w:hideMark/>
          </w:tcPr>
          <w:p w:rsidR="00A079F7" w:rsidRPr="00A60652" w:rsidRDefault="00A079F7" w:rsidP="00E514F4">
            <w:pPr>
              <w:spacing w:before="60" w:after="60"/>
              <w:jc w:val="center"/>
              <w:rPr>
                <w:rFonts w:ascii="Wingdings" w:hAnsi="Wingdings" w:cs="Times New Roman"/>
                <w:bCs w:val="0"/>
                <w:color w:val="000000"/>
                <w:sz w:val="22"/>
                <w:lang w:eastAsia="fr-FR"/>
              </w:rPr>
            </w:pPr>
            <w:r w:rsidRPr="00A60652">
              <w:rPr>
                <w:rFonts w:ascii="Wingdings" w:hAnsi="Wingdings" w:cs="Times New Roman"/>
                <w:bCs w:val="0"/>
                <w:color w:val="000000"/>
                <w:sz w:val="22"/>
                <w:lang w:eastAsia="fr-FR"/>
              </w:rPr>
              <w:t></w:t>
            </w:r>
          </w:p>
        </w:tc>
        <w:tc>
          <w:tcPr>
            <w:tcW w:w="0" w:type="auto"/>
            <w:shd w:val="clear" w:color="000000" w:fill="B8CCE4"/>
            <w:noWrap/>
            <w:vAlign w:val="center"/>
            <w:hideMark/>
          </w:tcPr>
          <w:p w:rsidR="00A079F7" w:rsidRPr="00A60652" w:rsidRDefault="00A079F7" w:rsidP="00E514F4">
            <w:pPr>
              <w:spacing w:before="60" w:after="60"/>
              <w:jc w:val="center"/>
              <w:rPr>
                <w:rFonts w:ascii="Wingdings" w:hAnsi="Wingdings" w:cs="Times New Roman"/>
                <w:bCs w:val="0"/>
                <w:color w:val="000000"/>
                <w:sz w:val="22"/>
                <w:lang w:eastAsia="fr-FR"/>
              </w:rPr>
            </w:pPr>
            <w:r w:rsidRPr="00A60652">
              <w:rPr>
                <w:rFonts w:ascii="Wingdings" w:hAnsi="Wingdings" w:cs="Times New Roman"/>
                <w:bCs w:val="0"/>
                <w:color w:val="000000"/>
                <w:sz w:val="22"/>
                <w:lang w:eastAsia="fr-FR"/>
              </w:rPr>
              <w:t></w:t>
            </w:r>
          </w:p>
        </w:tc>
        <w:tc>
          <w:tcPr>
            <w:tcW w:w="0" w:type="auto"/>
            <w:tcBorders>
              <w:right w:val="single" w:sz="4" w:space="0" w:color="4F81BD" w:themeColor="accent1"/>
            </w:tcBorders>
            <w:shd w:val="clear" w:color="000000" w:fill="B8CCE4"/>
            <w:vAlign w:val="center"/>
            <w:hideMark/>
          </w:tcPr>
          <w:p w:rsidR="00A079F7" w:rsidRPr="00A60652" w:rsidRDefault="00A079F7" w:rsidP="00E514F4">
            <w:pPr>
              <w:spacing w:before="60" w:after="60"/>
              <w:jc w:val="center"/>
              <w:rPr>
                <w:bCs w:val="0"/>
                <w:color w:val="000000"/>
                <w:sz w:val="18"/>
                <w:szCs w:val="18"/>
                <w:lang w:eastAsia="fr-FR"/>
              </w:rPr>
            </w:pPr>
            <w:r w:rsidRPr="00A60652">
              <w:rPr>
                <w:bCs w:val="0"/>
                <w:color w:val="000000"/>
                <w:sz w:val="18"/>
                <w:szCs w:val="18"/>
                <w:lang w:eastAsia="fr-FR"/>
              </w:rPr>
              <w:t>R</w:t>
            </w:r>
          </w:p>
        </w:tc>
      </w:tr>
      <w:tr w:rsidR="00A079F7" w:rsidRPr="005159F3" w:rsidTr="00E514F4">
        <w:trPr>
          <w:trHeight w:val="285"/>
        </w:trPr>
        <w:tc>
          <w:tcPr>
            <w:tcW w:w="0" w:type="auto"/>
            <w:vMerge/>
            <w:vAlign w:val="center"/>
            <w:hideMark/>
          </w:tcPr>
          <w:p w:rsidR="00A079F7" w:rsidRPr="005159F3" w:rsidRDefault="00A079F7" w:rsidP="00E514F4">
            <w:pPr>
              <w:spacing w:before="60" w:after="60"/>
              <w:jc w:val="left"/>
              <w:rPr>
                <w:b/>
                <w:sz w:val="18"/>
                <w:szCs w:val="18"/>
                <w:highlight w:val="yellow"/>
                <w:lang w:eastAsia="fr-FR"/>
              </w:rPr>
            </w:pPr>
          </w:p>
        </w:tc>
        <w:tc>
          <w:tcPr>
            <w:tcW w:w="0" w:type="auto"/>
            <w:shd w:val="clear" w:color="000000" w:fill="FFFFFF"/>
            <w:vAlign w:val="center"/>
            <w:hideMark/>
          </w:tcPr>
          <w:p w:rsidR="00A079F7" w:rsidRPr="00A60652" w:rsidRDefault="00A079F7" w:rsidP="00E514F4">
            <w:pPr>
              <w:spacing w:before="60" w:after="60"/>
              <w:jc w:val="left"/>
              <w:rPr>
                <w:bCs w:val="0"/>
                <w:color w:val="000000"/>
                <w:sz w:val="18"/>
                <w:szCs w:val="18"/>
                <w:lang w:eastAsia="fr-FR"/>
              </w:rPr>
            </w:pPr>
            <w:r w:rsidRPr="00A60652">
              <w:rPr>
                <w:bCs w:val="0"/>
                <w:color w:val="000000"/>
                <w:sz w:val="18"/>
                <w:szCs w:val="18"/>
                <w:lang w:eastAsia="fr-FR"/>
              </w:rPr>
              <w:t>Précompte BIC (PBIC)</w:t>
            </w:r>
          </w:p>
        </w:tc>
        <w:tc>
          <w:tcPr>
            <w:tcW w:w="0" w:type="auto"/>
            <w:shd w:val="clear" w:color="auto" w:fill="auto"/>
            <w:noWrap/>
            <w:vAlign w:val="center"/>
            <w:hideMark/>
          </w:tcPr>
          <w:p w:rsidR="00A079F7" w:rsidRPr="00A60652" w:rsidRDefault="00A079F7" w:rsidP="00E514F4">
            <w:pPr>
              <w:spacing w:before="60" w:after="60"/>
              <w:jc w:val="center"/>
              <w:rPr>
                <w:rFonts w:ascii="Wingdings" w:hAnsi="Wingdings" w:cs="Times New Roman"/>
                <w:bCs w:val="0"/>
                <w:color w:val="000000"/>
                <w:sz w:val="22"/>
                <w:lang w:eastAsia="fr-FR"/>
              </w:rPr>
            </w:pPr>
            <w:r w:rsidRPr="00A60652">
              <w:rPr>
                <w:rFonts w:ascii="Wingdings" w:hAnsi="Wingdings" w:cs="Times New Roman"/>
                <w:bCs w:val="0"/>
                <w:color w:val="000000"/>
                <w:sz w:val="22"/>
                <w:lang w:eastAsia="fr-FR"/>
              </w:rPr>
              <w:t></w:t>
            </w:r>
          </w:p>
        </w:tc>
        <w:tc>
          <w:tcPr>
            <w:tcW w:w="0" w:type="auto"/>
            <w:shd w:val="clear" w:color="auto" w:fill="auto"/>
            <w:noWrap/>
            <w:vAlign w:val="center"/>
            <w:hideMark/>
          </w:tcPr>
          <w:p w:rsidR="00A079F7" w:rsidRPr="00A60652" w:rsidRDefault="00A079F7" w:rsidP="00E514F4">
            <w:pPr>
              <w:spacing w:before="60" w:after="60"/>
              <w:jc w:val="center"/>
              <w:rPr>
                <w:rFonts w:ascii="Wingdings" w:hAnsi="Wingdings" w:cs="Times New Roman"/>
                <w:bCs w:val="0"/>
                <w:color w:val="000000"/>
                <w:sz w:val="22"/>
                <w:lang w:eastAsia="fr-FR"/>
              </w:rPr>
            </w:pPr>
            <w:r w:rsidRPr="00A60652">
              <w:rPr>
                <w:rFonts w:ascii="Wingdings" w:hAnsi="Wingdings" w:cs="Times New Roman"/>
                <w:bCs w:val="0"/>
                <w:color w:val="000000"/>
                <w:sz w:val="22"/>
                <w:lang w:eastAsia="fr-FR"/>
              </w:rPr>
              <w:t></w:t>
            </w:r>
          </w:p>
        </w:tc>
        <w:tc>
          <w:tcPr>
            <w:tcW w:w="0" w:type="auto"/>
            <w:tcBorders>
              <w:right w:val="single" w:sz="4" w:space="0" w:color="4F81BD" w:themeColor="accent1"/>
            </w:tcBorders>
            <w:shd w:val="clear" w:color="000000" w:fill="FFFFFF"/>
            <w:vAlign w:val="center"/>
            <w:hideMark/>
          </w:tcPr>
          <w:p w:rsidR="00A079F7" w:rsidRPr="00A60652" w:rsidRDefault="00A079F7" w:rsidP="00E514F4">
            <w:pPr>
              <w:spacing w:before="60" w:after="60"/>
              <w:jc w:val="center"/>
              <w:rPr>
                <w:bCs w:val="0"/>
                <w:color w:val="000000"/>
                <w:sz w:val="18"/>
                <w:szCs w:val="18"/>
                <w:lang w:eastAsia="fr-FR"/>
              </w:rPr>
            </w:pPr>
            <w:r w:rsidRPr="00A60652">
              <w:rPr>
                <w:bCs w:val="0"/>
                <w:color w:val="000000"/>
                <w:sz w:val="18"/>
                <w:szCs w:val="18"/>
                <w:lang w:eastAsia="fr-FR"/>
              </w:rPr>
              <w:t>R</w:t>
            </w:r>
          </w:p>
        </w:tc>
      </w:tr>
      <w:tr w:rsidR="00A079F7" w:rsidRPr="005159F3" w:rsidTr="00E514F4">
        <w:trPr>
          <w:trHeight w:val="285"/>
        </w:trPr>
        <w:tc>
          <w:tcPr>
            <w:tcW w:w="0" w:type="auto"/>
            <w:vMerge/>
            <w:vAlign w:val="center"/>
            <w:hideMark/>
          </w:tcPr>
          <w:p w:rsidR="00A079F7" w:rsidRPr="005159F3" w:rsidRDefault="00A079F7" w:rsidP="00E514F4">
            <w:pPr>
              <w:spacing w:before="60" w:after="60"/>
              <w:jc w:val="left"/>
              <w:rPr>
                <w:b/>
                <w:sz w:val="18"/>
                <w:szCs w:val="18"/>
                <w:highlight w:val="yellow"/>
                <w:lang w:eastAsia="fr-FR"/>
              </w:rPr>
            </w:pPr>
          </w:p>
        </w:tc>
        <w:tc>
          <w:tcPr>
            <w:tcW w:w="0" w:type="auto"/>
            <w:shd w:val="clear" w:color="000000" w:fill="B8CCE4"/>
            <w:vAlign w:val="center"/>
            <w:hideMark/>
          </w:tcPr>
          <w:p w:rsidR="00A079F7" w:rsidRPr="00A60652" w:rsidRDefault="00A079F7" w:rsidP="00E514F4">
            <w:pPr>
              <w:spacing w:before="60" w:after="60"/>
              <w:jc w:val="left"/>
              <w:rPr>
                <w:bCs w:val="0"/>
                <w:color w:val="000000"/>
                <w:sz w:val="18"/>
                <w:szCs w:val="18"/>
                <w:lang w:eastAsia="fr-FR"/>
              </w:rPr>
            </w:pPr>
            <w:r w:rsidRPr="00A60652">
              <w:rPr>
                <w:bCs w:val="0"/>
                <w:color w:val="000000"/>
                <w:sz w:val="18"/>
                <w:szCs w:val="18"/>
                <w:lang w:eastAsia="fr-FR"/>
              </w:rPr>
              <w:t>Impôt spécial forfaitaire (ISF)</w:t>
            </w:r>
          </w:p>
        </w:tc>
        <w:tc>
          <w:tcPr>
            <w:tcW w:w="0" w:type="auto"/>
            <w:shd w:val="clear" w:color="000000" w:fill="B8CCE4"/>
            <w:noWrap/>
            <w:vAlign w:val="center"/>
            <w:hideMark/>
          </w:tcPr>
          <w:p w:rsidR="00A079F7" w:rsidRPr="00A60652" w:rsidRDefault="00A079F7" w:rsidP="00E514F4">
            <w:pPr>
              <w:spacing w:before="60" w:after="60"/>
              <w:jc w:val="center"/>
              <w:rPr>
                <w:rFonts w:ascii="Wingdings" w:hAnsi="Wingdings" w:cs="Times New Roman"/>
                <w:bCs w:val="0"/>
                <w:color w:val="000000"/>
                <w:sz w:val="22"/>
                <w:lang w:eastAsia="fr-FR"/>
              </w:rPr>
            </w:pPr>
            <w:r w:rsidRPr="00A60652">
              <w:rPr>
                <w:rFonts w:ascii="Wingdings" w:hAnsi="Wingdings" w:cs="Times New Roman"/>
                <w:bCs w:val="0"/>
                <w:color w:val="000000"/>
                <w:sz w:val="22"/>
                <w:lang w:eastAsia="fr-FR"/>
              </w:rPr>
              <w:t></w:t>
            </w:r>
          </w:p>
        </w:tc>
        <w:tc>
          <w:tcPr>
            <w:tcW w:w="0" w:type="auto"/>
            <w:shd w:val="clear" w:color="000000" w:fill="B8CCE4"/>
            <w:vAlign w:val="bottom"/>
          </w:tcPr>
          <w:p w:rsidR="00A079F7" w:rsidRPr="00A60652" w:rsidRDefault="00A079F7" w:rsidP="00E514F4">
            <w:pPr>
              <w:spacing w:before="60" w:after="60"/>
              <w:jc w:val="center"/>
              <w:rPr>
                <w:rFonts w:ascii="Wingdings" w:hAnsi="Wingdings" w:cs="Times New Roman"/>
                <w:bCs w:val="0"/>
                <w:color w:val="000000"/>
                <w:sz w:val="22"/>
                <w:lang w:eastAsia="fr-FR"/>
              </w:rPr>
            </w:pPr>
          </w:p>
        </w:tc>
        <w:tc>
          <w:tcPr>
            <w:tcW w:w="0" w:type="auto"/>
            <w:tcBorders>
              <w:right w:val="single" w:sz="4" w:space="0" w:color="4F81BD" w:themeColor="accent1"/>
            </w:tcBorders>
            <w:shd w:val="clear" w:color="000000" w:fill="B8CCE4"/>
            <w:vAlign w:val="center"/>
            <w:hideMark/>
          </w:tcPr>
          <w:p w:rsidR="00A079F7" w:rsidRPr="00A60652" w:rsidRDefault="00A079F7" w:rsidP="00E514F4">
            <w:pPr>
              <w:spacing w:before="60" w:after="60"/>
              <w:jc w:val="center"/>
              <w:rPr>
                <w:bCs w:val="0"/>
                <w:color w:val="000000"/>
                <w:sz w:val="18"/>
                <w:szCs w:val="18"/>
                <w:lang w:eastAsia="fr-FR"/>
              </w:rPr>
            </w:pPr>
            <w:r w:rsidRPr="00A60652">
              <w:rPr>
                <w:bCs w:val="0"/>
                <w:color w:val="000000"/>
                <w:sz w:val="18"/>
                <w:szCs w:val="18"/>
                <w:lang w:eastAsia="fr-FR"/>
              </w:rPr>
              <w:t>R</w:t>
            </w:r>
          </w:p>
        </w:tc>
      </w:tr>
      <w:tr w:rsidR="00A079F7" w:rsidRPr="005159F3" w:rsidTr="00E514F4">
        <w:trPr>
          <w:trHeight w:val="314"/>
        </w:trPr>
        <w:tc>
          <w:tcPr>
            <w:tcW w:w="0" w:type="auto"/>
            <w:vMerge/>
            <w:vAlign w:val="center"/>
            <w:hideMark/>
          </w:tcPr>
          <w:p w:rsidR="00A079F7" w:rsidRPr="005159F3" w:rsidRDefault="00A079F7" w:rsidP="00E514F4">
            <w:pPr>
              <w:spacing w:before="60" w:after="60"/>
              <w:jc w:val="left"/>
              <w:rPr>
                <w:b/>
                <w:sz w:val="18"/>
                <w:szCs w:val="18"/>
                <w:highlight w:val="yellow"/>
                <w:lang w:eastAsia="fr-FR"/>
              </w:rPr>
            </w:pPr>
          </w:p>
        </w:tc>
        <w:tc>
          <w:tcPr>
            <w:tcW w:w="0" w:type="auto"/>
            <w:shd w:val="clear" w:color="auto" w:fill="auto"/>
            <w:vAlign w:val="center"/>
            <w:hideMark/>
          </w:tcPr>
          <w:p w:rsidR="00A079F7" w:rsidRDefault="00A079F7" w:rsidP="00E514F4">
            <w:pPr>
              <w:spacing w:before="60" w:after="60"/>
              <w:jc w:val="left"/>
              <w:rPr>
                <w:bCs w:val="0"/>
                <w:color w:val="000000"/>
                <w:sz w:val="18"/>
                <w:szCs w:val="18"/>
                <w:lang w:eastAsia="fr-FR"/>
              </w:rPr>
            </w:pPr>
            <w:r w:rsidRPr="00A60652">
              <w:rPr>
                <w:bCs w:val="0"/>
                <w:color w:val="000000"/>
                <w:sz w:val="18"/>
                <w:szCs w:val="18"/>
                <w:lang w:eastAsia="fr-FR"/>
              </w:rPr>
              <w:t>Impôt Professionnel sur les Rémunérations (IPR)</w:t>
            </w:r>
          </w:p>
          <w:p w:rsidR="00A079F7" w:rsidRPr="00A60652" w:rsidRDefault="00A079F7" w:rsidP="00E514F4">
            <w:pPr>
              <w:spacing w:before="60" w:after="60"/>
              <w:jc w:val="left"/>
              <w:rPr>
                <w:bCs w:val="0"/>
                <w:color w:val="000000"/>
                <w:sz w:val="18"/>
                <w:szCs w:val="18"/>
                <w:lang w:eastAsia="fr-FR"/>
              </w:rPr>
            </w:pPr>
            <w:r w:rsidRPr="00A60652">
              <w:rPr>
                <w:bCs w:val="0"/>
                <w:color w:val="000000"/>
                <w:sz w:val="18"/>
                <w:szCs w:val="18"/>
                <w:lang w:eastAsia="fr-FR"/>
              </w:rPr>
              <w:t>Impôt Exceptionnel sur la Rémunération des Expatriés (IER)</w:t>
            </w:r>
          </w:p>
        </w:tc>
        <w:tc>
          <w:tcPr>
            <w:tcW w:w="0" w:type="auto"/>
            <w:shd w:val="clear" w:color="auto" w:fill="auto"/>
            <w:noWrap/>
            <w:vAlign w:val="center"/>
            <w:hideMark/>
          </w:tcPr>
          <w:p w:rsidR="00A079F7" w:rsidRPr="00A60652" w:rsidRDefault="00A079F7" w:rsidP="00E514F4">
            <w:pPr>
              <w:spacing w:before="60" w:after="60"/>
              <w:jc w:val="center"/>
              <w:rPr>
                <w:rFonts w:ascii="Wingdings" w:hAnsi="Wingdings" w:cs="Times New Roman"/>
                <w:bCs w:val="0"/>
                <w:color w:val="000000"/>
                <w:sz w:val="22"/>
                <w:lang w:eastAsia="fr-FR"/>
              </w:rPr>
            </w:pPr>
            <w:r w:rsidRPr="00A60652">
              <w:rPr>
                <w:rFonts w:ascii="Wingdings" w:hAnsi="Wingdings" w:cs="Times New Roman"/>
                <w:bCs w:val="0"/>
                <w:color w:val="000000"/>
                <w:sz w:val="22"/>
                <w:lang w:eastAsia="fr-FR"/>
              </w:rPr>
              <w:t></w:t>
            </w:r>
          </w:p>
        </w:tc>
        <w:tc>
          <w:tcPr>
            <w:tcW w:w="0" w:type="auto"/>
            <w:shd w:val="clear" w:color="auto" w:fill="auto"/>
            <w:noWrap/>
            <w:vAlign w:val="center"/>
            <w:hideMark/>
          </w:tcPr>
          <w:p w:rsidR="00A079F7" w:rsidRPr="00A60652" w:rsidRDefault="00A079F7" w:rsidP="00E514F4">
            <w:pPr>
              <w:spacing w:before="60" w:after="60"/>
              <w:jc w:val="center"/>
              <w:rPr>
                <w:rFonts w:ascii="Wingdings" w:hAnsi="Wingdings" w:cs="Times New Roman"/>
                <w:bCs w:val="0"/>
                <w:color w:val="000000"/>
                <w:sz w:val="22"/>
                <w:lang w:eastAsia="fr-FR"/>
              </w:rPr>
            </w:pPr>
            <w:r w:rsidRPr="00A60652">
              <w:rPr>
                <w:rFonts w:ascii="Wingdings" w:hAnsi="Wingdings" w:cs="Times New Roman"/>
                <w:bCs w:val="0"/>
                <w:color w:val="000000"/>
                <w:sz w:val="22"/>
                <w:lang w:eastAsia="fr-FR"/>
              </w:rPr>
              <w:t></w:t>
            </w:r>
          </w:p>
        </w:tc>
        <w:tc>
          <w:tcPr>
            <w:tcW w:w="0" w:type="auto"/>
            <w:tcBorders>
              <w:right w:val="single" w:sz="4" w:space="0" w:color="4F81BD" w:themeColor="accent1"/>
            </w:tcBorders>
            <w:shd w:val="clear" w:color="auto" w:fill="auto"/>
            <w:vAlign w:val="center"/>
            <w:hideMark/>
          </w:tcPr>
          <w:p w:rsidR="00A079F7" w:rsidRPr="00A60652" w:rsidRDefault="00A079F7" w:rsidP="00E514F4">
            <w:pPr>
              <w:spacing w:before="60" w:after="60"/>
              <w:jc w:val="center"/>
              <w:rPr>
                <w:bCs w:val="0"/>
                <w:color w:val="000000"/>
                <w:sz w:val="18"/>
                <w:szCs w:val="18"/>
                <w:lang w:eastAsia="fr-FR"/>
              </w:rPr>
            </w:pPr>
            <w:r w:rsidRPr="00A60652">
              <w:rPr>
                <w:bCs w:val="0"/>
                <w:color w:val="000000"/>
                <w:sz w:val="18"/>
                <w:szCs w:val="18"/>
                <w:lang w:eastAsia="fr-FR"/>
              </w:rPr>
              <w:t>R</w:t>
            </w:r>
          </w:p>
        </w:tc>
      </w:tr>
      <w:tr w:rsidR="00A079F7" w:rsidRPr="005159F3" w:rsidTr="00E514F4">
        <w:trPr>
          <w:trHeight w:val="263"/>
        </w:trPr>
        <w:tc>
          <w:tcPr>
            <w:tcW w:w="0" w:type="auto"/>
            <w:vMerge/>
            <w:vAlign w:val="center"/>
            <w:hideMark/>
          </w:tcPr>
          <w:p w:rsidR="00A079F7" w:rsidRPr="005159F3" w:rsidRDefault="00A079F7" w:rsidP="00E514F4">
            <w:pPr>
              <w:spacing w:before="60" w:after="60"/>
              <w:jc w:val="left"/>
              <w:rPr>
                <w:b/>
                <w:sz w:val="18"/>
                <w:szCs w:val="18"/>
                <w:highlight w:val="yellow"/>
                <w:lang w:eastAsia="fr-FR"/>
              </w:rPr>
            </w:pPr>
          </w:p>
        </w:tc>
        <w:tc>
          <w:tcPr>
            <w:tcW w:w="0" w:type="auto"/>
            <w:shd w:val="clear" w:color="000000" w:fill="B8CCE4"/>
            <w:vAlign w:val="center"/>
            <w:hideMark/>
          </w:tcPr>
          <w:p w:rsidR="00A079F7" w:rsidRPr="00A60652" w:rsidRDefault="00A079F7" w:rsidP="00E514F4">
            <w:pPr>
              <w:spacing w:before="60" w:after="60"/>
              <w:jc w:val="left"/>
              <w:rPr>
                <w:bCs w:val="0"/>
                <w:color w:val="000000"/>
                <w:sz w:val="18"/>
                <w:szCs w:val="18"/>
                <w:lang w:eastAsia="fr-FR"/>
              </w:rPr>
            </w:pPr>
            <w:r w:rsidRPr="00A60652">
              <w:rPr>
                <w:bCs w:val="0"/>
                <w:color w:val="000000"/>
                <w:sz w:val="18"/>
                <w:szCs w:val="18"/>
                <w:lang w:eastAsia="fr-FR"/>
              </w:rPr>
              <w:t>Impôt mobilier (IM)</w:t>
            </w:r>
          </w:p>
        </w:tc>
        <w:tc>
          <w:tcPr>
            <w:tcW w:w="0" w:type="auto"/>
            <w:shd w:val="clear" w:color="000000" w:fill="B8CCE4"/>
            <w:noWrap/>
            <w:vAlign w:val="center"/>
            <w:hideMark/>
          </w:tcPr>
          <w:p w:rsidR="00A079F7" w:rsidRPr="00A60652" w:rsidRDefault="00A079F7" w:rsidP="00E514F4">
            <w:pPr>
              <w:spacing w:before="60" w:after="60"/>
              <w:jc w:val="center"/>
              <w:rPr>
                <w:rFonts w:ascii="Wingdings" w:hAnsi="Wingdings" w:cs="Times New Roman"/>
                <w:bCs w:val="0"/>
                <w:color w:val="000000"/>
                <w:sz w:val="22"/>
                <w:lang w:eastAsia="fr-FR"/>
              </w:rPr>
            </w:pPr>
            <w:r w:rsidRPr="00A60652">
              <w:rPr>
                <w:rFonts w:ascii="Wingdings" w:hAnsi="Wingdings" w:cs="Times New Roman"/>
                <w:bCs w:val="0"/>
                <w:color w:val="000000"/>
                <w:sz w:val="22"/>
                <w:lang w:eastAsia="fr-FR"/>
              </w:rPr>
              <w:t></w:t>
            </w:r>
          </w:p>
        </w:tc>
        <w:tc>
          <w:tcPr>
            <w:tcW w:w="0" w:type="auto"/>
            <w:shd w:val="clear" w:color="000000" w:fill="B8CCE4"/>
            <w:noWrap/>
            <w:vAlign w:val="center"/>
            <w:hideMark/>
          </w:tcPr>
          <w:p w:rsidR="00A079F7" w:rsidRPr="00A60652" w:rsidRDefault="00A079F7" w:rsidP="00E514F4">
            <w:pPr>
              <w:spacing w:before="60" w:after="60"/>
              <w:jc w:val="center"/>
              <w:rPr>
                <w:rFonts w:ascii="Wingdings" w:hAnsi="Wingdings" w:cs="Times New Roman"/>
                <w:bCs w:val="0"/>
                <w:color w:val="000000"/>
                <w:sz w:val="22"/>
                <w:lang w:eastAsia="fr-FR"/>
              </w:rPr>
            </w:pPr>
            <w:r w:rsidRPr="00A60652">
              <w:rPr>
                <w:rFonts w:ascii="Wingdings" w:hAnsi="Wingdings" w:cs="Times New Roman"/>
                <w:bCs w:val="0"/>
                <w:color w:val="000000"/>
                <w:sz w:val="22"/>
                <w:lang w:eastAsia="fr-FR"/>
              </w:rPr>
              <w:t></w:t>
            </w:r>
          </w:p>
        </w:tc>
        <w:tc>
          <w:tcPr>
            <w:tcW w:w="0" w:type="auto"/>
            <w:tcBorders>
              <w:right w:val="single" w:sz="4" w:space="0" w:color="4F81BD" w:themeColor="accent1"/>
            </w:tcBorders>
            <w:shd w:val="clear" w:color="000000" w:fill="B8CCE4"/>
            <w:vAlign w:val="center"/>
            <w:hideMark/>
          </w:tcPr>
          <w:p w:rsidR="00A079F7" w:rsidRPr="00A60652" w:rsidRDefault="00A079F7" w:rsidP="00E514F4">
            <w:pPr>
              <w:spacing w:before="60" w:after="60"/>
              <w:jc w:val="center"/>
              <w:rPr>
                <w:bCs w:val="0"/>
                <w:color w:val="000000"/>
                <w:sz w:val="18"/>
                <w:szCs w:val="18"/>
                <w:lang w:eastAsia="fr-FR"/>
              </w:rPr>
            </w:pPr>
            <w:r w:rsidRPr="00A60652">
              <w:rPr>
                <w:bCs w:val="0"/>
                <w:color w:val="000000"/>
                <w:sz w:val="18"/>
                <w:szCs w:val="18"/>
                <w:lang w:eastAsia="fr-FR"/>
              </w:rPr>
              <w:t>R</w:t>
            </w:r>
          </w:p>
        </w:tc>
      </w:tr>
      <w:tr w:rsidR="00A079F7" w:rsidRPr="005159F3" w:rsidTr="00E514F4">
        <w:trPr>
          <w:trHeight w:val="285"/>
        </w:trPr>
        <w:tc>
          <w:tcPr>
            <w:tcW w:w="0" w:type="auto"/>
            <w:vMerge/>
            <w:vAlign w:val="center"/>
            <w:hideMark/>
          </w:tcPr>
          <w:p w:rsidR="00A079F7" w:rsidRPr="005159F3" w:rsidRDefault="00A079F7" w:rsidP="00E514F4">
            <w:pPr>
              <w:spacing w:before="60" w:after="60"/>
              <w:jc w:val="left"/>
              <w:rPr>
                <w:b/>
                <w:sz w:val="18"/>
                <w:szCs w:val="18"/>
                <w:highlight w:val="yellow"/>
                <w:lang w:eastAsia="fr-FR"/>
              </w:rPr>
            </w:pPr>
          </w:p>
        </w:tc>
        <w:tc>
          <w:tcPr>
            <w:tcW w:w="0" w:type="auto"/>
            <w:shd w:val="clear" w:color="auto" w:fill="auto"/>
            <w:vAlign w:val="center"/>
            <w:hideMark/>
          </w:tcPr>
          <w:p w:rsidR="00A079F7" w:rsidRPr="004840E2" w:rsidRDefault="00A079F7" w:rsidP="00E514F4">
            <w:pPr>
              <w:spacing w:before="60" w:after="60"/>
              <w:jc w:val="left"/>
              <w:rPr>
                <w:bCs w:val="0"/>
                <w:sz w:val="18"/>
                <w:szCs w:val="18"/>
                <w:lang w:eastAsia="fr-FR"/>
              </w:rPr>
            </w:pPr>
            <w:r w:rsidRPr="004840E2">
              <w:rPr>
                <w:bCs w:val="0"/>
                <w:sz w:val="18"/>
                <w:szCs w:val="18"/>
                <w:lang w:eastAsia="fr-FR"/>
              </w:rPr>
              <w:t>Impôt sur le Chiffre d’affaires à l’intérieur (ICAI)</w:t>
            </w:r>
          </w:p>
        </w:tc>
        <w:tc>
          <w:tcPr>
            <w:tcW w:w="0" w:type="auto"/>
            <w:shd w:val="clear" w:color="auto" w:fill="auto"/>
            <w:noWrap/>
            <w:vAlign w:val="center"/>
            <w:hideMark/>
          </w:tcPr>
          <w:p w:rsidR="00A079F7" w:rsidRPr="00A60652" w:rsidRDefault="00A079F7" w:rsidP="00E514F4">
            <w:pPr>
              <w:spacing w:before="60" w:after="60"/>
              <w:jc w:val="center"/>
              <w:rPr>
                <w:rFonts w:ascii="Wingdings" w:hAnsi="Wingdings" w:cs="Times New Roman"/>
                <w:bCs w:val="0"/>
                <w:color w:val="000000"/>
                <w:sz w:val="22"/>
                <w:lang w:eastAsia="fr-FR"/>
              </w:rPr>
            </w:pPr>
            <w:r w:rsidRPr="00A60652">
              <w:rPr>
                <w:rFonts w:ascii="Wingdings" w:hAnsi="Wingdings" w:cs="Times New Roman"/>
                <w:bCs w:val="0"/>
                <w:color w:val="000000"/>
                <w:sz w:val="22"/>
                <w:lang w:eastAsia="fr-FR"/>
              </w:rPr>
              <w:t></w:t>
            </w:r>
          </w:p>
        </w:tc>
        <w:tc>
          <w:tcPr>
            <w:tcW w:w="0" w:type="auto"/>
            <w:shd w:val="clear" w:color="auto" w:fill="auto"/>
            <w:noWrap/>
            <w:vAlign w:val="center"/>
            <w:hideMark/>
          </w:tcPr>
          <w:p w:rsidR="00A079F7" w:rsidRPr="00A60652" w:rsidRDefault="00A079F7" w:rsidP="00E514F4">
            <w:pPr>
              <w:spacing w:before="60" w:after="60"/>
              <w:jc w:val="center"/>
              <w:rPr>
                <w:rFonts w:ascii="Wingdings" w:hAnsi="Wingdings" w:cs="Times New Roman"/>
                <w:bCs w:val="0"/>
                <w:color w:val="000000"/>
                <w:sz w:val="22"/>
                <w:lang w:eastAsia="fr-FR"/>
              </w:rPr>
            </w:pPr>
            <w:r w:rsidRPr="00A60652">
              <w:rPr>
                <w:rFonts w:ascii="Wingdings" w:hAnsi="Wingdings" w:cs="Times New Roman"/>
                <w:bCs w:val="0"/>
                <w:color w:val="000000"/>
                <w:sz w:val="22"/>
                <w:lang w:eastAsia="fr-FR"/>
              </w:rPr>
              <w:t></w:t>
            </w:r>
          </w:p>
        </w:tc>
        <w:tc>
          <w:tcPr>
            <w:tcW w:w="0" w:type="auto"/>
            <w:tcBorders>
              <w:right w:val="single" w:sz="4" w:space="0" w:color="4F81BD" w:themeColor="accent1"/>
            </w:tcBorders>
            <w:shd w:val="clear" w:color="auto" w:fill="auto"/>
            <w:vAlign w:val="center"/>
            <w:hideMark/>
          </w:tcPr>
          <w:p w:rsidR="00A079F7" w:rsidRPr="00A60652" w:rsidRDefault="00A079F7" w:rsidP="00E514F4">
            <w:pPr>
              <w:spacing w:before="60" w:after="60"/>
              <w:jc w:val="center"/>
              <w:rPr>
                <w:bCs w:val="0"/>
                <w:color w:val="000000"/>
                <w:sz w:val="18"/>
                <w:szCs w:val="18"/>
                <w:lang w:eastAsia="fr-FR"/>
              </w:rPr>
            </w:pPr>
            <w:r w:rsidRPr="00A60652">
              <w:rPr>
                <w:bCs w:val="0"/>
                <w:color w:val="000000"/>
                <w:sz w:val="18"/>
                <w:szCs w:val="18"/>
                <w:lang w:eastAsia="fr-FR"/>
              </w:rPr>
              <w:t>R</w:t>
            </w:r>
          </w:p>
        </w:tc>
      </w:tr>
      <w:tr w:rsidR="00A079F7" w:rsidRPr="005159F3" w:rsidTr="00E514F4">
        <w:trPr>
          <w:trHeight w:val="285"/>
        </w:trPr>
        <w:tc>
          <w:tcPr>
            <w:tcW w:w="0" w:type="auto"/>
            <w:vMerge/>
            <w:vAlign w:val="center"/>
            <w:hideMark/>
          </w:tcPr>
          <w:p w:rsidR="00A079F7" w:rsidRPr="005159F3" w:rsidRDefault="00A079F7" w:rsidP="00E514F4">
            <w:pPr>
              <w:spacing w:before="60" w:after="60"/>
              <w:jc w:val="left"/>
              <w:rPr>
                <w:b/>
                <w:sz w:val="18"/>
                <w:szCs w:val="18"/>
                <w:highlight w:val="yellow"/>
                <w:lang w:eastAsia="fr-FR"/>
              </w:rPr>
            </w:pPr>
          </w:p>
        </w:tc>
        <w:tc>
          <w:tcPr>
            <w:tcW w:w="0" w:type="auto"/>
            <w:shd w:val="clear" w:color="000000" w:fill="B8CCE4"/>
            <w:vAlign w:val="center"/>
            <w:hideMark/>
          </w:tcPr>
          <w:p w:rsidR="00A079F7" w:rsidRPr="004840E2" w:rsidRDefault="00A079F7" w:rsidP="00E514F4">
            <w:pPr>
              <w:spacing w:before="60" w:after="60"/>
              <w:jc w:val="left"/>
              <w:rPr>
                <w:bCs w:val="0"/>
                <w:sz w:val="18"/>
                <w:szCs w:val="18"/>
                <w:lang w:eastAsia="fr-FR"/>
              </w:rPr>
            </w:pPr>
            <w:r w:rsidRPr="004840E2">
              <w:rPr>
                <w:bCs w:val="0"/>
                <w:sz w:val="18"/>
                <w:szCs w:val="18"/>
                <w:lang w:eastAsia="fr-FR"/>
              </w:rPr>
              <w:t>IBP sur prestations des personnes physiques non résidentes en RDC (iii)</w:t>
            </w:r>
          </w:p>
        </w:tc>
        <w:tc>
          <w:tcPr>
            <w:tcW w:w="0" w:type="auto"/>
            <w:shd w:val="clear" w:color="000000" w:fill="B8CCE4"/>
            <w:vAlign w:val="center"/>
            <w:hideMark/>
          </w:tcPr>
          <w:p w:rsidR="00A079F7" w:rsidRPr="00A60652" w:rsidRDefault="00A079F7" w:rsidP="00E514F4">
            <w:pPr>
              <w:spacing w:before="60" w:after="60"/>
              <w:jc w:val="center"/>
              <w:rPr>
                <w:rFonts w:ascii="Wingdings" w:hAnsi="Wingdings" w:cs="Times New Roman"/>
                <w:bCs w:val="0"/>
                <w:color w:val="000000"/>
                <w:sz w:val="22"/>
                <w:lang w:eastAsia="fr-FR"/>
              </w:rPr>
            </w:pPr>
            <w:r w:rsidRPr="00A60652">
              <w:rPr>
                <w:rFonts w:ascii="Wingdings" w:hAnsi="Wingdings" w:cs="Times New Roman"/>
                <w:bCs w:val="0"/>
                <w:color w:val="000000"/>
                <w:sz w:val="22"/>
                <w:lang w:eastAsia="fr-FR"/>
              </w:rPr>
              <w:t></w:t>
            </w:r>
          </w:p>
        </w:tc>
        <w:tc>
          <w:tcPr>
            <w:tcW w:w="0" w:type="auto"/>
            <w:shd w:val="clear" w:color="000000" w:fill="B8CCE4"/>
            <w:noWrap/>
            <w:vAlign w:val="center"/>
            <w:hideMark/>
          </w:tcPr>
          <w:p w:rsidR="00A079F7" w:rsidRPr="00A60652" w:rsidRDefault="00A079F7" w:rsidP="00E514F4">
            <w:pPr>
              <w:spacing w:before="60" w:after="60"/>
              <w:jc w:val="center"/>
              <w:rPr>
                <w:rFonts w:ascii="Wingdings" w:hAnsi="Wingdings" w:cs="Times New Roman"/>
                <w:bCs w:val="0"/>
                <w:color w:val="000000"/>
                <w:sz w:val="22"/>
                <w:lang w:eastAsia="fr-FR"/>
              </w:rPr>
            </w:pPr>
            <w:r w:rsidRPr="00A60652">
              <w:rPr>
                <w:rFonts w:ascii="Wingdings" w:hAnsi="Wingdings" w:cs="Times New Roman"/>
                <w:bCs w:val="0"/>
                <w:color w:val="000000"/>
                <w:sz w:val="22"/>
                <w:lang w:eastAsia="fr-FR"/>
              </w:rPr>
              <w:t></w:t>
            </w:r>
          </w:p>
        </w:tc>
        <w:tc>
          <w:tcPr>
            <w:tcW w:w="0" w:type="auto"/>
            <w:tcBorders>
              <w:right w:val="single" w:sz="4" w:space="0" w:color="4F81BD" w:themeColor="accent1"/>
            </w:tcBorders>
            <w:shd w:val="clear" w:color="000000" w:fill="B8CCE4"/>
            <w:vAlign w:val="center"/>
            <w:hideMark/>
          </w:tcPr>
          <w:p w:rsidR="00A079F7" w:rsidRPr="00A60652" w:rsidRDefault="00A079F7" w:rsidP="00E514F4">
            <w:pPr>
              <w:spacing w:before="60" w:after="60"/>
              <w:jc w:val="center"/>
              <w:rPr>
                <w:bCs w:val="0"/>
                <w:color w:val="000000"/>
                <w:sz w:val="18"/>
                <w:szCs w:val="18"/>
                <w:lang w:eastAsia="fr-FR"/>
              </w:rPr>
            </w:pPr>
            <w:r w:rsidRPr="00A60652">
              <w:rPr>
                <w:bCs w:val="0"/>
                <w:color w:val="000000"/>
                <w:sz w:val="18"/>
                <w:szCs w:val="18"/>
                <w:lang w:eastAsia="fr-FR"/>
              </w:rPr>
              <w:t>R</w:t>
            </w:r>
          </w:p>
        </w:tc>
      </w:tr>
      <w:tr w:rsidR="00A079F7" w:rsidRPr="005159F3" w:rsidTr="00E514F4">
        <w:trPr>
          <w:trHeight w:val="285"/>
        </w:trPr>
        <w:tc>
          <w:tcPr>
            <w:tcW w:w="0" w:type="auto"/>
            <w:vMerge w:val="restart"/>
            <w:tcBorders>
              <w:top w:val="single" w:sz="12" w:space="0" w:color="17365D" w:themeColor="text2" w:themeShade="BF"/>
            </w:tcBorders>
            <w:shd w:val="clear" w:color="000000" w:fill="FFFFFF"/>
            <w:textDirection w:val="btLr"/>
            <w:vAlign w:val="center"/>
            <w:hideMark/>
          </w:tcPr>
          <w:p w:rsidR="00A079F7" w:rsidRPr="005477B2" w:rsidRDefault="00A079F7" w:rsidP="00E514F4">
            <w:pPr>
              <w:spacing w:before="60" w:after="60"/>
              <w:jc w:val="center"/>
              <w:rPr>
                <w:b/>
                <w:sz w:val="18"/>
                <w:szCs w:val="18"/>
                <w:lang w:eastAsia="fr-FR"/>
              </w:rPr>
            </w:pPr>
            <w:r w:rsidRPr="005477B2">
              <w:rPr>
                <w:b/>
                <w:sz w:val="18"/>
                <w:szCs w:val="18"/>
                <w:lang w:eastAsia="fr-FR"/>
              </w:rPr>
              <w:t>DGDA</w:t>
            </w:r>
          </w:p>
        </w:tc>
        <w:tc>
          <w:tcPr>
            <w:tcW w:w="0" w:type="auto"/>
            <w:tcBorders>
              <w:top w:val="single" w:sz="12" w:space="0" w:color="17365D" w:themeColor="text2" w:themeShade="BF"/>
            </w:tcBorders>
            <w:shd w:val="clear" w:color="000000" w:fill="B8CCE4"/>
            <w:vAlign w:val="center"/>
            <w:hideMark/>
          </w:tcPr>
          <w:p w:rsidR="00A079F7" w:rsidRPr="005477B2" w:rsidRDefault="00A079F7" w:rsidP="00E514F4">
            <w:pPr>
              <w:spacing w:before="60" w:after="60"/>
              <w:jc w:val="left"/>
              <w:rPr>
                <w:bCs w:val="0"/>
                <w:color w:val="000000"/>
                <w:sz w:val="18"/>
                <w:szCs w:val="18"/>
                <w:lang w:eastAsia="fr-FR"/>
              </w:rPr>
            </w:pPr>
            <w:r w:rsidRPr="005477B2">
              <w:rPr>
                <w:bCs w:val="0"/>
                <w:color w:val="000000"/>
                <w:sz w:val="18"/>
                <w:szCs w:val="18"/>
                <w:lang w:eastAsia="fr-FR"/>
              </w:rPr>
              <w:t>Droits et Taxes à l'importation (DDI, DCI, RIM, VIM, RDA et autres)</w:t>
            </w:r>
          </w:p>
        </w:tc>
        <w:tc>
          <w:tcPr>
            <w:tcW w:w="0" w:type="auto"/>
            <w:tcBorders>
              <w:top w:val="single" w:sz="12" w:space="0" w:color="17365D" w:themeColor="text2" w:themeShade="BF"/>
            </w:tcBorders>
            <w:shd w:val="clear" w:color="000000" w:fill="B8CCE4"/>
            <w:vAlign w:val="center"/>
            <w:hideMark/>
          </w:tcPr>
          <w:p w:rsidR="00A079F7" w:rsidRPr="005477B2" w:rsidRDefault="00A079F7" w:rsidP="00E514F4">
            <w:pPr>
              <w:spacing w:before="60" w:after="60"/>
              <w:jc w:val="center"/>
              <w:rPr>
                <w:bCs w:val="0"/>
                <w:color w:val="000000"/>
                <w:sz w:val="22"/>
                <w:lang w:eastAsia="fr-FR"/>
              </w:rPr>
            </w:pPr>
          </w:p>
        </w:tc>
        <w:tc>
          <w:tcPr>
            <w:tcW w:w="0" w:type="auto"/>
            <w:tcBorders>
              <w:top w:val="single" w:sz="12" w:space="0" w:color="17365D" w:themeColor="text2" w:themeShade="BF"/>
            </w:tcBorders>
            <w:shd w:val="clear" w:color="000000" w:fill="B8CCE4"/>
            <w:noWrap/>
            <w:vAlign w:val="center"/>
            <w:hideMark/>
          </w:tcPr>
          <w:p w:rsidR="00A079F7" w:rsidRPr="005477B2" w:rsidRDefault="00A079F7" w:rsidP="00E514F4">
            <w:pPr>
              <w:spacing w:before="60" w:after="60"/>
              <w:jc w:val="center"/>
              <w:rPr>
                <w:rFonts w:ascii="Wingdings" w:hAnsi="Wingdings" w:cs="Times New Roman"/>
                <w:bCs w:val="0"/>
                <w:color w:val="000000"/>
                <w:sz w:val="22"/>
                <w:lang w:eastAsia="fr-FR"/>
              </w:rPr>
            </w:pPr>
            <w:r w:rsidRPr="005477B2">
              <w:rPr>
                <w:rFonts w:ascii="Wingdings" w:hAnsi="Wingdings" w:cs="Times New Roman"/>
                <w:bCs w:val="0"/>
                <w:color w:val="000000"/>
                <w:sz w:val="22"/>
                <w:lang w:eastAsia="fr-FR"/>
              </w:rPr>
              <w:t></w:t>
            </w:r>
          </w:p>
        </w:tc>
        <w:tc>
          <w:tcPr>
            <w:tcW w:w="0" w:type="auto"/>
            <w:tcBorders>
              <w:top w:val="single" w:sz="12" w:space="0" w:color="17365D" w:themeColor="text2" w:themeShade="BF"/>
              <w:right w:val="single" w:sz="4" w:space="0" w:color="4F81BD" w:themeColor="accent1"/>
            </w:tcBorders>
            <w:shd w:val="clear" w:color="000000" w:fill="B8CCE4"/>
            <w:vAlign w:val="center"/>
            <w:hideMark/>
          </w:tcPr>
          <w:p w:rsidR="00A079F7" w:rsidRPr="005477B2" w:rsidRDefault="00A079F7" w:rsidP="00E514F4">
            <w:pPr>
              <w:spacing w:before="60" w:after="60"/>
              <w:jc w:val="center"/>
              <w:rPr>
                <w:bCs w:val="0"/>
                <w:color w:val="000000"/>
                <w:sz w:val="18"/>
                <w:szCs w:val="18"/>
                <w:lang w:eastAsia="fr-FR"/>
              </w:rPr>
            </w:pPr>
            <w:r w:rsidRPr="005477B2">
              <w:rPr>
                <w:bCs w:val="0"/>
                <w:color w:val="000000"/>
                <w:sz w:val="18"/>
                <w:szCs w:val="18"/>
                <w:lang w:eastAsia="fr-FR"/>
              </w:rPr>
              <w:t>R</w:t>
            </w:r>
          </w:p>
        </w:tc>
      </w:tr>
      <w:tr w:rsidR="00A079F7" w:rsidRPr="005159F3" w:rsidTr="00E514F4">
        <w:trPr>
          <w:trHeight w:val="332"/>
        </w:trPr>
        <w:tc>
          <w:tcPr>
            <w:tcW w:w="0" w:type="auto"/>
            <w:vMerge/>
            <w:vAlign w:val="center"/>
            <w:hideMark/>
          </w:tcPr>
          <w:p w:rsidR="00A079F7" w:rsidRPr="005477B2" w:rsidRDefault="00A079F7" w:rsidP="00E514F4">
            <w:pPr>
              <w:spacing w:before="60" w:after="60"/>
              <w:jc w:val="left"/>
              <w:rPr>
                <w:b/>
                <w:sz w:val="18"/>
                <w:szCs w:val="18"/>
                <w:lang w:eastAsia="fr-FR"/>
              </w:rPr>
            </w:pPr>
          </w:p>
        </w:tc>
        <w:tc>
          <w:tcPr>
            <w:tcW w:w="0" w:type="auto"/>
            <w:shd w:val="clear" w:color="auto" w:fill="auto"/>
            <w:vAlign w:val="center"/>
            <w:hideMark/>
          </w:tcPr>
          <w:p w:rsidR="00A079F7" w:rsidRPr="005477B2" w:rsidRDefault="00A079F7" w:rsidP="00E514F4">
            <w:pPr>
              <w:spacing w:before="60" w:after="60"/>
              <w:jc w:val="left"/>
              <w:rPr>
                <w:bCs w:val="0"/>
                <w:color w:val="000000"/>
                <w:sz w:val="18"/>
                <w:szCs w:val="18"/>
                <w:lang w:eastAsia="fr-FR"/>
              </w:rPr>
            </w:pPr>
            <w:r w:rsidRPr="005477B2">
              <w:rPr>
                <w:bCs w:val="0"/>
                <w:color w:val="000000"/>
                <w:sz w:val="18"/>
                <w:szCs w:val="18"/>
                <w:lang w:eastAsia="fr-FR"/>
              </w:rPr>
              <w:t>Autres perceptions à l'exportation (FSR, RIM, VIM et autres)</w:t>
            </w:r>
          </w:p>
        </w:tc>
        <w:tc>
          <w:tcPr>
            <w:tcW w:w="0" w:type="auto"/>
            <w:shd w:val="clear" w:color="auto" w:fill="auto"/>
            <w:vAlign w:val="center"/>
            <w:hideMark/>
          </w:tcPr>
          <w:p w:rsidR="00A079F7" w:rsidRPr="005477B2" w:rsidRDefault="00A079F7" w:rsidP="00E514F4">
            <w:pPr>
              <w:spacing w:before="60" w:after="60"/>
              <w:jc w:val="center"/>
              <w:rPr>
                <w:bCs w:val="0"/>
                <w:color w:val="000000"/>
                <w:sz w:val="22"/>
                <w:lang w:eastAsia="fr-FR"/>
              </w:rPr>
            </w:pPr>
          </w:p>
        </w:tc>
        <w:tc>
          <w:tcPr>
            <w:tcW w:w="0" w:type="auto"/>
            <w:shd w:val="clear" w:color="auto" w:fill="auto"/>
            <w:noWrap/>
            <w:vAlign w:val="center"/>
            <w:hideMark/>
          </w:tcPr>
          <w:p w:rsidR="00A079F7" w:rsidRPr="005477B2" w:rsidRDefault="00A079F7" w:rsidP="00E514F4">
            <w:pPr>
              <w:spacing w:before="60" w:after="60"/>
              <w:jc w:val="center"/>
              <w:rPr>
                <w:rFonts w:ascii="Wingdings" w:hAnsi="Wingdings" w:cs="Times New Roman"/>
                <w:bCs w:val="0"/>
                <w:color w:val="000000"/>
                <w:sz w:val="22"/>
                <w:lang w:eastAsia="fr-FR"/>
              </w:rPr>
            </w:pPr>
            <w:r w:rsidRPr="005477B2">
              <w:rPr>
                <w:rFonts w:ascii="Wingdings" w:hAnsi="Wingdings" w:cs="Times New Roman"/>
                <w:bCs w:val="0"/>
                <w:color w:val="000000"/>
                <w:sz w:val="22"/>
                <w:lang w:eastAsia="fr-FR"/>
              </w:rPr>
              <w:t></w:t>
            </w:r>
          </w:p>
        </w:tc>
        <w:tc>
          <w:tcPr>
            <w:tcW w:w="0" w:type="auto"/>
            <w:tcBorders>
              <w:right w:val="single" w:sz="4" w:space="0" w:color="4F81BD" w:themeColor="accent1"/>
            </w:tcBorders>
            <w:shd w:val="clear" w:color="auto" w:fill="auto"/>
            <w:vAlign w:val="center"/>
            <w:hideMark/>
          </w:tcPr>
          <w:p w:rsidR="00A079F7" w:rsidRPr="005477B2" w:rsidRDefault="00A079F7" w:rsidP="00E514F4">
            <w:pPr>
              <w:spacing w:before="60" w:after="60"/>
              <w:jc w:val="center"/>
              <w:rPr>
                <w:bCs w:val="0"/>
                <w:color w:val="000000"/>
                <w:sz w:val="18"/>
                <w:szCs w:val="18"/>
                <w:lang w:eastAsia="fr-FR"/>
              </w:rPr>
            </w:pPr>
            <w:r w:rsidRPr="005477B2">
              <w:rPr>
                <w:bCs w:val="0"/>
                <w:color w:val="000000"/>
                <w:sz w:val="18"/>
                <w:szCs w:val="18"/>
                <w:lang w:eastAsia="fr-FR"/>
              </w:rPr>
              <w:t>R</w:t>
            </w:r>
          </w:p>
        </w:tc>
      </w:tr>
      <w:tr w:rsidR="00A079F7" w:rsidRPr="005159F3" w:rsidTr="00E514F4">
        <w:trPr>
          <w:trHeight w:val="233"/>
        </w:trPr>
        <w:tc>
          <w:tcPr>
            <w:tcW w:w="0" w:type="auto"/>
            <w:vMerge/>
            <w:vAlign w:val="center"/>
            <w:hideMark/>
          </w:tcPr>
          <w:p w:rsidR="00A079F7" w:rsidRPr="005477B2" w:rsidRDefault="00A079F7" w:rsidP="00E514F4">
            <w:pPr>
              <w:spacing w:before="60" w:after="60"/>
              <w:jc w:val="left"/>
              <w:rPr>
                <w:b/>
                <w:sz w:val="18"/>
                <w:szCs w:val="18"/>
                <w:lang w:eastAsia="fr-FR"/>
              </w:rPr>
            </w:pPr>
          </w:p>
        </w:tc>
        <w:tc>
          <w:tcPr>
            <w:tcW w:w="0" w:type="auto"/>
            <w:shd w:val="clear" w:color="000000" w:fill="B8CCE4"/>
            <w:vAlign w:val="center"/>
            <w:hideMark/>
          </w:tcPr>
          <w:p w:rsidR="00A079F7" w:rsidRPr="005477B2" w:rsidRDefault="00A079F7" w:rsidP="00E514F4">
            <w:pPr>
              <w:spacing w:before="60" w:after="60"/>
              <w:jc w:val="left"/>
              <w:rPr>
                <w:bCs w:val="0"/>
                <w:color w:val="000000"/>
                <w:sz w:val="18"/>
                <w:szCs w:val="18"/>
                <w:lang w:eastAsia="fr-FR"/>
              </w:rPr>
            </w:pPr>
            <w:r w:rsidRPr="005477B2">
              <w:rPr>
                <w:bCs w:val="0"/>
                <w:color w:val="000000"/>
                <w:sz w:val="18"/>
                <w:szCs w:val="18"/>
                <w:lang w:eastAsia="fr-FR"/>
              </w:rPr>
              <w:t>Pénalités et amendes transactionnelles pour le Trésor</w:t>
            </w:r>
          </w:p>
        </w:tc>
        <w:tc>
          <w:tcPr>
            <w:tcW w:w="0" w:type="auto"/>
            <w:shd w:val="clear" w:color="000000" w:fill="B8CCE4"/>
            <w:vAlign w:val="center"/>
            <w:hideMark/>
          </w:tcPr>
          <w:p w:rsidR="00A079F7" w:rsidRPr="005477B2" w:rsidRDefault="00A079F7" w:rsidP="00E514F4">
            <w:pPr>
              <w:spacing w:before="60" w:after="60"/>
              <w:jc w:val="center"/>
              <w:rPr>
                <w:bCs w:val="0"/>
                <w:color w:val="000000"/>
                <w:sz w:val="22"/>
                <w:lang w:eastAsia="fr-FR"/>
              </w:rPr>
            </w:pPr>
          </w:p>
        </w:tc>
        <w:tc>
          <w:tcPr>
            <w:tcW w:w="0" w:type="auto"/>
            <w:shd w:val="clear" w:color="000000" w:fill="B8CCE4"/>
            <w:noWrap/>
            <w:vAlign w:val="center"/>
            <w:hideMark/>
          </w:tcPr>
          <w:p w:rsidR="00A079F7" w:rsidRPr="005477B2" w:rsidRDefault="00A079F7" w:rsidP="00E514F4">
            <w:pPr>
              <w:spacing w:before="60" w:after="60"/>
              <w:jc w:val="center"/>
              <w:rPr>
                <w:rFonts w:ascii="Wingdings" w:hAnsi="Wingdings" w:cs="Times New Roman"/>
                <w:bCs w:val="0"/>
                <w:color w:val="000000"/>
                <w:sz w:val="22"/>
                <w:lang w:eastAsia="fr-FR"/>
              </w:rPr>
            </w:pPr>
            <w:r w:rsidRPr="005477B2">
              <w:rPr>
                <w:rFonts w:ascii="Wingdings" w:hAnsi="Wingdings" w:cs="Times New Roman"/>
                <w:bCs w:val="0"/>
                <w:color w:val="000000"/>
                <w:sz w:val="22"/>
                <w:lang w:eastAsia="fr-FR"/>
              </w:rPr>
              <w:t></w:t>
            </w:r>
          </w:p>
        </w:tc>
        <w:tc>
          <w:tcPr>
            <w:tcW w:w="0" w:type="auto"/>
            <w:tcBorders>
              <w:right w:val="single" w:sz="4" w:space="0" w:color="4F81BD" w:themeColor="accent1"/>
            </w:tcBorders>
            <w:shd w:val="clear" w:color="000000" w:fill="B8CCE4"/>
            <w:vAlign w:val="center"/>
            <w:hideMark/>
          </w:tcPr>
          <w:p w:rsidR="00A079F7" w:rsidRPr="005477B2" w:rsidRDefault="00A079F7" w:rsidP="00E514F4">
            <w:pPr>
              <w:spacing w:before="60" w:after="60"/>
              <w:jc w:val="center"/>
              <w:rPr>
                <w:bCs w:val="0"/>
                <w:color w:val="000000"/>
                <w:sz w:val="18"/>
                <w:szCs w:val="18"/>
                <w:lang w:eastAsia="fr-FR"/>
              </w:rPr>
            </w:pPr>
            <w:r w:rsidRPr="005477B2">
              <w:rPr>
                <w:bCs w:val="0"/>
                <w:color w:val="000000"/>
                <w:sz w:val="18"/>
                <w:szCs w:val="18"/>
                <w:lang w:eastAsia="fr-FR"/>
              </w:rPr>
              <w:t>R</w:t>
            </w:r>
          </w:p>
        </w:tc>
      </w:tr>
      <w:tr w:rsidR="00A079F7" w:rsidRPr="005159F3" w:rsidTr="00E514F4">
        <w:trPr>
          <w:trHeight w:val="367"/>
        </w:trPr>
        <w:tc>
          <w:tcPr>
            <w:tcW w:w="0" w:type="auto"/>
            <w:vMerge/>
            <w:tcBorders>
              <w:bottom w:val="single" w:sz="12" w:space="0" w:color="17365D" w:themeColor="text2" w:themeShade="BF"/>
            </w:tcBorders>
            <w:vAlign w:val="center"/>
            <w:hideMark/>
          </w:tcPr>
          <w:p w:rsidR="00A079F7" w:rsidRPr="005477B2" w:rsidRDefault="00A079F7" w:rsidP="00E514F4">
            <w:pPr>
              <w:spacing w:before="60" w:after="60"/>
              <w:jc w:val="left"/>
              <w:rPr>
                <w:b/>
                <w:sz w:val="18"/>
                <w:szCs w:val="18"/>
                <w:lang w:eastAsia="fr-FR"/>
              </w:rPr>
            </w:pPr>
          </w:p>
        </w:tc>
        <w:tc>
          <w:tcPr>
            <w:tcW w:w="0" w:type="auto"/>
            <w:tcBorders>
              <w:bottom w:val="single" w:sz="12" w:space="0" w:color="17365D" w:themeColor="text2" w:themeShade="BF"/>
            </w:tcBorders>
            <w:shd w:val="clear" w:color="auto" w:fill="auto"/>
            <w:vAlign w:val="center"/>
            <w:hideMark/>
          </w:tcPr>
          <w:p w:rsidR="00A079F7" w:rsidRPr="005477B2" w:rsidRDefault="00A079F7" w:rsidP="00E514F4">
            <w:pPr>
              <w:spacing w:before="60" w:after="60"/>
              <w:jc w:val="left"/>
              <w:rPr>
                <w:bCs w:val="0"/>
                <w:color w:val="000000"/>
                <w:sz w:val="18"/>
                <w:szCs w:val="18"/>
                <w:lang w:eastAsia="fr-FR"/>
              </w:rPr>
            </w:pPr>
            <w:r w:rsidRPr="005477B2">
              <w:rPr>
                <w:bCs w:val="0"/>
                <w:color w:val="000000"/>
                <w:sz w:val="18"/>
                <w:szCs w:val="18"/>
                <w:lang w:eastAsia="fr-FR"/>
              </w:rPr>
              <w:t>Pénalités et amendes transactionnelles pour la DGDA</w:t>
            </w:r>
          </w:p>
        </w:tc>
        <w:tc>
          <w:tcPr>
            <w:tcW w:w="0" w:type="auto"/>
            <w:tcBorders>
              <w:bottom w:val="single" w:sz="12" w:space="0" w:color="17365D" w:themeColor="text2" w:themeShade="BF"/>
            </w:tcBorders>
            <w:shd w:val="clear" w:color="auto" w:fill="auto"/>
            <w:vAlign w:val="center"/>
            <w:hideMark/>
          </w:tcPr>
          <w:p w:rsidR="00A079F7" w:rsidRPr="005477B2" w:rsidRDefault="00A079F7" w:rsidP="00E514F4">
            <w:pPr>
              <w:spacing w:before="60" w:after="60"/>
              <w:jc w:val="center"/>
              <w:rPr>
                <w:bCs w:val="0"/>
                <w:color w:val="000000"/>
                <w:sz w:val="22"/>
                <w:lang w:eastAsia="fr-FR"/>
              </w:rPr>
            </w:pPr>
          </w:p>
        </w:tc>
        <w:tc>
          <w:tcPr>
            <w:tcW w:w="0" w:type="auto"/>
            <w:tcBorders>
              <w:bottom w:val="single" w:sz="12" w:space="0" w:color="17365D" w:themeColor="text2" w:themeShade="BF"/>
            </w:tcBorders>
            <w:shd w:val="clear" w:color="auto" w:fill="auto"/>
            <w:noWrap/>
            <w:vAlign w:val="center"/>
            <w:hideMark/>
          </w:tcPr>
          <w:p w:rsidR="00A079F7" w:rsidRPr="005477B2" w:rsidRDefault="00A079F7" w:rsidP="00E514F4">
            <w:pPr>
              <w:spacing w:before="60" w:after="60"/>
              <w:jc w:val="center"/>
              <w:rPr>
                <w:rFonts w:ascii="Wingdings" w:hAnsi="Wingdings" w:cs="Times New Roman"/>
                <w:bCs w:val="0"/>
                <w:color w:val="000000"/>
                <w:sz w:val="22"/>
                <w:lang w:eastAsia="fr-FR"/>
              </w:rPr>
            </w:pPr>
            <w:r w:rsidRPr="005477B2">
              <w:rPr>
                <w:rFonts w:ascii="Wingdings" w:hAnsi="Wingdings" w:cs="Times New Roman"/>
                <w:bCs w:val="0"/>
                <w:color w:val="000000"/>
                <w:sz w:val="22"/>
                <w:lang w:eastAsia="fr-FR"/>
              </w:rPr>
              <w:t></w:t>
            </w:r>
          </w:p>
        </w:tc>
        <w:tc>
          <w:tcPr>
            <w:tcW w:w="0" w:type="auto"/>
            <w:tcBorders>
              <w:bottom w:val="single" w:sz="12" w:space="0" w:color="17365D" w:themeColor="text2" w:themeShade="BF"/>
              <w:right w:val="single" w:sz="4" w:space="0" w:color="4F81BD" w:themeColor="accent1"/>
            </w:tcBorders>
            <w:shd w:val="clear" w:color="auto" w:fill="auto"/>
            <w:vAlign w:val="center"/>
            <w:hideMark/>
          </w:tcPr>
          <w:p w:rsidR="00A079F7" w:rsidRPr="005477B2" w:rsidRDefault="00A079F7" w:rsidP="00E514F4">
            <w:pPr>
              <w:spacing w:before="60" w:after="60"/>
              <w:jc w:val="center"/>
              <w:rPr>
                <w:bCs w:val="0"/>
                <w:color w:val="000000"/>
                <w:sz w:val="18"/>
                <w:szCs w:val="18"/>
                <w:lang w:eastAsia="fr-FR"/>
              </w:rPr>
            </w:pPr>
            <w:r w:rsidRPr="005477B2">
              <w:rPr>
                <w:bCs w:val="0"/>
                <w:color w:val="000000"/>
                <w:sz w:val="18"/>
                <w:szCs w:val="18"/>
                <w:lang w:eastAsia="fr-FR"/>
              </w:rPr>
              <w:t>R</w:t>
            </w:r>
          </w:p>
        </w:tc>
      </w:tr>
      <w:tr w:rsidR="00A079F7" w:rsidRPr="005159F3" w:rsidTr="00E514F4">
        <w:trPr>
          <w:trHeight w:val="285"/>
        </w:trPr>
        <w:tc>
          <w:tcPr>
            <w:tcW w:w="0" w:type="auto"/>
            <w:vMerge w:val="restart"/>
            <w:tcBorders>
              <w:top w:val="single" w:sz="12" w:space="0" w:color="17365D" w:themeColor="text2" w:themeShade="BF"/>
            </w:tcBorders>
            <w:shd w:val="clear" w:color="000000" w:fill="FFFFFF"/>
            <w:textDirection w:val="btLr"/>
            <w:vAlign w:val="center"/>
            <w:hideMark/>
          </w:tcPr>
          <w:p w:rsidR="00A079F7" w:rsidRPr="00BE136F" w:rsidRDefault="00A079F7" w:rsidP="00E514F4">
            <w:pPr>
              <w:spacing w:before="60" w:after="60"/>
              <w:jc w:val="center"/>
              <w:rPr>
                <w:b/>
                <w:sz w:val="18"/>
                <w:szCs w:val="18"/>
                <w:lang w:eastAsia="fr-FR"/>
              </w:rPr>
            </w:pPr>
            <w:r w:rsidRPr="00BE136F">
              <w:rPr>
                <w:b/>
                <w:sz w:val="18"/>
                <w:szCs w:val="18"/>
                <w:lang w:eastAsia="fr-FR"/>
              </w:rPr>
              <w:t>DGRAD</w:t>
            </w:r>
          </w:p>
        </w:tc>
        <w:tc>
          <w:tcPr>
            <w:tcW w:w="0" w:type="auto"/>
            <w:tcBorders>
              <w:top w:val="single" w:sz="12" w:space="0" w:color="17365D" w:themeColor="text2" w:themeShade="BF"/>
            </w:tcBorders>
            <w:shd w:val="clear" w:color="000000" w:fill="B8CCE4"/>
            <w:vAlign w:val="center"/>
            <w:hideMark/>
          </w:tcPr>
          <w:p w:rsidR="00A079F7" w:rsidRPr="00BE136F" w:rsidRDefault="00A079F7" w:rsidP="00E514F4">
            <w:pPr>
              <w:spacing w:before="60" w:after="60"/>
              <w:jc w:val="left"/>
              <w:rPr>
                <w:bCs w:val="0"/>
                <w:color w:val="000000"/>
                <w:sz w:val="18"/>
                <w:szCs w:val="18"/>
                <w:lang w:eastAsia="fr-FR"/>
              </w:rPr>
            </w:pPr>
            <w:r w:rsidRPr="00BE136F">
              <w:rPr>
                <w:bCs w:val="0"/>
                <w:color w:val="000000"/>
                <w:sz w:val="18"/>
                <w:szCs w:val="18"/>
                <w:lang w:eastAsia="fr-FR"/>
              </w:rPr>
              <w:t>Autres frais liés au paiement de bonus</w:t>
            </w:r>
          </w:p>
        </w:tc>
        <w:tc>
          <w:tcPr>
            <w:tcW w:w="0" w:type="auto"/>
            <w:tcBorders>
              <w:top w:val="single" w:sz="12" w:space="0" w:color="17365D" w:themeColor="text2" w:themeShade="BF"/>
            </w:tcBorders>
            <w:shd w:val="clear" w:color="000000" w:fill="B8CCE4"/>
            <w:noWrap/>
            <w:vAlign w:val="center"/>
            <w:hideMark/>
          </w:tcPr>
          <w:p w:rsidR="00A079F7" w:rsidRPr="00BE136F" w:rsidRDefault="00A079F7" w:rsidP="00E514F4">
            <w:pPr>
              <w:spacing w:before="60" w:after="60"/>
              <w:jc w:val="center"/>
              <w:rPr>
                <w:rFonts w:ascii="Wingdings" w:hAnsi="Wingdings" w:cs="Times New Roman"/>
                <w:bCs w:val="0"/>
                <w:color w:val="000000"/>
                <w:sz w:val="22"/>
                <w:lang w:eastAsia="fr-FR"/>
              </w:rPr>
            </w:pPr>
            <w:r w:rsidRPr="00BE136F">
              <w:rPr>
                <w:rFonts w:ascii="Wingdings" w:hAnsi="Wingdings" w:cs="Times New Roman"/>
                <w:bCs w:val="0"/>
                <w:color w:val="000000"/>
                <w:sz w:val="22"/>
                <w:lang w:eastAsia="fr-FR"/>
              </w:rPr>
              <w:t></w:t>
            </w:r>
          </w:p>
        </w:tc>
        <w:tc>
          <w:tcPr>
            <w:tcW w:w="0" w:type="auto"/>
            <w:tcBorders>
              <w:top w:val="single" w:sz="12" w:space="0" w:color="17365D" w:themeColor="text2" w:themeShade="BF"/>
            </w:tcBorders>
            <w:shd w:val="clear" w:color="000000" w:fill="B8CCE4"/>
            <w:vAlign w:val="center"/>
            <w:hideMark/>
          </w:tcPr>
          <w:p w:rsidR="00A079F7" w:rsidRPr="00BE136F" w:rsidRDefault="00A079F7" w:rsidP="00E514F4">
            <w:pPr>
              <w:spacing w:before="60" w:after="60"/>
              <w:jc w:val="center"/>
              <w:rPr>
                <w:bCs w:val="0"/>
                <w:color w:val="000000"/>
                <w:sz w:val="22"/>
                <w:lang w:eastAsia="fr-FR"/>
              </w:rPr>
            </w:pPr>
          </w:p>
        </w:tc>
        <w:tc>
          <w:tcPr>
            <w:tcW w:w="0" w:type="auto"/>
            <w:tcBorders>
              <w:top w:val="single" w:sz="12" w:space="0" w:color="17365D" w:themeColor="text2" w:themeShade="BF"/>
              <w:right w:val="single" w:sz="4" w:space="0" w:color="4F81BD" w:themeColor="accent1"/>
            </w:tcBorders>
            <w:shd w:val="clear" w:color="000000" w:fill="B8CCE4"/>
            <w:vAlign w:val="center"/>
            <w:hideMark/>
          </w:tcPr>
          <w:p w:rsidR="00A079F7" w:rsidRPr="00BE136F" w:rsidRDefault="00A079F7" w:rsidP="00E514F4">
            <w:pPr>
              <w:spacing w:before="60" w:after="60"/>
              <w:jc w:val="center"/>
              <w:rPr>
                <w:bCs w:val="0"/>
                <w:color w:val="000000"/>
                <w:sz w:val="18"/>
                <w:szCs w:val="18"/>
                <w:lang w:eastAsia="fr-FR"/>
              </w:rPr>
            </w:pPr>
            <w:r w:rsidRPr="00BE136F">
              <w:rPr>
                <w:bCs w:val="0"/>
                <w:color w:val="000000"/>
                <w:sz w:val="18"/>
                <w:szCs w:val="18"/>
                <w:lang w:eastAsia="fr-FR"/>
              </w:rPr>
              <w:t>R</w:t>
            </w:r>
          </w:p>
        </w:tc>
      </w:tr>
      <w:tr w:rsidR="00A079F7" w:rsidRPr="005159F3" w:rsidTr="00E514F4">
        <w:trPr>
          <w:trHeight w:val="285"/>
        </w:trPr>
        <w:tc>
          <w:tcPr>
            <w:tcW w:w="0" w:type="auto"/>
            <w:vMerge/>
            <w:vAlign w:val="center"/>
            <w:hideMark/>
          </w:tcPr>
          <w:p w:rsidR="00A079F7" w:rsidRPr="00BE136F" w:rsidRDefault="00A079F7" w:rsidP="00E514F4">
            <w:pPr>
              <w:spacing w:before="60" w:after="60"/>
              <w:jc w:val="left"/>
              <w:rPr>
                <w:b/>
                <w:sz w:val="18"/>
                <w:szCs w:val="18"/>
                <w:lang w:eastAsia="fr-FR"/>
              </w:rPr>
            </w:pPr>
          </w:p>
        </w:tc>
        <w:tc>
          <w:tcPr>
            <w:tcW w:w="0" w:type="auto"/>
            <w:shd w:val="clear" w:color="000000" w:fill="FFFFFF"/>
            <w:vAlign w:val="center"/>
            <w:hideMark/>
          </w:tcPr>
          <w:p w:rsidR="00A079F7" w:rsidRPr="00BE136F" w:rsidRDefault="00A079F7" w:rsidP="00E514F4">
            <w:pPr>
              <w:spacing w:before="60" w:after="60"/>
              <w:jc w:val="left"/>
              <w:rPr>
                <w:bCs w:val="0"/>
                <w:color w:val="000000"/>
                <w:sz w:val="18"/>
                <w:szCs w:val="18"/>
                <w:lang w:eastAsia="fr-FR"/>
              </w:rPr>
            </w:pPr>
            <w:r w:rsidRPr="00BE136F">
              <w:rPr>
                <w:bCs w:val="0"/>
                <w:color w:val="000000"/>
                <w:sz w:val="18"/>
                <w:szCs w:val="18"/>
                <w:lang w:eastAsia="fr-FR"/>
              </w:rPr>
              <w:t>Bonus de signature</w:t>
            </w:r>
          </w:p>
        </w:tc>
        <w:tc>
          <w:tcPr>
            <w:tcW w:w="0" w:type="auto"/>
            <w:shd w:val="clear" w:color="auto" w:fill="auto"/>
            <w:noWrap/>
            <w:vAlign w:val="center"/>
            <w:hideMark/>
          </w:tcPr>
          <w:p w:rsidR="00A079F7" w:rsidRPr="00BE136F" w:rsidRDefault="00A079F7" w:rsidP="00E514F4">
            <w:pPr>
              <w:spacing w:before="60" w:after="60"/>
              <w:jc w:val="center"/>
              <w:rPr>
                <w:rFonts w:ascii="Wingdings" w:hAnsi="Wingdings" w:cs="Times New Roman"/>
                <w:bCs w:val="0"/>
                <w:color w:val="000000"/>
                <w:sz w:val="22"/>
                <w:lang w:eastAsia="fr-FR"/>
              </w:rPr>
            </w:pPr>
            <w:r w:rsidRPr="00BE136F">
              <w:rPr>
                <w:rFonts w:ascii="Wingdings" w:hAnsi="Wingdings" w:cs="Times New Roman"/>
                <w:bCs w:val="0"/>
                <w:color w:val="000000"/>
                <w:sz w:val="22"/>
                <w:lang w:eastAsia="fr-FR"/>
              </w:rPr>
              <w:t></w:t>
            </w:r>
          </w:p>
        </w:tc>
        <w:tc>
          <w:tcPr>
            <w:tcW w:w="0" w:type="auto"/>
            <w:shd w:val="clear" w:color="000000" w:fill="FFFFFF"/>
            <w:vAlign w:val="center"/>
            <w:hideMark/>
          </w:tcPr>
          <w:p w:rsidR="00A079F7" w:rsidRPr="00BE136F" w:rsidRDefault="00A079F7" w:rsidP="00E514F4">
            <w:pPr>
              <w:spacing w:before="60" w:after="60"/>
              <w:jc w:val="center"/>
              <w:rPr>
                <w:bCs w:val="0"/>
                <w:color w:val="000000"/>
                <w:sz w:val="22"/>
                <w:lang w:eastAsia="fr-FR"/>
              </w:rPr>
            </w:pPr>
          </w:p>
        </w:tc>
        <w:tc>
          <w:tcPr>
            <w:tcW w:w="0" w:type="auto"/>
            <w:tcBorders>
              <w:right w:val="single" w:sz="4" w:space="0" w:color="4F81BD" w:themeColor="accent1"/>
            </w:tcBorders>
            <w:shd w:val="clear" w:color="000000" w:fill="FFFFFF"/>
            <w:vAlign w:val="center"/>
            <w:hideMark/>
          </w:tcPr>
          <w:p w:rsidR="00A079F7" w:rsidRPr="00BE136F" w:rsidRDefault="00A079F7" w:rsidP="00E514F4">
            <w:pPr>
              <w:spacing w:before="60" w:after="60"/>
              <w:jc w:val="center"/>
              <w:rPr>
                <w:bCs w:val="0"/>
                <w:color w:val="000000"/>
                <w:sz w:val="18"/>
                <w:szCs w:val="18"/>
                <w:lang w:eastAsia="fr-FR"/>
              </w:rPr>
            </w:pPr>
            <w:r w:rsidRPr="00BE136F">
              <w:rPr>
                <w:bCs w:val="0"/>
                <w:color w:val="000000"/>
                <w:sz w:val="18"/>
                <w:szCs w:val="18"/>
                <w:lang w:eastAsia="fr-FR"/>
              </w:rPr>
              <w:t>R</w:t>
            </w:r>
          </w:p>
        </w:tc>
      </w:tr>
      <w:tr w:rsidR="00A079F7" w:rsidRPr="005159F3" w:rsidTr="00E514F4">
        <w:trPr>
          <w:trHeight w:val="285"/>
        </w:trPr>
        <w:tc>
          <w:tcPr>
            <w:tcW w:w="0" w:type="auto"/>
            <w:vMerge/>
            <w:vAlign w:val="center"/>
            <w:hideMark/>
          </w:tcPr>
          <w:p w:rsidR="00A079F7" w:rsidRPr="005159F3" w:rsidRDefault="00A079F7" w:rsidP="00E514F4">
            <w:pPr>
              <w:spacing w:before="60" w:after="60"/>
              <w:jc w:val="left"/>
              <w:rPr>
                <w:b/>
                <w:sz w:val="18"/>
                <w:szCs w:val="18"/>
                <w:highlight w:val="yellow"/>
                <w:lang w:eastAsia="fr-FR"/>
              </w:rPr>
            </w:pPr>
          </w:p>
        </w:tc>
        <w:tc>
          <w:tcPr>
            <w:tcW w:w="0" w:type="auto"/>
            <w:shd w:val="clear" w:color="000000" w:fill="B8CCE4"/>
            <w:vAlign w:val="center"/>
            <w:hideMark/>
          </w:tcPr>
          <w:p w:rsidR="00A079F7" w:rsidRPr="00635CFC" w:rsidRDefault="00A079F7" w:rsidP="00E514F4">
            <w:pPr>
              <w:spacing w:before="60" w:after="60"/>
              <w:jc w:val="left"/>
              <w:rPr>
                <w:bCs w:val="0"/>
                <w:color w:val="000000"/>
                <w:sz w:val="18"/>
                <w:szCs w:val="18"/>
                <w:lang w:eastAsia="fr-FR"/>
              </w:rPr>
            </w:pPr>
            <w:r w:rsidRPr="00635CFC">
              <w:rPr>
                <w:bCs w:val="0"/>
                <w:color w:val="000000"/>
                <w:sz w:val="18"/>
                <w:szCs w:val="18"/>
                <w:lang w:eastAsia="fr-FR"/>
              </w:rPr>
              <w:t>Bonus de production</w:t>
            </w:r>
          </w:p>
        </w:tc>
        <w:tc>
          <w:tcPr>
            <w:tcW w:w="0" w:type="auto"/>
            <w:shd w:val="clear" w:color="000000" w:fill="B8CCE4"/>
            <w:noWrap/>
            <w:vAlign w:val="center"/>
            <w:hideMark/>
          </w:tcPr>
          <w:p w:rsidR="00A079F7" w:rsidRPr="00BE136F" w:rsidRDefault="00A079F7" w:rsidP="00E514F4">
            <w:pPr>
              <w:spacing w:before="60" w:after="60"/>
              <w:jc w:val="center"/>
              <w:rPr>
                <w:rFonts w:ascii="Wingdings" w:hAnsi="Wingdings" w:cs="Times New Roman"/>
                <w:bCs w:val="0"/>
                <w:color w:val="000000"/>
                <w:sz w:val="22"/>
                <w:lang w:eastAsia="fr-FR"/>
              </w:rPr>
            </w:pPr>
            <w:r w:rsidRPr="00BE136F">
              <w:rPr>
                <w:rFonts w:ascii="Wingdings" w:hAnsi="Wingdings" w:cs="Times New Roman"/>
                <w:bCs w:val="0"/>
                <w:color w:val="000000"/>
                <w:sz w:val="22"/>
                <w:lang w:eastAsia="fr-FR"/>
              </w:rPr>
              <w:t></w:t>
            </w:r>
          </w:p>
        </w:tc>
        <w:tc>
          <w:tcPr>
            <w:tcW w:w="0" w:type="auto"/>
            <w:shd w:val="clear" w:color="000000" w:fill="B8CCE4"/>
            <w:vAlign w:val="bottom"/>
          </w:tcPr>
          <w:p w:rsidR="00A079F7" w:rsidRPr="00BE136F" w:rsidRDefault="00A079F7" w:rsidP="00E514F4">
            <w:pPr>
              <w:spacing w:before="60" w:after="60"/>
              <w:jc w:val="center"/>
              <w:rPr>
                <w:rFonts w:ascii="Wingdings" w:hAnsi="Wingdings" w:cs="Times New Roman"/>
                <w:bCs w:val="0"/>
                <w:color w:val="000000"/>
                <w:sz w:val="22"/>
                <w:lang w:eastAsia="fr-FR"/>
              </w:rPr>
            </w:pPr>
          </w:p>
        </w:tc>
        <w:tc>
          <w:tcPr>
            <w:tcW w:w="0" w:type="auto"/>
            <w:tcBorders>
              <w:right w:val="single" w:sz="4" w:space="0" w:color="4F81BD" w:themeColor="accent1"/>
            </w:tcBorders>
            <w:shd w:val="clear" w:color="000000" w:fill="B8CCE4"/>
            <w:vAlign w:val="center"/>
            <w:hideMark/>
          </w:tcPr>
          <w:p w:rsidR="00A079F7" w:rsidRPr="00BE136F" w:rsidRDefault="00A079F7" w:rsidP="00E514F4">
            <w:pPr>
              <w:spacing w:before="60" w:after="60"/>
              <w:jc w:val="center"/>
              <w:rPr>
                <w:bCs w:val="0"/>
                <w:color w:val="000000"/>
                <w:sz w:val="18"/>
                <w:szCs w:val="18"/>
                <w:lang w:eastAsia="fr-FR"/>
              </w:rPr>
            </w:pPr>
            <w:r w:rsidRPr="00BE136F">
              <w:rPr>
                <w:bCs w:val="0"/>
                <w:color w:val="000000"/>
                <w:sz w:val="18"/>
                <w:szCs w:val="18"/>
                <w:lang w:eastAsia="fr-FR"/>
              </w:rPr>
              <w:t>R</w:t>
            </w:r>
          </w:p>
        </w:tc>
      </w:tr>
      <w:tr w:rsidR="00A079F7" w:rsidRPr="005159F3" w:rsidTr="00E514F4">
        <w:trPr>
          <w:trHeight w:val="321"/>
        </w:trPr>
        <w:tc>
          <w:tcPr>
            <w:tcW w:w="0" w:type="auto"/>
            <w:vMerge/>
            <w:vAlign w:val="center"/>
            <w:hideMark/>
          </w:tcPr>
          <w:p w:rsidR="00A079F7" w:rsidRPr="005159F3" w:rsidRDefault="00A079F7" w:rsidP="00E514F4">
            <w:pPr>
              <w:spacing w:before="60" w:after="60"/>
              <w:jc w:val="left"/>
              <w:rPr>
                <w:b/>
                <w:sz w:val="18"/>
                <w:szCs w:val="18"/>
                <w:highlight w:val="yellow"/>
                <w:lang w:eastAsia="fr-FR"/>
              </w:rPr>
            </w:pPr>
          </w:p>
        </w:tc>
        <w:tc>
          <w:tcPr>
            <w:tcW w:w="0" w:type="auto"/>
            <w:shd w:val="clear" w:color="auto" w:fill="auto"/>
            <w:vAlign w:val="center"/>
            <w:hideMark/>
          </w:tcPr>
          <w:p w:rsidR="00A079F7" w:rsidRPr="00635CFC" w:rsidRDefault="00A079F7" w:rsidP="00E514F4">
            <w:pPr>
              <w:spacing w:before="60" w:after="60"/>
              <w:jc w:val="left"/>
              <w:rPr>
                <w:bCs w:val="0"/>
                <w:color w:val="000000"/>
                <w:sz w:val="18"/>
                <w:szCs w:val="18"/>
                <w:lang w:eastAsia="fr-FR"/>
              </w:rPr>
            </w:pPr>
            <w:r w:rsidRPr="00635CFC">
              <w:rPr>
                <w:bCs w:val="0"/>
                <w:color w:val="000000"/>
                <w:sz w:val="18"/>
                <w:szCs w:val="18"/>
                <w:lang w:eastAsia="fr-FR"/>
              </w:rPr>
              <w:t>Bonus de Production des dix millionièmes bar</w:t>
            </w:r>
            <w:r>
              <w:rPr>
                <w:bCs w:val="0"/>
                <w:color w:val="000000"/>
                <w:sz w:val="18"/>
                <w:szCs w:val="18"/>
                <w:lang w:eastAsia="fr-FR"/>
              </w:rPr>
              <w:t>ils</w:t>
            </w:r>
          </w:p>
        </w:tc>
        <w:tc>
          <w:tcPr>
            <w:tcW w:w="0" w:type="auto"/>
            <w:shd w:val="clear" w:color="auto" w:fill="auto"/>
            <w:noWrap/>
            <w:vAlign w:val="center"/>
            <w:hideMark/>
          </w:tcPr>
          <w:p w:rsidR="00A079F7" w:rsidRPr="00BE136F" w:rsidRDefault="00A079F7" w:rsidP="00E514F4">
            <w:pPr>
              <w:spacing w:before="60" w:after="60"/>
              <w:jc w:val="center"/>
              <w:rPr>
                <w:rFonts w:ascii="Wingdings" w:hAnsi="Wingdings" w:cs="Times New Roman"/>
                <w:bCs w:val="0"/>
                <w:color w:val="000000"/>
                <w:sz w:val="22"/>
                <w:lang w:eastAsia="fr-FR"/>
              </w:rPr>
            </w:pPr>
            <w:r w:rsidRPr="00BE136F">
              <w:rPr>
                <w:rFonts w:ascii="Wingdings" w:hAnsi="Wingdings" w:cs="Times New Roman"/>
                <w:bCs w:val="0"/>
                <w:color w:val="000000"/>
                <w:sz w:val="22"/>
                <w:lang w:eastAsia="fr-FR"/>
              </w:rPr>
              <w:t></w:t>
            </w:r>
          </w:p>
        </w:tc>
        <w:tc>
          <w:tcPr>
            <w:tcW w:w="0" w:type="auto"/>
            <w:shd w:val="clear" w:color="auto" w:fill="auto"/>
            <w:vAlign w:val="bottom"/>
          </w:tcPr>
          <w:p w:rsidR="00A079F7" w:rsidRPr="00BE136F" w:rsidRDefault="00A079F7" w:rsidP="00E514F4">
            <w:pPr>
              <w:spacing w:before="60" w:after="60"/>
              <w:jc w:val="center"/>
              <w:rPr>
                <w:rFonts w:ascii="Wingdings" w:hAnsi="Wingdings" w:cs="Times New Roman"/>
                <w:bCs w:val="0"/>
                <w:color w:val="000000"/>
                <w:sz w:val="22"/>
                <w:lang w:eastAsia="fr-FR"/>
              </w:rPr>
            </w:pPr>
          </w:p>
        </w:tc>
        <w:tc>
          <w:tcPr>
            <w:tcW w:w="0" w:type="auto"/>
            <w:tcBorders>
              <w:right w:val="single" w:sz="4" w:space="0" w:color="4F81BD" w:themeColor="accent1"/>
            </w:tcBorders>
            <w:shd w:val="clear" w:color="auto" w:fill="auto"/>
            <w:vAlign w:val="center"/>
            <w:hideMark/>
          </w:tcPr>
          <w:p w:rsidR="00A079F7" w:rsidRPr="00BE136F" w:rsidRDefault="00A079F7" w:rsidP="00E514F4">
            <w:pPr>
              <w:spacing w:before="60" w:after="60"/>
              <w:jc w:val="center"/>
              <w:rPr>
                <w:bCs w:val="0"/>
                <w:color w:val="000000"/>
                <w:sz w:val="18"/>
                <w:szCs w:val="18"/>
                <w:lang w:eastAsia="fr-FR"/>
              </w:rPr>
            </w:pPr>
            <w:r w:rsidRPr="00BE136F">
              <w:rPr>
                <w:bCs w:val="0"/>
                <w:color w:val="000000"/>
                <w:sz w:val="18"/>
                <w:szCs w:val="18"/>
                <w:lang w:eastAsia="fr-FR"/>
              </w:rPr>
              <w:t>R</w:t>
            </w:r>
          </w:p>
        </w:tc>
      </w:tr>
      <w:tr w:rsidR="00A079F7" w:rsidRPr="005159F3" w:rsidTr="00E514F4">
        <w:trPr>
          <w:trHeight w:val="285"/>
        </w:trPr>
        <w:tc>
          <w:tcPr>
            <w:tcW w:w="0" w:type="auto"/>
            <w:vMerge/>
            <w:vAlign w:val="center"/>
            <w:hideMark/>
          </w:tcPr>
          <w:p w:rsidR="00A079F7" w:rsidRPr="005159F3" w:rsidRDefault="00A079F7" w:rsidP="00E514F4">
            <w:pPr>
              <w:spacing w:before="60" w:after="60"/>
              <w:jc w:val="left"/>
              <w:rPr>
                <w:b/>
                <w:sz w:val="18"/>
                <w:szCs w:val="18"/>
                <w:highlight w:val="yellow"/>
                <w:lang w:eastAsia="fr-FR"/>
              </w:rPr>
            </w:pPr>
          </w:p>
        </w:tc>
        <w:tc>
          <w:tcPr>
            <w:tcW w:w="0" w:type="auto"/>
            <w:shd w:val="clear" w:color="000000" w:fill="B8CCE4"/>
            <w:vAlign w:val="center"/>
            <w:hideMark/>
          </w:tcPr>
          <w:p w:rsidR="00A079F7" w:rsidRPr="005159F3" w:rsidRDefault="00A079F7" w:rsidP="00E514F4">
            <w:pPr>
              <w:spacing w:before="60" w:after="60"/>
              <w:jc w:val="left"/>
              <w:rPr>
                <w:bCs w:val="0"/>
                <w:color w:val="000000"/>
                <w:sz w:val="18"/>
                <w:szCs w:val="18"/>
                <w:highlight w:val="yellow"/>
                <w:lang w:eastAsia="fr-FR"/>
              </w:rPr>
            </w:pPr>
            <w:r w:rsidRPr="00635CFC">
              <w:rPr>
                <w:bCs w:val="0"/>
                <w:color w:val="000000"/>
                <w:sz w:val="18"/>
                <w:szCs w:val="18"/>
                <w:lang w:eastAsia="fr-FR"/>
              </w:rPr>
              <w:t>Bonus de Découverte Commerciale</w:t>
            </w:r>
          </w:p>
        </w:tc>
        <w:tc>
          <w:tcPr>
            <w:tcW w:w="0" w:type="auto"/>
            <w:shd w:val="clear" w:color="000000" w:fill="B8CCE4"/>
            <w:noWrap/>
            <w:vAlign w:val="center"/>
            <w:hideMark/>
          </w:tcPr>
          <w:p w:rsidR="00A079F7" w:rsidRPr="00BE136F" w:rsidRDefault="00A079F7" w:rsidP="00E514F4">
            <w:pPr>
              <w:spacing w:before="60" w:after="60"/>
              <w:jc w:val="center"/>
              <w:rPr>
                <w:rFonts w:ascii="Wingdings" w:hAnsi="Wingdings" w:cs="Times New Roman"/>
                <w:bCs w:val="0"/>
                <w:color w:val="000000"/>
                <w:sz w:val="22"/>
                <w:lang w:eastAsia="fr-FR"/>
              </w:rPr>
            </w:pPr>
            <w:r w:rsidRPr="00BE136F">
              <w:rPr>
                <w:rFonts w:ascii="Wingdings" w:hAnsi="Wingdings" w:cs="Times New Roman"/>
                <w:bCs w:val="0"/>
                <w:color w:val="000000"/>
                <w:sz w:val="22"/>
                <w:lang w:eastAsia="fr-FR"/>
              </w:rPr>
              <w:t></w:t>
            </w:r>
          </w:p>
        </w:tc>
        <w:tc>
          <w:tcPr>
            <w:tcW w:w="0" w:type="auto"/>
            <w:shd w:val="clear" w:color="000000" w:fill="B8CCE4"/>
            <w:vAlign w:val="bottom"/>
          </w:tcPr>
          <w:p w:rsidR="00A079F7" w:rsidRPr="00BE136F" w:rsidRDefault="00A079F7" w:rsidP="00E514F4">
            <w:pPr>
              <w:spacing w:before="60" w:after="60"/>
              <w:jc w:val="center"/>
              <w:rPr>
                <w:rFonts w:ascii="Wingdings" w:hAnsi="Wingdings" w:cs="Times New Roman"/>
                <w:bCs w:val="0"/>
                <w:color w:val="000000"/>
                <w:sz w:val="22"/>
                <w:lang w:eastAsia="fr-FR"/>
              </w:rPr>
            </w:pPr>
          </w:p>
        </w:tc>
        <w:tc>
          <w:tcPr>
            <w:tcW w:w="0" w:type="auto"/>
            <w:tcBorders>
              <w:right w:val="single" w:sz="4" w:space="0" w:color="4F81BD" w:themeColor="accent1"/>
            </w:tcBorders>
            <w:shd w:val="clear" w:color="000000" w:fill="B8CCE4"/>
            <w:vAlign w:val="center"/>
            <w:hideMark/>
          </w:tcPr>
          <w:p w:rsidR="00A079F7" w:rsidRPr="00BE136F" w:rsidRDefault="00A079F7" w:rsidP="00E514F4">
            <w:pPr>
              <w:spacing w:before="60" w:after="60"/>
              <w:jc w:val="center"/>
              <w:rPr>
                <w:bCs w:val="0"/>
                <w:color w:val="000000"/>
                <w:sz w:val="18"/>
                <w:szCs w:val="18"/>
                <w:lang w:eastAsia="fr-FR"/>
              </w:rPr>
            </w:pPr>
            <w:r w:rsidRPr="00BE136F">
              <w:rPr>
                <w:bCs w:val="0"/>
                <w:color w:val="000000"/>
                <w:sz w:val="18"/>
                <w:szCs w:val="18"/>
                <w:lang w:eastAsia="fr-FR"/>
              </w:rPr>
              <w:t>R</w:t>
            </w:r>
          </w:p>
        </w:tc>
      </w:tr>
      <w:tr w:rsidR="00A079F7" w:rsidRPr="005159F3" w:rsidTr="00E514F4">
        <w:trPr>
          <w:trHeight w:val="285"/>
        </w:trPr>
        <w:tc>
          <w:tcPr>
            <w:tcW w:w="0" w:type="auto"/>
            <w:vMerge/>
            <w:vAlign w:val="center"/>
            <w:hideMark/>
          </w:tcPr>
          <w:p w:rsidR="00A079F7" w:rsidRPr="005159F3" w:rsidRDefault="00A079F7" w:rsidP="00E514F4">
            <w:pPr>
              <w:spacing w:before="60" w:after="60"/>
              <w:jc w:val="left"/>
              <w:rPr>
                <w:b/>
                <w:sz w:val="18"/>
                <w:szCs w:val="18"/>
                <w:highlight w:val="yellow"/>
                <w:lang w:eastAsia="fr-FR"/>
              </w:rPr>
            </w:pPr>
          </w:p>
        </w:tc>
        <w:tc>
          <w:tcPr>
            <w:tcW w:w="0" w:type="auto"/>
            <w:shd w:val="clear" w:color="000000" w:fill="FFFFFF"/>
            <w:vAlign w:val="center"/>
            <w:hideMark/>
          </w:tcPr>
          <w:p w:rsidR="00A079F7" w:rsidRPr="00635CFC" w:rsidRDefault="00A079F7" w:rsidP="00E514F4">
            <w:pPr>
              <w:spacing w:before="60" w:after="60"/>
              <w:jc w:val="left"/>
              <w:rPr>
                <w:bCs w:val="0"/>
                <w:color w:val="000000"/>
                <w:sz w:val="18"/>
                <w:szCs w:val="18"/>
                <w:lang w:eastAsia="fr-FR"/>
              </w:rPr>
            </w:pPr>
            <w:r w:rsidRPr="00635CFC">
              <w:rPr>
                <w:bCs w:val="0"/>
                <w:color w:val="000000"/>
                <w:sz w:val="18"/>
                <w:szCs w:val="18"/>
                <w:lang w:eastAsia="fr-FR"/>
              </w:rPr>
              <w:t>Bonus de Permis d’Exploration</w:t>
            </w:r>
          </w:p>
        </w:tc>
        <w:tc>
          <w:tcPr>
            <w:tcW w:w="0" w:type="auto"/>
            <w:shd w:val="clear" w:color="auto" w:fill="auto"/>
            <w:noWrap/>
            <w:vAlign w:val="center"/>
            <w:hideMark/>
          </w:tcPr>
          <w:p w:rsidR="00A079F7" w:rsidRPr="00BE136F" w:rsidRDefault="00A079F7" w:rsidP="00E514F4">
            <w:pPr>
              <w:spacing w:before="60" w:after="60"/>
              <w:jc w:val="center"/>
              <w:rPr>
                <w:rFonts w:ascii="Wingdings" w:hAnsi="Wingdings" w:cs="Times New Roman"/>
                <w:bCs w:val="0"/>
                <w:color w:val="000000"/>
                <w:sz w:val="22"/>
                <w:lang w:eastAsia="fr-FR"/>
              </w:rPr>
            </w:pPr>
            <w:r w:rsidRPr="00BE136F">
              <w:rPr>
                <w:rFonts w:ascii="Wingdings" w:hAnsi="Wingdings" w:cs="Times New Roman"/>
                <w:bCs w:val="0"/>
                <w:color w:val="000000"/>
                <w:sz w:val="22"/>
                <w:lang w:eastAsia="fr-FR"/>
              </w:rPr>
              <w:t></w:t>
            </w:r>
          </w:p>
        </w:tc>
        <w:tc>
          <w:tcPr>
            <w:tcW w:w="0" w:type="auto"/>
            <w:shd w:val="clear" w:color="000000" w:fill="FFFFFF"/>
            <w:vAlign w:val="center"/>
            <w:hideMark/>
          </w:tcPr>
          <w:p w:rsidR="00A079F7" w:rsidRPr="00BE136F" w:rsidRDefault="00A079F7" w:rsidP="00E514F4">
            <w:pPr>
              <w:spacing w:before="60" w:after="60"/>
              <w:jc w:val="center"/>
              <w:rPr>
                <w:bCs w:val="0"/>
                <w:color w:val="000000"/>
                <w:sz w:val="22"/>
                <w:lang w:eastAsia="fr-FR"/>
              </w:rPr>
            </w:pPr>
          </w:p>
        </w:tc>
        <w:tc>
          <w:tcPr>
            <w:tcW w:w="0" w:type="auto"/>
            <w:tcBorders>
              <w:right w:val="single" w:sz="4" w:space="0" w:color="4F81BD" w:themeColor="accent1"/>
            </w:tcBorders>
            <w:shd w:val="clear" w:color="000000" w:fill="FFFFFF"/>
            <w:vAlign w:val="center"/>
            <w:hideMark/>
          </w:tcPr>
          <w:p w:rsidR="00A079F7" w:rsidRPr="00BE136F" w:rsidRDefault="00A079F7" w:rsidP="00E514F4">
            <w:pPr>
              <w:spacing w:before="60" w:after="60"/>
              <w:jc w:val="center"/>
              <w:rPr>
                <w:bCs w:val="0"/>
                <w:color w:val="000000"/>
                <w:sz w:val="18"/>
                <w:szCs w:val="18"/>
                <w:lang w:eastAsia="fr-FR"/>
              </w:rPr>
            </w:pPr>
            <w:r w:rsidRPr="00BE136F">
              <w:rPr>
                <w:bCs w:val="0"/>
                <w:color w:val="000000"/>
                <w:sz w:val="18"/>
                <w:szCs w:val="18"/>
                <w:lang w:eastAsia="fr-FR"/>
              </w:rPr>
              <w:t>R</w:t>
            </w:r>
          </w:p>
        </w:tc>
      </w:tr>
      <w:tr w:rsidR="00A079F7" w:rsidRPr="005159F3" w:rsidTr="00E514F4">
        <w:trPr>
          <w:trHeight w:val="221"/>
        </w:trPr>
        <w:tc>
          <w:tcPr>
            <w:tcW w:w="0" w:type="auto"/>
            <w:vMerge/>
            <w:vAlign w:val="center"/>
            <w:hideMark/>
          </w:tcPr>
          <w:p w:rsidR="00A079F7" w:rsidRPr="005159F3" w:rsidRDefault="00A079F7" w:rsidP="00E514F4">
            <w:pPr>
              <w:spacing w:before="60" w:after="60"/>
              <w:jc w:val="left"/>
              <w:rPr>
                <w:b/>
                <w:sz w:val="18"/>
                <w:szCs w:val="18"/>
                <w:highlight w:val="yellow"/>
                <w:lang w:eastAsia="fr-FR"/>
              </w:rPr>
            </w:pPr>
          </w:p>
        </w:tc>
        <w:tc>
          <w:tcPr>
            <w:tcW w:w="0" w:type="auto"/>
            <w:shd w:val="clear" w:color="000000" w:fill="B8CCE4"/>
            <w:vAlign w:val="center"/>
            <w:hideMark/>
          </w:tcPr>
          <w:p w:rsidR="00A079F7" w:rsidRPr="00635CFC" w:rsidRDefault="00A079F7" w:rsidP="00E514F4">
            <w:pPr>
              <w:spacing w:before="60" w:after="60"/>
              <w:jc w:val="left"/>
              <w:rPr>
                <w:bCs w:val="0"/>
                <w:color w:val="000000"/>
                <w:sz w:val="18"/>
                <w:szCs w:val="18"/>
                <w:lang w:eastAsia="fr-FR"/>
              </w:rPr>
            </w:pPr>
            <w:r w:rsidRPr="00635CFC">
              <w:rPr>
                <w:bCs w:val="0"/>
                <w:color w:val="000000"/>
                <w:sz w:val="18"/>
                <w:szCs w:val="18"/>
                <w:lang w:eastAsia="fr-FR"/>
              </w:rPr>
              <w:t>Bonus de Renouvellement de permis d’exploration</w:t>
            </w:r>
          </w:p>
        </w:tc>
        <w:tc>
          <w:tcPr>
            <w:tcW w:w="0" w:type="auto"/>
            <w:shd w:val="clear" w:color="000000" w:fill="B8CCE4"/>
            <w:noWrap/>
            <w:vAlign w:val="center"/>
            <w:hideMark/>
          </w:tcPr>
          <w:p w:rsidR="00A079F7" w:rsidRPr="00BE136F" w:rsidRDefault="00A079F7" w:rsidP="00E514F4">
            <w:pPr>
              <w:spacing w:before="60" w:after="60"/>
              <w:jc w:val="center"/>
              <w:rPr>
                <w:rFonts w:ascii="Wingdings" w:hAnsi="Wingdings" w:cs="Times New Roman"/>
                <w:bCs w:val="0"/>
                <w:color w:val="000000"/>
                <w:sz w:val="22"/>
                <w:lang w:eastAsia="fr-FR"/>
              </w:rPr>
            </w:pPr>
            <w:r w:rsidRPr="00BE136F">
              <w:rPr>
                <w:rFonts w:ascii="Wingdings" w:hAnsi="Wingdings" w:cs="Times New Roman"/>
                <w:bCs w:val="0"/>
                <w:color w:val="000000"/>
                <w:sz w:val="22"/>
                <w:lang w:eastAsia="fr-FR"/>
              </w:rPr>
              <w:t></w:t>
            </w:r>
          </w:p>
        </w:tc>
        <w:tc>
          <w:tcPr>
            <w:tcW w:w="0" w:type="auto"/>
            <w:shd w:val="clear" w:color="000000" w:fill="B8CCE4"/>
            <w:vAlign w:val="center"/>
            <w:hideMark/>
          </w:tcPr>
          <w:p w:rsidR="00A079F7" w:rsidRPr="00BE136F" w:rsidRDefault="00A079F7" w:rsidP="00E514F4">
            <w:pPr>
              <w:spacing w:before="60" w:after="60"/>
              <w:jc w:val="center"/>
              <w:rPr>
                <w:bCs w:val="0"/>
                <w:color w:val="000000"/>
                <w:sz w:val="22"/>
                <w:lang w:eastAsia="fr-FR"/>
              </w:rPr>
            </w:pPr>
          </w:p>
        </w:tc>
        <w:tc>
          <w:tcPr>
            <w:tcW w:w="0" w:type="auto"/>
            <w:tcBorders>
              <w:right w:val="single" w:sz="4" w:space="0" w:color="4F81BD" w:themeColor="accent1"/>
            </w:tcBorders>
            <w:shd w:val="clear" w:color="000000" w:fill="B8CCE4"/>
            <w:vAlign w:val="center"/>
            <w:hideMark/>
          </w:tcPr>
          <w:p w:rsidR="00A079F7" w:rsidRPr="00BE136F" w:rsidRDefault="00A079F7" w:rsidP="00E514F4">
            <w:pPr>
              <w:spacing w:before="60" w:after="60"/>
              <w:jc w:val="center"/>
              <w:rPr>
                <w:bCs w:val="0"/>
                <w:color w:val="000000"/>
                <w:sz w:val="18"/>
                <w:szCs w:val="18"/>
                <w:lang w:eastAsia="fr-FR"/>
              </w:rPr>
            </w:pPr>
            <w:r w:rsidRPr="00BE136F">
              <w:rPr>
                <w:bCs w:val="0"/>
                <w:color w:val="000000"/>
                <w:sz w:val="18"/>
                <w:szCs w:val="18"/>
                <w:lang w:eastAsia="fr-FR"/>
              </w:rPr>
              <w:t>R</w:t>
            </w:r>
          </w:p>
        </w:tc>
      </w:tr>
      <w:tr w:rsidR="00A079F7" w:rsidRPr="005159F3" w:rsidTr="00E514F4">
        <w:trPr>
          <w:trHeight w:val="285"/>
        </w:trPr>
        <w:tc>
          <w:tcPr>
            <w:tcW w:w="0" w:type="auto"/>
            <w:vMerge/>
            <w:vAlign w:val="center"/>
            <w:hideMark/>
          </w:tcPr>
          <w:p w:rsidR="00A079F7" w:rsidRPr="005159F3" w:rsidRDefault="00A079F7" w:rsidP="00E514F4">
            <w:pPr>
              <w:spacing w:before="60" w:after="60"/>
              <w:jc w:val="left"/>
              <w:rPr>
                <w:b/>
                <w:sz w:val="18"/>
                <w:szCs w:val="18"/>
                <w:highlight w:val="yellow"/>
                <w:lang w:eastAsia="fr-FR"/>
              </w:rPr>
            </w:pPr>
          </w:p>
        </w:tc>
        <w:tc>
          <w:tcPr>
            <w:tcW w:w="0" w:type="auto"/>
            <w:shd w:val="clear" w:color="000000" w:fill="FFFFFF"/>
            <w:vAlign w:val="center"/>
            <w:hideMark/>
          </w:tcPr>
          <w:p w:rsidR="00A079F7" w:rsidRPr="00635CFC" w:rsidRDefault="00A079F7" w:rsidP="00E514F4">
            <w:pPr>
              <w:spacing w:before="60" w:after="60"/>
              <w:jc w:val="left"/>
              <w:rPr>
                <w:bCs w:val="0"/>
                <w:color w:val="000000"/>
                <w:sz w:val="18"/>
                <w:szCs w:val="18"/>
                <w:lang w:eastAsia="fr-FR"/>
              </w:rPr>
            </w:pPr>
            <w:r w:rsidRPr="00635CFC">
              <w:rPr>
                <w:bCs w:val="0"/>
                <w:color w:val="000000"/>
                <w:sz w:val="18"/>
                <w:szCs w:val="18"/>
                <w:lang w:eastAsia="fr-FR"/>
              </w:rPr>
              <w:t>Bonus de Permis d’Exploitation</w:t>
            </w:r>
          </w:p>
        </w:tc>
        <w:tc>
          <w:tcPr>
            <w:tcW w:w="0" w:type="auto"/>
            <w:shd w:val="clear" w:color="auto" w:fill="auto"/>
            <w:noWrap/>
            <w:vAlign w:val="center"/>
            <w:hideMark/>
          </w:tcPr>
          <w:p w:rsidR="00A079F7" w:rsidRPr="00BE136F" w:rsidRDefault="00A079F7" w:rsidP="00E514F4">
            <w:pPr>
              <w:spacing w:before="60" w:after="60"/>
              <w:jc w:val="center"/>
              <w:rPr>
                <w:rFonts w:ascii="Wingdings" w:hAnsi="Wingdings" w:cs="Times New Roman"/>
                <w:bCs w:val="0"/>
                <w:color w:val="000000"/>
                <w:sz w:val="22"/>
                <w:lang w:eastAsia="fr-FR"/>
              </w:rPr>
            </w:pPr>
            <w:r w:rsidRPr="00BE136F">
              <w:rPr>
                <w:rFonts w:ascii="Wingdings" w:hAnsi="Wingdings" w:cs="Times New Roman"/>
                <w:bCs w:val="0"/>
                <w:color w:val="000000"/>
                <w:sz w:val="22"/>
                <w:lang w:eastAsia="fr-FR"/>
              </w:rPr>
              <w:t></w:t>
            </w:r>
          </w:p>
        </w:tc>
        <w:tc>
          <w:tcPr>
            <w:tcW w:w="0" w:type="auto"/>
            <w:shd w:val="clear" w:color="000000" w:fill="FFFFFF"/>
            <w:vAlign w:val="center"/>
            <w:hideMark/>
          </w:tcPr>
          <w:p w:rsidR="00A079F7" w:rsidRPr="00BE136F" w:rsidRDefault="00A079F7" w:rsidP="00E514F4">
            <w:pPr>
              <w:spacing w:before="60" w:after="60"/>
              <w:jc w:val="center"/>
              <w:rPr>
                <w:bCs w:val="0"/>
                <w:color w:val="000000"/>
                <w:sz w:val="22"/>
                <w:lang w:eastAsia="fr-FR"/>
              </w:rPr>
            </w:pPr>
          </w:p>
        </w:tc>
        <w:tc>
          <w:tcPr>
            <w:tcW w:w="0" w:type="auto"/>
            <w:tcBorders>
              <w:right w:val="single" w:sz="4" w:space="0" w:color="4F81BD" w:themeColor="accent1"/>
            </w:tcBorders>
            <w:shd w:val="clear" w:color="000000" w:fill="FFFFFF"/>
            <w:vAlign w:val="center"/>
            <w:hideMark/>
          </w:tcPr>
          <w:p w:rsidR="00A079F7" w:rsidRPr="00BE136F" w:rsidRDefault="00A079F7" w:rsidP="00E514F4">
            <w:pPr>
              <w:spacing w:before="60" w:after="60"/>
              <w:jc w:val="center"/>
              <w:rPr>
                <w:bCs w:val="0"/>
                <w:color w:val="000000"/>
                <w:sz w:val="18"/>
                <w:szCs w:val="18"/>
                <w:lang w:eastAsia="fr-FR"/>
              </w:rPr>
            </w:pPr>
            <w:r w:rsidRPr="00BE136F">
              <w:rPr>
                <w:bCs w:val="0"/>
                <w:color w:val="000000"/>
                <w:sz w:val="18"/>
                <w:szCs w:val="18"/>
                <w:lang w:eastAsia="fr-FR"/>
              </w:rPr>
              <w:t>R</w:t>
            </w:r>
          </w:p>
        </w:tc>
      </w:tr>
      <w:tr w:rsidR="00A079F7" w:rsidRPr="005159F3" w:rsidTr="00E514F4">
        <w:trPr>
          <w:trHeight w:val="285"/>
        </w:trPr>
        <w:tc>
          <w:tcPr>
            <w:tcW w:w="0" w:type="auto"/>
            <w:vMerge/>
            <w:vAlign w:val="center"/>
            <w:hideMark/>
          </w:tcPr>
          <w:p w:rsidR="00A079F7" w:rsidRPr="005159F3" w:rsidRDefault="00A079F7" w:rsidP="00E514F4">
            <w:pPr>
              <w:spacing w:before="60" w:after="60"/>
              <w:jc w:val="left"/>
              <w:rPr>
                <w:b/>
                <w:sz w:val="18"/>
                <w:szCs w:val="18"/>
                <w:highlight w:val="yellow"/>
                <w:lang w:eastAsia="fr-FR"/>
              </w:rPr>
            </w:pPr>
          </w:p>
        </w:tc>
        <w:tc>
          <w:tcPr>
            <w:tcW w:w="0" w:type="auto"/>
            <w:shd w:val="clear" w:color="000000" w:fill="B8CCE4"/>
            <w:vAlign w:val="center"/>
            <w:hideMark/>
          </w:tcPr>
          <w:p w:rsidR="00A079F7" w:rsidRPr="00635CFC" w:rsidRDefault="00A079F7" w:rsidP="00E514F4">
            <w:pPr>
              <w:spacing w:before="60" w:after="60"/>
              <w:jc w:val="left"/>
              <w:rPr>
                <w:bCs w:val="0"/>
                <w:color w:val="000000"/>
                <w:sz w:val="18"/>
                <w:szCs w:val="18"/>
                <w:lang w:eastAsia="fr-FR"/>
              </w:rPr>
            </w:pPr>
            <w:r w:rsidRPr="00635CFC">
              <w:rPr>
                <w:bCs w:val="0"/>
                <w:color w:val="000000"/>
                <w:sz w:val="18"/>
                <w:szCs w:val="18"/>
                <w:lang w:eastAsia="fr-FR"/>
              </w:rPr>
              <w:t>Bonus de renouvellement de la Concession</w:t>
            </w:r>
          </w:p>
        </w:tc>
        <w:tc>
          <w:tcPr>
            <w:tcW w:w="0" w:type="auto"/>
            <w:shd w:val="clear" w:color="000000" w:fill="B8CCE4"/>
            <w:noWrap/>
            <w:vAlign w:val="center"/>
            <w:hideMark/>
          </w:tcPr>
          <w:p w:rsidR="00A079F7" w:rsidRPr="00BE136F" w:rsidRDefault="00A079F7" w:rsidP="00E514F4">
            <w:pPr>
              <w:spacing w:before="60" w:after="60"/>
              <w:jc w:val="center"/>
              <w:rPr>
                <w:rFonts w:ascii="Wingdings" w:hAnsi="Wingdings" w:cs="Times New Roman"/>
                <w:bCs w:val="0"/>
                <w:color w:val="000000"/>
                <w:sz w:val="22"/>
                <w:lang w:eastAsia="fr-FR"/>
              </w:rPr>
            </w:pPr>
            <w:r w:rsidRPr="00BE136F">
              <w:rPr>
                <w:rFonts w:ascii="Wingdings" w:hAnsi="Wingdings" w:cs="Times New Roman"/>
                <w:bCs w:val="0"/>
                <w:color w:val="000000"/>
                <w:sz w:val="22"/>
                <w:lang w:eastAsia="fr-FR"/>
              </w:rPr>
              <w:t></w:t>
            </w:r>
          </w:p>
        </w:tc>
        <w:tc>
          <w:tcPr>
            <w:tcW w:w="0" w:type="auto"/>
            <w:shd w:val="clear" w:color="000000" w:fill="B8CCE4"/>
            <w:vAlign w:val="bottom"/>
          </w:tcPr>
          <w:p w:rsidR="00A079F7" w:rsidRPr="00BE136F" w:rsidRDefault="00A079F7" w:rsidP="00E514F4">
            <w:pPr>
              <w:spacing w:before="60" w:after="60"/>
              <w:jc w:val="center"/>
              <w:rPr>
                <w:rFonts w:ascii="Wingdings" w:hAnsi="Wingdings" w:cs="Times New Roman"/>
                <w:bCs w:val="0"/>
                <w:color w:val="000000"/>
                <w:sz w:val="22"/>
                <w:lang w:eastAsia="fr-FR"/>
              </w:rPr>
            </w:pPr>
          </w:p>
        </w:tc>
        <w:tc>
          <w:tcPr>
            <w:tcW w:w="0" w:type="auto"/>
            <w:tcBorders>
              <w:right w:val="single" w:sz="4" w:space="0" w:color="4F81BD" w:themeColor="accent1"/>
            </w:tcBorders>
            <w:shd w:val="clear" w:color="000000" w:fill="B8CCE4"/>
            <w:vAlign w:val="center"/>
            <w:hideMark/>
          </w:tcPr>
          <w:p w:rsidR="00A079F7" w:rsidRPr="00BE136F" w:rsidRDefault="00A079F7" w:rsidP="00E514F4">
            <w:pPr>
              <w:spacing w:before="60" w:after="60"/>
              <w:jc w:val="center"/>
              <w:rPr>
                <w:bCs w:val="0"/>
                <w:color w:val="000000"/>
                <w:sz w:val="18"/>
                <w:szCs w:val="18"/>
                <w:lang w:eastAsia="fr-FR"/>
              </w:rPr>
            </w:pPr>
            <w:r w:rsidRPr="00BE136F">
              <w:rPr>
                <w:bCs w:val="0"/>
                <w:color w:val="000000"/>
                <w:sz w:val="18"/>
                <w:szCs w:val="18"/>
                <w:lang w:eastAsia="fr-FR"/>
              </w:rPr>
              <w:t>R</w:t>
            </w:r>
          </w:p>
        </w:tc>
      </w:tr>
      <w:tr w:rsidR="00A079F7" w:rsidRPr="005159F3" w:rsidTr="00E514F4">
        <w:trPr>
          <w:trHeight w:val="285"/>
        </w:trPr>
        <w:tc>
          <w:tcPr>
            <w:tcW w:w="0" w:type="auto"/>
            <w:vMerge/>
            <w:vAlign w:val="center"/>
            <w:hideMark/>
          </w:tcPr>
          <w:p w:rsidR="00A079F7" w:rsidRPr="005159F3" w:rsidRDefault="00A079F7" w:rsidP="00E514F4">
            <w:pPr>
              <w:spacing w:before="60" w:after="60"/>
              <w:jc w:val="left"/>
              <w:rPr>
                <w:b/>
                <w:sz w:val="18"/>
                <w:szCs w:val="18"/>
                <w:highlight w:val="yellow"/>
                <w:lang w:eastAsia="fr-FR"/>
              </w:rPr>
            </w:pPr>
          </w:p>
        </w:tc>
        <w:tc>
          <w:tcPr>
            <w:tcW w:w="0" w:type="auto"/>
            <w:shd w:val="clear" w:color="000000" w:fill="FFFFFF"/>
            <w:vAlign w:val="center"/>
            <w:hideMark/>
          </w:tcPr>
          <w:p w:rsidR="00A079F7" w:rsidRPr="005159F3" w:rsidRDefault="00A079F7" w:rsidP="00E514F4">
            <w:pPr>
              <w:spacing w:before="60" w:after="60"/>
              <w:jc w:val="left"/>
              <w:rPr>
                <w:bCs w:val="0"/>
                <w:color w:val="000000"/>
                <w:sz w:val="18"/>
                <w:szCs w:val="18"/>
                <w:highlight w:val="yellow"/>
                <w:lang w:eastAsia="fr-FR"/>
              </w:rPr>
            </w:pPr>
            <w:r w:rsidRPr="00635CFC">
              <w:rPr>
                <w:bCs w:val="0"/>
                <w:color w:val="000000"/>
                <w:sz w:val="18"/>
                <w:szCs w:val="18"/>
                <w:lang w:eastAsia="fr-FR"/>
              </w:rPr>
              <w:t>Dividendes versées à l’Etat</w:t>
            </w:r>
          </w:p>
        </w:tc>
        <w:tc>
          <w:tcPr>
            <w:tcW w:w="0" w:type="auto"/>
            <w:shd w:val="clear" w:color="auto" w:fill="auto"/>
            <w:noWrap/>
            <w:vAlign w:val="center"/>
            <w:hideMark/>
          </w:tcPr>
          <w:p w:rsidR="00A079F7" w:rsidRPr="00BE136F" w:rsidRDefault="00A079F7" w:rsidP="00E514F4">
            <w:pPr>
              <w:spacing w:before="60" w:after="60"/>
              <w:jc w:val="center"/>
              <w:rPr>
                <w:rFonts w:ascii="Wingdings" w:hAnsi="Wingdings" w:cs="Times New Roman"/>
                <w:bCs w:val="0"/>
                <w:color w:val="000000"/>
                <w:sz w:val="22"/>
                <w:lang w:eastAsia="fr-FR"/>
              </w:rPr>
            </w:pPr>
            <w:r w:rsidRPr="00BE136F">
              <w:rPr>
                <w:rFonts w:ascii="Wingdings" w:hAnsi="Wingdings" w:cs="Times New Roman"/>
                <w:bCs w:val="0"/>
                <w:color w:val="000000"/>
                <w:sz w:val="22"/>
                <w:lang w:eastAsia="fr-FR"/>
              </w:rPr>
              <w:t></w:t>
            </w:r>
          </w:p>
        </w:tc>
        <w:tc>
          <w:tcPr>
            <w:tcW w:w="0" w:type="auto"/>
            <w:shd w:val="clear" w:color="auto" w:fill="auto"/>
            <w:noWrap/>
            <w:vAlign w:val="center"/>
            <w:hideMark/>
          </w:tcPr>
          <w:p w:rsidR="00A079F7" w:rsidRPr="00BE136F" w:rsidRDefault="00A079F7" w:rsidP="00E514F4">
            <w:pPr>
              <w:spacing w:before="60" w:after="60"/>
              <w:jc w:val="center"/>
              <w:rPr>
                <w:rFonts w:ascii="Wingdings" w:hAnsi="Wingdings" w:cs="Times New Roman"/>
                <w:bCs w:val="0"/>
                <w:color w:val="000000"/>
                <w:sz w:val="22"/>
                <w:lang w:eastAsia="fr-FR"/>
              </w:rPr>
            </w:pPr>
            <w:r w:rsidRPr="00BE136F">
              <w:rPr>
                <w:rFonts w:ascii="Wingdings" w:hAnsi="Wingdings" w:cs="Times New Roman"/>
                <w:bCs w:val="0"/>
                <w:color w:val="000000"/>
                <w:sz w:val="22"/>
                <w:lang w:eastAsia="fr-FR"/>
              </w:rPr>
              <w:t></w:t>
            </w:r>
          </w:p>
        </w:tc>
        <w:tc>
          <w:tcPr>
            <w:tcW w:w="0" w:type="auto"/>
            <w:tcBorders>
              <w:right w:val="single" w:sz="4" w:space="0" w:color="4F81BD" w:themeColor="accent1"/>
            </w:tcBorders>
            <w:shd w:val="clear" w:color="000000" w:fill="FFFFFF"/>
            <w:vAlign w:val="center"/>
            <w:hideMark/>
          </w:tcPr>
          <w:p w:rsidR="00A079F7" w:rsidRPr="00BE136F" w:rsidRDefault="00A079F7" w:rsidP="00E514F4">
            <w:pPr>
              <w:spacing w:before="60" w:after="60"/>
              <w:jc w:val="center"/>
              <w:rPr>
                <w:bCs w:val="0"/>
                <w:color w:val="000000"/>
                <w:sz w:val="18"/>
                <w:szCs w:val="18"/>
                <w:lang w:eastAsia="fr-FR"/>
              </w:rPr>
            </w:pPr>
            <w:r w:rsidRPr="00BE136F">
              <w:rPr>
                <w:bCs w:val="0"/>
                <w:color w:val="000000"/>
                <w:sz w:val="18"/>
                <w:szCs w:val="18"/>
                <w:lang w:eastAsia="fr-FR"/>
              </w:rPr>
              <w:t>R</w:t>
            </w:r>
          </w:p>
        </w:tc>
      </w:tr>
      <w:tr w:rsidR="00A079F7" w:rsidRPr="005159F3" w:rsidTr="00E514F4">
        <w:trPr>
          <w:trHeight w:val="285"/>
        </w:trPr>
        <w:tc>
          <w:tcPr>
            <w:tcW w:w="0" w:type="auto"/>
            <w:vMerge/>
            <w:vAlign w:val="center"/>
            <w:hideMark/>
          </w:tcPr>
          <w:p w:rsidR="00A079F7" w:rsidRPr="005159F3" w:rsidRDefault="00A079F7" w:rsidP="00E514F4">
            <w:pPr>
              <w:spacing w:before="60" w:after="60"/>
              <w:jc w:val="left"/>
              <w:rPr>
                <w:b/>
                <w:sz w:val="18"/>
                <w:szCs w:val="18"/>
                <w:highlight w:val="yellow"/>
                <w:lang w:eastAsia="fr-FR"/>
              </w:rPr>
            </w:pPr>
          </w:p>
        </w:tc>
        <w:tc>
          <w:tcPr>
            <w:tcW w:w="0" w:type="auto"/>
            <w:shd w:val="clear" w:color="000000" w:fill="B8CCE4"/>
            <w:vAlign w:val="center"/>
            <w:hideMark/>
          </w:tcPr>
          <w:p w:rsidR="00A079F7" w:rsidRPr="005159F3" w:rsidRDefault="00A079F7" w:rsidP="00E514F4">
            <w:pPr>
              <w:spacing w:before="60" w:after="60"/>
              <w:jc w:val="left"/>
              <w:rPr>
                <w:bCs w:val="0"/>
                <w:color w:val="000000"/>
                <w:sz w:val="18"/>
                <w:szCs w:val="18"/>
                <w:highlight w:val="yellow"/>
                <w:lang w:eastAsia="fr-FR"/>
              </w:rPr>
            </w:pPr>
            <w:r w:rsidRPr="00635CFC">
              <w:rPr>
                <w:bCs w:val="0"/>
                <w:color w:val="000000"/>
                <w:sz w:val="18"/>
                <w:szCs w:val="18"/>
                <w:lang w:eastAsia="fr-FR"/>
              </w:rPr>
              <w:t>Pas-de-porte versés à l'Etat</w:t>
            </w:r>
          </w:p>
        </w:tc>
        <w:tc>
          <w:tcPr>
            <w:tcW w:w="0" w:type="auto"/>
            <w:shd w:val="clear" w:color="000000" w:fill="B8CCE4"/>
            <w:vAlign w:val="center"/>
            <w:hideMark/>
          </w:tcPr>
          <w:p w:rsidR="00A079F7" w:rsidRPr="00BE136F" w:rsidRDefault="00A079F7" w:rsidP="00E514F4">
            <w:pPr>
              <w:spacing w:before="60" w:after="60"/>
              <w:jc w:val="center"/>
              <w:rPr>
                <w:bCs w:val="0"/>
                <w:color w:val="000000"/>
                <w:sz w:val="22"/>
                <w:lang w:eastAsia="fr-FR"/>
              </w:rPr>
            </w:pPr>
          </w:p>
        </w:tc>
        <w:tc>
          <w:tcPr>
            <w:tcW w:w="0" w:type="auto"/>
            <w:shd w:val="clear" w:color="000000" w:fill="B8CCE4"/>
            <w:noWrap/>
            <w:vAlign w:val="center"/>
            <w:hideMark/>
          </w:tcPr>
          <w:p w:rsidR="00A079F7" w:rsidRPr="00BE136F" w:rsidRDefault="00A079F7" w:rsidP="00E514F4">
            <w:pPr>
              <w:spacing w:before="60" w:after="60"/>
              <w:jc w:val="center"/>
              <w:rPr>
                <w:rFonts w:ascii="Wingdings" w:hAnsi="Wingdings" w:cs="Times New Roman"/>
                <w:bCs w:val="0"/>
                <w:color w:val="000000"/>
                <w:sz w:val="22"/>
                <w:lang w:eastAsia="fr-FR"/>
              </w:rPr>
            </w:pPr>
            <w:r w:rsidRPr="00BE136F">
              <w:rPr>
                <w:rFonts w:ascii="Wingdings" w:hAnsi="Wingdings" w:cs="Times New Roman"/>
                <w:bCs w:val="0"/>
                <w:color w:val="000000"/>
                <w:sz w:val="22"/>
                <w:lang w:eastAsia="fr-FR"/>
              </w:rPr>
              <w:t></w:t>
            </w:r>
          </w:p>
        </w:tc>
        <w:tc>
          <w:tcPr>
            <w:tcW w:w="0" w:type="auto"/>
            <w:tcBorders>
              <w:right w:val="single" w:sz="4" w:space="0" w:color="4F81BD" w:themeColor="accent1"/>
            </w:tcBorders>
            <w:shd w:val="clear" w:color="000000" w:fill="B8CCE4"/>
            <w:vAlign w:val="center"/>
            <w:hideMark/>
          </w:tcPr>
          <w:p w:rsidR="00A079F7" w:rsidRPr="00BE136F" w:rsidRDefault="00A079F7" w:rsidP="00E514F4">
            <w:pPr>
              <w:spacing w:before="60" w:after="60"/>
              <w:jc w:val="center"/>
              <w:rPr>
                <w:bCs w:val="0"/>
                <w:color w:val="000000"/>
                <w:sz w:val="18"/>
                <w:szCs w:val="18"/>
                <w:lang w:eastAsia="fr-FR"/>
              </w:rPr>
            </w:pPr>
            <w:r w:rsidRPr="00BE136F">
              <w:rPr>
                <w:bCs w:val="0"/>
                <w:color w:val="000000"/>
                <w:sz w:val="18"/>
                <w:szCs w:val="18"/>
                <w:lang w:eastAsia="fr-FR"/>
              </w:rPr>
              <w:t>R</w:t>
            </w:r>
          </w:p>
        </w:tc>
      </w:tr>
      <w:tr w:rsidR="00A079F7" w:rsidRPr="005159F3" w:rsidTr="00E514F4">
        <w:trPr>
          <w:trHeight w:val="285"/>
        </w:trPr>
        <w:tc>
          <w:tcPr>
            <w:tcW w:w="0" w:type="auto"/>
            <w:vMerge/>
            <w:vAlign w:val="center"/>
            <w:hideMark/>
          </w:tcPr>
          <w:p w:rsidR="00A079F7" w:rsidRPr="005159F3" w:rsidRDefault="00A079F7" w:rsidP="00E514F4">
            <w:pPr>
              <w:spacing w:before="60" w:after="60"/>
              <w:jc w:val="left"/>
              <w:rPr>
                <w:b/>
                <w:sz w:val="18"/>
                <w:szCs w:val="18"/>
                <w:highlight w:val="yellow"/>
                <w:lang w:eastAsia="fr-FR"/>
              </w:rPr>
            </w:pPr>
          </w:p>
        </w:tc>
        <w:tc>
          <w:tcPr>
            <w:tcW w:w="0" w:type="auto"/>
            <w:shd w:val="clear" w:color="000000" w:fill="FFFFFF"/>
            <w:vAlign w:val="center"/>
            <w:hideMark/>
          </w:tcPr>
          <w:p w:rsidR="00A079F7" w:rsidRPr="005159F3" w:rsidRDefault="00A079F7" w:rsidP="00E514F4">
            <w:pPr>
              <w:spacing w:before="60" w:after="60"/>
              <w:jc w:val="left"/>
              <w:rPr>
                <w:bCs w:val="0"/>
                <w:color w:val="000000"/>
                <w:sz w:val="18"/>
                <w:szCs w:val="18"/>
                <w:highlight w:val="yellow"/>
                <w:lang w:eastAsia="fr-FR"/>
              </w:rPr>
            </w:pPr>
            <w:r w:rsidRPr="00635CFC">
              <w:rPr>
                <w:bCs w:val="0"/>
                <w:color w:val="000000"/>
                <w:sz w:val="18"/>
                <w:szCs w:val="18"/>
                <w:lang w:eastAsia="fr-FR"/>
              </w:rPr>
              <w:t>Ventes Actions et Parts Sociales de l'Etat</w:t>
            </w:r>
          </w:p>
        </w:tc>
        <w:tc>
          <w:tcPr>
            <w:tcW w:w="0" w:type="auto"/>
            <w:shd w:val="clear" w:color="000000" w:fill="FFFFFF"/>
            <w:vAlign w:val="center"/>
            <w:hideMark/>
          </w:tcPr>
          <w:p w:rsidR="00A079F7" w:rsidRPr="00BE136F" w:rsidRDefault="00A079F7" w:rsidP="00E514F4">
            <w:pPr>
              <w:spacing w:before="60" w:after="60"/>
              <w:jc w:val="center"/>
              <w:rPr>
                <w:bCs w:val="0"/>
                <w:color w:val="000000"/>
                <w:sz w:val="22"/>
                <w:lang w:eastAsia="fr-FR"/>
              </w:rPr>
            </w:pPr>
          </w:p>
        </w:tc>
        <w:tc>
          <w:tcPr>
            <w:tcW w:w="0" w:type="auto"/>
            <w:shd w:val="clear" w:color="auto" w:fill="auto"/>
            <w:noWrap/>
            <w:vAlign w:val="center"/>
            <w:hideMark/>
          </w:tcPr>
          <w:p w:rsidR="00A079F7" w:rsidRPr="00BE136F" w:rsidRDefault="00A079F7" w:rsidP="00E514F4">
            <w:pPr>
              <w:spacing w:before="60" w:after="60"/>
              <w:jc w:val="center"/>
              <w:rPr>
                <w:rFonts w:ascii="Wingdings" w:hAnsi="Wingdings" w:cs="Times New Roman"/>
                <w:bCs w:val="0"/>
                <w:color w:val="000000"/>
                <w:sz w:val="22"/>
                <w:lang w:eastAsia="fr-FR"/>
              </w:rPr>
            </w:pPr>
            <w:r w:rsidRPr="00BE136F">
              <w:rPr>
                <w:rFonts w:ascii="Wingdings" w:hAnsi="Wingdings" w:cs="Times New Roman"/>
                <w:bCs w:val="0"/>
                <w:color w:val="000000"/>
                <w:sz w:val="22"/>
                <w:lang w:eastAsia="fr-FR"/>
              </w:rPr>
              <w:t></w:t>
            </w:r>
          </w:p>
        </w:tc>
        <w:tc>
          <w:tcPr>
            <w:tcW w:w="0" w:type="auto"/>
            <w:tcBorders>
              <w:right w:val="single" w:sz="4" w:space="0" w:color="4F81BD" w:themeColor="accent1"/>
            </w:tcBorders>
            <w:shd w:val="clear" w:color="000000" w:fill="FFFFFF"/>
            <w:vAlign w:val="center"/>
            <w:hideMark/>
          </w:tcPr>
          <w:p w:rsidR="00A079F7" w:rsidRPr="00BE136F" w:rsidRDefault="00A079F7" w:rsidP="00E514F4">
            <w:pPr>
              <w:spacing w:before="60" w:after="60"/>
              <w:jc w:val="center"/>
              <w:rPr>
                <w:bCs w:val="0"/>
                <w:color w:val="000000"/>
                <w:sz w:val="18"/>
                <w:szCs w:val="18"/>
                <w:lang w:eastAsia="fr-FR"/>
              </w:rPr>
            </w:pPr>
            <w:r w:rsidRPr="00BE136F">
              <w:rPr>
                <w:bCs w:val="0"/>
                <w:color w:val="000000"/>
                <w:sz w:val="18"/>
                <w:szCs w:val="18"/>
                <w:lang w:eastAsia="fr-FR"/>
              </w:rPr>
              <w:t>R</w:t>
            </w:r>
          </w:p>
        </w:tc>
      </w:tr>
      <w:tr w:rsidR="00A079F7" w:rsidRPr="005159F3" w:rsidTr="00E514F4">
        <w:trPr>
          <w:trHeight w:val="285"/>
        </w:trPr>
        <w:tc>
          <w:tcPr>
            <w:tcW w:w="0" w:type="auto"/>
            <w:vMerge/>
            <w:vAlign w:val="center"/>
            <w:hideMark/>
          </w:tcPr>
          <w:p w:rsidR="00A079F7" w:rsidRPr="005159F3" w:rsidRDefault="00A079F7" w:rsidP="00E514F4">
            <w:pPr>
              <w:spacing w:before="60" w:after="60"/>
              <w:jc w:val="left"/>
              <w:rPr>
                <w:b/>
                <w:sz w:val="18"/>
                <w:szCs w:val="18"/>
                <w:highlight w:val="yellow"/>
                <w:lang w:eastAsia="fr-FR"/>
              </w:rPr>
            </w:pPr>
          </w:p>
        </w:tc>
        <w:tc>
          <w:tcPr>
            <w:tcW w:w="0" w:type="auto"/>
            <w:shd w:val="clear" w:color="000000" w:fill="B8CCE4"/>
            <w:vAlign w:val="center"/>
            <w:hideMark/>
          </w:tcPr>
          <w:p w:rsidR="00A079F7" w:rsidRPr="005159F3" w:rsidRDefault="00A079F7" w:rsidP="00E514F4">
            <w:pPr>
              <w:spacing w:before="60" w:after="60"/>
              <w:jc w:val="left"/>
              <w:rPr>
                <w:bCs w:val="0"/>
                <w:color w:val="000000"/>
                <w:sz w:val="18"/>
                <w:szCs w:val="18"/>
                <w:highlight w:val="yellow"/>
                <w:lang w:eastAsia="fr-FR"/>
              </w:rPr>
            </w:pPr>
            <w:r w:rsidRPr="00635CFC">
              <w:rPr>
                <w:bCs w:val="0"/>
                <w:color w:val="000000"/>
                <w:sz w:val="18"/>
                <w:szCs w:val="18"/>
                <w:lang w:eastAsia="fr-FR"/>
              </w:rPr>
              <w:t>Droits superficiaires annuels par carré</w:t>
            </w:r>
          </w:p>
        </w:tc>
        <w:tc>
          <w:tcPr>
            <w:tcW w:w="0" w:type="auto"/>
            <w:shd w:val="clear" w:color="000000" w:fill="B8CCE4"/>
            <w:noWrap/>
            <w:vAlign w:val="center"/>
            <w:hideMark/>
          </w:tcPr>
          <w:p w:rsidR="00A079F7" w:rsidRPr="00BE136F" w:rsidRDefault="00A079F7" w:rsidP="00E514F4">
            <w:pPr>
              <w:spacing w:before="60" w:after="60"/>
              <w:jc w:val="center"/>
              <w:rPr>
                <w:rFonts w:ascii="Wingdings" w:hAnsi="Wingdings" w:cs="Times New Roman"/>
                <w:bCs w:val="0"/>
                <w:color w:val="000000"/>
                <w:sz w:val="22"/>
                <w:lang w:eastAsia="fr-FR"/>
              </w:rPr>
            </w:pPr>
            <w:r w:rsidRPr="00BE136F">
              <w:rPr>
                <w:rFonts w:ascii="Wingdings" w:hAnsi="Wingdings" w:cs="Times New Roman"/>
                <w:bCs w:val="0"/>
                <w:color w:val="000000"/>
                <w:sz w:val="22"/>
                <w:lang w:eastAsia="fr-FR"/>
              </w:rPr>
              <w:t></w:t>
            </w:r>
          </w:p>
        </w:tc>
        <w:tc>
          <w:tcPr>
            <w:tcW w:w="0" w:type="auto"/>
            <w:shd w:val="clear" w:color="000000" w:fill="B8CCE4"/>
            <w:noWrap/>
            <w:vAlign w:val="center"/>
            <w:hideMark/>
          </w:tcPr>
          <w:p w:rsidR="00A079F7" w:rsidRPr="00BE136F" w:rsidRDefault="00A079F7" w:rsidP="00E514F4">
            <w:pPr>
              <w:spacing w:before="60" w:after="60"/>
              <w:jc w:val="center"/>
              <w:rPr>
                <w:rFonts w:ascii="Wingdings" w:hAnsi="Wingdings" w:cs="Times New Roman"/>
                <w:bCs w:val="0"/>
                <w:color w:val="000000"/>
                <w:sz w:val="22"/>
                <w:lang w:eastAsia="fr-FR"/>
              </w:rPr>
            </w:pPr>
            <w:r w:rsidRPr="00BE136F">
              <w:rPr>
                <w:rFonts w:ascii="Wingdings" w:hAnsi="Wingdings" w:cs="Times New Roman"/>
                <w:bCs w:val="0"/>
                <w:color w:val="000000"/>
                <w:sz w:val="22"/>
                <w:lang w:eastAsia="fr-FR"/>
              </w:rPr>
              <w:t></w:t>
            </w:r>
          </w:p>
        </w:tc>
        <w:tc>
          <w:tcPr>
            <w:tcW w:w="0" w:type="auto"/>
            <w:tcBorders>
              <w:right w:val="single" w:sz="4" w:space="0" w:color="4F81BD" w:themeColor="accent1"/>
            </w:tcBorders>
            <w:shd w:val="clear" w:color="000000" w:fill="B8CCE4"/>
            <w:vAlign w:val="center"/>
            <w:hideMark/>
          </w:tcPr>
          <w:p w:rsidR="00A079F7" w:rsidRPr="00BE136F" w:rsidRDefault="00A079F7" w:rsidP="00E514F4">
            <w:pPr>
              <w:spacing w:before="60" w:after="60"/>
              <w:jc w:val="center"/>
              <w:rPr>
                <w:bCs w:val="0"/>
                <w:color w:val="000000"/>
                <w:sz w:val="18"/>
                <w:szCs w:val="18"/>
                <w:lang w:eastAsia="fr-FR"/>
              </w:rPr>
            </w:pPr>
            <w:r w:rsidRPr="00BE136F">
              <w:rPr>
                <w:bCs w:val="0"/>
                <w:color w:val="000000"/>
                <w:sz w:val="18"/>
                <w:szCs w:val="18"/>
                <w:lang w:eastAsia="fr-FR"/>
              </w:rPr>
              <w:t>R</w:t>
            </w:r>
          </w:p>
        </w:tc>
      </w:tr>
      <w:tr w:rsidR="00A079F7" w:rsidRPr="005159F3" w:rsidTr="00E514F4">
        <w:trPr>
          <w:trHeight w:val="252"/>
        </w:trPr>
        <w:tc>
          <w:tcPr>
            <w:tcW w:w="0" w:type="auto"/>
            <w:vMerge/>
            <w:vAlign w:val="center"/>
            <w:hideMark/>
          </w:tcPr>
          <w:p w:rsidR="00A079F7" w:rsidRPr="005159F3" w:rsidRDefault="00A079F7" w:rsidP="00E514F4">
            <w:pPr>
              <w:spacing w:before="60" w:after="60"/>
              <w:jc w:val="left"/>
              <w:rPr>
                <w:b/>
                <w:sz w:val="18"/>
                <w:szCs w:val="18"/>
                <w:highlight w:val="yellow"/>
                <w:lang w:eastAsia="fr-FR"/>
              </w:rPr>
            </w:pPr>
          </w:p>
        </w:tc>
        <w:tc>
          <w:tcPr>
            <w:tcW w:w="0" w:type="auto"/>
            <w:shd w:val="clear" w:color="000000" w:fill="FFFFFF"/>
            <w:vAlign w:val="center"/>
            <w:hideMark/>
          </w:tcPr>
          <w:p w:rsidR="00A079F7" w:rsidRPr="005159F3" w:rsidRDefault="00A079F7" w:rsidP="00E514F4">
            <w:pPr>
              <w:spacing w:before="60" w:after="60"/>
              <w:jc w:val="left"/>
              <w:rPr>
                <w:bCs w:val="0"/>
                <w:color w:val="000000"/>
                <w:sz w:val="18"/>
                <w:szCs w:val="18"/>
                <w:highlight w:val="yellow"/>
                <w:lang w:eastAsia="fr-FR"/>
              </w:rPr>
            </w:pPr>
            <w:r w:rsidRPr="00635CFC">
              <w:rPr>
                <w:bCs w:val="0"/>
                <w:color w:val="000000"/>
                <w:sz w:val="18"/>
                <w:szCs w:val="18"/>
                <w:lang w:eastAsia="fr-FR"/>
              </w:rPr>
              <w:t>Marge distribuable (Profit-</w:t>
            </w:r>
            <w:proofErr w:type="spellStart"/>
            <w:r w:rsidRPr="00635CFC">
              <w:rPr>
                <w:bCs w:val="0"/>
                <w:color w:val="000000"/>
                <w:sz w:val="18"/>
                <w:szCs w:val="18"/>
                <w:lang w:eastAsia="fr-FR"/>
              </w:rPr>
              <w:t>Oil</w:t>
            </w:r>
            <w:proofErr w:type="spellEnd"/>
            <w:r w:rsidRPr="00635CFC">
              <w:rPr>
                <w:bCs w:val="0"/>
                <w:color w:val="000000"/>
                <w:sz w:val="18"/>
                <w:szCs w:val="18"/>
                <w:lang w:eastAsia="fr-FR"/>
              </w:rPr>
              <w:t xml:space="preserve"> Etat Puissance Publique)</w:t>
            </w:r>
          </w:p>
        </w:tc>
        <w:tc>
          <w:tcPr>
            <w:tcW w:w="0" w:type="auto"/>
            <w:shd w:val="clear" w:color="auto" w:fill="auto"/>
            <w:noWrap/>
            <w:vAlign w:val="center"/>
            <w:hideMark/>
          </w:tcPr>
          <w:p w:rsidR="00A079F7" w:rsidRPr="00BE136F" w:rsidRDefault="00A079F7" w:rsidP="00E514F4">
            <w:pPr>
              <w:spacing w:before="60" w:after="60"/>
              <w:jc w:val="center"/>
              <w:rPr>
                <w:rFonts w:ascii="Wingdings" w:hAnsi="Wingdings" w:cs="Times New Roman"/>
                <w:bCs w:val="0"/>
                <w:color w:val="000000"/>
                <w:sz w:val="22"/>
                <w:lang w:eastAsia="fr-FR"/>
              </w:rPr>
            </w:pPr>
            <w:r w:rsidRPr="00BE136F">
              <w:rPr>
                <w:rFonts w:ascii="Wingdings" w:hAnsi="Wingdings" w:cs="Times New Roman"/>
                <w:bCs w:val="0"/>
                <w:color w:val="000000"/>
                <w:sz w:val="22"/>
                <w:lang w:eastAsia="fr-FR"/>
              </w:rPr>
              <w:t></w:t>
            </w:r>
          </w:p>
        </w:tc>
        <w:tc>
          <w:tcPr>
            <w:tcW w:w="0" w:type="auto"/>
            <w:shd w:val="clear" w:color="000000" w:fill="FFFFFF"/>
            <w:vAlign w:val="center"/>
            <w:hideMark/>
          </w:tcPr>
          <w:p w:rsidR="00A079F7" w:rsidRPr="00BE136F" w:rsidRDefault="00A079F7" w:rsidP="00E514F4">
            <w:pPr>
              <w:spacing w:before="60" w:after="60"/>
              <w:jc w:val="center"/>
              <w:rPr>
                <w:bCs w:val="0"/>
                <w:color w:val="000000"/>
                <w:sz w:val="22"/>
                <w:lang w:eastAsia="fr-FR"/>
              </w:rPr>
            </w:pPr>
          </w:p>
        </w:tc>
        <w:tc>
          <w:tcPr>
            <w:tcW w:w="0" w:type="auto"/>
            <w:tcBorders>
              <w:right w:val="single" w:sz="4" w:space="0" w:color="4F81BD" w:themeColor="accent1"/>
            </w:tcBorders>
            <w:shd w:val="clear" w:color="000000" w:fill="FFFFFF"/>
            <w:vAlign w:val="center"/>
            <w:hideMark/>
          </w:tcPr>
          <w:p w:rsidR="00A079F7" w:rsidRPr="00BE136F" w:rsidRDefault="00A079F7" w:rsidP="00E514F4">
            <w:pPr>
              <w:spacing w:before="60" w:after="60"/>
              <w:jc w:val="center"/>
              <w:rPr>
                <w:bCs w:val="0"/>
                <w:color w:val="000000"/>
                <w:sz w:val="18"/>
                <w:szCs w:val="18"/>
                <w:lang w:eastAsia="fr-FR"/>
              </w:rPr>
            </w:pPr>
            <w:r w:rsidRPr="00BE136F">
              <w:rPr>
                <w:bCs w:val="0"/>
                <w:color w:val="000000"/>
                <w:sz w:val="18"/>
                <w:szCs w:val="18"/>
                <w:lang w:eastAsia="fr-FR"/>
              </w:rPr>
              <w:t>R</w:t>
            </w:r>
          </w:p>
        </w:tc>
      </w:tr>
      <w:tr w:rsidR="00A079F7" w:rsidRPr="005159F3" w:rsidTr="00E514F4">
        <w:trPr>
          <w:trHeight w:val="285"/>
        </w:trPr>
        <w:tc>
          <w:tcPr>
            <w:tcW w:w="0" w:type="auto"/>
            <w:vMerge/>
            <w:vAlign w:val="center"/>
            <w:hideMark/>
          </w:tcPr>
          <w:p w:rsidR="00A079F7" w:rsidRPr="005159F3" w:rsidRDefault="00A079F7" w:rsidP="00E514F4">
            <w:pPr>
              <w:spacing w:before="60" w:after="60"/>
              <w:jc w:val="left"/>
              <w:rPr>
                <w:b/>
                <w:sz w:val="18"/>
                <w:szCs w:val="18"/>
                <w:highlight w:val="yellow"/>
                <w:lang w:eastAsia="fr-FR"/>
              </w:rPr>
            </w:pPr>
          </w:p>
        </w:tc>
        <w:tc>
          <w:tcPr>
            <w:tcW w:w="0" w:type="auto"/>
            <w:shd w:val="clear" w:color="000000" w:fill="B8CCE4"/>
            <w:vAlign w:val="center"/>
            <w:hideMark/>
          </w:tcPr>
          <w:p w:rsidR="00A079F7" w:rsidRPr="005159F3" w:rsidRDefault="00A079F7" w:rsidP="00E514F4">
            <w:pPr>
              <w:spacing w:before="60" w:after="60"/>
              <w:jc w:val="left"/>
              <w:rPr>
                <w:bCs w:val="0"/>
                <w:color w:val="000000"/>
                <w:sz w:val="18"/>
                <w:szCs w:val="18"/>
                <w:highlight w:val="yellow"/>
                <w:lang w:eastAsia="fr-FR"/>
              </w:rPr>
            </w:pPr>
            <w:r w:rsidRPr="00635CFC">
              <w:rPr>
                <w:bCs w:val="0"/>
                <w:color w:val="000000"/>
                <w:sz w:val="18"/>
                <w:szCs w:val="18"/>
                <w:lang w:eastAsia="fr-FR"/>
              </w:rPr>
              <w:t>Participation (Profit-</w:t>
            </w:r>
            <w:proofErr w:type="spellStart"/>
            <w:r w:rsidRPr="00635CFC">
              <w:rPr>
                <w:bCs w:val="0"/>
                <w:color w:val="000000"/>
                <w:sz w:val="18"/>
                <w:szCs w:val="18"/>
                <w:lang w:eastAsia="fr-FR"/>
              </w:rPr>
              <w:t>Oil</w:t>
            </w:r>
            <w:proofErr w:type="spellEnd"/>
            <w:r w:rsidRPr="00635CFC">
              <w:rPr>
                <w:bCs w:val="0"/>
                <w:color w:val="000000"/>
                <w:sz w:val="18"/>
                <w:szCs w:val="18"/>
                <w:lang w:eastAsia="fr-FR"/>
              </w:rPr>
              <w:t xml:space="preserve"> Etat associé)</w:t>
            </w:r>
          </w:p>
        </w:tc>
        <w:tc>
          <w:tcPr>
            <w:tcW w:w="0" w:type="auto"/>
            <w:shd w:val="clear" w:color="000000" w:fill="B8CCE4"/>
            <w:noWrap/>
            <w:vAlign w:val="center"/>
            <w:hideMark/>
          </w:tcPr>
          <w:p w:rsidR="00A079F7" w:rsidRPr="00BE136F" w:rsidRDefault="00A079F7" w:rsidP="00E514F4">
            <w:pPr>
              <w:spacing w:before="60" w:after="60"/>
              <w:jc w:val="center"/>
              <w:rPr>
                <w:rFonts w:ascii="Wingdings" w:hAnsi="Wingdings" w:cs="Times New Roman"/>
                <w:bCs w:val="0"/>
                <w:color w:val="000000"/>
                <w:sz w:val="22"/>
                <w:lang w:eastAsia="fr-FR"/>
              </w:rPr>
            </w:pPr>
            <w:r w:rsidRPr="00BE136F">
              <w:rPr>
                <w:rFonts w:ascii="Wingdings" w:hAnsi="Wingdings" w:cs="Times New Roman"/>
                <w:bCs w:val="0"/>
                <w:color w:val="000000"/>
                <w:sz w:val="22"/>
                <w:lang w:eastAsia="fr-FR"/>
              </w:rPr>
              <w:t></w:t>
            </w:r>
          </w:p>
        </w:tc>
        <w:tc>
          <w:tcPr>
            <w:tcW w:w="0" w:type="auto"/>
            <w:shd w:val="clear" w:color="000000" w:fill="B8CCE4"/>
            <w:vAlign w:val="bottom"/>
          </w:tcPr>
          <w:p w:rsidR="00A079F7" w:rsidRPr="00BE136F" w:rsidRDefault="00A079F7" w:rsidP="00E514F4">
            <w:pPr>
              <w:spacing w:before="60" w:after="60"/>
              <w:jc w:val="center"/>
              <w:rPr>
                <w:rFonts w:ascii="Wingdings" w:hAnsi="Wingdings" w:cs="Times New Roman"/>
                <w:bCs w:val="0"/>
                <w:color w:val="000000"/>
                <w:sz w:val="22"/>
                <w:lang w:eastAsia="fr-FR"/>
              </w:rPr>
            </w:pPr>
          </w:p>
        </w:tc>
        <w:tc>
          <w:tcPr>
            <w:tcW w:w="0" w:type="auto"/>
            <w:tcBorders>
              <w:right w:val="single" w:sz="4" w:space="0" w:color="4F81BD" w:themeColor="accent1"/>
            </w:tcBorders>
            <w:shd w:val="clear" w:color="000000" w:fill="B8CCE4"/>
            <w:vAlign w:val="center"/>
            <w:hideMark/>
          </w:tcPr>
          <w:p w:rsidR="00A079F7" w:rsidRPr="00BE136F" w:rsidRDefault="00A079F7" w:rsidP="00E514F4">
            <w:pPr>
              <w:spacing w:before="60" w:after="60"/>
              <w:jc w:val="center"/>
              <w:rPr>
                <w:bCs w:val="0"/>
                <w:color w:val="000000"/>
                <w:sz w:val="18"/>
                <w:szCs w:val="18"/>
                <w:lang w:eastAsia="fr-FR"/>
              </w:rPr>
            </w:pPr>
            <w:r w:rsidRPr="00BE136F">
              <w:rPr>
                <w:bCs w:val="0"/>
                <w:color w:val="000000"/>
                <w:sz w:val="18"/>
                <w:szCs w:val="18"/>
                <w:lang w:eastAsia="fr-FR"/>
              </w:rPr>
              <w:t>R</w:t>
            </w:r>
          </w:p>
        </w:tc>
      </w:tr>
      <w:tr w:rsidR="00A079F7" w:rsidRPr="005159F3" w:rsidTr="00E514F4">
        <w:trPr>
          <w:trHeight w:val="285"/>
        </w:trPr>
        <w:tc>
          <w:tcPr>
            <w:tcW w:w="0" w:type="auto"/>
            <w:vMerge/>
            <w:vAlign w:val="center"/>
            <w:hideMark/>
          </w:tcPr>
          <w:p w:rsidR="00A079F7" w:rsidRPr="005159F3" w:rsidRDefault="00A079F7" w:rsidP="00E514F4">
            <w:pPr>
              <w:spacing w:before="60" w:after="60"/>
              <w:jc w:val="left"/>
              <w:rPr>
                <w:b/>
                <w:sz w:val="18"/>
                <w:szCs w:val="18"/>
                <w:highlight w:val="yellow"/>
                <w:lang w:eastAsia="fr-FR"/>
              </w:rPr>
            </w:pPr>
          </w:p>
        </w:tc>
        <w:tc>
          <w:tcPr>
            <w:tcW w:w="0" w:type="auto"/>
            <w:shd w:val="clear" w:color="000000" w:fill="FFFFFF"/>
            <w:vAlign w:val="center"/>
            <w:hideMark/>
          </w:tcPr>
          <w:p w:rsidR="00A079F7" w:rsidRPr="00635CFC" w:rsidRDefault="00A079F7" w:rsidP="00E514F4">
            <w:pPr>
              <w:spacing w:before="60" w:after="60"/>
              <w:jc w:val="left"/>
              <w:rPr>
                <w:bCs w:val="0"/>
                <w:color w:val="000000"/>
                <w:sz w:val="18"/>
                <w:szCs w:val="18"/>
                <w:lang w:eastAsia="fr-FR"/>
              </w:rPr>
            </w:pPr>
            <w:r w:rsidRPr="00635CFC">
              <w:rPr>
                <w:bCs w:val="0"/>
                <w:color w:val="000000"/>
                <w:sz w:val="18"/>
                <w:szCs w:val="18"/>
                <w:lang w:eastAsia="fr-FR"/>
              </w:rPr>
              <w:t>Pénalités versées au DGRAD</w:t>
            </w:r>
          </w:p>
        </w:tc>
        <w:tc>
          <w:tcPr>
            <w:tcW w:w="0" w:type="auto"/>
            <w:shd w:val="clear" w:color="000000" w:fill="FFFFFF"/>
            <w:vAlign w:val="center"/>
            <w:hideMark/>
          </w:tcPr>
          <w:p w:rsidR="00A079F7" w:rsidRPr="00BE136F" w:rsidRDefault="00A079F7" w:rsidP="00E514F4">
            <w:pPr>
              <w:spacing w:before="60" w:after="60"/>
              <w:jc w:val="center"/>
              <w:rPr>
                <w:bCs w:val="0"/>
                <w:color w:val="000000"/>
                <w:sz w:val="22"/>
                <w:lang w:eastAsia="fr-FR"/>
              </w:rPr>
            </w:pPr>
            <w:r w:rsidRPr="00BE136F">
              <w:rPr>
                <w:rFonts w:ascii="Wingdings" w:hAnsi="Wingdings" w:cs="Times New Roman"/>
                <w:bCs w:val="0"/>
                <w:color w:val="000000"/>
                <w:sz w:val="22"/>
                <w:lang w:eastAsia="fr-FR"/>
              </w:rPr>
              <w:t></w:t>
            </w:r>
          </w:p>
        </w:tc>
        <w:tc>
          <w:tcPr>
            <w:tcW w:w="0" w:type="auto"/>
            <w:shd w:val="clear" w:color="auto" w:fill="auto"/>
            <w:noWrap/>
            <w:vAlign w:val="center"/>
            <w:hideMark/>
          </w:tcPr>
          <w:p w:rsidR="00A079F7" w:rsidRPr="00BE136F" w:rsidRDefault="00A079F7" w:rsidP="00E514F4">
            <w:pPr>
              <w:spacing w:before="60" w:after="60"/>
              <w:jc w:val="center"/>
              <w:rPr>
                <w:rFonts w:ascii="Wingdings" w:hAnsi="Wingdings" w:cs="Times New Roman"/>
                <w:bCs w:val="0"/>
                <w:color w:val="000000"/>
                <w:sz w:val="22"/>
                <w:lang w:eastAsia="fr-FR"/>
              </w:rPr>
            </w:pPr>
            <w:r w:rsidRPr="00BE136F">
              <w:rPr>
                <w:rFonts w:ascii="Wingdings" w:hAnsi="Wingdings" w:cs="Times New Roman"/>
                <w:bCs w:val="0"/>
                <w:color w:val="000000"/>
                <w:sz w:val="22"/>
                <w:lang w:eastAsia="fr-FR"/>
              </w:rPr>
              <w:t></w:t>
            </w:r>
          </w:p>
        </w:tc>
        <w:tc>
          <w:tcPr>
            <w:tcW w:w="0" w:type="auto"/>
            <w:tcBorders>
              <w:right w:val="single" w:sz="4" w:space="0" w:color="4F81BD" w:themeColor="accent1"/>
            </w:tcBorders>
            <w:shd w:val="clear" w:color="000000" w:fill="FFFFFF"/>
            <w:vAlign w:val="center"/>
            <w:hideMark/>
          </w:tcPr>
          <w:p w:rsidR="00A079F7" w:rsidRPr="00BE136F" w:rsidRDefault="00A079F7" w:rsidP="00E514F4">
            <w:pPr>
              <w:spacing w:before="60" w:after="60"/>
              <w:jc w:val="center"/>
              <w:rPr>
                <w:bCs w:val="0"/>
                <w:color w:val="000000"/>
                <w:sz w:val="18"/>
                <w:szCs w:val="18"/>
                <w:lang w:eastAsia="fr-FR"/>
              </w:rPr>
            </w:pPr>
            <w:r w:rsidRPr="00BE136F">
              <w:rPr>
                <w:bCs w:val="0"/>
                <w:color w:val="000000"/>
                <w:sz w:val="18"/>
                <w:szCs w:val="18"/>
                <w:lang w:eastAsia="fr-FR"/>
              </w:rPr>
              <w:t>R</w:t>
            </w:r>
          </w:p>
        </w:tc>
      </w:tr>
      <w:tr w:rsidR="00A079F7" w:rsidRPr="005159F3" w:rsidTr="00E514F4">
        <w:trPr>
          <w:trHeight w:val="285"/>
        </w:trPr>
        <w:tc>
          <w:tcPr>
            <w:tcW w:w="0" w:type="auto"/>
            <w:vMerge/>
            <w:vAlign w:val="center"/>
            <w:hideMark/>
          </w:tcPr>
          <w:p w:rsidR="00A079F7" w:rsidRPr="005159F3" w:rsidRDefault="00A079F7" w:rsidP="00E514F4">
            <w:pPr>
              <w:spacing w:before="60" w:after="60"/>
              <w:jc w:val="left"/>
              <w:rPr>
                <w:b/>
                <w:sz w:val="18"/>
                <w:szCs w:val="18"/>
                <w:highlight w:val="yellow"/>
                <w:lang w:eastAsia="fr-FR"/>
              </w:rPr>
            </w:pPr>
          </w:p>
        </w:tc>
        <w:tc>
          <w:tcPr>
            <w:tcW w:w="0" w:type="auto"/>
            <w:shd w:val="clear" w:color="000000" w:fill="B8CCE4"/>
            <w:vAlign w:val="center"/>
            <w:hideMark/>
          </w:tcPr>
          <w:p w:rsidR="00A079F7" w:rsidRPr="00635CFC" w:rsidRDefault="00A079F7" w:rsidP="00E514F4">
            <w:pPr>
              <w:spacing w:before="60" w:after="60"/>
              <w:jc w:val="left"/>
              <w:rPr>
                <w:bCs w:val="0"/>
                <w:color w:val="000000"/>
                <w:sz w:val="18"/>
                <w:szCs w:val="18"/>
                <w:lang w:eastAsia="fr-FR"/>
              </w:rPr>
            </w:pPr>
            <w:r w:rsidRPr="00635CFC">
              <w:rPr>
                <w:bCs w:val="0"/>
                <w:color w:val="000000"/>
                <w:sz w:val="18"/>
                <w:szCs w:val="18"/>
                <w:lang w:eastAsia="fr-FR"/>
              </w:rPr>
              <w:t>Pénalités versées au trésor</w:t>
            </w:r>
          </w:p>
        </w:tc>
        <w:tc>
          <w:tcPr>
            <w:tcW w:w="0" w:type="auto"/>
            <w:shd w:val="clear" w:color="000000" w:fill="B8CCE4"/>
            <w:vAlign w:val="center"/>
            <w:hideMark/>
          </w:tcPr>
          <w:p w:rsidR="00A079F7" w:rsidRPr="00BE136F" w:rsidRDefault="00A079F7" w:rsidP="00E514F4">
            <w:pPr>
              <w:spacing w:before="60" w:after="60"/>
              <w:jc w:val="center"/>
              <w:rPr>
                <w:bCs w:val="0"/>
                <w:color w:val="000000"/>
                <w:sz w:val="22"/>
                <w:lang w:eastAsia="fr-FR"/>
              </w:rPr>
            </w:pPr>
            <w:r w:rsidRPr="00BE136F">
              <w:rPr>
                <w:rFonts w:ascii="Wingdings" w:hAnsi="Wingdings" w:cs="Times New Roman"/>
                <w:bCs w:val="0"/>
                <w:color w:val="000000"/>
                <w:sz w:val="22"/>
                <w:lang w:eastAsia="fr-FR"/>
              </w:rPr>
              <w:t></w:t>
            </w:r>
          </w:p>
        </w:tc>
        <w:tc>
          <w:tcPr>
            <w:tcW w:w="0" w:type="auto"/>
            <w:shd w:val="clear" w:color="000000" w:fill="B8CCE4"/>
            <w:noWrap/>
            <w:vAlign w:val="center"/>
            <w:hideMark/>
          </w:tcPr>
          <w:p w:rsidR="00A079F7" w:rsidRPr="00BE136F" w:rsidRDefault="00A079F7" w:rsidP="00E514F4">
            <w:pPr>
              <w:spacing w:before="60" w:after="60"/>
              <w:jc w:val="center"/>
              <w:rPr>
                <w:rFonts w:ascii="Wingdings" w:hAnsi="Wingdings" w:cs="Times New Roman"/>
                <w:bCs w:val="0"/>
                <w:color w:val="000000"/>
                <w:sz w:val="22"/>
                <w:lang w:eastAsia="fr-FR"/>
              </w:rPr>
            </w:pPr>
            <w:r w:rsidRPr="00BE136F">
              <w:rPr>
                <w:rFonts w:ascii="Wingdings" w:hAnsi="Wingdings" w:cs="Times New Roman"/>
                <w:bCs w:val="0"/>
                <w:color w:val="000000"/>
                <w:sz w:val="22"/>
                <w:lang w:eastAsia="fr-FR"/>
              </w:rPr>
              <w:t></w:t>
            </w:r>
          </w:p>
        </w:tc>
        <w:tc>
          <w:tcPr>
            <w:tcW w:w="0" w:type="auto"/>
            <w:tcBorders>
              <w:right w:val="single" w:sz="4" w:space="0" w:color="4F81BD" w:themeColor="accent1"/>
            </w:tcBorders>
            <w:shd w:val="clear" w:color="000000" w:fill="B8CCE4"/>
            <w:vAlign w:val="center"/>
            <w:hideMark/>
          </w:tcPr>
          <w:p w:rsidR="00A079F7" w:rsidRPr="00BE136F" w:rsidRDefault="00A079F7" w:rsidP="00E514F4">
            <w:pPr>
              <w:spacing w:before="60" w:after="60"/>
              <w:jc w:val="center"/>
              <w:rPr>
                <w:bCs w:val="0"/>
                <w:color w:val="000000"/>
                <w:sz w:val="18"/>
                <w:szCs w:val="18"/>
                <w:lang w:eastAsia="fr-FR"/>
              </w:rPr>
            </w:pPr>
            <w:r w:rsidRPr="00BE136F">
              <w:rPr>
                <w:bCs w:val="0"/>
                <w:color w:val="000000"/>
                <w:sz w:val="18"/>
                <w:szCs w:val="18"/>
                <w:lang w:eastAsia="fr-FR"/>
              </w:rPr>
              <w:t>R</w:t>
            </w:r>
          </w:p>
        </w:tc>
      </w:tr>
      <w:tr w:rsidR="00A079F7" w:rsidRPr="005159F3" w:rsidTr="00E514F4">
        <w:trPr>
          <w:trHeight w:val="285"/>
        </w:trPr>
        <w:tc>
          <w:tcPr>
            <w:tcW w:w="0" w:type="auto"/>
            <w:vMerge/>
            <w:vAlign w:val="center"/>
            <w:hideMark/>
          </w:tcPr>
          <w:p w:rsidR="00A079F7" w:rsidRPr="005159F3" w:rsidRDefault="00A079F7" w:rsidP="00E514F4">
            <w:pPr>
              <w:spacing w:before="60" w:after="60"/>
              <w:jc w:val="left"/>
              <w:rPr>
                <w:b/>
                <w:sz w:val="18"/>
                <w:szCs w:val="18"/>
                <w:highlight w:val="yellow"/>
                <w:lang w:eastAsia="fr-FR"/>
              </w:rPr>
            </w:pPr>
          </w:p>
        </w:tc>
        <w:tc>
          <w:tcPr>
            <w:tcW w:w="0" w:type="auto"/>
            <w:shd w:val="clear" w:color="000000" w:fill="FFFFFF"/>
            <w:vAlign w:val="center"/>
            <w:hideMark/>
          </w:tcPr>
          <w:p w:rsidR="00A079F7" w:rsidRPr="005159F3" w:rsidRDefault="00A079F7" w:rsidP="00E514F4">
            <w:pPr>
              <w:spacing w:before="60" w:after="60"/>
              <w:jc w:val="left"/>
              <w:rPr>
                <w:bCs w:val="0"/>
                <w:color w:val="000000"/>
                <w:sz w:val="18"/>
                <w:szCs w:val="18"/>
                <w:highlight w:val="yellow"/>
                <w:lang w:eastAsia="fr-FR"/>
              </w:rPr>
            </w:pPr>
            <w:r w:rsidRPr="00635CFC">
              <w:rPr>
                <w:bCs w:val="0"/>
                <w:color w:val="000000"/>
                <w:sz w:val="18"/>
                <w:szCs w:val="18"/>
                <w:lang w:eastAsia="fr-FR"/>
              </w:rPr>
              <w:t>Redevances minières (RM)</w:t>
            </w:r>
          </w:p>
        </w:tc>
        <w:tc>
          <w:tcPr>
            <w:tcW w:w="0" w:type="auto"/>
            <w:shd w:val="clear" w:color="000000" w:fill="FFFFFF"/>
            <w:vAlign w:val="center"/>
            <w:hideMark/>
          </w:tcPr>
          <w:p w:rsidR="00A079F7" w:rsidRPr="00BE136F" w:rsidRDefault="00A079F7" w:rsidP="00E514F4">
            <w:pPr>
              <w:spacing w:before="60" w:after="60"/>
              <w:jc w:val="center"/>
              <w:rPr>
                <w:bCs w:val="0"/>
                <w:color w:val="000000"/>
                <w:sz w:val="22"/>
                <w:lang w:eastAsia="fr-FR"/>
              </w:rPr>
            </w:pPr>
          </w:p>
        </w:tc>
        <w:tc>
          <w:tcPr>
            <w:tcW w:w="0" w:type="auto"/>
            <w:shd w:val="clear" w:color="auto" w:fill="auto"/>
            <w:noWrap/>
            <w:vAlign w:val="center"/>
            <w:hideMark/>
          </w:tcPr>
          <w:p w:rsidR="00A079F7" w:rsidRPr="00BE136F" w:rsidRDefault="00A079F7" w:rsidP="00E514F4">
            <w:pPr>
              <w:spacing w:before="60" w:after="60"/>
              <w:jc w:val="center"/>
              <w:rPr>
                <w:rFonts w:ascii="Wingdings" w:hAnsi="Wingdings" w:cs="Times New Roman"/>
                <w:bCs w:val="0"/>
                <w:color w:val="000000"/>
                <w:sz w:val="22"/>
                <w:lang w:eastAsia="fr-FR"/>
              </w:rPr>
            </w:pPr>
            <w:r w:rsidRPr="00BE136F">
              <w:rPr>
                <w:rFonts w:ascii="Wingdings" w:hAnsi="Wingdings" w:cs="Times New Roman"/>
                <w:bCs w:val="0"/>
                <w:color w:val="000000"/>
                <w:sz w:val="22"/>
                <w:lang w:eastAsia="fr-FR"/>
              </w:rPr>
              <w:t></w:t>
            </w:r>
          </w:p>
        </w:tc>
        <w:tc>
          <w:tcPr>
            <w:tcW w:w="0" w:type="auto"/>
            <w:tcBorders>
              <w:right w:val="single" w:sz="4" w:space="0" w:color="4F81BD" w:themeColor="accent1"/>
            </w:tcBorders>
            <w:shd w:val="clear" w:color="000000" w:fill="FFFFFF"/>
            <w:vAlign w:val="center"/>
            <w:hideMark/>
          </w:tcPr>
          <w:p w:rsidR="00A079F7" w:rsidRPr="00BE136F" w:rsidRDefault="00A079F7" w:rsidP="00E514F4">
            <w:pPr>
              <w:spacing w:before="60" w:after="60"/>
              <w:jc w:val="center"/>
              <w:rPr>
                <w:bCs w:val="0"/>
                <w:color w:val="000000"/>
                <w:sz w:val="18"/>
                <w:szCs w:val="18"/>
                <w:lang w:eastAsia="fr-FR"/>
              </w:rPr>
            </w:pPr>
            <w:r w:rsidRPr="00BE136F">
              <w:rPr>
                <w:bCs w:val="0"/>
                <w:color w:val="000000"/>
                <w:sz w:val="18"/>
                <w:szCs w:val="18"/>
                <w:lang w:eastAsia="fr-FR"/>
              </w:rPr>
              <w:t>R</w:t>
            </w:r>
          </w:p>
        </w:tc>
      </w:tr>
      <w:tr w:rsidR="00A079F7" w:rsidRPr="005159F3" w:rsidTr="00E514F4">
        <w:trPr>
          <w:trHeight w:val="285"/>
        </w:trPr>
        <w:tc>
          <w:tcPr>
            <w:tcW w:w="0" w:type="auto"/>
            <w:vMerge/>
            <w:vAlign w:val="center"/>
            <w:hideMark/>
          </w:tcPr>
          <w:p w:rsidR="00A079F7" w:rsidRPr="005159F3" w:rsidRDefault="00A079F7" w:rsidP="00E514F4">
            <w:pPr>
              <w:spacing w:before="60" w:after="60"/>
              <w:jc w:val="left"/>
              <w:rPr>
                <w:b/>
                <w:sz w:val="18"/>
                <w:szCs w:val="18"/>
                <w:highlight w:val="yellow"/>
                <w:lang w:eastAsia="fr-FR"/>
              </w:rPr>
            </w:pPr>
          </w:p>
        </w:tc>
        <w:tc>
          <w:tcPr>
            <w:tcW w:w="0" w:type="auto"/>
            <w:shd w:val="clear" w:color="000000" w:fill="B8CCE4"/>
            <w:vAlign w:val="center"/>
            <w:hideMark/>
          </w:tcPr>
          <w:p w:rsidR="00A079F7" w:rsidRPr="005159F3" w:rsidRDefault="00A079F7" w:rsidP="00E514F4">
            <w:pPr>
              <w:spacing w:before="60" w:after="60"/>
              <w:jc w:val="left"/>
              <w:rPr>
                <w:bCs w:val="0"/>
                <w:color w:val="000000"/>
                <w:sz w:val="18"/>
                <w:szCs w:val="18"/>
                <w:highlight w:val="yellow"/>
                <w:lang w:eastAsia="fr-FR"/>
              </w:rPr>
            </w:pPr>
            <w:r w:rsidRPr="00635CFC">
              <w:rPr>
                <w:bCs w:val="0"/>
                <w:color w:val="000000"/>
                <w:sz w:val="18"/>
                <w:szCs w:val="18"/>
                <w:lang w:eastAsia="fr-FR"/>
              </w:rPr>
              <w:t>Royalties</w:t>
            </w:r>
          </w:p>
        </w:tc>
        <w:tc>
          <w:tcPr>
            <w:tcW w:w="0" w:type="auto"/>
            <w:shd w:val="clear" w:color="000000" w:fill="B8CCE4"/>
            <w:noWrap/>
            <w:vAlign w:val="center"/>
            <w:hideMark/>
          </w:tcPr>
          <w:p w:rsidR="00A079F7" w:rsidRPr="00BE136F" w:rsidRDefault="00A079F7" w:rsidP="00E514F4">
            <w:pPr>
              <w:spacing w:before="60" w:after="60"/>
              <w:jc w:val="center"/>
              <w:rPr>
                <w:rFonts w:ascii="Wingdings" w:hAnsi="Wingdings" w:cs="Times New Roman"/>
                <w:bCs w:val="0"/>
                <w:color w:val="000000"/>
                <w:sz w:val="22"/>
                <w:lang w:eastAsia="fr-FR"/>
              </w:rPr>
            </w:pPr>
            <w:r w:rsidRPr="00BE136F">
              <w:rPr>
                <w:rFonts w:ascii="Wingdings" w:hAnsi="Wingdings" w:cs="Times New Roman"/>
                <w:bCs w:val="0"/>
                <w:color w:val="000000"/>
                <w:sz w:val="22"/>
                <w:lang w:eastAsia="fr-FR"/>
              </w:rPr>
              <w:t></w:t>
            </w:r>
          </w:p>
        </w:tc>
        <w:tc>
          <w:tcPr>
            <w:tcW w:w="0" w:type="auto"/>
            <w:shd w:val="clear" w:color="000000" w:fill="B8CCE4"/>
            <w:noWrap/>
            <w:vAlign w:val="center"/>
            <w:hideMark/>
          </w:tcPr>
          <w:p w:rsidR="00A079F7" w:rsidRPr="00BE136F" w:rsidRDefault="00A079F7" w:rsidP="00E514F4">
            <w:pPr>
              <w:spacing w:before="60" w:after="60"/>
              <w:jc w:val="center"/>
              <w:rPr>
                <w:rFonts w:ascii="Wingdings" w:hAnsi="Wingdings" w:cs="Times New Roman"/>
                <w:bCs w:val="0"/>
                <w:color w:val="000000"/>
                <w:sz w:val="22"/>
                <w:lang w:eastAsia="fr-FR"/>
              </w:rPr>
            </w:pPr>
            <w:r w:rsidRPr="00BE136F">
              <w:rPr>
                <w:rFonts w:ascii="Wingdings" w:hAnsi="Wingdings" w:cs="Times New Roman"/>
                <w:bCs w:val="0"/>
                <w:color w:val="000000"/>
                <w:sz w:val="22"/>
                <w:lang w:eastAsia="fr-FR"/>
              </w:rPr>
              <w:t></w:t>
            </w:r>
          </w:p>
        </w:tc>
        <w:tc>
          <w:tcPr>
            <w:tcW w:w="0" w:type="auto"/>
            <w:tcBorders>
              <w:right w:val="single" w:sz="4" w:space="0" w:color="4F81BD" w:themeColor="accent1"/>
            </w:tcBorders>
            <w:shd w:val="clear" w:color="000000" w:fill="B8CCE4"/>
            <w:vAlign w:val="center"/>
            <w:hideMark/>
          </w:tcPr>
          <w:p w:rsidR="00A079F7" w:rsidRPr="00BE136F" w:rsidRDefault="00A079F7" w:rsidP="00E514F4">
            <w:pPr>
              <w:spacing w:before="60" w:after="60"/>
              <w:jc w:val="center"/>
              <w:rPr>
                <w:bCs w:val="0"/>
                <w:color w:val="000000"/>
                <w:sz w:val="18"/>
                <w:szCs w:val="18"/>
                <w:lang w:eastAsia="fr-FR"/>
              </w:rPr>
            </w:pPr>
            <w:r w:rsidRPr="00BE136F">
              <w:rPr>
                <w:bCs w:val="0"/>
                <w:color w:val="000000"/>
                <w:sz w:val="18"/>
                <w:szCs w:val="18"/>
                <w:lang w:eastAsia="fr-FR"/>
              </w:rPr>
              <w:t>R</w:t>
            </w:r>
          </w:p>
        </w:tc>
      </w:tr>
      <w:tr w:rsidR="00237B09" w:rsidRPr="005159F3" w:rsidTr="00E514F4">
        <w:trPr>
          <w:trHeight w:val="285"/>
        </w:trPr>
        <w:tc>
          <w:tcPr>
            <w:tcW w:w="0" w:type="auto"/>
            <w:vMerge/>
            <w:vAlign w:val="center"/>
            <w:hideMark/>
          </w:tcPr>
          <w:p w:rsidR="00237B09" w:rsidRPr="005159F3" w:rsidRDefault="00237B09" w:rsidP="00E514F4">
            <w:pPr>
              <w:spacing w:before="60" w:after="60"/>
              <w:jc w:val="left"/>
              <w:rPr>
                <w:b/>
                <w:sz w:val="18"/>
                <w:szCs w:val="18"/>
                <w:highlight w:val="yellow"/>
                <w:lang w:eastAsia="fr-FR"/>
              </w:rPr>
            </w:pPr>
          </w:p>
        </w:tc>
        <w:tc>
          <w:tcPr>
            <w:tcW w:w="0" w:type="auto"/>
            <w:shd w:val="clear" w:color="000000" w:fill="B8CCE4"/>
            <w:vAlign w:val="center"/>
            <w:hideMark/>
          </w:tcPr>
          <w:p w:rsidR="00237B09" w:rsidRPr="00635CFC" w:rsidRDefault="00237B09" w:rsidP="00E514F4">
            <w:pPr>
              <w:spacing w:before="60" w:after="60"/>
              <w:jc w:val="left"/>
              <w:rPr>
                <w:bCs w:val="0"/>
                <w:color w:val="000000"/>
                <w:sz w:val="18"/>
                <w:szCs w:val="18"/>
                <w:lang w:eastAsia="fr-FR"/>
              </w:rPr>
            </w:pPr>
            <w:r>
              <w:rPr>
                <w:bCs w:val="0"/>
                <w:color w:val="000000"/>
                <w:sz w:val="18"/>
                <w:szCs w:val="18"/>
                <w:lang w:eastAsia="fr-FR"/>
              </w:rPr>
              <w:t>Redevance annuelle pour entités de traitements et de transformation de toutes catégories</w:t>
            </w:r>
          </w:p>
        </w:tc>
        <w:tc>
          <w:tcPr>
            <w:tcW w:w="0" w:type="auto"/>
            <w:shd w:val="clear" w:color="000000" w:fill="B8CCE4"/>
            <w:noWrap/>
            <w:vAlign w:val="center"/>
            <w:hideMark/>
          </w:tcPr>
          <w:p w:rsidR="00237B09" w:rsidRPr="00BE136F" w:rsidRDefault="00237B09" w:rsidP="00E514F4">
            <w:pPr>
              <w:spacing w:before="60" w:after="60"/>
              <w:jc w:val="center"/>
              <w:rPr>
                <w:rFonts w:ascii="Wingdings" w:hAnsi="Wingdings" w:cs="Times New Roman"/>
                <w:bCs w:val="0"/>
                <w:color w:val="000000"/>
                <w:sz w:val="22"/>
                <w:lang w:eastAsia="fr-FR"/>
              </w:rPr>
            </w:pPr>
          </w:p>
        </w:tc>
        <w:tc>
          <w:tcPr>
            <w:tcW w:w="0" w:type="auto"/>
            <w:shd w:val="clear" w:color="000000" w:fill="B8CCE4"/>
            <w:noWrap/>
            <w:vAlign w:val="center"/>
            <w:hideMark/>
          </w:tcPr>
          <w:p w:rsidR="00237B09" w:rsidRPr="00BE136F" w:rsidRDefault="00237B09" w:rsidP="00E514F4">
            <w:pPr>
              <w:spacing w:before="60" w:after="60"/>
              <w:jc w:val="center"/>
              <w:rPr>
                <w:rFonts w:ascii="Wingdings" w:hAnsi="Wingdings" w:cs="Times New Roman"/>
                <w:bCs w:val="0"/>
                <w:color w:val="000000"/>
                <w:sz w:val="22"/>
                <w:lang w:eastAsia="fr-FR"/>
              </w:rPr>
            </w:pPr>
            <w:r w:rsidRPr="00BE136F">
              <w:rPr>
                <w:rFonts w:ascii="Wingdings" w:hAnsi="Wingdings" w:cs="Times New Roman"/>
                <w:bCs w:val="0"/>
                <w:color w:val="000000"/>
                <w:sz w:val="22"/>
                <w:lang w:eastAsia="fr-FR"/>
              </w:rPr>
              <w:t></w:t>
            </w:r>
          </w:p>
        </w:tc>
        <w:tc>
          <w:tcPr>
            <w:tcW w:w="0" w:type="auto"/>
            <w:tcBorders>
              <w:right w:val="single" w:sz="4" w:space="0" w:color="4F81BD" w:themeColor="accent1"/>
            </w:tcBorders>
            <w:shd w:val="clear" w:color="000000" w:fill="B8CCE4"/>
            <w:vAlign w:val="center"/>
            <w:hideMark/>
          </w:tcPr>
          <w:p w:rsidR="00237B09" w:rsidRPr="00BE136F" w:rsidRDefault="00237B09" w:rsidP="00E514F4">
            <w:pPr>
              <w:spacing w:before="60" w:after="60"/>
              <w:jc w:val="center"/>
              <w:rPr>
                <w:bCs w:val="0"/>
                <w:color w:val="000000"/>
                <w:sz w:val="18"/>
                <w:szCs w:val="18"/>
                <w:lang w:eastAsia="fr-FR"/>
              </w:rPr>
            </w:pPr>
            <w:r w:rsidRPr="00BE136F">
              <w:rPr>
                <w:bCs w:val="0"/>
                <w:color w:val="000000"/>
                <w:sz w:val="18"/>
                <w:szCs w:val="18"/>
                <w:lang w:eastAsia="fr-FR"/>
              </w:rPr>
              <w:t>R</w:t>
            </w:r>
          </w:p>
        </w:tc>
      </w:tr>
      <w:tr w:rsidR="00A079F7" w:rsidRPr="005159F3" w:rsidTr="00E514F4">
        <w:trPr>
          <w:trHeight w:val="285"/>
        </w:trPr>
        <w:tc>
          <w:tcPr>
            <w:tcW w:w="0" w:type="auto"/>
            <w:vMerge/>
            <w:vAlign w:val="center"/>
            <w:hideMark/>
          </w:tcPr>
          <w:p w:rsidR="00A079F7" w:rsidRPr="005159F3" w:rsidRDefault="00A079F7" w:rsidP="00E514F4">
            <w:pPr>
              <w:spacing w:before="60" w:after="60"/>
              <w:jc w:val="left"/>
              <w:rPr>
                <w:b/>
                <w:sz w:val="18"/>
                <w:szCs w:val="18"/>
                <w:highlight w:val="yellow"/>
                <w:lang w:eastAsia="fr-FR"/>
              </w:rPr>
            </w:pPr>
          </w:p>
        </w:tc>
        <w:tc>
          <w:tcPr>
            <w:tcW w:w="0" w:type="auto"/>
            <w:tcBorders>
              <w:bottom w:val="single" w:sz="8" w:space="0" w:color="4F81BD"/>
            </w:tcBorders>
            <w:shd w:val="clear" w:color="000000" w:fill="FFFFFF"/>
            <w:vAlign w:val="center"/>
            <w:hideMark/>
          </w:tcPr>
          <w:p w:rsidR="00A079F7" w:rsidRPr="005159F3" w:rsidRDefault="00A079F7" w:rsidP="00E514F4">
            <w:pPr>
              <w:spacing w:before="60" w:after="60"/>
              <w:jc w:val="left"/>
              <w:rPr>
                <w:bCs w:val="0"/>
                <w:color w:val="000000"/>
                <w:sz w:val="18"/>
                <w:szCs w:val="18"/>
                <w:highlight w:val="yellow"/>
                <w:lang w:eastAsia="fr-FR"/>
              </w:rPr>
            </w:pPr>
            <w:r w:rsidRPr="00635CFC">
              <w:rPr>
                <w:bCs w:val="0"/>
                <w:color w:val="000000"/>
                <w:sz w:val="18"/>
                <w:szCs w:val="18"/>
                <w:lang w:eastAsia="fr-FR"/>
              </w:rPr>
              <w:t>Taxe de statistique (TS)</w:t>
            </w:r>
          </w:p>
        </w:tc>
        <w:tc>
          <w:tcPr>
            <w:tcW w:w="0" w:type="auto"/>
            <w:tcBorders>
              <w:bottom w:val="single" w:sz="8" w:space="0" w:color="4F81BD"/>
            </w:tcBorders>
            <w:shd w:val="clear" w:color="auto" w:fill="auto"/>
            <w:noWrap/>
            <w:vAlign w:val="center"/>
            <w:hideMark/>
          </w:tcPr>
          <w:p w:rsidR="00A079F7" w:rsidRPr="00BE136F" w:rsidRDefault="00A079F7" w:rsidP="00E514F4">
            <w:pPr>
              <w:spacing w:before="60" w:after="60"/>
              <w:jc w:val="center"/>
              <w:rPr>
                <w:rFonts w:ascii="Wingdings" w:hAnsi="Wingdings" w:cs="Times New Roman"/>
                <w:bCs w:val="0"/>
                <w:color w:val="000000"/>
                <w:sz w:val="22"/>
                <w:lang w:eastAsia="fr-FR"/>
              </w:rPr>
            </w:pPr>
            <w:r w:rsidRPr="00BE136F">
              <w:rPr>
                <w:rFonts w:ascii="Wingdings" w:hAnsi="Wingdings" w:cs="Times New Roman"/>
                <w:bCs w:val="0"/>
                <w:color w:val="000000"/>
                <w:sz w:val="22"/>
                <w:lang w:eastAsia="fr-FR"/>
              </w:rPr>
              <w:t></w:t>
            </w:r>
          </w:p>
        </w:tc>
        <w:tc>
          <w:tcPr>
            <w:tcW w:w="0" w:type="auto"/>
            <w:tcBorders>
              <w:bottom w:val="single" w:sz="8" w:space="0" w:color="4F81BD"/>
            </w:tcBorders>
            <w:shd w:val="clear" w:color="000000" w:fill="FFFFFF"/>
            <w:vAlign w:val="center"/>
            <w:hideMark/>
          </w:tcPr>
          <w:p w:rsidR="00A079F7" w:rsidRPr="00BE136F" w:rsidRDefault="00A079F7" w:rsidP="00E514F4">
            <w:pPr>
              <w:spacing w:before="60" w:after="60"/>
              <w:jc w:val="center"/>
              <w:rPr>
                <w:bCs w:val="0"/>
                <w:color w:val="000000"/>
                <w:sz w:val="22"/>
                <w:lang w:eastAsia="fr-FR"/>
              </w:rPr>
            </w:pPr>
          </w:p>
        </w:tc>
        <w:tc>
          <w:tcPr>
            <w:tcW w:w="0" w:type="auto"/>
            <w:tcBorders>
              <w:bottom w:val="single" w:sz="8" w:space="0" w:color="4F81BD"/>
              <w:right w:val="single" w:sz="4" w:space="0" w:color="4F81BD" w:themeColor="accent1"/>
            </w:tcBorders>
            <w:shd w:val="clear" w:color="000000" w:fill="FFFFFF"/>
            <w:vAlign w:val="center"/>
            <w:hideMark/>
          </w:tcPr>
          <w:p w:rsidR="00A079F7" w:rsidRPr="00BE136F" w:rsidRDefault="00A079F7" w:rsidP="00E514F4">
            <w:pPr>
              <w:spacing w:before="60" w:after="60"/>
              <w:jc w:val="center"/>
              <w:rPr>
                <w:bCs w:val="0"/>
                <w:color w:val="000000"/>
                <w:sz w:val="18"/>
                <w:szCs w:val="18"/>
                <w:lang w:eastAsia="fr-FR"/>
              </w:rPr>
            </w:pPr>
            <w:r w:rsidRPr="00BE136F">
              <w:rPr>
                <w:bCs w:val="0"/>
                <w:color w:val="000000"/>
                <w:sz w:val="18"/>
                <w:szCs w:val="18"/>
                <w:lang w:eastAsia="fr-FR"/>
              </w:rPr>
              <w:t>R</w:t>
            </w:r>
          </w:p>
        </w:tc>
      </w:tr>
      <w:tr w:rsidR="00A079F7" w:rsidRPr="005159F3" w:rsidTr="00E514F4">
        <w:trPr>
          <w:trHeight w:val="285"/>
        </w:trPr>
        <w:tc>
          <w:tcPr>
            <w:tcW w:w="0" w:type="auto"/>
            <w:vMerge/>
            <w:vAlign w:val="center"/>
          </w:tcPr>
          <w:p w:rsidR="00A079F7" w:rsidRPr="005159F3" w:rsidRDefault="00A079F7" w:rsidP="00E514F4">
            <w:pPr>
              <w:spacing w:before="60" w:after="60"/>
              <w:jc w:val="left"/>
              <w:rPr>
                <w:b/>
                <w:sz w:val="18"/>
                <w:szCs w:val="18"/>
                <w:highlight w:val="yellow"/>
                <w:lang w:eastAsia="fr-FR"/>
              </w:rPr>
            </w:pPr>
          </w:p>
        </w:tc>
        <w:tc>
          <w:tcPr>
            <w:tcW w:w="0" w:type="auto"/>
            <w:shd w:val="clear" w:color="auto" w:fill="B8CCE4" w:themeFill="accent1" w:themeFillTint="66"/>
            <w:vAlign w:val="center"/>
          </w:tcPr>
          <w:p w:rsidR="00A079F7" w:rsidRPr="005159F3" w:rsidRDefault="00A079F7" w:rsidP="00E514F4">
            <w:pPr>
              <w:spacing w:before="60" w:after="60"/>
              <w:jc w:val="left"/>
              <w:rPr>
                <w:bCs w:val="0"/>
                <w:color w:val="000000"/>
                <w:sz w:val="18"/>
                <w:szCs w:val="18"/>
                <w:highlight w:val="yellow"/>
                <w:lang w:eastAsia="fr-FR"/>
              </w:rPr>
            </w:pPr>
            <w:r w:rsidRPr="00635CFC">
              <w:rPr>
                <w:bCs w:val="0"/>
                <w:color w:val="000000"/>
                <w:sz w:val="18"/>
                <w:szCs w:val="18"/>
                <w:lang w:eastAsia="fr-FR"/>
              </w:rPr>
              <w:t>Taxes sur les plus-values de cessions totales de l’intérêt de participation</w:t>
            </w:r>
          </w:p>
        </w:tc>
        <w:tc>
          <w:tcPr>
            <w:tcW w:w="0" w:type="auto"/>
            <w:shd w:val="clear" w:color="auto" w:fill="B8CCE4" w:themeFill="accent1" w:themeFillTint="66"/>
            <w:noWrap/>
            <w:vAlign w:val="center"/>
          </w:tcPr>
          <w:p w:rsidR="00A079F7" w:rsidRPr="00BE136F" w:rsidRDefault="00A079F7" w:rsidP="00E514F4">
            <w:pPr>
              <w:spacing w:before="60" w:after="60"/>
              <w:jc w:val="center"/>
              <w:rPr>
                <w:rFonts w:ascii="Wingdings" w:hAnsi="Wingdings" w:cs="Times New Roman"/>
                <w:bCs w:val="0"/>
                <w:color w:val="000000"/>
                <w:sz w:val="22"/>
                <w:lang w:eastAsia="fr-FR"/>
              </w:rPr>
            </w:pPr>
            <w:r w:rsidRPr="00BE136F">
              <w:rPr>
                <w:rFonts w:ascii="Wingdings" w:hAnsi="Wingdings" w:cs="Times New Roman"/>
                <w:bCs w:val="0"/>
                <w:color w:val="000000"/>
                <w:sz w:val="22"/>
                <w:lang w:eastAsia="fr-FR"/>
              </w:rPr>
              <w:t></w:t>
            </w:r>
          </w:p>
        </w:tc>
        <w:tc>
          <w:tcPr>
            <w:tcW w:w="0" w:type="auto"/>
            <w:shd w:val="clear" w:color="auto" w:fill="B8CCE4" w:themeFill="accent1" w:themeFillTint="66"/>
            <w:vAlign w:val="center"/>
          </w:tcPr>
          <w:p w:rsidR="00A079F7" w:rsidRPr="00BE136F" w:rsidRDefault="00A079F7" w:rsidP="00E514F4">
            <w:pPr>
              <w:spacing w:before="60" w:after="60"/>
              <w:jc w:val="center"/>
              <w:rPr>
                <w:bCs w:val="0"/>
                <w:color w:val="000000"/>
                <w:sz w:val="22"/>
                <w:lang w:eastAsia="fr-FR"/>
              </w:rPr>
            </w:pPr>
          </w:p>
        </w:tc>
        <w:tc>
          <w:tcPr>
            <w:tcW w:w="0" w:type="auto"/>
            <w:tcBorders>
              <w:right w:val="single" w:sz="4" w:space="0" w:color="4F81BD" w:themeColor="accent1"/>
            </w:tcBorders>
            <w:shd w:val="clear" w:color="auto" w:fill="B8CCE4" w:themeFill="accent1" w:themeFillTint="66"/>
            <w:vAlign w:val="center"/>
          </w:tcPr>
          <w:p w:rsidR="00A079F7" w:rsidRPr="00BE136F" w:rsidRDefault="00A079F7" w:rsidP="00E514F4">
            <w:pPr>
              <w:spacing w:before="60" w:after="60"/>
              <w:jc w:val="center"/>
              <w:rPr>
                <w:bCs w:val="0"/>
                <w:color w:val="000000"/>
                <w:sz w:val="18"/>
                <w:szCs w:val="18"/>
                <w:lang w:eastAsia="fr-FR"/>
              </w:rPr>
            </w:pPr>
            <w:r w:rsidRPr="00BE136F">
              <w:rPr>
                <w:bCs w:val="0"/>
                <w:color w:val="000000"/>
                <w:sz w:val="18"/>
                <w:szCs w:val="18"/>
                <w:lang w:eastAsia="fr-FR"/>
              </w:rPr>
              <w:t>R</w:t>
            </w:r>
          </w:p>
        </w:tc>
      </w:tr>
      <w:tr w:rsidR="00A079F7" w:rsidRPr="005159F3" w:rsidTr="00E514F4">
        <w:trPr>
          <w:trHeight w:val="267"/>
        </w:trPr>
        <w:tc>
          <w:tcPr>
            <w:tcW w:w="0" w:type="auto"/>
            <w:vMerge/>
            <w:tcBorders>
              <w:bottom w:val="single" w:sz="12" w:space="0" w:color="17365D" w:themeColor="text2" w:themeShade="BF"/>
            </w:tcBorders>
            <w:vAlign w:val="center"/>
          </w:tcPr>
          <w:p w:rsidR="00A079F7" w:rsidRPr="005159F3" w:rsidRDefault="00A079F7" w:rsidP="00E514F4">
            <w:pPr>
              <w:spacing w:before="60" w:after="60"/>
              <w:jc w:val="left"/>
              <w:rPr>
                <w:b/>
                <w:sz w:val="18"/>
                <w:szCs w:val="18"/>
                <w:highlight w:val="yellow"/>
                <w:lang w:eastAsia="fr-FR"/>
              </w:rPr>
            </w:pPr>
          </w:p>
        </w:tc>
        <w:tc>
          <w:tcPr>
            <w:tcW w:w="0" w:type="auto"/>
            <w:tcBorders>
              <w:bottom w:val="single" w:sz="8" w:space="0" w:color="4F81BD"/>
            </w:tcBorders>
            <w:shd w:val="clear" w:color="auto" w:fill="FFFFFF" w:themeFill="background1"/>
            <w:vAlign w:val="center"/>
          </w:tcPr>
          <w:p w:rsidR="00A079F7" w:rsidRPr="005159F3" w:rsidRDefault="00A079F7" w:rsidP="00E514F4">
            <w:pPr>
              <w:spacing w:before="60" w:after="60"/>
              <w:jc w:val="left"/>
              <w:rPr>
                <w:bCs w:val="0"/>
                <w:color w:val="000000"/>
                <w:sz w:val="18"/>
                <w:szCs w:val="18"/>
                <w:highlight w:val="yellow"/>
                <w:lang w:eastAsia="fr-FR"/>
              </w:rPr>
            </w:pPr>
            <w:r w:rsidRPr="00635CFC">
              <w:rPr>
                <w:bCs w:val="0"/>
                <w:color w:val="000000"/>
                <w:sz w:val="18"/>
                <w:szCs w:val="18"/>
                <w:lang w:eastAsia="fr-FR"/>
              </w:rPr>
              <w:t>Vente de Licence</w:t>
            </w:r>
          </w:p>
        </w:tc>
        <w:tc>
          <w:tcPr>
            <w:tcW w:w="0" w:type="auto"/>
            <w:tcBorders>
              <w:bottom w:val="single" w:sz="8" w:space="0" w:color="4F81BD"/>
            </w:tcBorders>
            <w:shd w:val="clear" w:color="auto" w:fill="FFFFFF" w:themeFill="background1"/>
            <w:vAlign w:val="center"/>
          </w:tcPr>
          <w:p w:rsidR="00A079F7" w:rsidRPr="00BE136F" w:rsidRDefault="00A079F7" w:rsidP="00E514F4">
            <w:pPr>
              <w:spacing w:before="60" w:after="60"/>
              <w:jc w:val="center"/>
              <w:rPr>
                <w:rFonts w:ascii="Wingdings" w:hAnsi="Wingdings" w:cs="Times New Roman"/>
                <w:bCs w:val="0"/>
                <w:color w:val="000000"/>
                <w:sz w:val="22"/>
                <w:lang w:eastAsia="fr-FR"/>
              </w:rPr>
            </w:pPr>
          </w:p>
        </w:tc>
        <w:tc>
          <w:tcPr>
            <w:tcW w:w="0" w:type="auto"/>
            <w:tcBorders>
              <w:bottom w:val="single" w:sz="8" w:space="0" w:color="4F81BD"/>
            </w:tcBorders>
            <w:shd w:val="clear" w:color="auto" w:fill="FFFFFF" w:themeFill="background1"/>
            <w:vAlign w:val="center"/>
          </w:tcPr>
          <w:p w:rsidR="00A079F7" w:rsidRPr="00BE136F" w:rsidRDefault="00A079F7" w:rsidP="00E514F4">
            <w:pPr>
              <w:spacing w:before="60" w:after="60"/>
              <w:jc w:val="center"/>
              <w:rPr>
                <w:bCs w:val="0"/>
                <w:color w:val="000000"/>
                <w:sz w:val="22"/>
                <w:lang w:eastAsia="fr-FR"/>
              </w:rPr>
            </w:pPr>
            <w:r w:rsidRPr="00BE136F">
              <w:rPr>
                <w:rFonts w:ascii="Wingdings" w:hAnsi="Wingdings" w:cs="Times New Roman"/>
                <w:bCs w:val="0"/>
                <w:color w:val="000000"/>
                <w:sz w:val="22"/>
                <w:lang w:eastAsia="fr-FR"/>
              </w:rPr>
              <w:t></w:t>
            </w:r>
          </w:p>
        </w:tc>
        <w:tc>
          <w:tcPr>
            <w:tcW w:w="0" w:type="auto"/>
            <w:tcBorders>
              <w:bottom w:val="single" w:sz="8" w:space="0" w:color="4F81BD"/>
              <w:right w:val="single" w:sz="4" w:space="0" w:color="4F81BD" w:themeColor="accent1"/>
            </w:tcBorders>
            <w:shd w:val="clear" w:color="auto" w:fill="FFFFFF" w:themeFill="background1"/>
            <w:vAlign w:val="center"/>
          </w:tcPr>
          <w:p w:rsidR="00A079F7" w:rsidRPr="00BE136F" w:rsidRDefault="00A079F7" w:rsidP="00E514F4">
            <w:pPr>
              <w:spacing w:before="60" w:after="60"/>
              <w:jc w:val="center"/>
              <w:rPr>
                <w:bCs w:val="0"/>
                <w:color w:val="000000"/>
                <w:sz w:val="18"/>
                <w:szCs w:val="18"/>
                <w:lang w:eastAsia="fr-FR"/>
              </w:rPr>
            </w:pPr>
            <w:r w:rsidRPr="00BE136F">
              <w:rPr>
                <w:bCs w:val="0"/>
                <w:color w:val="000000"/>
                <w:sz w:val="18"/>
                <w:szCs w:val="18"/>
                <w:lang w:eastAsia="fr-FR"/>
              </w:rPr>
              <w:t>R</w:t>
            </w:r>
          </w:p>
        </w:tc>
      </w:tr>
      <w:tr w:rsidR="00A079F7" w:rsidRPr="005159F3" w:rsidTr="00E514F4">
        <w:trPr>
          <w:trHeight w:val="267"/>
        </w:trPr>
        <w:tc>
          <w:tcPr>
            <w:tcW w:w="0" w:type="auto"/>
            <w:vMerge/>
            <w:tcBorders>
              <w:bottom w:val="single" w:sz="12" w:space="0" w:color="17365D" w:themeColor="text2" w:themeShade="BF"/>
            </w:tcBorders>
            <w:vAlign w:val="center"/>
          </w:tcPr>
          <w:p w:rsidR="00A079F7" w:rsidRPr="005159F3" w:rsidRDefault="00A079F7" w:rsidP="00E514F4">
            <w:pPr>
              <w:spacing w:before="60" w:after="60"/>
              <w:jc w:val="left"/>
              <w:rPr>
                <w:b/>
                <w:sz w:val="18"/>
                <w:szCs w:val="18"/>
                <w:highlight w:val="yellow"/>
                <w:lang w:eastAsia="fr-FR"/>
              </w:rPr>
            </w:pPr>
          </w:p>
        </w:tc>
        <w:tc>
          <w:tcPr>
            <w:tcW w:w="0" w:type="auto"/>
            <w:tcBorders>
              <w:bottom w:val="single" w:sz="8" w:space="0" w:color="4F81BD"/>
            </w:tcBorders>
            <w:shd w:val="clear" w:color="auto" w:fill="B8CCE4" w:themeFill="accent1" w:themeFillTint="66"/>
            <w:vAlign w:val="center"/>
          </w:tcPr>
          <w:p w:rsidR="00A079F7" w:rsidRPr="005159F3" w:rsidRDefault="00A079F7" w:rsidP="00E514F4">
            <w:pPr>
              <w:spacing w:before="60" w:after="60"/>
              <w:jc w:val="left"/>
              <w:rPr>
                <w:bCs w:val="0"/>
                <w:color w:val="000000"/>
                <w:sz w:val="18"/>
                <w:szCs w:val="18"/>
                <w:highlight w:val="yellow"/>
                <w:lang w:eastAsia="fr-FR"/>
              </w:rPr>
            </w:pPr>
            <w:r w:rsidRPr="00635CFC">
              <w:rPr>
                <w:bCs w:val="0"/>
                <w:color w:val="000000"/>
                <w:sz w:val="18"/>
                <w:szCs w:val="18"/>
                <w:lang w:eastAsia="fr-FR"/>
              </w:rPr>
              <w:t>Autorisation d'exportation des minerais à l'état brut</w:t>
            </w:r>
          </w:p>
        </w:tc>
        <w:tc>
          <w:tcPr>
            <w:tcW w:w="0" w:type="auto"/>
            <w:tcBorders>
              <w:bottom w:val="single" w:sz="8" w:space="0" w:color="4F81BD"/>
            </w:tcBorders>
            <w:shd w:val="clear" w:color="auto" w:fill="B8CCE4" w:themeFill="accent1" w:themeFillTint="66"/>
            <w:vAlign w:val="center"/>
          </w:tcPr>
          <w:p w:rsidR="00A079F7" w:rsidRPr="00BE136F" w:rsidRDefault="00A079F7" w:rsidP="00E514F4">
            <w:pPr>
              <w:spacing w:before="60" w:after="60"/>
              <w:jc w:val="center"/>
              <w:rPr>
                <w:rFonts w:ascii="Wingdings" w:hAnsi="Wingdings" w:cs="Times New Roman"/>
                <w:bCs w:val="0"/>
                <w:color w:val="000000"/>
                <w:sz w:val="22"/>
                <w:lang w:eastAsia="fr-FR"/>
              </w:rPr>
            </w:pPr>
          </w:p>
        </w:tc>
        <w:tc>
          <w:tcPr>
            <w:tcW w:w="0" w:type="auto"/>
            <w:tcBorders>
              <w:bottom w:val="single" w:sz="8" w:space="0" w:color="4F81BD"/>
            </w:tcBorders>
            <w:shd w:val="clear" w:color="auto" w:fill="B8CCE4" w:themeFill="accent1" w:themeFillTint="66"/>
            <w:vAlign w:val="center"/>
          </w:tcPr>
          <w:p w:rsidR="00A079F7" w:rsidRPr="00BE136F" w:rsidRDefault="00A079F7" w:rsidP="00E514F4">
            <w:pPr>
              <w:spacing w:before="60" w:after="60"/>
              <w:jc w:val="center"/>
              <w:rPr>
                <w:bCs w:val="0"/>
                <w:color w:val="000000"/>
                <w:sz w:val="22"/>
                <w:lang w:eastAsia="fr-FR"/>
              </w:rPr>
            </w:pPr>
            <w:r w:rsidRPr="00BE136F">
              <w:rPr>
                <w:rFonts w:ascii="Wingdings" w:hAnsi="Wingdings" w:cs="Times New Roman"/>
                <w:bCs w:val="0"/>
                <w:color w:val="000000"/>
                <w:sz w:val="22"/>
                <w:lang w:eastAsia="fr-FR"/>
              </w:rPr>
              <w:t></w:t>
            </w:r>
          </w:p>
        </w:tc>
        <w:tc>
          <w:tcPr>
            <w:tcW w:w="0" w:type="auto"/>
            <w:tcBorders>
              <w:bottom w:val="single" w:sz="8" w:space="0" w:color="4F81BD"/>
              <w:right w:val="single" w:sz="4" w:space="0" w:color="4F81BD" w:themeColor="accent1"/>
            </w:tcBorders>
            <w:shd w:val="clear" w:color="auto" w:fill="B8CCE4" w:themeFill="accent1" w:themeFillTint="66"/>
            <w:vAlign w:val="center"/>
          </w:tcPr>
          <w:p w:rsidR="00A079F7" w:rsidRPr="00BE136F" w:rsidRDefault="00A079F7" w:rsidP="00E514F4">
            <w:pPr>
              <w:spacing w:before="60" w:after="60"/>
              <w:jc w:val="center"/>
              <w:rPr>
                <w:bCs w:val="0"/>
                <w:color w:val="000000"/>
                <w:sz w:val="18"/>
                <w:szCs w:val="18"/>
                <w:lang w:eastAsia="fr-FR"/>
              </w:rPr>
            </w:pPr>
            <w:r w:rsidRPr="00BE136F">
              <w:rPr>
                <w:bCs w:val="0"/>
                <w:color w:val="000000"/>
                <w:sz w:val="18"/>
                <w:szCs w:val="18"/>
                <w:lang w:eastAsia="fr-FR"/>
              </w:rPr>
              <w:t>R</w:t>
            </w:r>
          </w:p>
        </w:tc>
      </w:tr>
      <w:tr w:rsidR="00A079F7" w:rsidRPr="005159F3" w:rsidTr="00E514F4">
        <w:trPr>
          <w:trHeight w:val="267"/>
        </w:trPr>
        <w:tc>
          <w:tcPr>
            <w:tcW w:w="0" w:type="auto"/>
            <w:vMerge/>
            <w:tcBorders>
              <w:bottom w:val="single" w:sz="12" w:space="0" w:color="17365D" w:themeColor="text2" w:themeShade="BF"/>
            </w:tcBorders>
            <w:vAlign w:val="center"/>
          </w:tcPr>
          <w:p w:rsidR="00A079F7" w:rsidRPr="005159F3" w:rsidRDefault="00A079F7" w:rsidP="00E514F4">
            <w:pPr>
              <w:spacing w:before="60" w:after="60"/>
              <w:jc w:val="left"/>
              <w:rPr>
                <w:b/>
                <w:sz w:val="18"/>
                <w:szCs w:val="18"/>
                <w:highlight w:val="yellow"/>
                <w:lang w:eastAsia="fr-FR"/>
              </w:rPr>
            </w:pPr>
          </w:p>
        </w:tc>
        <w:tc>
          <w:tcPr>
            <w:tcW w:w="0" w:type="auto"/>
            <w:tcBorders>
              <w:bottom w:val="single" w:sz="8" w:space="0" w:color="4F81BD"/>
            </w:tcBorders>
            <w:shd w:val="clear" w:color="auto" w:fill="auto"/>
            <w:vAlign w:val="center"/>
          </w:tcPr>
          <w:p w:rsidR="00A079F7" w:rsidRPr="004840E2" w:rsidRDefault="00A079F7" w:rsidP="00E514F4">
            <w:pPr>
              <w:spacing w:before="60" w:after="60"/>
              <w:jc w:val="left"/>
              <w:rPr>
                <w:bCs w:val="0"/>
                <w:sz w:val="18"/>
                <w:szCs w:val="18"/>
                <w:highlight w:val="yellow"/>
                <w:lang w:eastAsia="fr-FR"/>
              </w:rPr>
            </w:pPr>
            <w:r w:rsidRPr="004840E2">
              <w:rPr>
                <w:bCs w:val="0"/>
                <w:sz w:val="18"/>
                <w:szCs w:val="18"/>
                <w:lang w:eastAsia="fr-FR"/>
              </w:rPr>
              <w:t>Contribution au budget de l’Et</w:t>
            </w:r>
            <w:r>
              <w:rPr>
                <w:bCs w:val="0"/>
                <w:sz w:val="18"/>
                <w:szCs w:val="18"/>
                <w:lang w:eastAsia="fr-FR"/>
              </w:rPr>
              <w:t xml:space="preserve">at </w:t>
            </w:r>
            <w:proofErr w:type="spellStart"/>
            <w:r>
              <w:rPr>
                <w:bCs w:val="0"/>
                <w:sz w:val="18"/>
                <w:szCs w:val="18"/>
                <w:lang w:eastAsia="fr-FR"/>
              </w:rPr>
              <w:t>payéé</w:t>
            </w:r>
            <w:proofErr w:type="spellEnd"/>
          </w:p>
        </w:tc>
        <w:tc>
          <w:tcPr>
            <w:tcW w:w="0" w:type="auto"/>
            <w:tcBorders>
              <w:bottom w:val="single" w:sz="8" w:space="0" w:color="4F81BD"/>
            </w:tcBorders>
            <w:shd w:val="clear" w:color="auto" w:fill="auto"/>
            <w:vAlign w:val="center"/>
          </w:tcPr>
          <w:p w:rsidR="00A079F7" w:rsidRPr="00BE136F" w:rsidRDefault="00A079F7" w:rsidP="00E514F4">
            <w:pPr>
              <w:spacing w:before="60" w:after="60"/>
              <w:jc w:val="center"/>
              <w:rPr>
                <w:rFonts w:ascii="Wingdings" w:hAnsi="Wingdings" w:cs="Times New Roman"/>
                <w:bCs w:val="0"/>
                <w:color w:val="000000"/>
                <w:sz w:val="22"/>
                <w:lang w:eastAsia="fr-FR"/>
              </w:rPr>
            </w:pPr>
            <w:r w:rsidRPr="00BE136F">
              <w:rPr>
                <w:rFonts w:ascii="Wingdings" w:hAnsi="Wingdings" w:cs="Times New Roman"/>
                <w:bCs w:val="0"/>
                <w:color w:val="000000"/>
                <w:sz w:val="22"/>
                <w:lang w:eastAsia="fr-FR"/>
              </w:rPr>
              <w:t></w:t>
            </w:r>
          </w:p>
        </w:tc>
        <w:tc>
          <w:tcPr>
            <w:tcW w:w="0" w:type="auto"/>
            <w:tcBorders>
              <w:bottom w:val="single" w:sz="8" w:space="0" w:color="4F81BD"/>
            </w:tcBorders>
            <w:shd w:val="clear" w:color="auto" w:fill="auto"/>
            <w:vAlign w:val="center"/>
          </w:tcPr>
          <w:p w:rsidR="00A079F7" w:rsidRPr="00BE136F" w:rsidRDefault="00A079F7" w:rsidP="00E514F4">
            <w:pPr>
              <w:spacing w:before="60" w:after="60"/>
              <w:jc w:val="center"/>
              <w:rPr>
                <w:bCs w:val="0"/>
                <w:color w:val="000000"/>
                <w:sz w:val="22"/>
                <w:lang w:eastAsia="fr-FR"/>
              </w:rPr>
            </w:pPr>
            <w:r w:rsidRPr="00BE136F">
              <w:rPr>
                <w:rFonts w:ascii="Wingdings" w:hAnsi="Wingdings" w:cs="Times New Roman"/>
                <w:bCs w:val="0"/>
                <w:color w:val="000000"/>
                <w:sz w:val="22"/>
                <w:lang w:eastAsia="fr-FR"/>
              </w:rPr>
              <w:t></w:t>
            </w:r>
          </w:p>
        </w:tc>
        <w:tc>
          <w:tcPr>
            <w:tcW w:w="0" w:type="auto"/>
            <w:tcBorders>
              <w:bottom w:val="single" w:sz="8" w:space="0" w:color="4F81BD"/>
              <w:right w:val="single" w:sz="4" w:space="0" w:color="4F81BD" w:themeColor="accent1"/>
            </w:tcBorders>
            <w:shd w:val="clear" w:color="auto" w:fill="auto"/>
            <w:vAlign w:val="center"/>
          </w:tcPr>
          <w:p w:rsidR="00A079F7" w:rsidRPr="00BE136F" w:rsidRDefault="00A079F7" w:rsidP="00E514F4">
            <w:pPr>
              <w:spacing w:before="60" w:after="60"/>
              <w:jc w:val="center"/>
              <w:rPr>
                <w:bCs w:val="0"/>
                <w:color w:val="000000"/>
                <w:sz w:val="18"/>
                <w:szCs w:val="18"/>
                <w:lang w:eastAsia="fr-FR"/>
              </w:rPr>
            </w:pPr>
            <w:r w:rsidRPr="00BE136F">
              <w:rPr>
                <w:bCs w:val="0"/>
                <w:color w:val="000000"/>
                <w:sz w:val="18"/>
                <w:szCs w:val="18"/>
                <w:lang w:eastAsia="fr-FR"/>
              </w:rPr>
              <w:t>R</w:t>
            </w:r>
          </w:p>
        </w:tc>
      </w:tr>
      <w:tr w:rsidR="00A079F7" w:rsidRPr="005159F3" w:rsidTr="00E514F4">
        <w:trPr>
          <w:trHeight w:val="267"/>
        </w:trPr>
        <w:tc>
          <w:tcPr>
            <w:tcW w:w="0" w:type="auto"/>
            <w:vMerge/>
            <w:tcBorders>
              <w:bottom w:val="single" w:sz="12" w:space="0" w:color="17365D" w:themeColor="text2" w:themeShade="BF"/>
            </w:tcBorders>
            <w:vAlign w:val="center"/>
          </w:tcPr>
          <w:p w:rsidR="00A079F7" w:rsidRPr="005159F3" w:rsidRDefault="00A079F7" w:rsidP="00E514F4">
            <w:pPr>
              <w:spacing w:before="60" w:after="60"/>
              <w:jc w:val="left"/>
              <w:rPr>
                <w:b/>
                <w:sz w:val="18"/>
                <w:szCs w:val="18"/>
                <w:highlight w:val="yellow"/>
                <w:lang w:eastAsia="fr-FR"/>
              </w:rPr>
            </w:pPr>
          </w:p>
        </w:tc>
        <w:tc>
          <w:tcPr>
            <w:tcW w:w="0" w:type="auto"/>
            <w:tcBorders>
              <w:bottom w:val="single" w:sz="8" w:space="0" w:color="4F81BD"/>
            </w:tcBorders>
            <w:shd w:val="clear" w:color="auto" w:fill="B8CCE4" w:themeFill="accent1" w:themeFillTint="66"/>
            <w:vAlign w:val="center"/>
          </w:tcPr>
          <w:p w:rsidR="00A079F7" w:rsidRPr="004840E2" w:rsidRDefault="00A079F7" w:rsidP="00E514F4">
            <w:pPr>
              <w:spacing w:before="60" w:after="60"/>
              <w:jc w:val="left"/>
              <w:rPr>
                <w:bCs w:val="0"/>
                <w:sz w:val="18"/>
                <w:szCs w:val="18"/>
                <w:lang w:eastAsia="fr-FR"/>
              </w:rPr>
            </w:pPr>
            <w:r w:rsidRPr="004840E2">
              <w:rPr>
                <w:bCs w:val="0"/>
                <w:sz w:val="18"/>
                <w:szCs w:val="18"/>
                <w:lang w:eastAsia="fr-FR"/>
              </w:rPr>
              <w:t>Frais de passage /Redevance superficiaire (iv)</w:t>
            </w:r>
          </w:p>
        </w:tc>
        <w:tc>
          <w:tcPr>
            <w:tcW w:w="0" w:type="auto"/>
            <w:tcBorders>
              <w:bottom w:val="single" w:sz="8" w:space="0" w:color="4F81BD"/>
            </w:tcBorders>
            <w:shd w:val="clear" w:color="auto" w:fill="B8CCE4" w:themeFill="accent1" w:themeFillTint="66"/>
            <w:vAlign w:val="center"/>
          </w:tcPr>
          <w:p w:rsidR="00A079F7" w:rsidRPr="00BE136F" w:rsidRDefault="00A079F7" w:rsidP="00E514F4">
            <w:pPr>
              <w:spacing w:before="60" w:after="60"/>
              <w:jc w:val="center"/>
              <w:rPr>
                <w:rFonts w:ascii="Wingdings" w:hAnsi="Wingdings" w:cs="Times New Roman"/>
                <w:bCs w:val="0"/>
                <w:color w:val="000000"/>
                <w:sz w:val="22"/>
                <w:lang w:eastAsia="fr-FR"/>
              </w:rPr>
            </w:pPr>
            <w:r w:rsidRPr="00BE136F">
              <w:rPr>
                <w:rFonts w:ascii="Wingdings" w:hAnsi="Wingdings" w:cs="Times New Roman"/>
                <w:bCs w:val="0"/>
                <w:color w:val="000000"/>
                <w:sz w:val="22"/>
                <w:lang w:eastAsia="fr-FR"/>
              </w:rPr>
              <w:t></w:t>
            </w:r>
          </w:p>
        </w:tc>
        <w:tc>
          <w:tcPr>
            <w:tcW w:w="0" w:type="auto"/>
            <w:tcBorders>
              <w:bottom w:val="single" w:sz="8" w:space="0" w:color="4F81BD"/>
            </w:tcBorders>
            <w:shd w:val="clear" w:color="auto" w:fill="B8CCE4" w:themeFill="accent1" w:themeFillTint="66"/>
            <w:vAlign w:val="center"/>
          </w:tcPr>
          <w:p w:rsidR="00A079F7" w:rsidRPr="00BE136F" w:rsidRDefault="00A079F7" w:rsidP="00E514F4">
            <w:pPr>
              <w:spacing w:before="60" w:after="60"/>
              <w:jc w:val="center"/>
              <w:rPr>
                <w:rFonts w:ascii="Wingdings" w:hAnsi="Wingdings" w:cs="Times New Roman"/>
                <w:bCs w:val="0"/>
                <w:color w:val="000000"/>
                <w:sz w:val="22"/>
                <w:lang w:eastAsia="fr-FR"/>
              </w:rPr>
            </w:pPr>
          </w:p>
        </w:tc>
        <w:tc>
          <w:tcPr>
            <w:tcW w:w="0" w:type="auto"/>
            <w:tcBorders>
              <w:bottom w:val="single" w:sz="8" w:space="0" w:color="4F81BD"/>
              <w:right w:val="single" w:sz="4" w:space="0" w:color="4F81BD" w:themeColor="accent1"/>
            </w:tcBorders>
            <w:shd w:val="clear" w:color="auto" w:fill="B8CCE4" w:themeFill="accent1" w:themeFillTint="66"/>
            <w:vAlign w:val="center"/>
          </w:tcPr>
          <w:p w:rsidR="00A079F7" w:rsidRPr="00BE136F" w:rsidRDefault="00A079F7" w:rsidP="00E514F4">
            <w:pPr>
              <w:spacing w:before="60" w:after="60"/>
              <w:jc w:val="center"/>
              <w:rPr>
                <w:bCs w:val="0"/>
                <w:color w:val="000000"/>
                <w:sz w:val="18"/>
                <w:szCs w:val="18"/>
                <w:lang w:eastAsia="fr-FR"/>
              </w:rPr>
            </w:pPr>
            <w:r w:rsidRPr="00BE136F">
              <w:rPr>
                <w:bCs w:val="0"/>
                <w:color w:val="000000"/>
                <w:sz w:val="18"/>
                <w:szCs w:val="18"/>
                <w:lang w:eastAsia="fr-FR"/>
              </w:rPr>
              <w:t>R</w:t>
            </w:r>
          </w:p>
        </w:tc>
      </w:tr>
      <w:tr w:rsidR="00A079F7" w:rsidRPr="005159F3" w:rsidTr="00E514F4">
        <w:trPr>
          <w:trHeight w:val="267"/>
        </w:trPr>
        <w:tc>
          <w:tcPr>
            <w:tcW w:w="0" w:type="auto"/>
            <w:vMerge/>
            <w:tcBorders>
              <w:bottom w:val="single" w:sz="12" w:space="0" w:color="17365D" w:themeColor="text2" w:themeShade="BF"/>
            </w:tcBorders>
            <w:vAlign w:val="center"/>
          </w:tcPr>
          <w:p w:rsidR="00A079F7" w:rsidRPr="005159F3" w:rsidRDefault="00A079F7" w:rsidP="00E514F4">
            <w:pPr>
              <w:spacing w:before="60" w:after="60"/>
              <w:jc w:val="left"/>
              <w:rPr>
                <w:b/>
                <w:sz w:val="18"/>
                <w:szCs w:val="18"/>
                <w:highlight w:val="yellow"/>
                <w:lang w:eastAsia="fr-FR"/>
              </w:rPr>
            </w:pPr>
          </w:p>
        </w:tc>
        <w:tc>
          <w:tcPr>
            <w:tcW w:w="0" w:type="auto"/>
            <w:tcBorders>
              <w:bottom w:val="single" w:sz="8" w:space="0" w:color="4F81BD"/>
            </w:tcBorders>
            <w:shd w:val="clear" w:color="auto" w:fill="auto"/>
            <w:vAlign w:val="center"/>
          </w:tcPr>
          <w:p w:rsidR="00A079F7" w:rsidRPr="004840E2" w:rsidRDefault="00A079F7" w:rsidP="00E514F4">
            <w:pPr>
              <w:spacing w:before="60" w:after="60"/>
              <w:jc w:val="left"/>
              <w:rPr>
                <w:bCs w:val="0"/>
                <w:sz w:val="18"/>
                <w:szCs w:val="18"/>
                <w:lang w:eastAsia="fr-FR"/>
              </w:rPr>
            </w:pPr>
            <w:r w:rsidRPr="004840E2">
              <w:rPr>
                <w:szCs w:val="20"/>
                <w:lang w:eastAsia="fr-FR"/>
              </w:rPr>
              <w:t xml:space="preserve">Taxe sur autorisation d'exploitation des eaux naturelles de surface ou souterraines </w:t>
            </w:r>
            <w:r w:rsidRPr="004840E2">
              <w:rPr>
                <w:bCs w:val="0"/>
                <w:sz w:val="18"/>
                <w:szCs w:val="18"/>
                <w:lang w:eastAsia="fr-FR"/>
              </w:rPr>
              <w:t>(iii)</w:t>
            </w:r>
          </w:p>
        </w:tc>
        <w:tc>
          <w:tcPr>
            <w:tcW w:w="0" w:type="auto"/>
            <w:tcBorders>
              <w:bottom w:val="single" w:sz="8" w:space="0" w:color="4F81BD"/>
            </w:tcBorders>
            <w:shd w:val="clear" w:color="auto" w:fill="auto"/>
            <w:vAlign w:val="center"/>
          </w:tcPr>
          <w:p w:rsidR="00A079F7" w:rsidRPr="00BE136F" w:rsidRDefault="00A079F7" w:rsidP="00E514F4">
            <w:pPr>
              <w:spacing w:before="60" w:after="60"/>
              <w:jc w:val="center"/>
              <w:rPr>
                <w:rFonts w:ascii="Wingdings" w:hAnsi="Wingdings" w:cs="Times New Roman"/>
                <w:bCs w:val="0"/>
                <w:color w:val="000000"/>
                <w:sz w:val="22"/>
                <w:lang w:eastAsia="fr-FR"/>
              </w:rPr>
            </w:pPr>
          </w:p>
        </w:tc>
        <w:tc>
          <w:tcPr>
            <w:tcW w:w="0" w:type="auto"/>
            <w:tcBorders>
              <w:bottom w:val="single" w:sz="8" w:space="0" w:color="4F81BD"/>
            </w:tcBorders>
            <w:shd w:val="clear" w:color="auto" w:fill="auto"/>
            <w:vAlign w:val="center"/>
          </w:tcPr>
          <w:p w:rsidR="00A079F7" w:rsidRPr="00BE136F" w:rsidRDefault="00A079F7" w:rsidP="00E514F4">
            <w:pPr>
              <w:spacing w:before="60" w:after="60"/>
              <w:jc w:val="center"/>
              <w:rPr>
                <w:rFonts w:ascii="Wingdings" w:hAnsi="Wingdings" w:cs="Times New Roman"/>
                <w:bCs w:val="0"/>
                <w:color w:val="000000"/>
                <w:sz w:val="22"/>
                <w:lang w:eastAsia="fr-FR"/>
              </w:rPr>
            </w:pPr>
            <w:r w:rsidRPr="00BE136F">
              <w:rPr>
                <w:rFonts w:ascii="Wingdings" w:hAnsi="Wingdings" w:cs="Times New Roman"/>
                <w:bCs w:val="0"/>
                <w:color w:val="000000"/>
                <w:sz w:val="22"/>
                <w:lang w:eastAsia="fr-FR"/>
              </w:rPr>
              <w:t></w:t>
            </w:r>
          </w:p>
        </w:tc>
        <w:tc>
          <w:tcPr>
            <w:tcW w:w="0" w:type="auto"/>
            <w:tcBorders>
              <w:bottom w:val="single" w:sz="8" w:space="0" w:color="4F81BD"/>
              <w:right w:val="single" w:sz="4" w:space="0" w:color="4F81BD" w:themeColor="accent1"/>
            </w:tcBorders>
            <w:shd w:val="clear" w:color="auto" w:fill="auto"/>
            <w:vAlign w:val="center"/>
          </w:tcPr>
          <w:p w:rsidR="00A079F7" w:rsidRPr="00BE136F" w:rsidRDefault="00A079F7" w:rsidP="00E514F4">
            <w:pPr>
              <w:spacing w:before="60" w:after="60"/>
              <w:jc w:val="center"/>
              <w:rPr>
                <w:bCs w:val="0"/>
                <w:color w:val="000000"/>
                <w:sz w:val="18"/>
                <w:szCs w:val="18"/>
                <w:lang w:eastAsia="fr-FR"/>
              </w:rPr>
            </w:pPr>
            <w:r w:rsidRPr="00BE136F">
              <w:rPr>
                <w:bCs w:val="0"/>
                <w:color w:val="000000"/>
                <w:sz w:val="18"/>
                <w:szCs w:val="18"/>
                <w:lang w:eastAsia="fr-FR"/>
              </w:rPr>
              <w:t>R</w:t>
            </w:r>
          </w:p>
        </w:tc>
      </w:tr>
      <w:tr w:rsidR="00A079F7" w:rsidRPr="005159F3" w:rsidTr="00E514F4">
        <w:trPr>
          <w:trHeight w:val="267"/>
        </w:trPr>
        <w:tc>
          <w:tcPr>
            <w:tcW w:w="0" w:type="auto"/>
            <w:vMerge/>
            <w:tcBorders>
              <w:bottom w:val="single" w:sz="12" w:space="0" w:color="17365D" w:themeColor="text2" w:themeShade="BF"/>
            </w:tcBorders>
            <w:vAlign w:val="center"/>
            <w:hideMark/>
          </w:tcPr>
          <w:p w:rsidR="00A079F7" w:rsidRPr="005159F3" w:rsidRDefault="00A079F7" w:rsidP="00E514F4">
            <w:pPr>
              <w:spacing w:before="60" w:after="60"/>
              <w:jc w:val="left"/>
              <w:rPr>
                <w:b/>
                <w:sz w:val="18"/>
                <w:szCs w:val="18"/>
                <w:highlight w:val="yellow"/>
                <w:lang w:eastAsia="fr-FR"/>
              </w:rPr>
            </w:pPr>
          </w:p>
        </w:tc>
        <w:tc>
          <w:tcPr>
            <w:tcW w:w="0" w:type="auto"/>
            <w:tcBorders>
              <w:bottom w:val="single" w:sz="12" w:space="0" w:color="17365D" w:themeColor="text2" w:themeShade="BF"/>
            </w:tcBorders>
            <w:shd w:val="clear" w:color="auto" w:fill="B8CCE4" w:themeFill="accent1" w:themeFillTint="66"/>
            <w:vAlign w:val="center"/>
          </w:tcPr>
          <w:p w:rsidR="00A079F7" w:rsidRPr="004840E2" w:rsidRDefault="00A079F7" w:rsidP="00E514F4">
            <w:pPr>
              <w:spacing w:before="60" w:after="60"/>
              <w:jc w:val="left"/>
              <w:rPr>
                <w:bCs w:val="0"/>
                <w:sz w:val="18"/>
                <w:szCs w:val="18"/>
                <w:highlight w:val="yellow"/>
                <w:lang w:eastAsia="fr-FR"/>
              </w:rPr>
            </w:pPr>
            <w:r w:rsidRPr="004840E2">
              <w:rPr>
                <w:szCs w:val="20"/>
                <w:lang w:eastAsia="fr-FR"/>
              </w:rPr>
              <w:t xml:space="preserve">Police des mines et hydrocarbures </w:t>
            </w:r>
            <w:r w:rsidRPr="004840E2">
              <w:rPr>
                <w:bCs w:val="0"/>
                <w:sz w:val="18"/>
                <w:szCs w:val="18"/>
                <w:lang w:eastAsia="fr-FR"/>
              </w:rPr>
              <w:t>(iii)</w:t>
            </w:r>
          </w:p>
        </w:tc>
        <w:tc>
          <w:tcPr>
            <w:tcW w:w="0" w:type="auto"/>
            <w:tcBorders>
              <w:bottom w:val="single" w:sz="12" w:space="0" w:color="17365D" w:themeColor="text2" w:themeShade="BF"/>
            </w:tcBorders>
            <w:shd w:val="clear" w:color="auto" w:fill="B8CCE4" w:themeFill="accent1" w:themeFillTint="66"/>
            <w:vAlign w:val="center"/>
          </w:tcPr>
          <w:p w:rsidR="00A079F7" w:rsidRPr="00BE136F" w:rsidRDefault="00A079F7" w:rsidP="00E514F4">
            <w:pPr>
              <w:spacing w:before="60" w:after="60"/>
              <w:jc w:val="center"/>
              <w:rPr>
                <w:rFonts w:ascii="Wingdings" w:hAnsi="Wingdings" w:cs="Times New Roman"/>
                <w:bCs w:val="0"/>
                <w:color w:val="000000"/>
                <w:sz w:val="22"/>
                <w:lang w:eastAsia="fr-FR"/>
              </w:rPr>
            </w:pPr>
            <w:r w:rsidRPr="00BE136F">
              <w:rPr>
                <w:rFonts w:ascii="Wingdings" w:hAnsi="Wingdings" w:cs="Times New Roman"/>
                <w:bCs w:val="0"/>
                <w:color w:val="000000"/>
                <w:sz w:val="22"/>
                <w:lang w:eastAsia="fr-FR"/>
              </w:rPr>
              <w:t></w:t>
            </w:r>
          </w:p>
        </w:tc>
        <w:tc>
          <w:tcPr>
            <w:tcW w:w="0" w:type="auto"/>
            <w:tcBorders>
              <w:bottom w:val="single" w:sz="12" w:space="0" w:color="17365D" w:themeColor="text2" w:themeShade="BF"/>
            </w:tcBorders>
            <w:shd w:val="clear" w:color="auto" w:fill="B8CCE4" w:themeFill="accent1" w:themeFillTint="66"/>
            <w:vAlign w:val="center"/>
          </w:tcPr>
          <w:p w:rsidR="00A079F7" w:rsidRPr="00BE136F" w:rsidRDefault="00A079F7" w:rsidP="00E514F4">
            <w:pPr>
              <w:spacing w:before="60" w:after="60"/>
              <w:jc w:val="center"/>
              <w:rPr>
                <w:bCs w:val="0"/>
                <w:color w:val="000000"/>
                <w:sz w:val="22"/>
                <w:lang w:eastAsia="fr-FR"/>
              </w:rPr>
            </w:pPr>
            <w:r w:rsidRPr="00BE136F">
              <w:rPr>
                <w:rFonts w:ascii="Wingdings" w:hAnsi="Wingdings" w:cs="Times New Roman"/>
                <w:bCs w:val="0"/>
                <w:color w:val="000000"/>
                <w:sz w:val="22"/>
                <w:lang w:eastAsia="fr-FR"/>
              </w:rPr>
              <w:t></w:t>
            </w:r>
          </w:p>
        </w:tc>
        <w:tc>
          <w:tcPr>
            <w:tcW w:w="0" w:type="auto"/>
            <w:tcBorders>
              <w:bottom w:val="single" w:sz="12" w:space="0" w:color="17365D" w:themeColor="text2" w:themeShade="BF"/>
              <w:right w:val="single" w:sz="4" w:space="0" w:color="4F81BD" w:themeColor="accent1"/>
            </w:tcBorders>
            <w:shd w:val="clear" w:color="auto" w:fill="B8CCE4" w:themeFill="accent1" w:themeFillTint="66"/>
            <w:vAlign w:val="center"/>
          </w:tcPr>
          <w:p w:rsidR="00A079F7" w:rsidRPr="00BE136F" w:rsidRDefault="00A079F7" w:rsidP="00E514F4">
            <w:pPr>
              <w:spacing w:before="60" w:after="60"/>
              <w:jc w:val="center"/>
              <w:rPr>
                <w:bCs w:val="0"/>
                <w:color w:val="000000"/>
                <w:sz w:val="18"/>
                <w:szCs w:val="18"/>
                <w:lang w:eastAsia="fr-FR"/>
              </w:rPr>
            </w:pPr>
            <w:r w:rsidRPr="00BE136F">
              <w:rPr>
                <w:bCs w:val="0"/>
                <w:color w:val="000000"/>
                <w:sz w:val="18"/>
                <w:szCs w:val="18"/>
                <w:lang w:eastAsia="fr-FR"/>
              </w:rPr>
              <w:t>R</w:t>
            </w:r>
          </w:p>
        </w:tc>
      </w:tr>
      <w:tr w:rsidR="00A079F7" w:rsidRPr="005159F3" w:rsidTr="00E514F4">
        <w:trPr>
          <w:trHeight w:val="285"/>
        </w:trPr>
        <w:tc>
          <w:tcPr>
            <w:tcW w:w="0" w:type="auto"/>
            <w:vMerge w:val="restart"/>
            <w:tcBorders>
              <w:top w:val="single" w:sz="12" w:space="0" w:color="17365D" w:themeColor="text2" w:themeShade="BF"/>
            </w:tcBorders>
            <w:shd w:val="clear" w:color="000000" w:fill="FFFFFF"/>
            <w:textDirection w:val="btLr"/>
            <w:vAlign w:val="center"/>
            <w:hideMark/>
          </w:tcPr>
          <w:p w:rsidR="00A079F7" w:rsidRPr="00EB66E0" w:rsidRDefault="00A079F7" w:rsidP="00E514F4">
            <w:pPr>
              <w:spacing w:before="60" w:after="60"/>
              <w:jc w:val="center"/>
              <w:rPr>
                <w:b/>
                <w:sz w:val="18"/>
                <w:szCs w:val="18"/>
                <w:lang w:eastAsia="fr-FR"/>
              </w:rPr>
            </w:pPr>
            <w:r w:rsidRPr="00EB66E0">
              <w:rPr>
                <w:b/>
                <w:sz w:val="18"/>
                <w:szCs w:val="18"/>
                <w:lang w:eastAsia="fr-FR"/>
              </w:rPr>
              <w:t>Entreprises Publiques</w:t>
            </w:r>
          </w:p>
        </w:tc>
        <w:tc>
          <w:tcPr>
            <w:tcW w:w="0" w:type="auto"/>
            <w:tcBorders>
              <w:top w:val="single" w:sz="12" w:space="0" w:color="17365D" w:themeColor="text2" w:themeShade="BF"/>
            </w:tcBorders>
            <w:shd w:val="clear" w:color="auto" w:fill="B8CCE4" w:themeFill="accent1" w:themeFillTint="66"/>
            <w:vAlign w:val="center"/>
            <w:hideMark/>
          </w:tcPr>
          <w:p w:rsidR="00A079F7" w:rsidRPr="00EB66E0" w:rsidRDefault="00A079F7" w:rsidP="00E514F4">
            <w:pPr>
              <w:spacing w:before="60" w:after="60"/>
              <w:jc w:val="left"/>
              <w:rPr>
                <w:bCs w:val="0"/>
                <w:color w:val="000000"/>
                <w:sz w:val="18"/>
                <w:szCs w:val="18"/>
                <w:lang w:eastAsia="fr-FR"/>
              </w:rPr>
            </w:pPr>
            <w:r w:rsidRPr="00EB66E0">
              <w:rPr>
                <w:bCs w:val="0"/>
                <w:color w:val="000000"/>
                <w:sz w:val="18"/>
                <w:szCs w:val="18"/>
                <w:lang w:eastAsia="fr-FR"/>
              </w:rPr>
              <w:t>Cession d’actifs ou parts sociales</w:t>
            </w:r>
          </w:p>
        </w:tc>
        <w:tc>
          <w:tcPr>
            <w:tcW w:w="0" w:type="auto"/>
            <w:tcBorders>
              <w:top w:val="single" w:sz="12" w:space="0" w:color="17365D" w:themeColor="text2" w:themeShade="BF"/>
            </w:tcBorders>
            <w:shd w:val="clear" w:color="auto" w:fill="B8CCE4" w:themeFill="accent1" w:themeFillTint="66"/>
            <w:noWrap/>
            <w:vAlign w:val="center"/>
            <w:hideMark/>
          </w:tcPr>
          <w:p w:rsidR="00A079F7" w:rsidRPr="00EB66E0" w:rsidRDefault="00A079F7" w:rsidP="00E514F4">
            <w:pPr>
              <w:spacing w:before="60" w:after="60"/>
              <w:jc w:val="center"/>
              <w:rPr>
                <w:rFonts w:ascii="Wingdings" w:hAnsi="Wingdings" w:cs="Times New Roman"/>
                <w:bCs w:val="0"/>
                <w:color w:val="000000"/>
                <w:sz w:val="22"/>
                <w:lang w:eastAsia="fr-FR"/>
              </w:rPr>
            </w:pPr>
            <w:r w:rsidRPr="00EB66E0">
              <w:rPr>
                <w:rFonts w:ascii="Wingdings" w:hAnsi="Wingdings" w:cs="Times New Roman"/>
                <w:bCs w:val="0"/>
                <w:color w:val="000000"/>
                <w:sz w:val="22"/>
                <w:lang w:eastAsia="fr-FR"/>
              </w:rPr>
              <w:t></w:t>
            </w:r>
          </w:p>
        </w:tc>
        <w:tc>
          <w:tcPr>
            <w:tcW w:w="0" w:type="auto"/>
            <w:tcBorders>
              <w:top w:val="single" w:sz="12" w:space="0" w:color="17365D" w:themeColor="text2" w:themeShade="BF"/>
            </w:tcBorders>
            <w:shd w:val="clear" w:color="auto" w:fill="B8CCE4" w:themeFill="accent1" w:themeFillTint="66"/>
            <w:noWrap/>
            <w:vAlign w:val="center"/>
            <w:hideMark/>
          </w:tcPr>
          <w:p w:rsidR="00A079F7" w:rsidRPr="00EB66E0" w:rsidRDefault="00A079F7" w:rsidP="00E514F4">
            <w:pPr>
              <w:spacing w:before="60" w:after="60"/>
              <w:jc w:val="center"/>
              <w:rPr>
                <w:rFonts w:ascii="Wingdings" w:hAnsi="Wingdings" w:cs="Times New Roman"/>
                <w:bCs w:val="0"/>
                <w:color w:val="000000"/>
                <w:sz w:val="22"/>
                <w:lang w:eastAsia="fr-FR"/>
              </w:rPr>
            </w:pPr>
            <w:r w:rsidRPr="00EB66E0">
              <w:rPr>
                <w:rFonts w:ascii="Wingdings" w:hAnsi="Wingdings" w:cs="Times New Roman"/>
                <w:bCs w:val="0"/>
                <w:color w:val="000000"/>
                <w:sz w:val="22"/>
                <w:lang w:eastAsia="fr-FR"/>
              </w:rPr>
              <w:t></w:t>
            </w:r>
          </w:p>
        </w:tc>
        <w:tc>
          <w:tcPr>
            <w:tcW w:w="0" w:type="auto"/>
            <w:tcBorders>
              <w:top w:val="single" w:sz="12" w:space="0" w:color="17365D" w:themeColor="text2" w:themeShade="BF"/>
              <w:right w:val="single" w:sz="4" w:space="0" w:color="4F81BD" w:themeColor="accent1"/>
            </w:tcBorders>
            <w:shd w:val="clear" w:color="auto" w:fill="B8CCE4" w:themeFill="accent1" w:themeFillTint="66"/>
            <w:vAlign w:val="center"/>
            <w:hideMark/>
          </w:tcPr>
          <w:p w:rsidR="00A079F7" w:rsidRPr="00EB66E0" w:rsidRDefault="00A079F7" w:rsidP="00E514F4">
            <w:pPr>
              <w:spacing w:before="60" w:after="60"/>
              <w:jc w:val="center"/>
              <w:rPr>
                <w:bCs w:val="0"/>
                <w:color w:val="000000"/>
                <w:sz w:val="18"/>
                <w:szCs w:val="18"/>
                <w:lang w:eastAsia="fr-FR"/>
              </w:rPr>
            </w:pPr>
            <w:r w:rsidRPr="00EB66E0">
              <w:rPr>
                <w:bCs w:val="0"/>
                <w:color w:val="000000"/>
                <w:sz w:val="18"/>
                <w:szCs w:val="18"/>
                <w:lang w:eastAsia="fr-FR"/>
              </w:rPr>
              <w:t>R</w:t>
            </w:r>
          </w:p>
        </w:tc>
      </w:tr>
      <w:tr w:rsidR="00A079F7" w:rsidRPr="005159F3" w:rsidTr="00E514F4">
        <w:trPr>
          <w:trHeight w:val="219"/>
        </w:trPr>
        <w:tc>
          <w:tcPr>
            <w:tcW w:w="0" w:type="auto"/>
            <w:vMerge/>
            <w:vAlign w:val="center"/>
            <w:hideMark/>
          </w:tcPr>
          <w:p w:rsidR="00A079F7" w:rsidRPr="00EB66E0" w:rsidRDefault="00A079F7" w:rsidP="00E514F4">
            <w:pPr>
              <w:spacing w:before="60" w:after="60"/>
              <w:jc w:val="left"/>
              <w:rPr>
                <w:b/>
                <w:sz w:val="18"/>
                <w:szCs w:val="18"/>
                <w:lang w:eastAsia="fr-FR"/>
              </w:rPr>
            </w:pPr>
          </w:p>
        </w:tc>
        <w:tc>
          <w:tcPr>
            <w:tcW w:w="0" w:type="auto"/>
            <w:tcBorders>
              <w:bottom w:val="single" w:sz="8" w:space="0" w:color="4F81BD"/>
            </w:tcBorders>
            <w:shd w:val="clear" w:color="auto" w:fill="FFFFFF" w:themeFill="background1"/>
            <w:vAlign w:val="center"/>
            <w:hideMark/>
          </w:tcPr>
          <w:p w:rsidR="00A079F7" w:rsidRPr="00EB66E0" w:rsidRDefault="00A079F7" w:rsidP="00E514F4">
            <w:pPr>
              <w:spacing w:before="60" w:after="60"/>
              <w:jc w:val="left"/>
              <w:rPr>
                <w:bCs w:val="0"/>
                <w:color w:val="000000"/>
                <w:sz w:val="18"/>
                <w:szCs w:val="18"/>
                <w:lang w:eastAsia="fr-FR"/>
              </w:rPr>
            </w:pPr>
            <w:r w:rsidRPr="00EB66E0">
              <w:rPr>
                <w:bCs w:val="0"/>
                <w:color w:val="000000"/>
                <w:sz w:val="18"/>
                <w:szCs w:val="18"/>
                <w:lang w:eastAsia="fr-FR"/>
              </w:rPr>
              <w:t>Dividendes versées aux entreprises publiques</w:t>
            </w:r>
          </w:p>
        </w:tc>
        <w:tc>
          <w:tcPr>
            <w:tcW w:w="0" w:type="auto"/>
            <w:tcBorders>
              <w:bottom w:val="single" w:sz="8" w:space="0" w:color="4F81BD"/>
            </w:tcBorders>
            <w:shd w:val="clear" w:color="auto" w:fill="FFFFFF" w:themeFill="background1"/>
            <w:noWrap/>
            <w:vAlign w:val="center"/>
            <w:hideMark/>
          </w:tcPr>
          <w:p w:rsidR="00A079F7" w:rsidRPr="00EB66E0" w:rsidRDefault="00A079F7" w:rsidP="00E514F4">
            <w:pPr>
              <w:spacing w:before="60" w:after="60"/>
              <w:jc w:val="center"/>
              <w:rPr>
                <w:rFonts w:ascii="Wingdings" w:hAnsi="Wingdings" w:cs="Times New Roman"/>
                <w:bCs w:val="0"/>
                <w:color w:val="000000"/>
                <w:sz w:val="22"/>
                <w:lang w:eastAsia="fr-FR"/>
              </w:rPr>
            </w:pPr>
            <w:r w:rsidRPr="00EB66E0">
              <w:rPr>
                <w:rFonts w:ascii="Wingdings" w:hAnsi="Wingdings" w:cs="Times New Roman"/>
                <w:bCs w:val="0"/>
                <w:color w:val="000000"/>
                <w:sz w:val="22"/>
                <w:lang w:eastAsia="fr-FR"/>
              </w:rPr>
              <w:t></w:t>
            </w:r>
          </w:p>
        </w:tc>
        <w:tc>
          <w:tcPr>
            <w:tcW w:w="0" w:type="auto"/>
            <w:tcBorders>
              <w:bottom w:val="single" w:sz="8" w:space="0" w:color="4F81BD"/>
            </w:tcBorders>
            <w:shd w:val="clear" w:color="auto" w:fill="FFFFFF" w:themeFill="background1"/>
            <w:noWrap/>
            <w:vAlign w:val="center"/>
            <w:hideMark/>
          </w:tcPr>
          <w:p w:rsidR="00A079F7" w:rsidRPr="00EB66E0" w:rsidRDefault="00A079F7" w:rsidP="00E514F4">
            <w:pPr>
              <w:spacing w:before="60" w:after="60"/>
              <w:jc w:val="center"/>
              <w:rPr>
                <w:rFonts w:ascii="Wingdings" w:hAnsi="Wingdings" w:cs="Times New Roman"/>
                <w:bCs w:val="0"/>
                <w:color w:val="000000"/>
                <w:sz w:val="22"/>
                <w:lang w:eastAsia="fr-FR"/>
              </w:rPr>
            </w:pPr>
            <w:r w:rsidRPr="00EB66E0">
              <w:rPr>
                <w:rFonts w:ascii="Wingdings" w:hAnsi="Wingdings" w:cs="Times New Roman"/>
                <w:bCs w:val="0"/>
                <w:color w:val="000000"/>
                <w:sz w:val="22"/>
                <w:lang w:eastAsia="fr-FR"/>
              </w:rPr>
              <w:t></w:t>
            </w:r>
          </w:p>
        </w:tc>
        <w:tc>
          <w:tcPr>
            <w:tcW w:w="0" w:type="auto"/>
            <w:tcBorders>
              <w:bottom w:val="single" w:sz="8" w:space="0" w:color="4F81BD"/>
              <w:right w:val="single" w:sz="4" w:space="0" w:color="4F81BD" w:themeColor="accent1"/>
            </w:tcBorders>
            <w:shd w:val="clear" w:color="auto" w:fill="FFFFFF" w:themeFill="background1"/>
            <w:vAlign w:val="center"/>
            <w:hideMark/>
          </w:tcPr>
          <w:p w:rsidR="00A079F7" w:rsidRPr="00EB66E0" w:rsidRDefault="00A079F7" w:rsidP="00E514F4">
            <w:pPr>
              <w:spacing w:before="60" w:after="60"/>
              <w:jc w:val="center"/>
              <w:rPr>
                <w:bCs w:val="0"/>
                <w:color w:val="000000"/>
                <w:sz w:val="18"/>
                <w:szCs w:val="18"/>
                <w:lang w:eastAsia="fr-FR"/>
              </w:rPr>
            </w:pPr>
            <w:r w:rsidRPr="00EB66E0">
              <w:rPr>
                <w:bCs w:val="0"/>
                <w:color w:val="000000"/>
                <w:sz w:val="18"/>
                <w:szCs w:val="18"/>
                <w:lang w:eastAsia="fr-FR"/>
              </w:rPr>
              <w:t>R</w:t>
            </w:r>
          </w:p>
        </w:tc>
      </w:tr>
      <w:tr w:rsidR="00A079F7" w:rsidRPr="005159F3" w:rsidTr="00E514F4">
        <w:trPr>
          <w:trHeight w:val="219"/>
        </w:trPr>
        <w:tc>
          <w:tcPr>
            <w:tcW w:w="0" w:type="auto"/>
            <w:vMerge/>
            <w:vAlign w:val="center"/>
          </w:tcPr>
          <w:p w:rsidR="00A079F7" w:rsidRPr="00EB66E0" w:rsidRDefault="00A079F7" w:rsidP="00E514F4">
            <w:pPr>
              <w:spacing w:before="60" w:after="60"/>
              <w:jc w:val="left"/>
              <w:rPr>
                <w:b/>
                <w:sz w:val="18"/>
                <w:szCs w:val="18"/>
                <w:lang w:eastAsia="fr-FR"/>
              </w:rPr>
            </w:pPr>
          </w:p>
        </w:tc>
        <w:tc>
          <w:tcPr>
            <w:tcW w:w="0" w:type="auto"/>
            <w:shd w:val="clear" w:color="auto" w:fill="B8CCE4" w:themeFill="accent1" w:themeFillTint="66"/>
            <w:vAlign w:val="center"/>
          </w:tcPr>
          <w:p w:rsidR="00A079F7" w:rsidRPr="00EB66E0" w:rsidRDefault="00A079F7" w:rsidP="00E514F4">
            <w:pPr>
              <w:spacing w:before="60" w:after="60"/>
              <w:jc w:val="left"/>
              <w:rPr>
                <w:bCs w:val="0"/>
                <w:color w:val="000000"/>
                <w:sz w:val="18"/>
                <w:szCs w:val="18"/>
                <w:lang w:eastAsia="fr-FR"/>
              </w:rPr>
            </w:pPr>
            <w:r w:rsidRPr="00EB66E0">
              <w:rPr>
                <w:bCs w:val="0"/>
                <w:color w:val="000000"/>
                <w:sz w:val="18"/>
                <w:szCs w:val="18"/>
                <w:lang w:eastAsia="fr-FR"/>
              </w:rPr>
              <w:t>Frais de formation des cadres Congolais</w:t>
            </w:r>
          </w:p>
        </w:tc>
        <w:tc>
          <w:tcPr>
            <w:tcW w:w="0" w:type="auto"/>
            <w:shd w:val="clear" w:color="auto" w:fill="B8CCE4" w:themeFill="accent1" w:themeFillTint="66"/>
            <w:noWrap/>
            <w:vAlign w:val="center"/>
          </w:tcPr>
          <w:p w:rsidR="00A079F7" w:rsidRPr="00EB66E0" w:rsidRDefault="00A079F7" w:rsidP="00E514F4">
            <w:pPr>
              <w:spacing w:before="60" w:after="60"/>
              <w:jc w:val="center"/>
              <w:rPr>
                <w:rFonts w:ascii="Wingdings" w:hAnsi="Wingdings" w:cs="Times New Roman"/>
                <w:bCs w:val="0"/>
                <w:color w:val="000000"/>
                <w:sz w:val="22"/>
                <w:lang w:eastAsia="fr-FR"/>
              </w:rPr>
            </w:pPr>
            <w:r w:rsidRPr="00EB66E0">
              <w:rPr>
                <w:rFonts w:ascii="Wingdings" w:hAnsi="Wingdings" w:cs="Times New Roman"/>
                <w:bCs w:val="0"/>
                <w:color w:val="000000"/>
                <w:sz w:val="22"/>
                <w:lang w:eastAsia="fr-FR"/>
              </w:rPr>
              <w:t></w:t>
            </w:r>
          </w:p>
        </w:tc>
        <w:tc>
          <w:tcPr>
            <w:tcW w:w="0" w:type="auto"/>
            <w:shd w:val="clear" w:color="auto" w:fill="B8CCE4" w:themeFill="accent1" w:themeFillTint="66"/>
            <w:noWrap/>
            <w:vAlign w:val="center"/>
          </w:tcPr>
          <w:p w:rsidR="00A079F7" w:rsidRPr="00EB66E0" w:rsidRDefault="00A079F7" w:rsidP="00E514F4">
            <w:pPr>
              <w:spacing w:before="60" w:after="60"/>
              <w:jc w:val="center"/>
              <w:rPr>
                <w:rFonts w:ascii="Wingdings" w:hAnsi="Wingdings" w:cs="Times New Roman"/>
                <w:bCs w:val="0"/>
                <w:color w:val="000000"/>
                <w:sz w:val="22"/>
                <w:lang w:eastAsia="fr-FR"/>
              </w:rPr>
            </w:pPr>
          </w:p>
        </w:tc>
        <w:tc>
          <w:tcPr>
            <w:tcW w:w="0" w:type="auto"/>
            <w:tcBorders>
              <w:right w:val="single" w:sz="4" w:space="0" w:color="4F81BD" w:themeColor="accent1"/>
            </w:tcBorders>
            <w:shd w:val="clear" w:color="auto" w:fill="B8CCE4" w:themeFill="accent1" w:themeFillTint="66"/>
            <w:vAlign w:val="center"/>
          </w:tcPr>
          <w:p w:rsidR="00A079F7" w:rsidRPr="00EB66E0" w:rsidRDefault="00A079F7" w:rsidP="00E514F4">
            <w:pPr>
              <w:spacing w:before="60" w:after="60"/>
              <w:jc w:val="center"/>
              <w:rPr>
                <w:bCs w:val="0"/>
                <w:color w:val="000000"/>
                <w:sz w:val="18"/>
                <w:szCs w:val="18"/>
                <w:lang w:eastAsia="fr-FR"/>
              </w:rPr>
            </w:pPr>
          </w:p>
        </w:tc>
      </w:tr>
      <w:tr w:rsidR="00A079F7" w:rsidRPr="005159F3" w:rsidTr="00E514F4">
        <w:trPr>
          <w:trHeight w:val="251"/>
        </w:trPr>
        <w:tc>
          <w:tcPr>
            <w:tcW w:w="0" w:type="auto"/>
            <w:vMerge/>
            <w:vAlign w:val="center"/>
            <w:hideMark/>
          </w:tcPr>
          <w:p w:rsidR="00A079F7" w:rsidRPr="00EB66E0" w:rsidRDefault="00A079F7" w:rsidP="00E514F4">
            <w:pPr>
              <w:spacing w:before="60" w:after="60"/>
              <w:jc w:val="left"/>
              <w:rPr>
                <w:b/>
                <w:sz w:val="18"/>
                <w:szCs w:val="18"/>
                <w:lang w:eastAsia="fr-FR"/>
              </w:rPr>
            </w:pPr>
          </w:p>
        </w:tc>
        <w:tc>
          <w:tcPr>
            <w:tcW w:w="0" w:type="auto"/>
            <w:tcBorders>
              <w:bottom w:val="single" w:sz="8" w:space="0" w:color="4F81BD"/>
            </w:tcBorders>
            <w:shd w:val="clear" w:color="auto" w:fill="FFFFFF" w:themeFill="background1"/>
            <w:vAlign w:val="center"/>
            <w:hideMark/>
          </w:tcPr>
          <w:p w:rsidR="00A079F7" w:rsidRPr="00EB66E0" w:rsidRDefault="00A079F7" w:rsidP="00E514F4">
            <w:pPr>
              <w:spacing w:before="60" w:after="60"/>
              <w:jc w:val="left"/>
              <w:rPr>
                <w:bCs w:val="0"/>
                <w:color w:val="000000"/>
                <w:sz w:val="18"/>
                <w:szCs w:val="18"/>
                <w:lang w:eastAsia="fr-FR"/>
              </w:rPr>
            </w:pPr>
            <w:r w:rsidRPr="00EB66E0">
              <w:rPr>
                <w:bCs w:val="0"/>
                <w:color w:val="000000"/>
                <w:sz w:val="18"/>
                <w:szCs w:val="18"/>
                <w:lang w:eastAsia="fr-FR"/>
              </w:rPr>
              <w:t>Loyers d’amodiation et/ou rente mensuelle</w:t>
            </w:r>
          </w:p>
        </w:tc>
        <w:tc>
          <w:tcPr>
            <w:tcW w:w="0" w:type="auto"/>
            <w:tcBorders>
              <w:bottom w:val="single" w:sz="8" w:space="0" w:color="4F81BD"/>
            </w:tcBorders>
            <w:shd w:val="clear" w:color="auto" w:fill="FFFFFF" w:themeFill="background1"/>
            <w:vAlign w:val="center"/>
            <w:hideMark/>
          </w:tcPr>
          <w:p w:rsidR="00A079F7" w:rsidRPr="00EB66E0" w:rsidRDefault="00A079F7" w:rsidP="00E514F4">
            <w:pPr>
              <w:spacing w:before="60" w:after="60"/>
              <w:jc w:val="center"/>
              <w:rPr>
                <w:bCs w:val="0"/>
                <w:color w:val="000000"/>
                <w:sz w:val="22"/>
                <w:lang w:eastAsia="fr-FR"/>
              </w:rPr>
            </w:pPr>
          </w:p>
        </w:tc>
        <w:tc>
          <w:tcPr>
            <w:tcW w:w="0" w:type="auto"/>
            <w:tcBorders>
              <w:bottom w:val="single" w:sz="8" w:space="0" w:color="4F81BD"/>
            </w:tcBorders>
            <w:shd w:val="clear" w:color="auto" w:fill="FFFFFF" w:themeFill="background1"/>
            <w:noWrap/>
            <w:vAlign w:val="center"/>
            <w:hideMark/>
          </w:tcPr>
          <w:p w:rsidR="00A079F7" w:rsidRPr="00EB66E0" w:rsidRDefault="00A079F7" w:rsidP="00E514F4">
            <w:pPr>
              <w:spacing w:before="60" w:after="60"/>
              <w:jc w:val="center"/>
              <w:rPr>
                <w:rFonts w:ascii="Wingdings" w:hAnsi="Wingdings" w:cs="Times New Roman"/>
                <w:bCs w:val="0"/>
                <w:color w:val="000000"/>
                <w:sz w:val="22"/>
                <w:lang w:eastAsia="fr-FR"/>
              </w:rPr>
            </w:pPr>
            <w:r w:rsidRPr="00EB66E0">
              <w:rPr>
                <w:rFonts w:ascii="Wingdings" w:hAnsi="Wingdings" w:cs="Times New Roman"/>
                <w:bCs w:val="0"/>
                <w:color w:val="000000"/>
                <w:sz w:val="22"/>
                <w:lang w:eastAsia="fr-FR"/>
              </w:rPr>
              <w:t></w:t>
            </w:r>
          </w:p>
        </w:tc>
        <w:tc>
          <w:tcPr>
            <w:tcW w:w="0" w:type="auto"/>
            <w:tcBorders>
              <w:bottom w:val="single" w:sz="8" w:space="0" w:color="4F81BD"/>
              <w:right w:val="single" w:sz="4" w:space="0" w:color="4F81BD" w:themeColor="accent1"/>
            </w:tcBorders>
            <w:shd w:val="clear" w:color="auto" w:fill="FFFFFF" w:themeFill="background1"/>
            <w:vAlign w:val="center"/>
            <w:hideMark/>
          </w:tcPr>
          <w:p w:rsidR="00A079F7" w:rsidRPr="00EB66E0" w:rsidRDefault="00A079F7" w:rsidP="00E514F4">
            <w:pPr>
              <w:spacing w:before="60" w:after="60"/>
              <w:jc w:val="center"/>
              <w:rPr>
                <w:bCs w:val="0"/>
                <w:color w:val="000000"/>
                <w:sz w:val="18"/>
                <w:szCs w:val="18"/>
                <w:lang w:eastAsia="fr-FR"/>
              </w:rPr>
            </w:pPr>
            <w:r w:rsidRPr="00EB66E0">
              <w:rPr>
                <w:bCs w:val="0"/>
                <w:color w:val="000000"/>
                <w:sz w:val="18"/>
                <w:szCs w:val="18"/>
                <w:lang w:eastAsia="fr-FR"/>
              </w:rPr>
              <w:t>R</w:t>
            </w:r>
          </w:p>
        </w:tc>
      </w:tr>
      <w:tr w:rsidR="00A079F7" w:rsidRPr="005159F3" w:rsidTr="00E514F4">
        <w:trPr>
          <w:trHeight w:val="279"/>
        </w:trPr>
        <w:tc>
          <w:tcPr>
            <w:tcW w:w="0" w:type="auto"/>
            <w:vMerge/>
            <w:vAlign w:val="center"/>
            <w:hideMark/>
          </w:tcPr>
          <w:p w:rsidR="00A079F7" w:rsidRPr="00EB66E0" w:rsidRDefault="00A079F7" w:rsidP="00E514F4">
            <w:pPr>
              <w:spacing w:before="60" w:after="60"/>
              <w:jc w:val="left"/>
              <w:rPr>
                <w:b/>
                <w:sz w:val="18"/>
                <w:szCs w:val="18"/>
                <w:lang w:eastAsia="fr-FR"/>
              </w:rPr>
            </w:pPr>
          </w:p>
        </w:tc>
        <w:tc>
          <w:tcPr>
            <w:tcW w:w="0" w:type="auto"/>
            <w:shd w:val="clear" w:color="auto" w:fill="B8CCE4" w:themeFill="accent1" w:themeFillTint="66"/>
            <w:vAlign w:val="center"/>
            <w:hideMark/>
          </w:tcPr>
          <w:p w:rsidR="00A079F7" w:rsidRPr="00EB66E0" w:rsidRDefault="00A079F7" w:rsidP="00E514F4">
            <w:pPr>
              <w:spacing w:before="60" w:after="60"/>
              <w:jc w:val="left"/>
              <w:rPr>
                <w:bCs w:val="0"/>
                <w:color w:val="000000"/>
                <w:sz w:val="18"/>
                <w:szCs w:val="18"/>
                <w:lang w:eastAsia="fr-FR"/>
              </w:rPr>
            </w:pPr>
            <w:r w:rsidRPr="00EB66E0">
              <w:rPr>
                <w:bCs w:val="0"/>
                <w:color w:val="000000"/>
                <w:sz w:val="18"/>
                <w:szCs w:val="18"/>
                <w:lang w:eastAsia="fr-FR"/>
              </w:rPr>
              <w:t>Pas-de-porte / Bonus de Transfert</w:t>
            </w:r>
          </w:p>
        </w:tc>
        <w:tc>
          <w:tcPr>
            <w:tcW w:w="0" w:type="auto"/>
            <w:shd w:val="clear" w:color="auto" w:fill="B8CCE4" w:themeFill="accent1" w:themeFillTint="66"/>
            <w:vAlign w:val="center"/>
            <w:hideMark/>
          </w:tcPr>
          <w:p w:rsidR="00A079F7" w:rsidRPr="00EB66E0" w:rsidRDefault="00A079F7" w:rsidP="00E514F4">
            <w:pPr>
              <w:spacing w:before="60" w:after="60"/>
              <w:jc w:val="center"/>
              <w:rPr>
                <w:bCs w:val="0"/>
                <w:color w:val="000000"/>
                <w:sz w:val="22"/>
                <w:lang w:eastAsia="fr-FR"/>
              </w:rPr>
            </w:pPr>
          </w:p>
        </w:tc>
        <w:tc>
          <w:tcPr>
            <w:tcW w:w="0" w:type="auto"/>
            <w:shd w:val="clear" w:color="auto" w:fill="B8CCE4" w:themeFill="accent1" w:themeFillTint="66"/>
            <w:noWrap/>
            <w:vAlign w:val="center"/>
            <w:hideMark/>
          </w:tcPr>
          <w:p w:rsidR="00A079F7" w:rsidRPr="00EB66E0" w:rsidRDefault="00A079F7" w:rsidP="00E514F4">
            <w:pPr>
              <w:spacing w:before="60" w:after="60"/>
              <w:jc w:val="center"/>
              <w:rPr>
                <w:rFonts w:ascii="Wingdings" w:hAnsi="Wingdings" w:cs="Times New Roman"/>
                <w:bCs w:val="0"/>
                <w:color w:val="000000"/>
                <w:sz w:val="22"/>
                <w:lang w:eastAsia="fr-FR"/>
              </w:rPr>
            </w:pPr>
            <w:r w:rsidRPr="00EB66E0">
              <w:rPr>
                <w:rFonts w:ascii="Wingdings" w:hAnsi="Wingdings" w:cs="Times New Roman"/>
                <w:bCs w:val="0"/>
                <w:color w:val="000000"/>
                <w:sz w:val="22"/>
                <w:lang w:eastAsia="fr-FR"/>
              </w:rPr>
              <w:t></w:t>
            </w:r>
          </w:p>
        </w:tc>
        <w:tc>
          <w:tcPr>
            <w:tcW w:w="0" w:type="auto"/>
            <w:tcBorders>
              <w:right w:val="single" w:sz="4" w:space="0" w:color="4F81BD" w:themeColor="accent1"/>
            </w:tcBorders>
            <w:shd w:val="clear" w:color="auto" w:fill="B8CCE4" w:themeFill="accent1" w:themeFillTint="66"/>
            <w:vAlign w:val="center"/>
            <w:hideMark/>
          </w:tcPr>
          <w:p w:rsidR="00A079F7" w:rsidRPr="00EB66E0" w:rsidRDefault="00A079F7" w:rsidP="00E514F4">
            <w:pPr>
              <w:spacing w:before="60" w:after="60"/>
              <w:jc w:val="center"/>
              <w:rPr>
                <w:bCs w:val="0"/>
                <w:color w:val="000000"/>
                <w:sz w:val="18"/>
                <w:szCs w:val="18"/>
                <w:lang w:eastAsia="fr-FR"/>
              </w:rPr>
            </w:pPr>
            <w:r w:rsidRPr="00EB66E0">
              <w:rPr>
                <w:bCs w:val="0"/>
                <w:color w:val="000000"/>
                <w:sz w:val="18"/>
                <w:szCs w:val="18"/>
                <w:lang w:eastAsia="fr-FR"/>
              </w:rPr>
              <w:t>R</w:t>
            </w:r>
          </w:p>
        </w:tc>
      </w:tr>
      <w:tr w:rsidR="00A079F7" w:rsidRPr="005159F3" w:rsidTr="00E514F4">
        <w:trPr>
          <w:trHeight w:val="269"/>
        </w:trPr>
        <w:tc>
          <w:tcPr>
            <w:tcW w:w="0" w:type="auto"/>
            <w:vMerge/>
            <w:vAlign w:val="center"/>
            <w:hideMark/>
          </w:tcPr>
          <w:p w:rsidR="00A079F7" w:rsidRPr="00EB66E0" w:rsidRDefault="00A079F7" w:rsidP="00E514F4">
            <w:pPr>
              <w:spacing w:before="60" w:after="60"/>
              <w:jc w:val="left"/>
              <w:rPr>
                <w:b/>
                <w:sz w:val="18"/>
                <w:szCs w:val="18"/>
                <w:lang w:eastAsia="fr-FR"/>
              </w:rPr>
            </w:pPr>
          </w:p>
        </w:tc>
        <w:tc>
          <w:tcPr>
            <w:tcW w:w="0" w:type="auto"/>
            <w:tcBorders>
              <w:bottom w:val="single" w:sz="8" w:space="0" w:color="4F81BD"/>
            </w:tcBorders>
            <w:shd w:val="clear" w:color="auto" w:fill="FFFFFF" w:themeFill="background1"/>
            <w:vAlign w:val="center"/>
            <w:hideMark/>
          </w:tcPr>
          <w:p w:rsidR="00A079F7" w:rsidRPr="00EB66E0" w:rsidRDefault="00A079F7" w:rsidP="00E514F4">
            <w:pPr>
              <w:spacing w:before="60" w:after="60"/>
              <w:jc w:val="left"/>
              <w:rPr>
                <w:bCs w:val="0"/>
                <w:color w:val="000000"/>
                <w:sz w:val="18"/>
                <w:szCs w:val="18"/>
                <w:lang w:eastAsia="fr-FR"/>
              </w:rPr>
            </w:pPr>
            <w:r w:rsidRPr="00EB66E0">
              <w:rPr>
                <w:bCs w:val="0"/>
                <w:color w:val="000000"/>
                <w:sz w:val="18"/>
                <w:szCs w:val="18"/>
                <w:lang w:eastAsia="fr-FR"/>
              </w:rPr>
              <w:t>Royalties.</w:t>
            </w:r>
          </w:p>
        </w:tc>
        <w:tc>
          <w:tcPr>
            <w:tcW w:w="0" w:type="auto"/>
            <w:tcBorders>
              <w:bottom w:val="single" w:sz="8" w:space="0" w:color="4F81BD"/>
            </w:tcBorders>
            <w:shd w:val="clear" w:color="auto" w:fill="FFFFFF" w:themeFill="background1"/>
            <w:vAlign w:val="center"/>
            <w:hideMark/>
          </w:tcPr>
          <w:p w:rsidR="00A079F7" w:rsidRPr="00EB66E0" w:rsidRDefault="00A079F7" w:rsidP="00E514F4">
            <w:pPr>
              <w:spacing w:before="60" w:after="60"/>
              <w:jc w:val="center"/>
              <w:rPr>
                <w:bCs w:val="0"/>
                <w:color w:val="000000"/>
                <w:sz w:val="22"/>
                <w:lang w:eastAsia="fr-FR"/>
              </w:rPr>
            </w:pPr>
          </w:p>
        </w:tc>
        <w:tc>
          <w:tcPr>
            <w:tcW w:w="0" w:type="auto"/>
            <w:tcBorders>
              <w:bottom w:val="single" w:sz="8" w:space="0" w:color="4F81BD"/>
            </w:tcBorders>
            <w:shd w:val="clear" w:color="auto" w:fill="FFFFFF" w:themeFill="background1"/>
            <w:noWrap/>
            <w:vAlign w:val="center"/>
            <w:hideMark/>
          </w:tcPr>
          <w:p w:rsidR="00A079F7" w:rsidRPr="00EB66E0" w:rsidRDefault="00A079F7" w:rsidP="00E514F4">
            <w:pPr>
              <w:spacing w:before="60" w:after="60"/>
              <w:jc w:val="center"/>
              <w:rPr>
                <w:rFonts w:ascii="Wingdings" w:hAnsi="Wingdings" w:cs="Times New Roman"/>
                <w:bCs w:val="0"/>
                <w:color w:val="000000"/>
                <w:sz w:val="22"/>
                <w:lang w:eastAsia="fr-FR"/>
              </w:rPr>
            </w:pPr>
            <w:r w:rsidRPr="00EB66E0">
              <w:rPr>
                <w:rFonts w:ascii="Wingdings" w:hAnsi="Wingdings" w:cs="Times New Roman"/>
                <w:bCs w:val="0"/>
                <w:color w:val="000000"/>
                <w:sz w:val="22"/>
                <w:lang w:eastAsia="fr-FR"/>
              </w:rPr>
              <w:t></w:t>
            </w:r>
          </w:p>
        </w:tc>
        <w:tc>
          <w:tcPr>
            <w:tcW w:w="0" w:type="auto"/>
            <w:tcBorders>
              <w:bottom w:val="single" w:sz="8" w:space="0" w:color="4F81BD"/>
              <w:right w:val="single" w:sz="4" w:space="0" w:color="4F81BD" w:themeColor="accent1"/>
            </w:tcBorders>
            <w:shd w:val="clear" w:color="auto" w:fill="FFFFFF" w:themeFill="background1"/>
            <w:vAlign w:val="center"/>
            <w:hideMark/>
          </w:tcPr>
          <w:p w:rsidR="00A079F7" w:rsidRPr="00EB66E0" w:rsidRDefault="00A079F7" w:rsidP="00E514F4">
            <w:pPr>
              <w:spacing w:before="60" w:after="60"/>
              <w:jc w:val="center"/>
              <w:rPr>
                <w:bCs w:val="0"/>
                <w:color w:val="000000"/>
                <w:sz w:val="18"/>
                <w:szCs w:val="18"/>
                <w:lang w:eastAsia="fr-FR"/>
              </w:rPr>
            </w:pPr>
            <w:r w:rsidRPr="00EB66E0">
              <w:rPr>
                <w:bCs w:val="0"/>
                <w:color w:val="000000"/>
                <w:sz w:val="18"/>
                <w:szCs w:val="18"/>
                <w:lang w:eastAsia="fr-FR"/>
              </w:rPr>
              <w:t>R</w:t>
            </w:r>
          </w:p>
        </w:tc>
      </w:tr>
      <w:tr w:rsidR="00A079F7" w:rsidRPr="005159F3" w:rsidTr="00E514F4">
        <w:trPr>
          <w:trHeight w:val="285"/>
        </w:trPr>
        <w:tc>
          <w:tcPr>
            <w:tcW w:w="0" w:type="auto"/>
            <w:vMerge/>
            <w:vAlign w:val="center"/>
            <w:hideMark/>
          </w:tcPr>
          <w:p w:rsidR="00A079F7" w:rsidRPr="00EB66E0" w:rsidRDefault="00A079F7" w:rsidP="00E514F4">
            <w:pPr>
              <w:spacing w:before="60" w:after="60"/>
              <w:jc w:val="left"/>
              <w:rPr>
                <w:b/>
                <w:sz w:val="18"/>
                <w:szCs w:val="18"/>
                <w:lang w:eastAsia="fr-FR"/>
              </w:rPr>
            </w:pPr>
          </w:p>
        </w:tc>
        <w:tc>
          <w:tcPr>
            <w:tcW w:w="0" w:type="auto"/>
            <w:shd w:val="clear" w:color="auto" w:fill="B8CCE4" w:themeFill="accent1" w:themeFillTint="66"/>
            <w:vAlign w:val="center"/>
            <w:hideMark/>
          </w:tcPr>
          <w:p w:rsidR="00A079F7" w:rsidRPr="00EB66E0" w:rsidRDefault="00A079F7" w:rsidP="00E514F4">
            <w:pPr>
              <w:spacing w:before="60" w:after="60"/>
              <w:jc w:val="left"/>
              <w:rPr>
                <w:bCs w:val="0"/>
                <w:color w:val="000000"/>
                <w:sz w:val="18"/>
                <w:szCs w:val="18"/>
                <w:lang w:eastAsia="fr-FR"/>
              </w:rPr>
            </w:pPr>
            <w:r w:rsidRPr="00EB66E0">
              <w:rPr>
                <w:bCs w:val="0"/>
                <w:color w:val="000000"/>
                <w:sz w:val="18"/>
                <w:szCs w:val="18"/>
                <w:lang w:eastAsia="fr-FR"/>
              </w:rPr>
              <w:t>Prestations de services</w:t>
            </w:r>
            <w:r w:rsidR="00A61E2B">
              <w:rPr>
                <w:bCs w:val="0"/>
                <w:color w:val="000000"/>
                <w:sz w:val="18"/>
                <w:szCs w:val="18"/>
                <w:lang w:eastAsia="fr-FR"/>
              </w:rPr>
              <w:t xml:space="preserve"> et Assistance Technique</w:t>
            </w:r>
          </w:p>
        </w:tc>
        <w:tc>
          <w:tcPr>
            <w:tcW w:w="0" w:type="auto"/>
            <w:shd w:val="clear" w:color="auto" w:fill="B8CCE4" w:themeFill="accent1" w:themeFillTint="66"/>
            <w:vAlign w:val="center"/>
            <w:hideMark/>
          </w:tcPr>
          <w:p w:rsidR="00A079F7" w:rsidRPr="00EB66E0" w:rsidRDefault="00A079F7" w:rsidP="00E514F4">
            <w:pPr>
              <w:spacing w:before="60" w:after="60"/>
              <w:jc w:val="center"/>
              <w:rPr>
                <w:bCs w:val="0"/>
                <w:color w:val="000000"/>
                <w:sz w:val="22"/>
                <w:lang w:eastAsia="fr-FR"/>
              </w:rPr>
            </w:pPr>
          </w:p>
        </w:tc>
        <w:tc>
          <w:tcPr>
            <w:tcW w:w="0" w:type="auto"/>
            <w:shd w:val="clear" w:color="auto" w:fill="B8CCE4" w:themeFill="accent1" w:themeFillTint="66"/>
            <w:noWrap/>
            <w:vAlign w:val="center"/>
            <w:hideMark/>
          </w:tcPr>
          <w:p w:rsidR="00A079F7" w:rsidRPr="00EB66E0" w:rsidRDefault="00A079F7" w:rsidP="00E514F4">
            <w:pPr>
              <w:spacing w:before="60" w:after="60"/>
              <w:jc w:val="center"/>
              <w:rPr>
                <w:rFonts w:ascii="Wingdings" w:hAnsi="Wingdings" w:cs="Times New Roman"/>
                <w:bCs w:val="0"/>
                <w:color w:val="000000"/>
                <w:sz w:val="22"/>
                <w:lang w:eastAsia="fr-FR"/>
              </w:rPr>
            </w:pPr>
            <w:r w:rsidRPr="00EB66E0">
              <w:rPr>
                <w:rFonts w:ascii="Wingdings" w:hAnsi="Wingdings" w:cs="Times New Roman"/>
                <w:bCs w:val="0"/>
                <w:color w:val="000000"/>
                <w:sz w:val="22"/>
                <w:lang w:eastAsia="fr-FR"/>
              </w:rPr>
              <w:t></w:t>
            </w:r>
          </w:p>
        </w:tc>
        <w:tc>
          <w:tcPr>
            <w:tcW w:w="0" w:type="auto"/>
            <w:tcBorders>
              <w:right w:val="single" w:sz="4" w:space="0" w:color="4F81BD" w:themeColor="accent1"/>
            </w:tcBorders>
            <w:shd w:val="clear" w:color="auto" w:fill="B8CCE4" w:themeFill="accent1" w:themeFillTint="66"/>
            <w:vAlign w:val="center"/>
            <w:hideMark/>
          </w:tcPr>
          <w:p w:rsidR="00A079F7" w:rsidRPr="00EB66E0" w:rsidRDefault="00A079F7" w:rsidP="00E514F4">
            <w:pPr>
              <w:spacing w:before="60" w:after="60"/>
              <w:jc w:val="center"/>
              <w:rPr>
                <w:bCs w:val="0"/>
                <w:color w:val="000000"/>
                <w:sz w:val="18"/>
                <w:szCs w:val="18"/>
                <w:lang w:eastAsia="fr-FR"/>
              </w:rPr>
            </w:pPr>
            <w:r w:rsidRPr="00EB66E0">
              <w:rPr>
                <w:bCs w:val="0"/>
                <w:color w:val="000000"/>
                <w:sz w:val="18"/>
                <w:szCs w:val="18"/>
                <w:lang w:eastAsia="fr-FR"/>
              </w:rPr>
              <w:t>R</w:t>
            </w:r>
          </w:p>
        </w:tc>
      </w:tr>
      <w:tr w:rsidR="00A079F7" w:rsidRPr="005159F3" w:rsidTr="00E514F4">
        <w:trPr>
          <w:trHeight w:val="285"/>
        </w:trPr>
        <w:tc>
          <w:tcPr>
            <w:tcW w:w="0" w:type="auto"/>
            <w:vMerge/>
            <w:vAlign w:val="center"/>
            <w:hideMark/>
          </w:tcPr>
          <w:p w:rsidR="00A079F7" w:rsidRPr="00EB66E0" w:rsidRDefault="00A079F7" w:rsidP="00E514F4">
            <w:pPr>
              <w:spacing w:before="60" w:after="60"/>
              <w:jc w:val="left"/>
              <w:rPr>
                <w:b/>
                <w:sz w:val="18"/>
                <w:szCs w:val="18"/>
                <w:lang w:eastAsia="fr-FR"/>
              </w:rPr>
            </w:pPr>
          </w:p>
        </w:tc>
        <w:tc>
          <w:tcPr>
            <w:tcW w:w="0" w:type="auto"/>
            <w:tcBorders>
              <w:bottom w:val="single" w:sz="8" w:space="0" w:color="4F81BD"/>
            </w:tcBorders>
            <w:shd w:val="clear" w:color="auto" w:fill="FFFFFF" w:themeFill="background1"/>
            <w:vAlign w:val="center"/>
            <w:hideMark/>
          </w:tcPr>
          <w:p w:rsidR="00A079F7" w:rsidRPr="00EB66E0" w:rsidRDefault="00A079F7" w:rsidP="00E514F4">
            <w:pPr>
              <w:spacing w:before="60" w:after="60"/>
              <w:jc w:val="left"/>
              <w:rPr>
                <w:bCs w:val="0"/>
                <w:color w:val="000000"/>
                <w:sz w:val="18"/>
                <w:szCs w:val="18"/>
                <w:lang w:eastAsia="fr-FR"/>
              </w:rPr>
            </w:pPr>
            <w:r w:rsidRPr="00EB66E0">
              <w:rPr>
                <w:bCs w:val="0"/>
                <w:color w:val="000000"/>
                <w:sz w:val="18"/>
                <w:szCs w:val="18"/>
                <w:lang w:eastAsia="fr-FR"/>
              </w:rPr>
              <w:t>Frais d’option</w:t>
            </w:r>
          </w:p>
        </w:tc>
        <w:tc>
          <w:tcPr>
            <w:tcW w:w="0" w:type="auto"/>
            <w:tcBorders>
              <w:bottom w:val="single" w:sz="8" w:space="0" w:color="4F81BD"/>
            </w:tcBorders>
            <w:shd w:val="clear" w:color="auto" w:fill="FFFFFF" w:themeFill="background1"/>
            <w:vAlign w:val="center"/>
            <w:hideMark/>
          </w:tcPr>
          <w:p w:rsidR="00A079F7" w:rsidRPr="00EB66E0" w:rsidRDefault="00A079F7" w:rsidP="00E514F4">
            <w:pPr>
              <w:spacing w:before="60" w:after="60"/>
              <w:jc w:val="center"/>
              <w:rPr>
                <w:bCs w:val="0"/>
                <w:color w:val="000000"/>
                <w:sz w:val="22"/>
                <w:lang w:eastAsia="fr-FR"/>
              </w:rPr>
            </w:pPr>
          </w:p>
        </w:tc>
        <w:tc>
          <w:tcPr>
            <w:tcW w:w="0" w:type="auto"/>
            <w:tcBorders>
              <w:bottom w:val="single" w:sz="8" w:space="0" w:color="4F81BD"/>
            </w:tcBorders>
            <w:shd w:val="clear" w:color="auto" w:fill="FFFFFF" w:themeFill="background1"/>
            <w:noWrap/>
            <w:vAlign w:val="center"/>
            <w:hideMark/>
          </w:tcPr>
          <w:p w:rsidR="00A079F7" w:rsidRPr="00EB66E0" w:rsidRDefault="00A079F7" w:rsidP="00E514F4">
            <w:pPr>
              <w:spacing w:before="60" w:after="60"/>
              <w:jc w:val="center"/>
              <w:rPr>
                <w:rFonts w:ascii="Wingdings" w:hAnsi="Wingdings" w:cs="Times New Roman"/>
                <w:bCs w:val="0"/>
                <w:color w:val="000000"/>
                <w:sz w:val="22"/>
                <w:lang w:eastAsia="fr-FR"/>
              </w:rPr>
            </w:pPr>
            <w:r w:rsidRPr="00EB66E0">
              <w:rPr>
                <w:rFonts w:ascii="Wingdings" w:hAnsi="Wingdings" w:cs="Times New Roman"/>
                <w:bCs w:val="0"/>
                <w:color w:val="000000"/>
                <w:sz w:val="22"/>
                <w:lang w:eastAsia="fr-FR"/>
              </w:rPr>
              <w:t></w:t>
            </w:r>
          </w:p>
        </w:tc>
        <w:tc>
          <w:tcPr>
            <w:tcW w:w="0" w:type="auto"/>
            <w:tcBorders>
              <w:bottom w:val="single" w:sz="8" w:space="0" w:color="4F81BD"/>
              <w:right w:val="single" w:sz="4" w:space="0" w:color="4F81BD" w:themeColor="accent1"/>
            </w:tcBorders>
            <w:shd w:val="clear" w:color="auto" w:fill="FFFFFF" w:themeFill="background1"/>
            <w:vAlign w:val="center"/>
            <w:hideMark/>
          </w:tcPr>
          <w:p w:rsidR="00A079F7" w:rsidRPr="00EB66E0" w:rsidRDefault="00A079F7" w:rsidP="00E514F4">
            <w:pPr>
              <w:spacing w:before="60" w:after="60"/>
              <w:jc w:val="center"/>
              <w:rPr>
                <w:bCs w:val="0"/>
                <w:color w:val="000000"/>
                <w:sz w:val="18"/>
                <w:szCs w:val="18"/>
                <w:lang w:eastAsia="fr-FR"/>
              </w:rPr>
            </w:pPr>
            <w:r w:rsidRPr="00EB66E0">
              <w:rPr>
                <w:bCs w:val="0"/>
                <w:color w:val="000000"/>
                <w:sz w:val="18"/>
                <w:szCs w:val="18"/>
                <w:lang w:eastAsia="fr-FR"/>
              </w:rPr>
              <w:t>R</w:t>
            </w:r>
          </w:p>
        </w:tc>
      </w:tr>
      <w:tr w:rsidR="00A079F7" w:rsidRPr="005159F3" w:rsidTr="00E514F4">
        <w:trPr>
          <w:trHeight w:val="285"/>
        </w:trPr>
        <w:tc>
          <w:tcPr>
            <w:tcW w:w="0" w:type="auto"/>
            <w:vMerge/>
            <w:vAlign w:val="center"/>
          </w:tcPr>
          <w:p w:rsidR="00A079F7" w:rsidRPr="00EB66E0" w:rsidRDefault="00A079F7" w:rsidP="00E514F4">
            <w:pPr>
              <w:spacing w:before="60" w:after="60"/>
              <w:jc w:val="left"/>
              <w:rPr>
                <w:b/>
                <w:sz w:val="18"/>
                <w:szCs w:val="18"/>
                <w:lang w:eastAsia="fr-FR"/>
              </w:rPr>
            </w:pPr>
          </w:p>
        </w:tc>
        <w:tc>
          <w:tcPr>
            <w:tcW w:w="0" w:type="auto"/>
            <w:shd w:val="clear" w:color="auto" w:fill="B8CCE4" w:themeFill="accent1" w:themeFillTint="66"/>
            <w:vAlign w:val="center"/>
          </w:tcPr>
          <w:p w:rsidR="00A079F7" w:rsidRPr="00EB66E0" w:rsidRDefault="00A079F7" w:rsidP="00E514F4">
            <w:pPr>
              <w:spacing w:before="60" w:after="60"/>
              <w:jc w:val="left"/>
              <w:rPr>
                <w:bCs w:val="0"/>
                <w:color w:val="000000"/>
                <w:sz w:val="18"/>
                <w:szCs w:val="18"/>
                <w:lang w:eastAsia="fr-FR"/>
              </w:rPr>
            </w:pPr>
            <w:r w:rsidRPr="00EB66E0">
              <w:rPr>
                <w:bCs w:val="0"/>
                <w:color w:val="000000"/>
                <w:sz w:val="18"/>
                <w:szCs w:val="18"/>
                <w:lang w:eastAsia="fr-FR"/>
              </w:rPr>
              <w:t>Fonds versés à la GCM pour la vente des scories</w:t>
            </w:r>
          </w:p>
        </w:tc>
        <w:tc>
          <w:tcPr>
            <w:tcW w:w="0" w:type="auto"/>
            <w:shd w:val="clear" w:color="auto" w:fill="B8CCE4" w:themeFill="accent1" w:themeFillTint="66"/>
            <w:vAlign w:val="center"/>
          </w:tcPr>
          <w:p w:rsidR="00A079F7" w:rsidRPr="00EB66E0" w:rsidRDefault="00A079F7" w:rsidP="00E514F4">
            <w:pPr>
              <w:spacing w:before="60" w:after="60"/>
              <w:jc w:val="center"/>
              <w:rPr>
                <w:bCs w:val="0"/>
                <w:color w:val="000000"/>
                <w:sz w:val="22"/>
                <w:lang w:eastAsia="fr-FR"/>
              </w:rPr>
            </w:pPr>
          </w:p>
        </w:tc>
        <w:tc>
          <w:tcPr>
            <w:tcW w:w="0" w:type="auto"/>
            <w:shd w:val="clear" w:color="auto" w:fill="B8CCE4" w:themeFill="accent1" w:themeFillTint="66"/>
            <w:noWrap/>
            <w:vAlign w:val="center"/>
          </w:tcPr>
          <w:p w:rsidR="00A079F7" w:rsidRPr="00EB66E0" w:rsidRDefault="00A079F7" w:rsidP="00E514F4">
            <w:pPr>
              <w:spacing w:before="60" w:after="60"/>
              <w:jc w:val="center"/>
              <w:rPr>
                <w:rFonts w:ascii="Wingdings" w:hAnsi="Wingdings" w:cs="Times New Roman"/>
                <w:bCs w:val="0"/>
                <w:color w:val="000000"/>
                <w:sz w:val="22"/>
                <w:lang w:eastAsia="fr-FR"/>
              </w:rPr>
            </w:pPr>
            <w:r w:rsidRPr="00EB66E0">
              <w:rPr>
                <w:rFonts w:ascii="Wingdings" w:hAnsi="Wingdings" w:cs="Times New Roman"/>
                <w:bCs w:val="0"/>
                <w:color w:val="000000"/>
                <w:sz w:val="22"/>
                <w:lang w:eastAsia="fr-FR"/>
              </w:rPr>
              <w:t></w:t>
            </w:r>
          </w:p>
        </w:tc>
        <w:tc>
          <w:tcPr>
            <w:tcW w:w="0" w:type="auto"/>
            <w:tcBorders>
              <w:right w:val="single" w:sz="4" w:space="0" w:color="4F81BD" w:themeColor="accent1"/>
            </w:tcBorders>
            <w:shd w:val="clear" w:color="auto" w:fill="B8CCE4" w:themeFill="accent1" w:themeFillTint="66"/>
            <w:vAlign w:val="center"/>
          </w:tcPr>
          <w:p w:rsidR="00A079F7" w:rsidRPr="00EB66E0" w:rsidRDefault="00A079F7" w:rsidP="00E514F4">
            <w:pPr>
              <w:spacing w:before="60" w:after="60"/>
              <w:jc w:val="center"/>
              <w:rPr>
                <w:bCs w:val="0"/>
                <w:color w:val="000000"/>
                <w:sz w:val="18"/>
                <w:szCs w:val="18"/>
                <w:lang w:eastAsia="fr-FR"/>
              </w:rPr>
            </w:pPr>
            <w:r w:rsidRPr="00EB66E0">
              <w:rPr>
                <w:bCs w:val="0"/>
                <w:color w:val="000000"/>
                <w:sz w:val="18"/>
                <w:szCs w:val="18"/>
                <w:lang w:eastAsia="fr-FR"/>
              </w:rPr>
              <w:t>R</w:t>
            </w:r>
          </w:p>
        </w:tc>
      </w:tr>
      <w:tr w:rsidR="00A079F7" w:rsidRPr="005159F3" w:rsidTr="00E514F4">
        <w:trPr>
          <w:trHeight w:val="285"/>
        </w:trPr>
        <w:tc>
          <w:tcPr>
            <w:tcW w:w="0" w:type="auto"/>
            <w:vMerge/>
            <w:vAlign w:val="center"/>
          </w:tcPr>
          <w:p w:rsidR="00A079F7" w:rsidRPr="00EB66E0" w:rsidRDefault="00A079F7" w:rsidP="00E514F4">
            <w:pPr>
              <w:spacing w:before="60" w:after="60"/>
              <w:jc w:val="left"/>
              <w:rPr>
                <w:b/>
                <w:sz w:val="18"/>
                <w:szCs w:val="18"/>
                <w:lang w:eastAsia="fr-FR"/>
              </w:rPr>
            </w:pPr>
          </w:p>
        </w:tc>
        <w:tc>
          <w:tcPr>
            <w:tcW w:w="0" w:type="auto"/>
            <w:tcBorders>
              <w:bottom w:val="single" w:sz="8" w:space="0" w:color="4F81BD"/>
            </w:tcBorders>
            <w:shd w:val="clear" w:color="auto" w:fill="FFFFFF" w:themeFill="background1"/>
            <w:vAlign w:val="center"/>
          </w:tcPr>
          <w:p w:rsidR="00A079F7" w:rsidRPr="00EB66E0" w:rsidRDefault="00A079F7" w:rsidP="00E514F4">
            <w:pPr>
              <w:spacing w:before="60" w:after="60"/>
              <w:jc w:val="left"/>
              <w:rPr>
                <w:bCs w:val="0"/>
                <w:color w:val="000000"/>
                <w:sz w:val="18"/>
                <w:szCs w:val="18"/>
                <w:lang w:eastAsia="fr-FR"/>
              </w:rPr>
            </w:pPr>
            <w:r w:rsidRPr="00EB66E0">
              <w:rPr>
                <w:bCs w:val="0"/>
                <w:color w:val="000000"/>
                <w:sz w:val="18"/>
                <w:szCs w:val="18"/>
                <w:lang w:eastAsia="fr-FR"/>
              </w:rPr>
              <w:t>Paiement contractuel sur seuil de production atteint  (500000TCU)</w:t>
            </w:r>
          </w:p>
        </w:tc>
        <w:tc>
          <w:tcPr>
            <w:tcW w:w="0" w:type="auto"/>
            <w:tcBorders>
              <w:bottom w:val="single" w:sz="8" w:space="0" w:color="4F81BD"/>
            </w:tcBorders>
            <w:shd w:val="clear" w:color="auto" w:fill="FFFFFF" w:themeFill="background1"/>
            <w:vAlign w:val="center"/>
          </w:tcPr>
          <w:p w:rsidR="00A079F7" w:rsidRPr="00EB66E0" w:rsidRDefault="00A079F7" w:rsidP="00E514F4">
            <w:pPr>
              <w:spacing w:before="60" w:after="60"/>
              <w:jc w:val="center"/>
              <w:rPr>
                <w:bCs w:val="0"/>
                <w:color w:val="000000"/>
                <w:sz w:val="22"/>
                <w:lang w:eastAsia="fr-FR"/>
              </w:rPr>
            </w:pPr>
          </w:p>
        </w:tc>
        <w:tc>
          <w:tcPr>
            <w:tcW w:w="0" w:type="auto"/>
            <w:tcBorders>
              <w:bottom w:val="single" w:sz="8" w:space="0" w:color="4F81BD"/>
            </w:tcBorders>
            <w:shd w:val="clear" w:color="auto" w:fill="FFFFFF" w:themeFill="background1"/>
            <w:noWrap/>
            <w:vAlign w:val="center"/>
          </w:tcPr>
          <w:p w:rsidR="00A079F7" w:rsidRPr="00EB66E0" w:rsidRDefault="00A079F7" w:rsidP="00E514F4">
            <w:pPr>
              <w:spacing w:before="60" w:after="60"/>
              <w:jc w:val="center"/>
              <w:rPr>
                <w:rFonts w:ascii="Wingdings" w:hAnsi="Wingdings" w:cs="Times New Roman"/>
                <w:bCs w:val="0"/>
                <w:color w:val="000000"/>
                <w:sz w:val="22"/>
                <w:lang w:eastAsia="fr-FR"/>
              </w:rPr>
            </w:pPr>
            <w:r w:rsidRPr="00EB66E0">
              <w:rPr>
                <w:rFonts w:ascii="Wingdings" w:hAnsi="Wingdings" w:cs="Times New Roman"/>
                <w:bCs w:val="0"/>
                <w:color w:val="000000"/>
                <w:sz w:val="22"/>
                <w:lang w:eastAsia="fr-FR"/>
              </w:rPr>
              <w:t></w:t>
            </w:r>
          </w:p>
        </w:tc>
        <w:tc>
          <w:tcPr>
            <w:tcW w:w="0" w:type="auto"/>
            <w:tcBorders>
              <w:bottom w:val="single" w:sz="8" w:space="0" w:color="4F81BD"/>
              <w:right w:val="single" w:sz="4" w:space="0" w:color="4F81BD" w:themeColor="accent1"/>
            </w:tcBorders>
            <w:shd w:val="clear" w:color="auto" w:fill="FFFFFF" w:themeFill="background1"/>
            <w:vAlign w:val="center"/>
          </w:tcPr>
          <w:p w:rsidR="00A079F7" w:rsidRPr="00EB66E0" w:rsidRDefault="00A079F7" w:rsidP="00E514F4">
            <w:pPr>
              <w:spacing w:before="60" w:after="60"/>
              <w:jc w:val="center"/>
              <w:rPr>
                <w:bCs w:val="0"/>
                <w:color w:val="000000"/>
                <w:sz w:val="18"/>
                <w:szCs w:val="18"/>
                <w:lang w:eastAsia="fr-FR"/>
              </w:rPr>
            </w:pPr>
            <w:r w:rsidRPr="00EB66E0">
              <w:rPr>
                <w:bCs w:val="0"/>
                <w:color w:val="000000"/>
                <w:sz w:val="18"/>
                <w:szCs w:val="18"/>
                <w:lang w:eastAsia="fr-FR"/>
              </w:rPr>
              <w:t>R</w:t>
            </w:r>
          </w:p>
        </w:tc>
      </w:tr>
      <w:tr w:rsidR="00A079F7" w:rsidRPr="005159F3" w:rsidTr="00E514F4">
        <w:trPr>
          <w:trHeight w:val="285"/>
        </w:trPr>
        <w:tc>
          <w:tcPr>
            <w:tcW w:w="0" w:type="auto"/>
            <w:vMerge/>
            <w:vAlign w:val="center"/>
          </w:tcPr>
          <w:p w:rsidR="00A079F7" w:rsidRPr="00EB66E0" w:rsidRDefault="00A079F7" w:rsidP="00E514F4">
            <w:pPr>
              <w:spacing w:before="60" w:after="60"/>
              <w:jc w:val="left"/>
              <w:rPr>
                <w:b/>
                <w:sz w:val="18"/>
                <w:szCs w:val="18"/>
                <w:lang w:eastAsia="fr-FR"/>
              </w:rPr>
            </w:pPr>
          </w:p>
        </w:tc>
        <w:tc>
          <w:tcPr>
            <w:tcW w:w="0" w:type="auto"/>
            <w:shd w:val="clear" w:color="auto" w:fill="B8CCE4" w:themeFill="accent1" w:themeFillTint="66"/>
            <w:vAlign w:val="center"/>
          </w:tcPr>
          <w:p w:rsidR="00A079F7" w:rsidRPr="00EB66E0" w:rsidRDefault="00A079F7" w:rsidP="00E514F4">
            <w:pPr>
              <w:spacing w:before="60" w:after="60"/>
              <w:jc w:val="left"/>
              <w:rPr>
                <w:bCs w:val="0"/>
                <w:color w:val="000000"/>
                <w:sz w:val="18"/>
                <w:szCs w:val="18"/>
                <w:lang w:eastAsia="fr-FR"/>
              </w:rPr>
            </w:pPr>
            <w:r w:rsidRPr="00EB66E0">
              <w:rPr>
                <w:bCs w:val="0"/>
                <w:color w:val="000000"/>
                <w:sz w:val="18"/>
                <w:szCs w:val="18"/>
                <w:lang w:eastAsia="fr-FR"/>
              </w:rPr>
              <w:t>Frais de consultance</w:t>
            </w:r>
          </w:p>
        </w:tc>
        <w:tc>
          <w:tcPr>
            <w:tcW w:w="0" w:type="auto"/>
            <w:shd w:val="clear" w:color="auto" w:fill="B8CCE4" w:themeFill="accent1" w:themeFillTint="66"/>
            <w:vAlign w:val="center"/>
          </w:tcPr>
          <w:p w:rsidR="00A079F7" w:rsidRPr="00EB66E0" w:rsidRDefault="00A079F7" w:rsidP="00E514F4">
            <w:pPr>
              <w:spacing w:before="60" w:after="60"/>
              <w:jc w:val="center"/>
              <w:rPr>
                <w:bCs w:val="0"/>
                <w:color w:val="000000"/>
                <w:sz w:val="22"/>
                <w:lang w:eastAsia="fr-FR"/>
              </w:rPr>
            </w:pPr>
          </w:p>
        </w:tc>
        <w:tc>
          <w:tcPr>
            <w:tcW w:w="0" w:type="auto"/>
            <w:shd w:val="clear" w:color="auto" w:fill="B8CCE4" w:themeFill="accent1" w:themeFillTint="66"/>
            <w:noWrap/>
            <w:vAlign w:val="center"/>
          </w:tcPr>
          <w:p w:rsidR="00A079F7" w:rsidRPr="00EB66E0" w:rsidRDefault="00A079F7" w:rsidP="00E514F4">
            <w:pPr>
              <w:spacing w:before="60" w:after="60"/>
              <w:jc w:val="center"/>
              <w:rPr>
                <w:rFonts w:ascii="Wingdings" w:hAnsi="Wingdings" w:cs="Times New Roman"/>
                <w:bCs w:val="0"/>
                <w:color w:val="000000"/>
                <w:sz w:val="22"/>
                <w:lang w:eastAsia="fr-FR"/>
              </w:rPr>
            </w:pPr>
            <w:r w:rsidRPr="00EB66E0">
              <w:rPr>
                <w:rFonts w:ascii="Wingdings" w:hAnsi="Wingdings" w:cs="Times New Roman"/>
                <w:bCs w:val="0"/>
                <w:color w:val="000000"/>
                <w:sz w:val="22"/>
                <w:lang w:eastAsia="fr-FR"/>
              </w:rPr>
              <w:t></w:t>
            </w:r>
          </w:p>
        </w:tc>
        <w:tc>
          <w:tcPr>
            <w:tcW w:w="0" w:type="auto"/>
            <w:tcBorders>
              <w:right w:val="single" w:sz="4" w:space="0" w:color="4F81BD" w:themeColor="accent1"/>
            </w:tcBorders>
            <w:shd w:val="clear" w:color="auto" w:fill="B8CCE4" w:themeFill="accent1" w:themeFillTint="66"/>
            <w:vAlign w:val="center"/>
          </w:tcPr>
          <w:p w:rsidR="00A079F7" w:rsidRPr="00EB66E0" w:rsidRDefault="00A079F7" w:rsidP="00E514F4">
            <w:pPr>
              <w:spacing w:before="60" w:after="60"/>
              <w:jc w:val="center"/>
              <w:rPr>
                <w:bCs w:val="0"/>
                <w:color w:val="000000"/>
                <w:sz w:val="18"/>
                <w:szCs w:val="18"/>
                <w:lang w:eastAsia="fr-FR"/>
              </w:rPr>
            </w:pPr>
            <w:r w:rsidRPr="00EB66E0">
              <w:rPr>
                <w:bCs w:val="0"/>
                <w:color w:val="000000"/>
                <w:sz w:val="18"/>
                <w:szCs w:val="18"/>
                <w:lang w:eastAsia="fr-FR"/>
              </w:rPr>
              <w:t>R</w:t>
            </w:r>
          </w:p>
        </w:tc>
      </w:tr>
      <w:tr w:rsidR="00A079F7" w:rsidRPr="005159F3" w:rsidTr="00E514F4">
        <w:trPr>
          <w:trHeight w:val="285"/>
        </w:trPr>
        <w:tc>
          <w:tcPr>
            <w:tcW w:w="0" w:type="auto"/>
            <w:vMerge/>
            <w:vAlign w:val="center"/>
          </w:tcPr>
          <w:p w:rsidR="00A079F7" w:rsidRPr="00EB66E0" w:rsidRDefault="00A079F7" w:rsidP="00E514F4">
            <w:pPr>
              <w:spacing w:before="60" w:after="60"/>
              <w:jc w:val="left"/>
              <w:rPr>
                <w:b/>
                <w:sz w:val="18"/>
                <w:szCs w:val="18"/>
                <w:lang w:eastAsia="fr-FR"/>
              </w:rPr>
            </w:pPr>
          </w:p>
        </w:tc>
        <w:tc>
          <w:tcPr>
            <w:tcW w:w="0" w:type="auto"/>
            <w:shd w:val="clear" w:color="auto" w:fill="B8CCE4" w:themeFill="accent1" w:themeFillTint="66"/>
            <w:vAlign w:val="center"/>
          </w:tcPr>
          <w:p w:rsidR="00A079F7" w:rsidRPr="00EB66E0" w:rsidRDefault="00A079F7" w:rsidP="00E514F4">
            <w:pPr>
              <w:spacing w:before="60" w:after="60"/>
              <w:jc w:val="left"/>
              <w:rPr>
                <w:bCs w:val="0"/>
                <w:color w:val="000000"/>
                <w:sz w:val="18"/>
                <w:szCs w:val="18"/>
                <w:lang w:eastAsia="fr-FR"/>
              </w:rPr>
            </w:pPr>
            <w:r w:rsidRPr="00EB66E0">
              <w:rPr>
                <w:bCs w:val="0"/>
                <w:color w:val="000000"/>
                <w:sz w:val="18"/>
                <w:szCs w:val="18"/>
                <w:lang w:eastAsia="fr-FR"/>
              </w:rPr>
              <w:t>Remboursement de Prestations</w:t>
            </w:r>
          </w:p>
        </w:tc>
        <w:tc>
          <w:tcPr>
            <w:tcW w:w="0" w:type="auto"/>
            <w:shd w:val="clear" w:color="auto" w:fill="B8CCE4" w:themeFill="accent1" w:themeFillTint="66"/>
            <w:vAlign w:val="center"/>
          </w:tcPr>
          <w:p w:rsidR="00A079F7" w:rsidRPr="00EB66E0" w:rsidRDefault="00A079F7" w:rsidP="00E514F4">
            <w:pPr>
              <w:spacing w:before="60" w:after="60"/>
              <w:jc w:val="center"/>
              <w:rPr>
                <w:bCs w:val="0"/>
                <w:color w:val="000000"/>
                <w:sz w:val="22"/>
                <w:lang w:eastAsia="fr-FR"/>
              </w:rPr>
            </w:pPr>
          </w:p>
        </w:tc>
        <w:tc>
          <w:tcPr>
            <w:tcW w:w="0" w:type="auto"/>
            <w:shd w:val="clear" w:color="auto" w:fill="B8CCE4" w:themeFill="accent1" w:themeFillTint="66"/>
            <w:noWrap/>
            <w:vAlign w:val="center"/>
          </w:tcPr>
          <w:p w:rsidR="00A079F7" w:rsidRPr="00EB66E0" w:rsidRDefault="00A079F7" w:rsidP="00E514F4">
            <w:pPr>
              <w:spacing w:before="60" w:after="60"/>
              <w:jc w:val="center"/>
              <w:rPr>
                <w:rFonts w:ascii="Wingdings" w:hAnsi="Wingdings" w:cs="Times New Roman"/>
                <w:bCs w:val="0"/>
                <w:color w:val="000000"/>
                <w:sz w:val="22"/>
                <w:lang w:eastAsia="fr-FR"/>
              </w:rPr>
            </w:pPr>
            <w:r w:rsidRPr="00EB66E0">
              <w:rPr>
                <w:rFonts w:ascii="Wingdings" w:hAnsi="Wingdings" w:cs="Times New Roman"/>
                <w:bCs w:val="0"/>
                <w:color w:val="000000"/>
                <w:sz w:val="22"/>
                <w:lang w:eastAsia="fr-FR"/>
              </w:rPr>
              <w:t></w:t>
            </w:r>
          </w:p>
        </w:tc>
        <w:tc>
          <w:tcPr>
            <w:tcW w:w="0" w:type="auto"/>
            <w:tcBorders>
              <w:right w:val="single" w:sz="4" w:space="0" w:color="4F81BD" w:themeColor="accent1"/>
            </w:tcBorders>
            <w:shd w:val="clear" w:color="auto" w:fill="B8CCE4" w:themeFill="accent1" w:themeFillTint="66"/>
            <w:vAlign w:val="center"/>
          </w:tcPr>
          <w:p w:rsidR="00A079F7" w:rsidRPr="00EB66E0" w:rsidRDefault="00A079F7" w:rsidP="00E514F4">
            <w:pPr>
              <w:spacing w:before="60" w:after="60"/>
              <w:jc w:val="center"/>
              <w:rPr>
                <w:bCs w:val="0"/>
                <w:color w:val="000000"/>
                <w:sz w:val="18"/>
                <w:szCs w:val="18"/>
                <w:lang w:eastAsia="fr-FR"/>
              </w:rPr>
            </w:pPr>
            <w:r w:rsidRPr="00EB66E0">
              <w:rPr>
                <w:bCs w:val="0"/>
                <w:color w:val="000000"/>
                <w:sz w:val="18"/>
                <w:szCs w:val="18"/>
                <w:lang w:eastAsia="fr-FR"/>
              </w:rPr>
              <w:t>R</w:t>
            </w:r>
          </w:p>
        </w:tc>
      </w:tr>
      <w:tr w:rsidR="00A079F7" w:rsidRPr="005159F3" w:rsidTr="00E514F4">
        <w:trPr>
          <w:trHeight w:val="285"/>
        </w:trPr>
        <w:tc>
          <w:tcPr>
            <w:tcW w:w="0" w:type="auto"/>
            <w:vMerge/>
            <w:vAlign w:val="center"/>
          </w:tcPr>
          <w:p w:rsidR="00A079F7" w:rsidRPr="00EB66E0" w:rsidRDefault="00A079F7" w:rsidP="00E514F4">
            <w:pPr>
              <w:spacing w:before="60" w:after="60"/>
              <w:jc w:val="left"/>
              <w:rPr>
                <w:b/>
                <w:sz w:val="18"/>
                <w:szCs w:val="18"/>
                <w:lang w:eastAsia="fr-FR"/>
              </w:rPr>
            </w:pPr>
          </w:p>
        </w:tc>
        <w:tc>
          <w:tcPr>
            <w:tcW w:w="0" w:type="auto"/>
            <w:tcBorders>
              <w:bottom w:val="single" w:sz="8" w:space="0" w:color="4F81BD"/>
            </w:tcBorders>
            <w:shd w:val="clear" w:color="auto" w:fill="FFFFFF" w:themeFill="background1"/>
            <w:vAlign w:val="center"/>
          </w:tcPr>
          <w:p w:rsidR="00A079F7" w:rsidRPr="00EB66E0" w:rsidRDefault="00A079F7" w:rsidP="00E514F4">
            <w:pPr>
              <w:spacing w:before="60" w:after="60"/>
              <w:jc w:val="left"/>
              <w:rPr>
                <w:bCs w:val="0"/>
                <w:color w:val="000000"/>
                <w:sz w:val="18"/>
                <w:szCs w:val="18"/>
                <w:lang w:eastAsia="fr-FR"/>
              </w:rPr>
            </w:pPr>
            <w:r w:rsidRPr="00EB66E0">
              <w:rPr>
                <w:bCs w:val="0"/>
                <w:color w:val="000000"/>
                <w:sz w:val="18"/>
                <w:szCs w:val="18"/>
                <w:lang w:eastAsia="fr-FR"/>
              </w:rPr>
              <w:t>Avance contractuel</w:t>
            </w:r>
          </w:p>
        </w:tc>
        <w:tc>
          <w:tcPr>
            <w:tcW w:w="0" w:type="auto"/>
            <w:tcBorders>
              <w:bottom w:val="single" w:sz="8" w:space="0" w:color="4F81BD"/>
            </w:tcBorders>
            <w:shd w:val="clear" w:color="auto" w:fill="FFFFFF" w:themeFill="background1"/>
            <w:vAlign w:val="center"/>
          </w:tcPr>
          <w:p w:rsidR="00A079F7" w:rsidRPr="00EB66E0" w:rsidRDefault="00A079F7" w:rsidP="00E514F4">
            <w:pPr>
              <w:spacing w:before="60" w:after="60"/>
              <w:jc w:val="center"/>
              <w:rPr>
                <w:bCs w:val="0"/>
                <w:color w:val="000000"/>
                <w:sz w:val="22"/>
                <w:lang w:eastAsia="fr-FR"/>
              </w:rPr>
            </w:pPr>
          </w:p>
        </w:tc>
        <w:tc>
          <w:tcPr>
            <w:tcW w:w="0" w:type="auto"/>
            <w:tcBorders>
              <w:bottom w:val="single" w:sz="8" w:space="0" w:color="4F81BD"/>
            </w:tcBorders>
            <w:shd w:val="clear" w:color="auto" w:fill="FFFFFF" w:themeFill="background1"/>
            <w:noWrap/>
            <w:vAlign w:val="center"/>
          </w:tcPr>
          <w:p w:rsidR="00A079F7" w:rsidRPr="00EB66E0" w:rsidRDefault="00A079F7" w:rsidP="00E514F4">
            <w:pPr>
              <w:spacing w:before="60" w:after="60"/>
              <w:jc w:val="center"/>
              <w:rPr>
                <w:rFonts w:ascii="Wingdings" w:hAnsi="Wingdings" w:cs="Times New Roman"/>
                <w:bCs w:val="0"/>
                <w:color w:val="000000"/>
                <w:sz w:val="22"/>
                <w:lang w:eastAsia="fr-FR"/>
              </w:rPr>
            </w:pPr>
            <w:r w:rsidRPr="00EB66E0">
              <w:rPr>
                <w:rFonts w:ascii="Wingdings" w:hAnsi="Wingdings" w:cs="Times New Roman"/>
                <w:bCs w:val="0"/>
                <w:color w:val="000000"/>
                <w:sz w:val="22"/>
                <w:lang w:eastAsia="fr-FR"/>
              </w:rPr>
              <w:t></w:t>
            </w:r>
          </w:p>
        </w:tc>
        <w:tc>
          <w:tcPr>
            <w:tcW w:w="0" w:type="auto"/>
            <w:tcBorders>
              <w:bottom w:val="single" w:sz="8" w:space="0" w:color="4F81BD"/>
              <w:right w:val="single" w:sz="4" w:space="0" w:color="4F81BD" w:themeColor="accent1"/>
            </w:tcBorders>
            <w:shd w:val="clear" w:color="auto" w:fill="FFFFFF" w:themeFill="background1"/>
            <w:vAlign w:val="center"/>
          </w:tcPr>
          <w:p w:rsidR="00A079F7" w:rsidRPr="00EB66E0" w:rsidRDefault="00A079F7" w:rsidP="00E514F4">
            <w:pPr>
              <w:spacing w:before="60" w:after="60"/>
              <w:jc w:val="center"/>
              <w:rPr>
                <w:bCs w:val="0"/>
                <w:color w:val="000000"/>
                <w:sz w:val="18"/>
                <w:szCs w:val="18"/>
                <w:lang w:eastAsia="fr-FR"/>
              </w:rPr>
            </w:pPr>
            <w:r w:rsidRPr="00EB66E0">
              <w:rPr>
                <w:bCs w:val="0"/>
                <w:color w:val="000000"/>
                <w:sz w:val="18"/>
                <w:szCs w:val="18"/>
                <w:lang w:eastAsia="fr-FR"/>
              </w:rPr>
              <w:t>R</w:t>
            </w:r>
          </w:p>
        </w:tc>
      </w:tr>
      <w:tr w:rsidR="00A079F7" w:rsidRPr="005159F3" w:rsidTr="00E514F4">
        <w:trPr>
          <w:trHeight w:val="285"/>
        </w:trPr>
        <w:tc>
          <w:tcPr>
            <w:tcW w:w="0" w:type="auto"/>
            <w:vMerge/>
            <w:vAlign w:val="center"/>
          </w:tcPr>
          <w:p w:rsidR="00A079F7" w:rsidRPr="00EB66E0" w:rsidRDefault="00A079F7" w:rsidP="00E514F4">
            <w:pPr>
              <w:spacing w:before="60" w:after="60"/>
              <w:jc w:val="left"/>
              <w:rPr>
                <w:b/>
                <w:sz w:val="18"/>
                <w:szCs w:val="18"/>
                <w:lang w:eastAsia="fr-FR"/>
              </w:rPr>
            </w:pPr>
          </w:p>
        </w:tc>
        <w:tc>
          <w:tcPr>
            <w:tcW w:w="0" w:type="auto"/>
            <w:shd w:val="clear" w:color="auto" w:fill="B8CCE4" w:themeFill="accent1" w:themeFillTint="66"/>
            <w:vAlign w:val="center"/>
          </w:tcPr>
          <w:p w:rsidR="00A079F7" w:rsidRPr="004840E2" w:rsidRDefault="00A079F7" w:rsidP="00E514F4">
            <w:pPr>
              <w:spacing w:before="60" w:after="60"/>
              <w:jc w:val="left"/>
              <w:rPr>
                <w:bCs w:val="0"/>
                <w:sz w:val="18"/>
                <w:szCs w:val="18"/>
                <w:lang w:eastAsia="fr-FR"/>
              </w:rPr>
            </w:pPr>
            <w:r w:rsidRPr="004840E2">
              <w:rPr>
                <w:bCs w:val="0"/>
                <w:sz w:val="18"/>
                <w:szCs w:val="18"/>
                <w:lang w:eastAsia="fr-FR"/>
              </w:rPr>
              <w:t>Frais de renonciation au droit de préemption</w:t>
            </w:r>
          </w:p>
        </w:tc>
        <w:tc>
          <w:tcPr>
            <w:tcW w:w="0" w:type="auto"/>
            <w:shd w:val="clear" w:color="auto" w:fill="B8CCE4" w:themeFill="accent1" w:themeFillTint="66"/>
            <w:vAlign w:val="center"/>
          </w:tcPr>
          <w:p w:rsidR="00A079F7" w:rsidRPr="00EB66E0" w:rsidRDefault="00A079F7" w:rsidP="00E514F4">
            <w:pPr>
              <w:spacing w:before="60" w:after="60"/>
              <w:jc w:val="center"/>
              <w:rPr>
                <w:bCs w:val="0"/>
                <w:color w:val="000000"/>
                <w:sz w:val="22"/>
                <w:lang w:eastAsia="fr-FR"/>
              </w:rPr>
            </w:pPr>
          </w:p>
        </w:tc>
        <w:tc>
          <w:tcPr>
            <w:tcW w:w="0" w:type="auto"/>
            <w:shd w:val="clear" w:color="auto" w:fill="B8CCE4" w:themeFill="accent1" w:themeFillTint="66"/>
            <w:noWrap/>
            <w:vAlign w:val="center"/>
          </w:tcPr>
          <w:p w:rsidR="00A079F7" w:rsidRPr="00EB66E0" w:rsidRDefault="00A079F7" w:rsidP="00E514F4">
            <w:pPr>
              <w:spacing w:before="60" w:after="60"/>
              <w:jc w:val="center"/>
              <w:rPr>
                <w:rFonts w:ascii="Wingdings" w:hAnsi="Wingdings" w:cs="Times New Roman"/>
                <w:bCs w:val="0"/>
                <w:color w:val="000000"/>
                <w:sz w:val="22"/>
                <w:lang w:eastAsia="fr-FR"/>
              </w:rPr>
            </w:pPr>
          </w:p>
        </w:tc>
        <w:tc>
          <w:tcPr>
            <w:tcW w:w="0" w:type="auto"/>
            <w:tcBorders>
              <w:right w:val="single" w:sz="4" w:space="0" w:color="4F81BD" w:themeColor="accent1"/>
            </w:tcBorders>
            <w:shd w:val="clear" w:color="auto" w:fill="B8CCE4" w:themeFill="accent1" w:themeFillTint="66"/>
            <w:vAlign w:val="center"/>
          </w:tcPr>
          <w:p w:rsidR="00A079F7" w:rsidRPr="00EB66E0" w:rsidRDefault="00A079F7" w:rsidP="00E514F4">
            <w:pPr>
              <w:spacing w:before="60" w:after="60"/>
              <w:jc w:val="center"/>
              <w:rPr>
                <w:bCs w:val="0"/>
                <w:color w:val="000000"/>
                <w:sz w:val="18"/>
                <w:szCs w:val="18"/>
                <w:lang w:eastAsia="fr-FR"/>
              </w:rPr>
            </w:pPr>
          </w:p>
        </w:tc>
      </w:tr>
      <w:tr w:rsidR="00A079F7" w:rsidRPr="005159F3" w:rsidTr="00E514F4">
        <w:trPr>
          <w:trHeight w:val="300"/>
        </w:trPr>
        <w:tc>
          <w:tcPr>
            <w:tcW w:w="0" w:type="auto"/>
            <w:vMerge/>
            <w:tcBorders>
              <w:bottom w:val="single" w:sz="12" w:space="0" w:color="17365D" w:themeColor="text2" w:themeShade="BF"/>
            </w:tcBorders>
            <w:vAlign w:val="center"/>
            <w:hideMark/>
          </w:tcPr>
          <w:p w:rsidR="00A079F7" w:rsidRPr="00EB66E0" w:rsidRDefault="00A079F7" w:rsidP="00E514F4">
            <w:pPr>
              <w:spacing w:before="60" w:after="60"/>
              <w:jc w:val="left"/>
              <w:rPr>
                <w:b/>
                <w:sz w:val="18"/>
                <w:szCs w:val="18"/>
                <w:lang w:eastAsia="fr-FR"/>
              </w:rPr>
            </w:pPr>
          </w:p>
        </w:tc>
        <w:tc>
          <w:tcPr>
            <w:tcW w:w="0" w:type="auto"/>
            <w:tcBorders>
              <w:bottom w:val="single" w:sz="12" w:space="0" w:color="17365D" w:themeColor="text2" w:themeShade="BF"/>
            </w:tcBorders>
            <w:shd w:val="clear" w:color="auto" w:fill="FFFFFF" w:themeFill="background1"/>
            <w:vAlign w:val="center"/>
            <w:hideMark/>
          </w:tcPr>
          <w:p w:rsidR="00A079F7" w:rsidRPr="004840E2" w:rsidRDefault="00A079F7" w:rsidP="00E514F4">
            <w:pPr>
              <w:spacing w:before="60" w:after="60"/>
              <w:jc w:val="left"/>
              <w:rPr>
                <w:bCs w:val="0"/>
                <w:sz w:val="18"/>
                <w:szCs w:val="18"/>
                <w:lang w:eastAsia="fr-FR"/>
              </w:rPr>
            </w:pPr>
            <w:proofErr w:type="gramStart"/>
            <w:r w:rsidRPr="004840E2">
              <w:rPr>
                <w:bCs w:val="0"/>
                <w:sz w:val="18"/>
                <w:szCs w:val="18"/>
                <w:lang w:eastAsia="fr-FR"/>
              </w:rPr>
              <w:t>Redevance supplémentaires</w:t>
            </w:r>
            <w:proofErr w:type="gramEnd"/>
            <w:r w:rsidRPr="004840E2">
              <w:rPr>
                <w:bCs w:val="0"/>
                <w:sz w:val="18"/>
                <w:szCs w:val="18"/>
                <w:lang w:eastAsia="fr-FR"/>
              </w:rPr>
              <w:t xml:space="preserve"> sur les réserves additionnelles (iv)</w:t>
            </w:r>
          </w:p>
        </w:tc>
        <w:tc>
          <w:tcPr>
            <w:tcW w:w="0" w:type="auto"/>
            <w:tcBorders>
              <w:bottom w:val="single" w:sz="12" w:space="0" w:color="17365D" w:themeColor="text2" w:themeShade="BF"/>
            </w:tcBorders>
            <w:shd w:val="clear" w:color="auto" w:fill="FFFFFF" w:themeFill="background1"/>
            <w:vAlign w:val="center"/>
            <w:hideMark/>
          </w:tcPr>
          <w:p w:rsidR="00A079F7" w:rsidRPr="00EB66E0" w:rsidRDefault="00A079F7" w:rsidP="00E514F4">
            <w:pPr>
              <w:spacing w:before="60" w:after="60"/>
              <w:jc w:val="center"/>
              <w:rPr>
                <w:bCs w:val="0"/>
                <w:color w:val="000000"/>
                <w:sz w:val="22"/>
                <w:lang w:eastAsia="fr-FR"/>
              </w:rPr>
            </w:pPr>
          </w:p>
        </w:tc>
        <w:tc>
          <w:tcPr>
            <w:tcW w:w="0" w:type="auto"/>
            <w:tcBorders>
              <w:bottom w:val="single" w:sz="12" w:space="0" w:color="17365D" w:themeColor="text2" w:themeShade="BF"/>
            </w:tcBorders>
            <w:shd w:val="clear" w:color="auto" w:fill="FFFFFF" w:themeFill="background1"/>
            <w:vAlign w:val="center"/>
            <w:hideMark/>
          </w:tcPr>
          <w:p w:rsidR="00A079F7" w:rsidRPr="00EB66E0" w:rsidRDefault="00A079F7" w:rsidP="00E514F4">
            <w:pPr>
              <w:spacing w:before="60" w:after="60"/>
              <w:jc w:val="center"/>
              <w:rPr>
                <w:rFonts w:ascii="Wingdings" w:hAnsi="Wingdings" w:cs="Times New Roman"/>
                <w:bCs w:val="0"/>
                <w:color w:val="000000"/>
                <w:sz w:val="22"/>
                <w:lang w:eastAsia="fr-FR"/>
              </w:rPr>
            </w:pPr>
            <w:r w:rsidRPr="00EB66E0">
              <w:rPr>
                <w:rFonts w:ascii="Wingdings" w:hAnsi="Wingdings" w:cs="Times New Roman"/>
                <w:bCs w:val="0"/>
                <w:color w:val="000000"/>
                <w:sz w:val="22"/>
                <w:lang w:eastAsia="fr-FR"/>
              </w:rPr>
              <w:t></w:t>
            </w:r>
          </w:p>
        </w:tc>
        <w:tc>
          <w:tcPr>
            <w:tcW w:w="0" w:type="auto"/>
            <w:tcBorders>
              <w:bottom w:val="single" w:sz="12" w:space="0" w:color="17365D" w:themeColor="text2" w:themeShade="BF"/>
              <w:right w:val="single" w:sz="4" w:space="0" w:color="4F81BD" w:themeColor="accent1"/>
            </w:tcBorders>
            <w:shd w:val="clear" w:color="auto" w:fill="FFFFFF" w:themeFill="background1"/>
            <w:vAlign w:val="center"/>
            <w:hideMark/>
          </w:tcPr>
          <w:p w:rsidR="00A079F7" w:rsidRPr="00EB66E0" w:rsidRDefault="00A079F7" w:rsidP="00E514F4">
            <w:pPr>
              <w:spacing w:before="60" w:after="60"/>
              <w:jc w:val="center"/>
              <w:rPr>
                <w:bCs w:val="0"/>
                <w:color w:val="000000"/>
                <w:sz w:val="18"/>
                <w:szCs w:val="18"/>
                <w:lang w:eastAsia="fr-FR"/>
              </w:rPr>
            </w:pPr>
            <w:r w:rsidRPr="00EB66E0">
              <w:rPr>
                <w:bCs w:val="0"/>
                <w:color w:val="000000"/>
                <w:sz w:val="18"/>
                <w:szCs w:val="18"/>
                <w:lang w:eastAsia="fr-FR"/>
              </w:rPr>
              <w:t>R</w:t>
            </w:r>
          </w:p>
        </w:tc>
      </w:tr>
      <w:tr w:rsidR="00A079F7" w:rsidRPr="005159F3" w:rsidTr="00E514F4">
        <w:trPr>
          <w:trHeight w:val="285"/>
        </w:trPr>
        <w:tc>
          <w:tcPr>
            <w:tcW w:w="0" w:type="auto"/>
            <w:vMerge w:val="restart"/>
            <w:tcBorders>
              <w:top w:val="single" w:sz="12" w:space="0" w:color="17365D" w:themeColor="text2" w:themeShade="BF"/>
            </w:tcBorders>
            <w:shd w:val="clear" w:color="000000" w:fill="FFFFFF"/>
            <w:textDirection w:val="btLr"/>
            <w:vAlign w:val="center"/>
            <w:hideMark/>
          </w:tcPr>
          <w:p w:rsidR="00A079F7" w:rsidRPr="00EB66E0" w:rsidRDefault="00A079F7" w:rsidP="00E514F4">
            <w:pPr>
              <w:spacing w:before="60" w:after="60"/>
              <w:jc w:val="center"/>
              <w:rPr>
                <w:b/>
                <w:sz w:val="18"/>
                <w:szCs w:val="18"/>
                <w:lang w:eastAsia="fr-FR"/>
              </w:rPr>
            </w:pPr>
            <w:r w:rsidRPr="00EB66E0">
              <w:rPr>
                <w:b/>
                <w:sz w:val="18"/>
                <w:szCs w:val="18"/>
                <w:lang w:eastAsia="fr-FR"/>
              </w:rPr>
              <w:t>DRKAT</w:t>
            </w:r>
          </w:p>
        </w:tc>
        <w:tc>
          <w:tcPr>
            <w:tcW w:w="0" w:type="auto"/>
            <w:tcBorders>
              <w:top w:val="single" w:sz="12" w:space="0" w:color="17365D" w:themeColor="text2" w:themeShade="BF"/>
            </w:tcBorders>
            <w:shd w:val="clear" w:color="auto" w:fill="B8CCE4" w:themeFill="accent1" w:themeFillTint="66"/>
            <w:vAlign w:val="center"/>
            <w:hideMark/>
          </w:tcPr>
          <w:p w:rsidR="00A079F7" w:rsidRPr="00EB66E0" w:rsidRDefault="00A079F7" w:rsidP="00E514F4">
            <w:pPr>
              <w:spacing w:before="60" w:after="60"/>
              <w:jc w:val="left"/>
              <w:rPr>
                <w:bCs w:val="0"/>
                <w:color w:val="000000"/>
                <w:sz w:val="18"/>
                <w:szCs w:val="18"/>
                <w:lang w:eastAsia="fr-FR"/>
              </w:rPr>
            </w:pPr>
            <w:r w:rsidRPr="00EB66E0">
              <w:rPr>
                <w:bCs w:val="0"/>
                <w:color w:val="000000"/>
                <w:sz w:val="18"/>
                <w:szCs w:val="18"/>
                <w:lang w:eastAsia="fr-FR"/>
              </w:rPr>
              <w:t>Taxe voiries et drainage</w:t>
            </w:r>
          </w:p>
        </w:tc>
        <w:tc>
          <w:tcPr>
            <w:tcW w:w="0" w:type="auto"/>
            <w:tcBorders>
              <w:top w:val="single" w:sz="12" w:space="0" w:color="17365D" w:themeColor="text2" w:themeShade="BF"/>
            </w:tcBorders>
            <w:shd w:val="clear" w:color="auto" w:fill="B8CCE4" w:themeFill="accent1" w:themeFillTint="66"/>
            <w:vAlign w:val="center"/>
            <w:hideMark/>
          </w:tcPr>
          <w:p w:rsidR="00A079F7" w:rsidRPr="00EB66E0" w:rsidRDefault="00A079F7" w:rsidP="00E514F4">
            <w:pPr>
              <w:spacing w:before="60" w:after="60"/>
              <w:jc w:val="center"/>
              <w:rPr>
                <w:bCs w:val="0"/>
                <w:color w:val="000000"/>
                <w:sz w:val="22"/>
                <w:lang w:eastAsia="fr-FR"/>
              </w:rPr>
            </w:pPr>
          </w:p>
        </w:tc>
        <w:tc>
          <w:tcPr>
            <w:tcW w:w="0" w:type="auto"/>
            <w:tcBorders>
              <w:top w:val="single" w:sz="12" w:space="0" w:color="17365D" w:themeColor="text2" w:themeShade="BF"/>
            </w:tcBorders>
            <w:shd w:val="clear" w:color="auto" w:fill="B8CCE4" w:themeFill="accent1" w:themeFillTint="66"/>
            <w:noWrap/>
            <w:vAlign w:val="center"/>
            <w:hideMark/>
          </w:tcPr>
          <w:p w:rsidR="00A079F7" w:rsidRPr="00EB66E0" w:rsidRDefault="00A079F7" w:rsidP="00E514F4">
            <w:pPr>
              <w:spacing w:before="60" w:after="60"/>
              <w:jc w:val="center"/>
              <w:rPr>
                <w:rFonts w:ascii="Wingdings" w:hAnsi="Wingdings" w:cs="Times New Roman"/>
                <w:bCs w:val="0"/>
                <w:color w:val="000000"/>
                <w:sz w:val="22"/>
                <w:lang w:eastAsia="fr-FR"/>
              </w:rPr>
            </w:pPr>
            <w:r w:rsidRPr="00EB66E0">
              <w:rPr>
                <w:rFonts w:ascii="Wingdings" w:hAnsi="Wingdings" w:cs="Times New Roman"/>
                <w:bCs w:val="0"/>
                <w:color w:val="000000"/>
                <w:sz w:val="22"/>
                <w:lang w:eastAsia="fr-FR"/>
              </w:rPr>
              <w:t></w:t>
            </w:r>
          </w:p>
        </w:tc>
        <w:tc>
          <w:tcPr>
            <w:tcW w:w="0" w:type="auto"/>
            <w:tcBorders>
              <w:top w:val="single" w:sz="12" w:space="0" w:color="17365D" w:themeColor="text2" w:themeShade="BF"/>
              <w:right w:val="single" w:sz="4" w:space="0" w:color="4F81BD" w:themeColor="accent1"/>
            </w:tcBorders>
            <w:shd w:val="clear" w:color="auto" w:fill="B8CCE4" w:themeFill="accent1" w:themeFillTint="66"/>
            <w:vAlign w:val="center"/>
            <w:hideMark/>
          </w:tcPr>
          <w:p w:rsidR="00A079F7" w:rsidRPr="00EB66E0" w:rsidRDefault="00A079F7" w:rsidP="00E514F4">
            <w:pPr>
              <w:spacing w:before="60" w:after="60"/>
              <w:jc w:val="center"/>
              <w:rPr>
                <w:bCs w:val="0"/>
                <w:color w:val="000000"/>
                <w:sz w:val="18"/>
                <w:szCs w:val="18"/>
                <w:lang w:eastAsia="fr-FR"/>
              </w:rPr>
            </w:pPr>
            <w:r w:rsidRPr="00EB66E0">
              <w:rPr>
                <w:bCs w:val="0"/>
                <w:color w:val="000000"/>
                <w:sz w:val="18"/>
                <w:szCs w:val="18"/>
                <w:lang w:eastAsia="fr-FR"/>
              </w:rPr>
              <w:t>R</w:t>
            </w:r>
          </w:p>
        </w:tc>
      </w:tr>
      <w:tr w:rsidR="00A079F7" w:rsidRPr="005159F3" w:rsidTr="00E514F4">
        <w:trPr>
          <w:trHeight w:val="163"/>
        </w:trPr>
        <w:tc>
          <w:tcPr>
            <w:tcW w:w="0" w:type="auto"/>
            <w:vMerge/>
            <w:vAlign w:val="center"/>
            <w:hideMark/>
          </w:tcPr>
          <w:p w:rsidR="00A079F7" w:rsidRPr="00EB66E0" w:rsidRDefault="00A079F7" w:rsidP="00E514F4">
            <w:pPr>
              <w:spacing w:before="60" w:after="60"/>
              <w:jc w:val="left"/>
              <w:rPr>
                <w:b/>
                <w:sz w:val="18"/>
                <w:szCs w:val="18"/>
                <w:lang w:eastAsia="fr-FR"/>
              </w:rPr>
            </w:pPr>
          </w:p>
        </w:tc>
        <w:tc>
          <w:tcPr>
            <w:tcW w:w="0" w:type="auto"/>
            <w:tcBorders>
              <w:bottom w:val="single" w:sz="8" w:space="0" w:color="4F81BD"/>
            </w:tcBorders>
            <w:shd w:val="clear" w:color="auto" w:fill="FFFFFF" w:themeFill="background1"/>
            <w:vAlign w:val="center"/>
            <w:hideMark/>
          </w:tcPr>
          <w:p w:rsidR="00A079F7" w:rsidRPr="00EB66E0" w:rsidRDefault="00A079F7" w:rsidP="00E514F4">
            <w:pPr>
              <w:spacing w:before="60" w:after="60"/>
              <w:jc w:val="left"/>
              <w:rPr>
                <w:bCs w:val="0"/>
                <w:color w:val="000000"/>
                <w:sz w:val="18"/>
                <w:szCs w:val="18"/>
                <w:lang w:eastAsia="fr-FR"/>
              </w:rPr>
            </w:pPr>
            <w:r w:rsidRPr="00EB66E0">
              <w:rPr>
                <w:bCs w:val="0"/>
                <w:color w:val="000000"/>
                <w:sz w:val="18"/>
                <w:szCs w:val="18"/>
                <w:lang w:eastAsia="fr-FR"/>
              </w:rPr>
              <w:t>Taxe concentrés</w:t>
            </w:r>
          </w:p>
        </w:tc>
        <w:tc>
          <w:tcPr>
            <w:tcW w:w="0" w:type="auto"/>
            <w:tcBorders>
              <w:bottom w:val="single" w:sz="8" w:space="0" w:color="4F81BD"/>
            </w:tcBorders>
            <w:shd w:val="clear" w:color="auto" w:fill="FFFFFF" w:themeFill="background1"/>
            <w:vAlign w:val="center"/>
            <w:hideMark/>
          </w:tcPr>
          <w:p w:rsidR="00A079F7" w:rsidRPr="00EB66E0" w:rsidRDefault="00A079F7" w:rsidP="00E514F4">
            <w:pPr>
              <w:spacing w:before="60" w:after="60"/>
              <w:jc w:val="center"/>
              <w:rPr>
                <w:bCs w:val="0"/>
                <w:color w:val="000000"/>
                <w:sz w:val="22"/>
                <w:lang w:eastAsia="fr-FR"/>
              </w:rPr>
            </w:pPr>
          </w:p>
        </w:tc>
        <w:tc>
          <w:tcPr>
            <w:tcW w:w="0" w:type="auto"/>
            <w:tcBorders>
              <w:bottom w:val="single" w:sz="8" w:space="0" w:color="4F81BD"/>
            </w:tcBorders>
            <w:shd w:val="clear" w:color="auto" w:fill="FFFFFF" w:themeFill="background1"/>
            <w:noWrap/>
            <w:vAlign w:val="center"/>
            <w:hideMark/>
          </w:tcPr>
          <w:p w:rsidR="00A079F7" w:rsidRPr="00EB66E0" w:rsidRDefault="00A079F7" w:rsidP="00E514F4">
            <w:pPr>
              <w:spacing w:before="60" w:after="60"/>
              <w:jc w:val="center"/>
              <w:rPr>
                <w:rFonts w:ascii="Wingdings" w:hAnsi="Wingdings" w:cs="Times New Roman"/>
                <w:bCs w:val="0"/>
                <w:color w:val="000000"/>
                <w:sz w:val="22"/>
                <w:lang w:eastAsia="fr-FR"/>
              </w:rPr>
            </w:pPr>
            <w:r w:rsidRPr="00EB66E0">
              <w:rPr>
                <w:rFonts w:ascii="Wingdings" w:hAnsi="Wingdings" w:cs="Times New Roman"/>
                <w:bCs w:val="0"/>
                <w:color w:val="000000"/>
                <w:sz w:val="22"/>
                <w:lang w:eastAsia="fr-FR"/>
              </w:rPr>
              <w:t></w:t>
            </w:r>
          </w:p>
        </w:tc>
        <w:tc>
          <w:tcPr>
            <w:tcW w:w="0" w:type="auto"/>
            <w:tcBorders>
              <w:bottom w:val="single" w:sz="8" w:space="0" w:color="4F81BD"/>
              <w:right w:val="single" w:sz="4" w:space="0" w:color="4F81BD" w:themeColor="accent1"/>
            </w:tcBorders>
            <w:shd w:val="clear" w:color="auto" w:fill="FFFFFF" w:themeFill="background1"/>
            <w:vAlign w:val="center"/>
            <w:hideMark/>
          </w:tcPr>
          <w:p w:rsidR="00A079F7" w:rsidRPr="00EB66E0" w:rsidRDefault="00A079F7" w:rsidP="00E514F4">
            <w:pPr>
              <w:spacing w:before="60" w:after="60"/>
              <w:jc w:val="center"/>
              <w:rPr>
                <w:bCs w:val="0"/>
                <w:color w:val="000000"/>
                <w:sz w:val="18"/>
                <w:szCs w:val="18"/>
                <w:lang w:eastAsia="fr-FR"/>
              </w:rPr>
            </w:pPr>
            <w:r w:rsidRPr="00EB66E0">
              <w:rPr>
                <w:bCs w:val="0"/>
                <w:color w:val="000000"/>
                <w:sz w:val="18"/>
                <w:szCs w:val="18"/>
                <w:lang w:eastAsia="fr-FR"/>
              </w:rPr>
              <w:t>R</w:t>
            </w:r>
          </w:p>
        </w:tc>
      </w:tr>
      <w:tr w:rsidR="00A079F7" w:rsidRPr="005159F3" w:rsidTr="00E514F4">
        <w:trPr>
          <w:trHeight w:val="163"/>
        </w:trPr>
        <w:tc>
          <w:tcPr>
            <w:tcW w:w="0" w:type="auto"/>
            <w:vMerge/>
            <w:vAlign w:val="center"/>
          </w:tcPr>
          <w:p w:rsidR="00A079F7" w:rsidRPr="00EB66E0" w:rsidRDefault="00A079F7" w:rsidP="00E514F4">
            <w:pPr>
              <w:spacing w:before="60" w:after="60"/>
              <w:jc w:val="left"/>
              <w:rPr>
                <w:b/>
                <w:sz w:val="18"/>
                <w:szCs w:val="18"/>
                <w:lang w:eastAsia="fr-FR"/>
              </w:rPr>
            </w:pPr>
          </w:p>
        </w:tc>
        <w:tc>
          <w:tcPr>
            <w:tcW w:w="0" w:type="auto"/>
            <w:shd w:val="clear" w:color="auto" w:fill="B8CCE4" w:themeFill="accent1" w:themeFillTint="66"/>
            <w:vAlign w:val="center"/>
          </w:tcPr>
          <w:p w:rsidR="00A079F7" w:rsidRPr="00EB66E0" w:rsidRDefault="00A079F7" w:rsidP="00E514F4">
            <w:pPr>
              <w:spacing w:before="60" w:after="60"/>
              <w:jc w:val="left"/>
              <w:rPr>
                <w:bCs w:val="0"/>
                <w:color w:val="000000"/>
                <w:sz w:val="18"/>
                <w:szCs w:val="18"/>
                <w:lang w:eastAsia="fr-FR"/>
              </w:rPr>
            </w:pPr>
            <w:r w:rsidRPr="00EB66E0">
              <w:rPr>
                <w:bCs w:val="0"/>
                <w:color w:val="000000"/>
                <w:sz w:val="18"/>
                <w:szCs w:val="18"/>
                <w:lang w:eastAsia="fr-FR"/>
              </w:rPr>
              <w:t>Préfinancement Contrat</w:t>
            </w:r>
          </w:p>
        </w:tc>
        <w:tc>
          <w:tcPr>
            <w:tcW w:w="0" w:type="auto"/>
            <w:shd w:val="clear" w:color="auto" w:fill="B8CCE4" w:themeFill="accent1" w:themeFillTint="66"/>
            <w:vAlign w:val="center"/>
          </w:tcPr>
          <w:p w:rsidR="00A079F7" w:rsidRPr="00EB66E0" w:rsidRDefault="00A079F7" w:rsidP="00E514F4">
            <w:pPr>
              <w:spacing w:before="60" w:after="60"/>
              <w:jc w:val="center"/>
              <w:rPr>
                <w:bCs w:val="0"/>
                <w:color w:val="000000"/>
                <w:sz w:val="22"/>
                <w:lang w:eastAsia="fr-FR"/>
              </w:rPr>
            </w:pPr>
          </w:p>
        </w:tc>
        <w:tc>
          <w:tcPr>
            <w:tcW w:w="0" w:type="auto"/>
            <w:shd w:val="clear" w:color="auto" w:fill="B8CCE4" w:themeFill="accent1" w:themeFillTint="66"/>
            <w:noWrap/>
            <w:vAlign w:val="center"/>
          </w:tcPr>
          <w:p w:rsidR="00A079F7" w:rsidRPr="00EB66E0" w:rsidRDefault="00A079F7" w:rsidP="00E514F4">
            <w:pPr>
              <w:spacing w:before="60" w:after="60"/>
              <w:jc w:val="center"/>
              <w:rPr>
                <w:rFonts w:ascii="Wingdings" w:hAnsi="Wingdings" w:cs="Times New Roman"/>
                <w:bCs w:val="0"/>
                <w:color w:val="000000"/>
                <w:sz w:val="22"/>
                <w:lang w:eastAsia="fr-FR"/>
              </w:rPr>
            </w:pPr>
            <w:r w:rsidRPr="00EB66E0">
              <w:rPr>
                <w:rFonts w:ascii="Wingdings" w:hAnsi="Wingdings" w:cs="Times New Roman"/>
                <w:bCs w:val="0"/>
                <w:color w:val="000000"/>
                <w:sz w:val="22"/>
                <w:lang w:eastAsia="fr-FR"/>
              </w:rPr>
              <w:t></w:t>
            </w:r>
          </w:p>
        </w:tc>
        <w:tc>
          <w:tcPr>
            <w:tcW w:w="0" w:type="auto"/>
            <w:tcBorders>
              <w:right w:val="single" w:sz="4" w:space="0" w:color="4F81BD" w:themeColor="accent1"/>
            </w:tcBorders>
            <w:shd w:val="clear" w:color="auto" w:fill="B8CCE4" w:themeFill="accent1" w:themeFillTint="66"/>
            <w:vAlign w:val="center"/>
          </w:tcPr>
          <w:p w:rsidR="00A079F7" w:rsidRPr="00EB66E0" w:rsidRDefault="00A079F7" w:rsidP="00E514F4">
            <w:pPr>
              <w:spacing w:before="60" w:after="60"/>
              <w:jc w:val="center"/>
              <w:rPr>
                <w:bCs w:val="0"/>
                <w:color w:val="000000"/>
                <w:sz w:val="18"/>
                <w:szCs w:val="18"/>
                <w:lang w:eastAsia="fr-FR"/>
              </w:rPr>
            </w:pPr>
            <w:r w:rsidRPr="00EB66E0">
              <w:rPr>
                <w:bCs w:val="0"/>
                <w:color w:val="000000"/>
                <w:sz w:val="18"/>
                <w:szCs w:val="18"/>
                <w:lang w:eastAsia="fr-FR"/>
              </w:rPr>
              <w:t>R</w:t>
            </w:r>
          </w:p>
        </w:tc>
      </w:tr>
      <w:tr w:rsidR="00A079F7" w:rsidRPr="005159F3" w:rsidTr="00E514F4">
        <w:trPr>
          <w:trHeight w:val="295"/>
        </w:trPr>
        <w:tc>
          <w:tcPr>
            <w:tcW w:w="0" w:type="auto"/>
            <w:vMerge/>
            <w:tcBorders>
              <w:bottom w:val="single" w:sz="12" w:space="0" w:color="17365D" w:themeColor="text2" w:themeShade="BF"/>
            </w:tcBorders>
            <w:vAlign w:val="center"/>
            <w:hideMark/>
          </w:tcPr>
          <w:p w:rsidR="00A079F7" w:rsidRPr="005159F3" w:rsidRDefault="00A079F7" w:rsidP="00E514F4">
            <w:pPr>
              <w:spacing w:before="60" w:after="60"/>
              <w:jc w:val="left"/>
              <w:rPr>
                <w:b/>
                <w:sz w:val="18"/>
                <w:szCs w:val="18"/>
                <w:highlight w:val="yellow"/>
                <w:lang w:eastAsia="fr-FR"/>
              </w:rPr>
            </w:pPr>
          </w:p>
        </w:tc>
        <w:tc>
          <w:tcPr>
            <w:tcW w:w="0" w:type="auto"/>
            <w:tcBorders>
              <w:bottom w:val="single" w:sz="12" w:space="0" w:color="17365D" w:themeColor="text2" w:themeShade="BF"/>
            </w:tcBorders>
            <w:shd w:val="clear" w:color="auto" w:fill="FFFFFF" w:themeFill="background1"/>
            <w:vAlign w:val="center"/>
            <w:hideMark/>
          </w:tcPr>
          <w:p w:rsidR="00A079F7" w:rsidRPr="00EB66E0" w:rsidRDefault="00A079F7" w:rsidP="00E514F4">
            <w:pPr>
              <w:spacing w:before="60" w:after="60"/>
              <w:jc w:val="left"/>
              <w:rPr>
                <w:bCs w:val="0"/>
                <w:color w:val="000000"/>
                <w:sz w:val="18"/>
                <w:szCs w:val="18"/>
                <w:lang w:eastAsia="fr-FR"/>
              </w:rPr>
            </w:pPr>
            <w:r w:rsidRPr="00EB66E0">
              <w:rPr>
                <w:bCs w:val="0"/>
                <w:color w:val="000000"/>
                <w:sz w:val="18"/>
                <w:szCs w:val="18"/>
                <w:lang w:eastAsia="fr-FR"/>
              </w:rPr>
              <w:t>Impôt sur la superficie des concessions minières et des hydrocarbures.</w:t>
            </w:r>
          </w:p>
        </w:tc>
        <w:tc>
          <w:tcPr>
            <w:tcW w:w="0" w:type="auto"/>
            <w:tcBorders>
              <w:bottom w:val="single" w:sz="12" w:space="0" w:color="17365D" w:themeColor="text2" w:themeShade="BF"/>
            </w:tcBorders>
            <w:shd w:val="clear" w:color="auto" w:fill="FFFFFF" w:themeFill="background1"/>
            <w:vAlign w:val="center"/>
            <w:hideMark/>
          </w:tcPr>
          <w:p w:rsidR="00A079F7" w:rsidRPr="00EB66E0" w:rsidRDefault="00A079F7" w:rsidP="00E514F4">
            <w:pPr>
              <w:spacing w:before="60" w:after="60"/>
              <w:jc w:val="center"/>
              <w:rPr>
                <w:bCs w:val="0"/>
                <w:color w:val="000000"/>
                <w:sz w:val="22"/>
                <w:lang w:eastAsia="fr-FR"/>
              </w:rPr>
            </w:pPr>
          </w:p>
        </w:tc>
        <w:tc>
          <w:tcPr>
            <w:tcW w:w="0" w:type="auto"/>
            <w:tcBorders>
              <w:bottom w:val="single" w:sz="12" w:space="0" w:color="17365D" w:themeColor="text2" w:themeShade="BF"/>
            </w:tcBorders>
            <w:shd w:val="clear" w:color="auto" w:fill="FFFFFF" w:themeFill="background1"/>
            <w:noWrap/>
            <w:vAlign w:val="center"/>
            <w:hideMark/>
          </w:tcPr>
          <w:p w:rsidR="00A079F7" w:rsidRPr="00EB66E0" w:rsidRDefault="00A079F7" w:rsidP="00E514F4">
            <w:pPr>
              <w:spacing w:before="60" w:after="60"/>
              <w:jc w:val="center"/>
              <w:rPr>
                <w:rFonts w:ascii="Wingdings" w:hAnsi="Wingdings" w:cs="Times New Roman"/>
                <w:bCs w:val="0"/>
                <w:color w:val="000000"/>
                <w:sz w:val="22"/>
                <w:lang w:eastAsia="fr-FR"/>
              </w:rPr>
            </w:pPr>
            <w:r w:rsidRPr="00EB66E0">
              <w:rPr>
                <w:rFonts w:ascii="Wingdings" w:hAnsi="Wingdings" w:cs="Times New Roman"/>
                <w:bCs w:val="0"/>
                <w:color w:val="000000"/>
                <w:sz w:val="22"/>
                <w:lang w:eastAsia="fr-FR"/>
              </w:rPr>
              <w:t></w:t>
            </w:r>
          </w:p>
        </w:tc>
        <w:tc>
          <w:tcPr>
            <w:tcW w:w="0" w:type="auto"/>
            <w:tcBorders>
              <w:bottom w:val="single" w:sz="12" w:space="0" w:color="17365D" w:themeColor="text2" w:themeShade="BF"/>
              <w:right w:val="single" w:sz="4" w:space="0" w:color="4F81BD" w:themeColor="accent1"/>
            </w:tcBorders>
            <w:shd w:val="clear" w:color="auto" w:fill="FFFFFF" w:themeFill="background1"/>
            <w:vAlign w:val="center"/>
            <w:hideMark/>
          </w:tcPr>
          <w:p w:rsidR="00A079F7" w:rsidRPr="00EB66E0" w:rsidRDefault="00A079F7" w:rsidP="00E514F4">
            <w:pPr>
              <w:spacing w:before="60" w:after="60"/>
              <w:jc w:val="center"/>
              <w:rPr>
                <w:bCs w:val="0"/>
                <w:color w:val="000000"/>
                <w:sz w:val="18"/>
                <w:szCs w:val="18"/>
                <w:lang w:eastAsia="fr-FR"/>
              </w:rPr>
            </w:pPr>
            <w:r w:rsidRPr="00EB66E0">
              <w:rPr>
                <w:bCs w:val="0"/>
                <w:color w:val="000000"/>
                <w:sz w:val="18"/>
                <w:szCs w:val="18"/>
                <w:lang w:eastAsia="fr-FR"/>
              </w:rPr>
              <w:t>R</w:t>
            </w:r>
          </w:p>
        </w:tc>
      </w:tr>
      <w:tr w:rsidR="00A079F7" w:rsidRPr="005159F3" w:rsidTr="00E514F4">
        <w:trPr>
          <w:trHeight w:val="285"/>
        </w:trPr>
        <w:tc>
          <w:tcPr>
            <w:tcW w:w="0" w:type="auto"/>
            <w:vMerge w:val="restart"/>
            <w:tcBorders>
              <w:top w:val="single" w:sz="12" w:space="0" w:color="17365D" w:themeColor="text2" w:themeShade="BF"/>
            </w:tcBorders>
            <w:shd w:val="clear" w:color="000000" w:fill="FFFFFF"/>
            <w:textDirection w:val="btLr"/>
            <w:vAlign w:val="center"/>
            <w:hideMark/>
          </w:tcPr>
          <w:p w:rsidR="00A079F7" w:rsidRPr="00EB66E0" w:rsidRDefault="00A079F7" w:rsidP="00E514F4">
            <w:pPr>
              <w:spacing w:before="60" w:after="60"/>
              <w:jc w:val="center"/>
              <w:rPr>
                <w:b/>
                <w:sz w:val="18"/>
                <w:szCs w:val="18"/>
                <w:lang w:eastAsia="fr-FR"/>
              </w:rPr>
            </w:pPr>
            <w:r w:rsidRPr="00EB66E0">
              <w:rPr>
                <w:b/>
                <w:sz w:val="18"/>
                <w:szCs w:val="18"/>
                <w:lang w:eastAsia="fr-FR"/>
              </w:rPr>
              <w:t>Ministère des Hydrocarbures</w:t>
            </w:r>
          </w:p>
        </w:tc>
        <w:tc>
          <w:tcPr>
            <w:tcW w:w="0" w:type="auto"/>
            <w:tcBorders>
              <w:top w:val="single" w:sz="12" w:space="0" w:color="17365D" w:themeColor="text2" w:themeShade="BF"/>
            </w:tcBorders>
            <w:shd w:val="clear" w:color="000000" w:fill="B8CCE4"/>
            <w:vAlign w:val="center"/>
            <w:hideMark/>
          </w:tcPr>
          <w:p w:rsidR="00A079F7" w:rsidRPr="00EB66E0" w:rsidRDefault="00A079F7" w:rsidP="00E514F4">
            <w:pPr>
              <w:spacing w:before="60" w:after="60"/>
              <w:jc w:val="left"/>
              <w:rPr>
                <w:bCs w:val="0"/>
                <w:color w:val="000000"/>
                <w:sz w:val="18"/>
                <w:szCs w:val="18"/>
                <w:lang w:eastAsia="fr-FR"/>
              </w:rPr>
            </w:pPr>
            <w:r w:rsidRPr="00EB66E0">
              <w:rPr>
                <w:bCs w:val="0"/>
                <w:color w:val="000000"/>
                <w:sz w:val="18"/>
                <w:szCs w:val="18"/>
                <w:lang w:eastAsia="fr-FR"/>
              </w:rPr>
              <w:t>Amendes pour non-exécution de Programme</w:t>
            </w:r>
          </w:p>
        </w:tc>
        <w:tc>
          <w:tcPr>
            <w:tcW w:w="0" w:type="auto"/>
            <w:tcBorders>
              <w:top w:val="single" w:sz="12" w:space="0" w:color="17365D" w:themeColor="text2" w:themeShade="BF"/>
            </w:tcBorders>
            <w:shd w:val="clear" w:color="000000" w:fill="B8CCE4"/>
            <w:noWrap/>
            <w:vAlign w:val="center"/>
            <w:hideMark/>
          </w:tcPr>
          <w:p w:rsidR="00A079F7" w:rsidRPr="00EB66E0" w:rsidRDefault="00A079F7" w:rsidP="00E514F4">
            <w:pPr>
              <w:spacing w:before="60" w:after="60"/>
              <w:jc w:val="center"/>
              <w:rPr>
                <w:rFonts w:ascii="Wingdings" w:hAnsi="Wingdings" w:cs="Times New Roman"/>
                <w:bCs w:val="0"/>
                <w:color w:val="000000"/>
                <w:sz w:val="22"/>
                <w:lang w:eastAsia="fr-FR"/>
              </w:rPr>
            </w:pPr>
            <w:r w:rsidRPr="00EB66E0">
              <w:rPr>
                <w:rFonts w:ascii="Wingdings" w:hAnsi="Wingdings" w:cs="Times New Roman"/>
                <w:bCs w:val="0"/>
                <w:color w:val="000000"/>
                <w:sz w:val="22"/>
                <w:lang w:eastAsia="fr-FR"/>
              </w:rPr>
              <w:t></w:t>
            </w:r>
          </w:p>
        </w:tc>
        <w:tc>
          <w:tcPr>
            <w:tcW w:w="0" w:type="auto"/>
            <w:tcBorders>
              <w:top w:val="single" w:sz="12" w:space="0" w:color="17365D" w:themeColor="text2" w:themeShade="BF"/>
            </w:tcBorders>
            <w:shd w:val="clear" w:color="000000" w:fill="B8CCE4"/>
            <w:vAlign w:val="center"/>
            <w:hideMark/>
          </w:tcPr>
          <w:p w:rsidR="00A079F7" w:rsidRPr="00EB66E0" w:rsidRDefault="00A079F7" w:rsidP="00E514F4">
            <w:pPr>
              <w:spacing w:before="60" w:after="60"/>
              <w:jc w:val="center"/>
              <w:rPr>
                <w:bCs w:val="0"/>
                <w:color w:val="000000"/>
                <w:sz w:val="22"/>
                <w:lang w:eastAsia="fr-FR"/>
              </w:rPr>
            </w:pPr>
          </w:p>
        </w:tc>
        <w:tc>
          <w:tcPr>
            <w:tcW w:w="0" w:type="auto"/>
            <w:tcBorders>
              <w:top w:val="single" w:sz="12" w:space="0" w:color="17365D" w:themeColor="text2" w:themeShade="BF"/>
              <w:right w:val="single" w:sz="4" w:space="0" w:color="4F81BD" w:themeColor="accent1"/>
            </w:tcBorders>
            <w:shd w:val="clear" w:color="000000" w:fill="B8CCE4"/>
            <w:vAlign w:val="center"/>
            <w:hideMark/>
          </w:tcPr>
          <w:p w:rsidR="00A079F7" w:rsidRPr="00EB66E0" w:rsidRDefault="00A079F7" w:rsidP="00E514F4">
            <w:pPr>
              <w:spacing w:before="60" w:after="60"/>
              <w:jc w:val="center"/>
              <w:rPr>
                <w:bCs w:val="0"/>
                <w:color w:val="000000"/>
                <w:sz w:val="18"/>
                <w:szCs w:val="18"/>
                <w:lang w:eastAsia="fr-FR"/>
              </w:rPr>
            </w:pPr>
            <w:r w:rsidRPr="00EB66E0">
              <w:rPr>
                <w:bCs w:val="0"/>
                <w:color w:val="000000"/>
                <w:sz w:val="18"/>
                <w:szCs w:val="18"/>
                <w:lang w:eastAsia="fr-FR"/>
              </w:rPr>
              <w:t>R</w:t>
            </w:r>
          </w:p>
        </w:tc>
      </w:tr>
      <w:tr w:rsidR="00A079F7" w:rsidRPr="005159F3" w:rsidTr="00E514F4">
        <w:trPr>
          <w:trHeight w:val="285"/>
        </w:trPr>
        <w:tc>
          <w:tcPr>
            <w:tcW w:w="0" w:type="auto"/>
            <w:vMerge/>
            <w:vAlign w:val="center"/>
            <w:hideMark/>
          </w:tcPr>
          <w:p w:rsidR="00A079F7" w:rsidRPr="00EB66E0" w:rsidRDefault="00A079F7" w:rsidP="00E514F4">
            <w:pPr>
              <w:spacing w:before="60" w:after="60"/>
              <w:jc w:val="left"/>
              <w:rPr>
                <w:b/>
                <w:sz w:val="18"/>
                <w:szCs w:val="18"/>
                <w:lang w:eastAsia="fr-FR"/>
              </w:rPr>
            </w:pPr>
          </w:p>
        </w:tc>
        <w:tc>
          <w:tcPr>
            <w:tcW w:w="0" w:type="auto"/>
            <w:shd w:val="clear" w:color="auto" w:fill="auto"/>
            <w:vAlign w:val="center"/>
            <w:hideMark/>
          </w:tcPr>
          <w:p w:rsidR="00A079F7" w:rsidRPr="00EB66E0" w:rsidRDefault="00A079F7" w:rsidP="00E514F4">
            <w:pPr>
              <w:spacing w:before="60" w:after="60"/>
              <w:jc w:val="left"/>
              <w:rPr>
                <w:bCs w:val="0"/>
                <w:color w:val="000000"/>
                <w:sz w:val="18"/>
                <w:szCs w:val="18"/>
                <w:lang w:eastAsia="fr-FR"/>
              </w:rPr>
            </w:pPr>
            <w:r w:rsidRPr="00EB66E0">
              <w:rPr>
                <w:bCs w:val="0"/>
                <w:color w:val="000000"/>
                <w:sz w:val="18"/>
                <w:szCs w:val="18"/>
                <w:lang w:eastAsia="fr-FR"/>
              </w:rPr>
              <w:t>Renouvellement de Permis d'exploitation</w:t>
            </w:r>
          </w:p>
        </w:tc>
        <w:tc>
          <w:tcPr>
            <w:tcW w:w="0" w:type="auto"/>
            <w:shd w:val="clear" w:color="auto" w:fill="auto"/>
            <w:noWrap/>
            <w:vAlign w:val="center"/>
            <w:hideMark/>
          </w:tcPr>
          <w:p w:rsidR="00A079F7" w:rsidRPr="00EB66E0" w:rsidRDefault="00A079F7" w:rsidP="00E514F4">
            <w:pPr>
              <w:spacing w:before="60" w:after="60"/>
              <w:jc w:val="center"/>
              <w:rPr>
                <w:rFonts w:ascii="Wingdings" w:hAnsi="Wingdings" w:cs="Times New Roman"/>
                <w:bCs w:val="0"/>
                <w:color w:val="000000"/>
                <w:sz w:val="22"/>
                <w:lang w:eastAsia="fr-FR"/>
              </w:rPr>
            </w:pPr>
            <w:r w:rsidRPr="00EB66E0">
              <w:rPr>
                <w:rFonts w:ascii="Wingdings" w:hAnsi="Wingdings" w:cs="Times New Roman"/>
                <w:bCs w:val="0"/>
                <w:color w:val="000000"/>
                <w:sz w:val="22"/>
                <w:lang w:eastAsia="fr-FR"/>
              </w:rPr>
              <w:t></w:t>
            </w:r>
          </w:p>
        </w:tc>
        <w:tc>
          <w:tcPr>
            <w:tcW w:w="0" w:type="auto"/>
            <w:shd w:val="clear" w:color="auto" w:fill="auto"/>
            <w:vAlign w:val="bottom"/>
          </w:tcPr>
          <w:p w:rsidR="00A079F7" w:rsidRPr="00EB66E0" w:rsidRDefault="00A079F7" w:rsidP="00E514F4">
            <w:pPr>
              <w:spacing w:before="60" w:after="60"/>
              <w:jc w:val="center"/>
              <w:rPr>
                <w:rFonts w:ascii="Wingdings" w:hAnsi="Wingdings" w:cs="Times New Roman"/>
                <w:bCs w:val="0"/>
                <w:color w:val="000000"/>
                <w:sz w:val="22"/>
                <w:lang w:eastAsia="fr-FR"/>
              </w:rPr>
            </w:pPr>
          </w:p>
        </w:tc>
        <w:tc>
          <w:tcPr>
            <w:tcW w:w="0" w:type="auto"/>
            <w:tcBorders>
              <w:right w:val="single" w:sz="4" w:space="0" w:color="4F81BD" w:themeColor="accent1"/>
            </w:tcBorders>
            <w:shd w:val="clear" w:color="auto" w:fill="auto"/>
            <w:vAlign w:val="center"/>
            <w:hideMark/>
          </w:tcPr>
          <w:p w:rsidR="00A079F7" w:rsidRPr="00EB66E0" w:rsidRDefault="00A079F7" w:rsidP="00E514F4">
            <w:pPr>
              <w:spacing w:before="60" w:after="60"/>
              <w:jc w:val="center"/>
              <w:rPr>
                <w:bCs w:val="0"/>
                <w:color w:val="000000"/>
                <w:sz w:val="18"/>
                <w:szCs w:val="18"/>
                <w:lang w:eastAsia="fr-FR"/>
              </w:rPr>
            </w:pPr>
            <w:r w:rsidRPr="00EB66E0">
              <w:rPr>
                <w:bCs w:val="0"/>
                <w:color w:val="000000"/>
                <w:sz w:val="18"/>
                <w:szCs w:val="18"/>
                <w:lang w:eastAsia="fr-FR"/>
              </w:rPr>
              <w:t>R</w:t>
            </w:r>
          </w:p>
        </w:tc>
      </w:tr>
      <w:tr w:rsidR="00A079F7" w:rsidRPr="005159F3" w:rsidTr="00E514F4">
        <w:trPr>
          <w:trHeight w:val="285"/>
        </w:trPr>
        <w:tc>
          <w:tcPr>
            <w:tcW w:w="0" w:type="auto"/>
            <w:vMerge/>
            <w:vAlign w:val="center"/>
            <w:hideMark/>
          </w:tcPr>
          <w:p w:rsidR="00A079F7" w:rsidRPr="00EB66E0" w:rsidRDefault="00A079F7" w:rsidP="00E514F4">
            <w:pPr>
              <w:spacing w:before="60" w:after="60"/>
              <w:jc w:val="left"/>
              <w:rPr>
                <w:b/>
                <w:sz w:val="18"/>
                <w:szCs w:val="18"/>
                <w:lang w:eastAsia="fr-FR"/>
              </w:rPr>
            </w:pPr>
          </w:p>
        </w:tc>
        <w:tc>
          <w:tcPr>
            <w:tcW w:w="0" w:type="auto"/>
            <w:shd w:val="clear" w:color="000000" w:fill="B8CCE4"/>
            <w:vAlign w:val="center"/>
            <w:hideMark/>
          </w:tcPr>
          <w:p w:rsidR="00A079F7" w:rsidRPr="00EB66E0" w:rsidRDefault="00A079F7" w:rsidP="00E514F4">
            <w:pPr>
              <w:spacing w:before="60" w:after="60"/>
              <w:jc w:val="left"/>
              <w:rPr>
                <w:bCs w:val="0"/>
                <w:color w:val="000000"/>
                <w:sz w:val="18"/>
                <w:szCs w:val="18"/>
                <w:lang w:eastAsia="fr-FR"/>
              </w:rPr>
            </w:pPr>
            <w:r w:rsidRPr="00EB66E0">
              <w:rPr>
                <w:bCs w:val="0"/>
                <w:color w:val="000000"/>
                <w:sz w:val="18"/>
                <w:szCs w:val="18"/>
                <w:lang w:eastAsia="fr-FR"/>
              </w:rPr>
              <w:t>Banque de données</w:t>
            </w:r>
          </w:p>
        </w:tc>
        <w:tc>
          <w:tcPr>
            <w:tcW w:w="0" w:type="auto"/>
            <w:shd w:val="clear" w:color="000000" w:fill="B8CCE4"/>
            <w:noWrap/>
            <w:vAlign w:val="center"/>
            <w:hideMark/>
          </w:tcPr>
          <w:p w:rsidR="00A079F7" w:rsidRPr="00EB66E0" w:rsidRDefault="00A079F7" w:rsidP="00E514F4">
            <w:pPr>
              <w:spacing w:before="60" w:after="60"/>
              <w:jc w:val="center"/>
              <w:rPr>
                <w:rFonts w:ascii="Wingdings" w:hAnsi="Wingdings" w:cs="Times New Roman"/>
                <w:bCs w:val="0"/>
                <w:color w:val="000000"/>
                <w:sz w:val="22"/>
                <w:lang w:eastAsia="fr-FR"/>
              </w:rPr>
            </w:pPr>
            <w:r w:rsidRPr="00EB66E0">
              <w:rPr>
                <w:rFonts w:ascii="Wingdings" w:hAnsi="Wingdings" w:cs="Times New Roman"/>
                <w:bCs w:val="0"/>
                <w:color w:val="000000"/>
                <w:sz w:val="22"/>
                <w:lang w:eastAsia="fr-FR"/>
              </w:rPr>
              <w:t></w:t>
            </w:r>
          </w:p>
        </w:tc>
        <w:tc>
          <w:tcPr>
            <w:tcW w:w="0" w:type="auto"/>
            <w:shd w:val="clear" w:color="000000" w:fill="B8CCE4"/>
            <w:vAlign w:val="center"/>
            <w:hideMark/>
          </w:tcPr>
          <w:p w:rsidR="00A079F7" w:rsidRPr="00EB66E0" w:rsidRDefault="00A079F7" w:rsidP="00E514F4">
            <w:pPr>
              <w:spacing w:before="60" w:after="60"/>
              <w:jc w:val="center"/>
              <w:rPr>
                <w:bCs w:val="0"/>
                <w:color w:val="000000"/>
                <w:sz w:val="22"/>
                <w:lang w:eastAsia="fr-FR"/>
              </w:rPr>
            </w:pPr>
          </w:p>
        </w:tc>
        <w:tc>
          <w:tcPr>
            <w:tcW w:w="0" w:type="auto"/>
            <w:tcBorders>
              <w:right w:val="single" w:sz="4" w:space="0" w:color="4F81BD" w:themeColor="accent1"/>
            </w:tcBorders>
            <w:shd w:val="clear" w:color="000000" w:fill="B8CCE4"/>
            <w:vAlign w:val="center"/>
            <w:hideMark/>
          </w:tcPr>
          <w:p w:rsidR="00A079F7" w:rsidRPr="00EB66E0" w:rsidRDefault="00A079F7" w:rsidP="00E514F4">
            <w:pPr>
              <w:spacing w:before="60" w:after="60"/>
              <w:jc w:val="center"/>
              <w:rPr>
                <w:bCs w:val="0"/>
                <w:color w:val="000000"/>
                <w:sz w:val="18"/>
                <w:szCs w:val="18"/>
                <w:lang w:eastAsia="fr-FR"/>
              </w:rPr>
            </w:pPr>
            <w:r w:rsidRPr="00EB66E0">
              <w:rPr>
                <w:bCs w:val="0"/>
                <w:color w:val="000000"/>
                <w:sz w:val="18"/>
                <w:szCs w:val="18"/>
                <w:lang w:eastAsia="fr-FR"/>
              </w:rPr>
              <w:t>R</w:t>
            </w:r>
          </w:p>
        </w:tc>
      </w:tr>
      <w:tr w:rsidR="00A079F7" w:rsidRPr="005159F3" w:rsidTr="00E514F4">
        <w:trPr>
          <w:trHeight w:val="341"/>
        </w:trPr>
        <w:tc>
          <w:tcPr>
            <w:tcW w:w="0" w:type="auto"/>
            <w:vMerge/>
            <w:vAlign w:val="center"/>
            <w:hideMark/>
          </w:tcPr>
          <w:p w:rsidR="00A079F7" w:rsidRPr="00EB66E0" w:rsidRDefault="00A079F7" w:rsidP="00E514F4">
            <w:pPr>
              <w:spacing w:before="60" w:after="60"/>
              <w:jc w:val="left"/>
              <w:rPr>
                <w:b/>
                <w:sz w:val="18"/>
                <w:szCs w:val="18"/>
                <w:lang w:eastAsia="fr-FR"/>
              </w:rPr>
            </w:pPr>
          </w:p>
        </w:tc>
        <w:tc>
          <w:tcPr>
            <w:tcW w:w="0" w:type="auto"/>
            <w:shd w:val="clear" w:color="auto" w:fill="auto"/>
            <w:vAlign w:val="center"/>
            <w:hideMark/>
          </w:tcPr>
          <w:p w:rsidR="00A079F7" w:rsidRPr="00EB66E0" w:rsidRDefault="00A079F7" w:rsidP="00E514F4">
            <w:pPr>
              <w:spacing w:before="60" w:after="60"/>
              <w:jc w:val="left"/>
              <w:rPr>
                <w:bCs w:val="0"/>
                <w:color w:val="000000"/>
                <w:sz w:val="18"/>
                <w:szCs w:val="18"/>
                <w:lang w:eastAsia="fr-FR"/>
              </w:rPr>
            </w:pPr>
            <w:r w:rsidRPr="00EB66E0">
              <w:rPr>
                <w:bCs w:val="0"/>
                <w:color w:val="000000"/>
                <w:sz w:val="18"/>
                <w:szCs w:val="18"/>
                <w:lang w:eastAsia="fr-FR"/>
              </w:rPr>
              <w:t>Contribution aux droits payables à l’Association des Pays Africains Producteurs de Pétrole (APPA)</w:t>
            </w:r>
          </w:p>
        </w:tc>
        <w:tc>
          <w:tcPr>
            <w:tcW w:w="0" w:type="auto"/>
            <w:shd w:val="clear" w:color="auto" w:fill="auto"/>
            <w:noWrap/>
            <w:vAlign w:val="center"/>
            <w:hideMark/>
          </w:tcPr>
          <w:p w:rsidR="00A079F7" w:rsidRPr="00EB66E0" w:rsidRDefault="00A079F7" w:rsidP="00E514F4">
            <w:pPr>
              <w:spacing w:before="60" w:after="60"/>
              <w:jc w:val="center"/>
              <w:rPr>
                <w:rFonts w:ascii="Wingdings" w:hAnsi="Wingdings" w:cs="Times New Roman"/>
                <w:bCs w:val="0"/>
                <w:color w:val="000000"/>
                <w:sz w:val="22"/>
                <w:lang w:eastAsia="fr-FR"/>
              </w:rPr>
            </w:pPr>
            <w:r w:rsidRPr="00EB66E0">
              <w:rPr>
                <w:rFonts w:ascii="Wingdings" w:hAnsi="Wingdings" w:cs="Times New Roman"/>
                <w:bCs w:val="0"/>
                <w:color w:val="000000"/>
                <w:sz w:val="22"/>
                <w:lang w:eastAsia="fr-FR"/>
              </w:rPr>
              <w:t></w:t>
            </w:r>
          </w:p>
        </w:tc>
        <w:tc>
          <w:tcPr>
            <w:tcW w:w="0" w:type="auto"/>
            <w:shd w:val="clear" w:color="auto" w:fill="auto"/>
            <w:vAlign w:val="bottom"/>
          </w:tcPr>
          <w:p w:rsidR="00A079F7" w:rsidRPr="00EB66E0" w:rsidRDefault="00A079F7" w:rsidP="00E514F4">
            <w:pPr>
              <w:spacing w:before="60" w:after="60"/>
              <w:jc w:val="center"/>
              <w:rPr>
                <w:rFonts w:ascii="Wingdings" w:hAnsi="Wingdings" w:cs="Times New Roman"/>
                <w:bCs w:val="0"/>
                <w:color w:val="000000"/>
                <w:sz w:val="22"/>
                <w:lang w:eastAsia="fr-FR"/>
              </w:rPr>
            </w:pPr>
          </w:p>
        </w:tc>
        <w:tc>
          <w:tcPr>
            <w:tcW w:w="0" w:type="auto"/>
            <w:tcBorders>
              <w:right w:val="single" w:sz="4" w:space="0" w:color="4F81BD" w:themeColor="accent1"/>
            </w:tcBorders>
            <w:shd w:val="clear" w:color="auto" w:fill="auto"/>
            <w:vAlign w:val="center"/>
            <w:hideMark/>
          </w:tcPr>
          <w:p w:rsidR="00A079F7" w:rsidRPr="00EB66E0" w:rsidRDefault="00A079F7" w:rsidP="00E514F4">
            <w:pPr>
              <w:spacing w:before="60" w:after="60"/>
              <w:jc w:val="center"/>
              <w:rPr>
                <w:bCs w:val="0"/>
                <w:color w:val="000000"/>
                <w:sz w:val="18"/>
                <w:szCs w:val="18"/>
                <w:lang w:eastAsia="fr-FR"/>
              </w:rPr>
            </w:pPr>
            <w:r w:rsidRPr="00EB66E0">
              <w:rPr>
                <w:bCs w:val="0"/>
                <w:color w:val="000000"/>
                <w:sz w:val="18"/>
                <w:szCs w:val="18"/>
                <w:lang w:eastAsia="fr-FR"/>
              </w:rPr>
              <w:t>R</w:t>
            </w:r>
          </w:p>
        </w:tc>
      </w:tr>
      <w:tr w:rsidR="00A079F7" w:rsidRPr="005159F3" w:rsidTr="00E514F4">
        <w:trPr>
          <w:trHeight w:val="338"/>
        </w:trPr>
        <w:tc>
          <w:tcPr>
            <w:tcW w:w="0" w:type="auto"/>
            <w:vMerge/>
            <w:vAlign w:val="center"/>
            <w:hideMark/>
          </w:tcPr>
          <w:p w:rsidR="00A079F7" w:rsidRPr="00EB66E0" w:rsidRDefault="00A079F7" w:rsidP="00E514F4">
            <w:pPr>
              <w:spacing w:before="60" w:after="60"/>
              <w:jc w:val="left"/>
              <w:rPr>
                <w:b/>
                <w:sz w:val="18"/>
                <w:szCs w:val="18"/>
                <w:lang w:eastAsia="fr-FR"/>
              </w:rPr>
            </w:pPr>
          </w:p>
        </w:tc>
        <w:tc>
          <w:tcPr>
            <w:tcW w:w="0" w:type="auto"/>
            <w:shd w:val="clear" w:color="000000" w:fill="B8CCE4"/>
            <w:vAlign w:val="center"/>
            <w:hideMark/>
          </w:tcPr>
          <w:p w:rsidR="00A079F7" w:rsidRPr="00EB66E0" w:rsidRDefault="00A079F7" w:rsidP="00E514F4">
            <w:pPr>
              <w:spacing w:before="60" w:after="60"/>
              <w:jc w:val="left"/>
              <w:rPr>
                <w:bCs w:val="0"/>
                <w:color w:val="000000"/>
                <w:sz w:val="18"/>
                <w:szCs w:val="18"/>
                <w:lang w:eastAsia="fr-FR"/>
              </w:rPr>
            </w:pPr>
            <w:r w:rsidRPr="00EB66E0">
              <w:rPr>
                <w:bCs w:val="0"/>
                <w:color w:val="000000"/>
                <w:sz w:val="18"/>
                <w:szCs w:val="18"/>
                <w:lang w:eastAsia="fr-FR"/>
              </w:rPr>
              <w:t>Participation à l’effort de reconstruction nationale</w:t>
            </w:r>
          </w:p>
        </w:tc>
        <w:tc>
          <w:tcPr>
            <w:tcW w:w="0" w:type="auto"/>
            <w:shd w:val="clear" w:color="000000" w:fill="B8CCE4"/>
            <w:noWrap/>
            <w:vAlign w:val="center"/>
            <w:hideMark/>
          </w:tcPr>
          <w:p w:rsidR="00A079F7" w:rsidRPr="00EB66E0" w:rsidRDefault="00A079F7" w:rsidP="00E514F4">
            <w:pPr>
              <w:spacing w:before="60" w:after="60"/>
              <w:jc w:val="center"/>
              <w:rPr>
                <w:rFonts w:ascii="Wingdings" w:hAnsi="Wingdings" w:cs="Times New Roman"/>
                <w:bCs w:val="0"/>
                <w:color w:val="000000"/>
                <w:sz w:val="22"/>
                <w:lang w:eastAsia="fr-FR"/>
              </w:rPr>
            </w:pPr>
            <w:r w:rsidRPr="00EB66E0">
              <w:rPr>
                <w:rFonts w:ascii="Wingdings" w:hAnsi="Wingdings" w:cs="Times New Roman"/>
                <w:bCs w:val="0"/>
                <w:color w:val="000000"/>
                <w:sz w:val="22"/>
                <w:lang w:eastAsia="fr-FR"/>
              </w:rPr>
              <w:t></w:t>
            </w:r>
          </w:p>
        </w:tc>
        <w:tc>
          <w:tcPr>
            <w:tcW w:w="0" w:type="auto"/>
            <w:shd w:val="clear" w:color="000000" w:fill="B8CCE4"/>
            <w:vAlign w:val="center"/>
            <w:hideMark/>
          </w:tcPr>
          <w:p w:rsidR="00A079F7" w:rsidRPr="00EB66E0" w:rsidRDefault="00A079F7" w:rsidP="00E514F4">
            <w:pPr>
              <w:spacing w:before="60" w:after="60"/>
              <w:jc w:val="center"/>
              <w:rPr>
                <w:bCs w:val="0"/>
                <w:color w:val="000000"/>
                <w:sz w:val="22"/>
                <w:lang w:eastAsia="fr-FR"/>
              </w:rPr>
            </w:pPr>
          </w:p>
        </w:tc>
        <w:tc>
          <w:tcPr>
            <w:tcW w:w="0" w:type="auto"/>
            <w:tcBorders>
              <w:right w:val="single" w:sz="4" w:space="0" w:color="4F81BD" w:themeColor="accent1"/>
            </w:tcBorders>
            <w:shd w:val="clear" w:color="000000" w:fill="B8CCE4"/>
            <w:vAlign w:val="center"/>
            <w:hideMark/>
          </w:tcPr>
          <w:p w:rsidR="00A079F7" w:rsidRPr="00EB66E0" w:rsidRDefault="00A079F7" w:rsidP="00E514F4">
            <w:pPr>
              <w:spacing w:before="60" w:after="60"/>
              <w:jc w:val="center"/>
              <w:rPr>
                <w:bCs w:val="0"/>
                <w:color w:val="000000"/>
                <w:sz w:val="18"/>
                <w:szCs w:val="18"/>
                <w:lang w:eastAsia="fr-FR"/>
              </w:rPr>
            </w:pPr>
            <w:r w:rsidRPr="00EB66E0">
              <w:rPr>
                <w:bCs w:val="0"/>
                <w:color w:val="000000"/>
                <w:sz w:val="18"/>
                <w:szCs w:val="18"/>
                <w:lang w:eastAsia="fr-FR"/>
              </w:rPr>
              <w:t>R</w:t>
            </w:r>
          </w:p>
        </w:tc>
      </w:tr>
      <w:tr w:rsidR="00A079F7" w:rsidRPr="005159F3" w:rsidTr="00E514F4">
        <w:trPr>
          <w:trHeight w:val="273"/>
        </w:trPr>
        <w:tc>
          <w:tcPr>
            <w:tcW w:w="0" w:type="auto"/>
            <w:vMerge/>
            <w:vAlign w:val="center"/>
            <w:hideMark/>
          </w:tcPr>
          <w:p w:rsidR="00A079F7" w:rsidRPr="00EB66E0" w:rsidRDefault="00A079F7" w:rsidP="00E514F4">
            <w:pPr>
              <w:spacing w:before="60" w:after="60"/>
              <w:jc w:val="left"/>
              <w:rPr>
                <w:b/>
                <w:sz w:val="18"/>
                <w:szCs w:val="18"/>
                <w:lang w:eastAsia="fr-FR"/>
              </w:rPr>
            </w:pPr>
          </w:p>
        </w:tc>
        <w:tc>
          <w:tcPr>
            <w:tcW w:w="0" w:type="auto"/>
            <w:shd w:val="clear" w:color="auto" w:fill="auto"/>
            <w:vAlign w:val="center"/>
            <w:hideMark/>
          </w:tcPr>
          <w:p w:rsidR="00A079F7" w:rsidRPr="00EB66E0" w:rsidRDefault="00A079F7" w:rsidP="00E514F4">
            <w:pPr>
              <w:spacing w:before="60" w:after="60"/>
              <w:jc w:val="left"/>
              <w:rPr>
                <w:bCs w:val="0"/>
                <w:color w:val="000000"/>
                <w:sz w:val="18"/>
                <w:szCs w:val="18"/>
                <w:lang w:eastAsia="fr-FR"/>
              </w:rPr>
            </w:pPr>
            <w:r w:rsidRPr="00EB66E0">
              <w:rPr>
                <w:bCs w:val="0"/>
                <w:color w:val="000000"/>
                <w:sz w:val="18"/>
                <w:szCs w:val="18"/>
                <w:lang w:eastAsia="fr-FR"/>
              </w:rPr>
              <w:t>Contribution à l'effort pour l'exploration de la Cuvette Centrale</w:t>
            </w:r>
          </w:p>
        </w:tc>
        <w:tc>
          <w:tcPr>
            <w:tcW w:w="0" w:type="auto"/>
            <w:shd w:val="clear" w:color="auto" w:fill="auto"/>
            <w:noWrap/>
            <w:vAlign w:val="center"/>
            <w:hideMark/>
          </w:tcPr>
          <w:p w:rsidR="00A079F7" w:rsidRPr="00EB66E0" w:rsidRDefault="00A079F7" w:rsidP="00E514F4">
            <w:pPr>
              <w:spacing w:before="60" w:after="60"/>
              <w:jc w:val="center"/>
              <w:rPr>
                <w:rFonts w:ascii="Wingdings" w:hAnsi="Wingdings" w:cs="Times New Roman"/>
                <w:bCs w:val="0"/>
                <w:color w:val="000000"/>
                <w:sz w:val="22"/>
                <w:lang w:eastAsia="fr-FR"/>
              </w:rPr>
            </w:pPr>
            <w:r w:rsidRPr="00EB66E0">
              <w:rPr>
                <w:rFonts w:ascii="Wingdings" w:hAnsi="Wingdings" w:cs="Times New Roman"/>
                <w:bCs w:val="0"/>
                <w:color w:val="000000"/>
                <w:sz w:val="22"/>
                <w:lang w:eastAsia="fr-FR"/>
              </w:rPr>
              <w:t></w:t>
            </w:r>
          </w:p>
        </w:tc>
        <w:tc>
          <w:tcPr>
            <w:tcW w:w="0" w:type="auto"/>
            <w:shd w:val="clear" w:color="auto" w:fill="auto"/>
            <w:vAlign w:val="bottom"/>
          </w:tcPr>
          <w:p w:rsidR="00A079F7" w:rsidRPr="00EB66E0" w:rsidRDefault="00A079F7" w:rsidP="00E514F4">
            <w:pPr>
              <w:spacing w:before="60" w:after="60"/>
              <w:jc w:val="center"/>
              <w:rPr>
                <w:rFonts w:ascii="Wingdings" w:hAnsi="Wingdings" w:cs="Times New Roman"/>
                <w:bCs w:val="0"/>
                <w:color w:val="000000"/>
                <w:sz w:val="22"/>
                <w:lang w:eastAsia="fr-FR"/>
              </w:rPr>
            </w:pPr>
          </w:p>
        </w:tc>
        <w:tc>
          <w:tcPr>
            <w:tcW w:w="0" w:type="auto"/>
            <w:tcBorders>
              <w:right w:val="single" w:sz="4" w:space="0" w:color="4F81BD" w:themeColor="accent1"/>
            </w:tcBorders>
            <w:shd w:val="clear" w:color="auto" w:fill="auto"/>
            <w:vAlign w:val="center"/>
            <w:hideMark/>
          </w:tcPr>
          <w:p w:rsidR="00A079F7" w:rsidRPr="00EB66E0" w:rsidRDefault="00A079F7" w:rsidP="00E514F4">
            <w:pPr>
              <w:spacing w:before="60" w:after="60"/>
              <w:jc w:val="center"/>
              <w:rPr>
                <w:bCs w:val="0"/>
                <w:color w:val="000000"/>
                <w:sz w:val="18"/>
                <w:szCs w:val="18"/>
                <w:lang w:eastAsia="fr-FR"/>
              </w:rPr>
            </w:pPr>
            <w:r w:rsidRPr="00EB66E0">
              <w:rPr>
                <w:bCs w:val="0"/>
                <w:color w:val="000000"/>
                <w:sz w:val="18"/>
                <w:szCs w:val="18"/>
                <w:lang w:eastAsia="fr-FR"/>
              </w:rPr>
              <w:t>R</w:t>
            </w:r>
          </w:p>
        </w:tc>
      </w:tr>
      <w:tr w:rsidR="00A079F7" w:rsidRPr="005159F3" w:rsidTr="00E514F4">
        <w:trPr>
          <w:trHeight w:val="300"/>
        </w:trPr>
        <w:tc>
          <w:tcPr>
            <w:tcW w:w="0" w:type="auto"/>
            <w:vMerge/>
            <w:tcBorders>
              <w:bottom w:val="single" w:sz="12" w:space="0" w:color="17365D" w:themeColor="text2" w:themeShade="BF"/>
            </w:tcBorders>
            <w:vAlign w:val="center"/>
            <w:hideMark/>
          </w:tcPr>
          <w:p w:rsidR="00A079F7" w:rsidRPr="00EB66E0" w:rsidRDefault="00A079F7" w:rsidP="00E514F4">
            <w:pPr>
              <w:spacing w:before="60" w:after="60"/>
              <w:jc w:val="left"/>
              <w:rPr>
                <w:b/>
                <w:sz w:val="18"/>
                <w:szCs w:val="18"/>
                <w:lang w:eastAsia="fr-FR"/>
              </w:rPr>
            </w:pPr>
          </w:p>
        </w:tc>
        <w:tc>
          <w:tcPr>
            <w:tcW w:w="0" w:type="auto"/>
            <w:tcBorders>
              <w:bottom w:val="single" w:sz="12" w:space="0" w:color="17365D" w:themeColor="text2" w:themeShade="BF"/>
            </w:tcBorders>
            <w:shd w:val="clear" w:color="000000" w:fill="B8CCE4"/>
            <w:vAlign w:val="center"/>
            <w:hideMark/>
          </w:tcPr>
          <w:p w:rsidR="00A079F7" w:rsidRPr="00EB66E0" w:rsidRDefault="00A079F7" w:rsidP="00E514F4">
            <w:pPr>
              <w:spacing w:before="60" w:after="60"/>
              <w:jc w:val="left"/>
              <w:rPr>
                <w:bCs w:val="0"/>
                <w:color w:val="000000"/>
                <w:sz w:val="18"/>
                <w:szCs w:val="18"/>
                <w:lang w:eastAsia="fr-FR"/>
              </w:rPr>
            </w:pPr>
            <w:r w:rsidRPr="00EB66E0">
              <w:rPr>
                <w:bCs w:val="0"/>
                <w:color w:val="000000"/>
                <w:sz w:val="18"/>
                <w:szCs w:val="18"/>
                <w:lang w:eastAsia="fr-FR"/>
              </w:rPr>
              <w:t>Frais de formation des cadres Congolais</w:t>
            </w:r>
          </w:p>
        </w:tc>
        <w:tc>
          <w:tcPr>
            <w:tcW w:w="0" w:type="auto"/>
            <w:tcBorders>
              <w:bottom w:val="single" w:sz="12" w:space="0" w:color="17365D" w:themeColor="text2" w:themeShade="BF"/>
            </w:tcBorders>
            <w:shd w:val="clear" w:color="000000" w:fill="B8CCE4"/>
            <w:vAlign w:val="center"/>
            <w:hideMark/>
          </w:tcPr>
          <w:p w:rsidR="00A079F7" w:rsidRPr="00EB66E0" w:rsidRDefault="00A079F7" w:rsidP="00E514F4">
            <w:pPr>
              <w:spacing w:before="60" w:after="60"/>
              <w:jc w:val="center"/>
              <w:rPr>
                <w:rFonts w:ascii="Wingdings" w:hAnsi="Wingdings" w:cs="Times New Roman"/>
                <w:bCs w:val="0"/>
                <w:color w:val="000000"/>
                <w:sz w:val="22"/>
                <w:lang w:eastAsia="fr-FR"/>
              </w:rPr>
            </w:pPr>
            <w:r w:rsidRPr="00EB66E0">
              <w:rPr>
                <w:rFonts w:ascii="Wingdings" w:hAnsi="Wingdings" w:cs="Times New Roman"/>
                <w:bCs w:val="0"/>
                <w:color w:val="000000"/>
                <w:sz w:val="22"/>
                <w:lang w:eastAsia="fr-FR"/>
              </w:rPr>
              <w:t></w:t>
            </w:r>
          </w:p>
        </w:tc>
        <w:tc>
          <w:tcPr>
            <w:tcW w:w="0" w:type="auto"/>
            <w:tcBorders>
              <w:bottom w:val="single" w:sz="12" w:space="0" w:color="17365D" w:themeColor="text2" w:themeShade="BF"/>
            </w:tcBorders>
            <w:shd w:val="clear" w:color="000000" w:fill="B8CCE4"/>
            <w:vAlign w:val="center"/>
            <w:hideMark/>
          </w:tcPr>
          <w:p w:rsidR="00A079F7" w:rsidRPr="00EB66E0" w:rsidRDefault="00A079F7" w:rsidP="00E514F4">
            <w:pPr>
              <w:spacing w:before="60" w:after="60"/>
              <w:jc w:val="center"/>
              <w:rPr>
                <w:bCs w:val="0"/>
                <w:color w:val="000000"/>
                <w:sz w:val="22"/>
                <w:lang w:eastAsia="fr-FR"/>
              </w:rPr>
            </w:pPr>
          </w:p>
        </w:tc>
        <w:tc>
          <w:tcPr>
            <w:tcW w:w="0" w:type="auto"/>
            <w:tcBorders>
              <w:bottom w:val="single" w:sz="12" w:space="0" w:color="17365D" w:themeColor="text2" w:themeShade="BF"/>
              <w:right w:val="single" w:sz="4" w:space="0" w:color="4F81BD" w:themeColor="accent1"/>
            </w:tcBorders>
            <w:shd w:val="clear" w:color="000000" w:fill="B8CCE4"/>
            <w:vAlign w:val="center"/>
            <w:hideMark/>
          </w:tcPr>
          <w:p w:rsidR="00A079F7" w:rsidRPr="00EB66E0" w:rsidRDefault="00A079F7" w:rsidP="00E514F4">
            <w:pPr>
              <w:spacing w:before="60" w:after="60"/>
              <w:jc w:val="center"/>
              <w:rPr>
                <w:bCs w:val="0"/>
                <w:color w:val="000000"/>
                <w:sz w:val="18"/>
                <w:szCs w:val="18"/>
                <w:lang w:eastAsia="fr-FR"/>
              </w:rPr>
            </w:pPr>
            <w:r w:rsidRPr="00EB66E0">
              <w:rPr>
                <w:bCs w:val="0"/>
                <w:color w:val="000000"/>
                <w:sz w:val="18"/>
                <w:szCs w:val="18"/>
                <w:lang w:eastAsia="fr-FR"/>
              </w:rPr>
              <w:t>R</w:t>
            </w:r>
          </w:p>
        </w:tc>
      </w:tr>
      <w:tr w:rsidR="00A079F7" w:rsidRPr="005159F3" w:rsidTr="00E514F4">
        <w:trPr>
          <w:trHeight w:val="799"/>
        </w:trPr>
        <w:tc>
          <w:tcPr>
            <w:tcW w:w="0" w:type="auto"/>
            <w:tcBorders>
              <w:top w:val="single" w:sz="12" w:space="0" w:color="17365D" w:themeColor="text2" w:themeShade="BF"/>
              <w:bottom w:val="single" w:sz="12" w:space="0" w:color="17365D" w:themeColor="text2" w:themeShade="BF"/>
            </w:tcBorders>
            <w:shd w:val="clear" w:color="000000" w:fill="FFFFFF"/>
            <w:textDirection w:val="btLr"/>
            <w:vAlign w:val="center"/>
            <w:hideMark/>
          </w:tcPr>
          <w:p w:rsidR="00A079F7" w:rsidRPr="004840E2" w:rsidRDefault="00A079F7" w:rsidP="00E514F4">
            <w:pPr>
              <w:spacing w:after="0"/>
              <w:jc w:val="center"/>
              <w:rPr>
                <w:b/>
                <w:sz w:val="18"/>
                <w:szCs w:val="18"/>
                <w:lang w:eastAsia="fr-FR"/>
              </w:rPr>
            </w:pPr>
            <w:r w:rsidRPr="004840E2">
              <w:rPr>
                <w:b/>
                <w:sz w:val="18"/>
                <w:szCs w:val="18"/>
                <w:lang w:eastAsia="fr-FR"/>
              </w:rPr>
              <w:t>MMEDD</w:t>
            </w:r>
          </w:p>
        </w:tc>
        <w:tc>
          <w:tcPr>
            <w:tcW w:w="0" w:type="auto"/>
            <w:tcBorders>
              <w:top w:val="single" w:sz="12" w:space="0" w:color="17365D" w:themeColor="text2" w:themeShade="BF"/>
              <w:bottom w:val="single" w:sz="12" w:space="0" w:color="17365D" w:themeColor="text2" w:themeShade="BF"/>
            </w:tcBorders>
            <w:shd w:val="clear" w:color="auto" w:fill="auto"/>
            <w:vAlign w:val="center"/>
            <w:hideMark/>
          </w:tcPr>
          <w:p w:rsidR="00A079F7" w:rsidRPr="004840E2" w:rsidRDefault="00A079F7" w:rsidP="00E514F4">
            <w:pPr>
              <w:spacing w:after="0"/>
              <w:jc w:val="left"/>
              <w:rPr>
                <w:bCs w:val="0"/>
                <w:color w:val="000000"/>
                <w:sz w:val="18"/>
                <w:szCs w:val="18"/>
                <w:lang w:eastAsia="fr-FR"/>
              </w:rPr>
            </w:pPr>
            <w:r w:rsidRPr="004840E2">
              <w:rPr>
                <w:bCs w:val="0"/>
                <w:color w:val="000000"/>
                <w:sz w:val="18"/>
                <w:szCs w:val="18"/>
                <w:lang w:eastAsia="fr-FR"/>
              </w:rPr>
              <w:t>Suivi de l’exécution du PAR, PGE et Audit Environnemental</w:t>
            </w:r>
          </w:p>
        </w:tc>
        <w:tc>
          <w:tcPr>
            <w:tcW w:w="0" w:type="auto"/>
            <w:tcBorders>
              <w:top w:val="single" w:sz="12" w:space="0" w:color="17365D" w:themeColor="text2" w:themeShade="BF"/>
              <w:bottom w:val="single" w:sz="12" w:space="0" w:color="17365D" w:themeColor="text2" w:themeShade="BF"/>
            </w:tcBorders>
            <w:shd w:val="clear" w:color="auto" w:fill="auto"/>
            <w:vAlign w:val="center"/>
            <w:hideMark/>
          </w:tcPr>
          <w:p w:rsidR="00A079F7" w:rsidRPr="004840E2" w:rsidRDefault="00A079F7" w:rsidP="00E514F4">
            <w:pPr>
              <w:spacing w:after="0"/>
              <w:jc w:val="center"/>
              <w:rPr>
                <w:rFonts w:ascii="Wingdings" w:hAnsi="Wingdings" w:cs="Times New Roman"/>
                <w:bCs w:val="0"/>
                <w:color w:val="000000"/>
                <w:sz w:val="22"/>
                <w:lang w:eastAsia="fr-FR"/>
              </w:rPr>
            </w:pPr>
            <w:r w:rsidRPr="004840E2">
              <w:rPr>
                <w:rFonts w:ascii="Wingdings" w:hAnsi="Wingdings" w:cs="Times New Roman"/>
                <w:bCs w:val="0"/>
                <w:color w:val="000000"/>
                <w:sz w:val="22"/>
                <w:lang w:eastAsia="fr-FR"/>
              </w:rPr>
              <w:t></w:t>
            </w:r>
          </w:p>
        </w:tc>
        <w:tc>
          <w:tcPr>
            <w:tcW w:w="0" w:type="auto"/>
            <w:tcBorders>
              <w:top w:val="single" w:sz="12" w:space="0" w:color="17365D" w:themeColor="text2" w:themeShade="BF"/>
              <w:bottom w:val="single" w:sz="12" w:space="0" w:color="17365D" w:themeColor="text2" w:themeShade="BF"/>
            </w:tcBorders>
            <w:shd w:val="clear" w:color="auto" w:fill="auto"/>
            <w:vAlign w:val="center"/>
            <w:hideMark/>
          </w:tcPr>
          <w:p w:rsidR="00A079F7" w:rsidRPr="004840E2" w:rsidRDefault="00A079F7" w:rsidP="00E514F4">
            <w:pPr>
              <w:spacing w:after="0"/>
              <w:jc w:val="center"/>
              <w:rPr>
                <w:rFonts w:ascii="Wingdings" w:hAnsi="Wingdings" w:cs="Times New Roman"/>
                <w:bCs w:val="0"/>
                <w:color w:val="000000"/>
                <w:sz w:val="22"/>
                <w:lang w:eastAsia="fr-FR"/>
              </w:rPr>
            </w:pPr>
          </w:p>
        </w:tc>
        <w:tc>
          <w:tcPr>
            <w:tcW w:w="0" w:type="auto"/>
            <w:tcBorders>
              <w:top w:val="single" w:sz="12" w:space="0" w:color="17365D" w:themeColor="text2" w:themeShade="BF"/>
              <w:bottom w:val="single" w:sz="12" w:space="0" w:color="17365D" w:themeColor="text2" w:themeShade="BF"/>
              <w:right w:val="single" w:sz="4" w:space="0" w:color="4F81BD" w:themeColor="accent1"/>
            </w:tcBorders>
            <w:shd w:val="clear" w:color="auto" w:fill="auto"/>
            <w:vAlign w:val="center"/>
            <w:hideMark/>
          </w:tcPr>
          <w:p w:rsidR="00A079F7" w:rsidRPr="004840E2" w:rsidRDefault="00A079F7" w:rsidP="00E514F4">
            <w:pPr>
              <w:spacing w:after="0"/>
              <w:jc w:val="center"/>
              <w:rPr>
                <w:bCs w:val="0"/>
                <w:color w:val="000000"/>
                <w:sz w:val="18"/>
                <w:szCs w:val="18"/>
                <w:lang w:eastAsia="fr-FR"/>
              </w:rPr>
            </w:pPr>
            <w:r>
              <w:rPr>
                <w:bCs w:val="0"/>
                <w:color w:val="000000"/>
                <w:sz w:val="18"/>
                <w:szCs w:val="18"/>
                <w:lang w:eastAsia="fr-FR"/>
              </w:rPr>
              <w:t>R</w:t>
            </w:r>
          </w:p>
        </w:tc>
      </w:tr>
      <w:tr w:rsidR="00A079F7" w:rsidRPr="005159F3" w:rsidTr="00E514F4">
        <w:trPr>
          <w:trHeight w:val="300"/>
        </w:trPr>
        <w:tc>
          <w:tcPr>
            <w:tcW w:w="0" w:type="auto"/>
            <w:tcBorders>
              <w:top w:val="single" w:sz="12" w:space="0" w:color="17365D" w:themeColor="text2" w:themeShade="BF"/>
              <w:bottom w:val="single" w:sz="12" w:space="0" w:color="17365D" w:themeColor="text2" w:themeShade="BF"/>
            </w:tcBorders>
            <w:shd w:val="clear" w:color="000000" w:fill="FFFFFF"/>
            <w:textDirection w:val="btLr"/>
            <w:vAlign w:val="center"/>
            <w:hideMark/>
          </w:tcPr>
          <w:p w:rsidR="00A079F7" w:rsidRPr="004840E2" w:rsidRDefault="00A079F7" w:rsidP="00E514F4">
            <w:pPr>
              <w:spacing w:before="60" w:after="60"/>
              <w:jc w:val="center"/>
              <w:rPr>
                <w:b/>
                <w:sz w:val="18"/>
                <w:szCs w:val="18"/>
                <w:lang w:eastAsia="fr-FR"/>
              </w:rPr>
            </w:pPr>
            <w:r w:rsidRPr="004840E2">
              <w:rPr>
                <w:b/>
                <w:sz w:val="18"/>
                <w:szCs w:val="18"/>
                <w:lang w:eastAsia="fr-FR"/>
              </w:rPr>
              <w:t> </w:t>
            </w:r>
          </w:p>
        </w:tc>
        <w:tc>
          <w:tcPr>
            <w:tcW w:w="0" w:type="auto"/>
            <w:tcBorders>
              <w:top w:val="single" w:sz="12" w:space="0" w:color="17365D" w:themeColor="text2" w:themeShade="BF"/>
              <w:bottom w:val="single" w:sz="12" w:space="0" w:color="17365D" w:themeColor="text2" w:themeShade="BF"/>
            </w:tcBorders>
            <w:shd w:val="clear" w:color="000000" w:fill="B8CCE4"/>
            <w:vAlign w:val="center"/>
            <w:hideMark/>
          </w:tcPr>
          <w:p w:rsidR="00A079F7" w:rsidRPr="004840E2" w:rsidRDefault="00A079F7" w:rsidP="00E514F4">
            <w:pPr>
              <w:spacing w:before="60" w:after="60"/>
              <w:jc w:val="left"/>
              <w:rPr>
                <w:bCs w:val="0"/>
                <w:color w:val="000000"/>
                <w:sz w:val="18"/>
                <w:szCs w:val="18"/>
                <w:lang w:eastAsia="fr-FR"/>
              </w:rPr>
            </w:pPr>
            <w:r w:rsidRPr="004840E2">
              <w:rPr>
                <w:bCs w:val="0"/>
                <w:color w:val="000000"/>
                <w:sz w:val="18"/>
                <w:szCs w:val="18"/>
                <w:lang w:eastAsia="fr-FR"/>
              </w:rPr>
              <w:t>Interventions Sociales (ii)</w:t>
            </w:r>
          </w:p>
        </w:tc>
        <w:tc>
          <w:tcPr>
            <w:tcW w:w="0" w:type="auto"/>
            <w:tcBorders>
              <w:top w:val="single" w:sz="12" w:space="0" w:color="17365D" w:themeColor="text2" w:themeShade="BF"/>
              <w:bottom w:val="single" w:sz="12" w:space="0" w:color="17365D" w:themeColor="text2" w:themeShade="BF"/>
            </w:tcBorders>
            <w:shd w:val="clear" w:color="000000" w:fill="B8CCE4"/>
            <w:vAlign w:val="center"/>
            <w:hideMark/>
          </w:tcPr>
          <w:p w:rsidR="00A079F7" w:rsidRPr="004840E2" w:rsidRDefault="00A079F7" w:rsidP="00E514F4">
            <w:pPr>
              <w:spacing w:before="60" w:after="60"/>
              <w:jc w:val="center"/>
              <w:rPr>
                <w:rFonts w:ascii="Wingdings" w:hAnsi="Wingdings" w:cs="Times New Roman"/>
                <w:bCs w:val="0"/>
                <w:color w:val="000000"/>
                <w:sz w:val="22"/>
                <w:lang w:eastAsia="fr-FR"/>
              </w:rPr>
            </w:pPr>
            <w:r w:rsidRPr="004840E2">
              <w:rPr>
                <w:rFonts w:ascii="Wingdings" w:hAnsi="Wingdings" w:cs="Times New Roman"/>
                <w:bCs w:val="0"/>
                <w:color w:val="000000"/>
                <w:sz w:val="22"/>
                <w:lang w:eastAsia="fr-FR"/>
              </w:rPr>
              <w:t></w:t>
            </w:r>
          </w:p>
        </w:tc>
        <w:tc>
          <w:tcPr>
            <w:tcW w:w="0" w:type="auto"/>
            <w:tcBorders>
              <w:top w:val="single" w:sz="12" w:space="0" w:color="17365D" w:themeColor="text2" w:themeShade="BF"/>
              <w:bottom w:val="single" w:sz="12" w:space="0" w:color="17365D" w:themeColor="text2" w:themeShade="BF"/>
            </w:tcBorders>
            <w:shd w:val="clear" w:color="000000" w:fill="B8CCE4"/>
            <w:vAlign w:val="center"/>
            <w:hideMark/>
          </w:tcPr>
          <w:p w:rsidR="00A079F7" w:rsidRPr="004840E2" w:rsidRDefault="00A079F7" w:rsidP="00E514F4">
            <w:pPr>
              <w:spacing w:before="60" w:after="60"/>
              <w:jc w:val="center"/>
              <w:rPr>
                <w:rFonts w:ascii="Wingdings" w:hAnsi="Wingdings" w:cs="Times New Roman"/>
                <w:bCs w:val="0"/>
                <w:color w:val="000000"/>
                <w:sz w:val="22"/>
                <w:lang w:eastAsia="fr-FR"/>
              </w:rPr>
            </w:pPr>
            <w:r w:rsidRPr="004840E2">
              <w:rPr>
                <w:rFonts w:ascii="Wingdings" w:hAnsi="Wingdings" w:cs="Times New Roman"/>
                <w:bCs w:val="0"/>
                <w:color w:val="000000"/>
                <w:sz w:val="22"/>
                <w:lang w:eastAsia="fr-FR"/>
              </w:rPr>
              <w:t></w:t>
            </w:r>
          </w:p>
        </w:tc>
        <w:tc>
          <w:tcPr>
            <w:tcW w:w="0" w:type="auto"/>
            <w:tcBorders>
              <w:top w:val="single" w:sz="12" w:space="0" w:color="17365D" w:themeColor="text2" w:themeShade="BF"/>
              <w:bottom w:val="single" w:sz="12" w:space="0" w:color="17365D" w:themeColor="text2" w:themeShade="BF"/>
              <w:right w:val="single" w:sz="4" w:space="0" w:color="4F81BD" w:themeColor="accent1"/>
            </w:tcBorders>
            <w:shd w:val="clear" w:color="000000" w:fill="B8CCE4"/>
            <w:vAlign w:val="center"/>
            <w:hideMark/>
          </w:tcPr>
          <w:p w:rsidR="00A079F7" w:rsidRPr="004840E2" w:rsidRDefault="00A079F7" w:rsidP="00E514F4">
            <w:pPr>
              <w:spacing w:before="60" w:after="60"/>
              <w:jc w:val="center"/>
              <w:rPr>
                <w:bCs w:val="0"/>
                <w:color w:val="000000"/>
                <w:sz w:val="18"/>
                <w:szCs w:val="18"/>
                <w:lang w:eastAsia="fr-FR"/>
              </w:rPr>
            </w:pPr>
            <w:r w:rsidRPr="004840E2">
              <w:rPr>
                <w:bCs w:val="0"/>
                <w:color w:val="000000"/>
                <w:sz w:val="18"/>
                <w:szCs w:val="18"/>
                <w:lang w:eastAsia="fr-FR"/>
              </w:rPr>
              <w:t>U</w:t>
            </w:r>
          </w:p>
        </w:tc>
      </w:tr>
      <w:tr w:rsidR="00A079F7" w:rsidRPr="001F60A5" w:rsidTr="00E514F4">
        <w:trPr>
          <w:trHeight w:val="300"/>
        </w:trPr>
        <w:tc>
          <w:tcPr>
            <w:tcW w:w="0" w:type="auto"/>
            <w:tcBorders>
              <w:top w:val="single" w:sz="12" w:space="0" w:color="17365D" w:themeColor="text2" w:themeShade="BF"/>
              <w:bottom w:val="single" w:sz="12" w:space="0" w:color="17365D" w:themeColor="text2" w:themeShade="BF"/>
            </w:tcBorders>
            <w:shd w:val="clear" w:color="000000" w:fill="FFFFFF"/>
            <w:textDirection w:val="btLr"/>
            <w:vAlign w:val="center"/>
            <w:hideMark/>
          </w:tcPr>
          <w:p w:rsidR="00A079F7" w:rsidRPr="004840E2" w:rsidRDefault="00A079F7" w:rsidP="00E514F4">
            <w:pPr>
              <w:spacing w:before="60" w:after="60"/>
              <w:jc w:val="center"/>
              <w:rPr>
                <w:b/>
                <w:sz w:val="18"/>
                <w:szCs w:val="18"/>
                <w:lang w:eastAsia="fr-FR"/>
              </w:rPr>
            </w:pPr>
            <w:r w:rsidRPr="004840E2">
              <w:rPr>
                <w:b/>
                <w:sz w:val="18"/>
                <w:szCs w:val="18"/>
                <w:lang w:eastAsia="fr-FR"/>
              </w:rPr>
              <w:t> </w:t>
            </w:r>
          </w:p>
        </w:tc>
        <w:tc>
          <w:tcPr>
            <w:tcW w:w="0" w:type="auto"/>
            <w:tcBorders>
              <w:top w:val="single" w:sz="12" w:space="0" w:color="17365D" w:themeColor="text2" w:themeShade="BF"/>
              <w:bottom w:val="single" w:sz="12" w:space="0" w:color="17365D" w:themeColor="text2" w:themeShade="BF"/>
            </w:tcBorders>
            <w:shd w:val="clear" w:color="auto" w:fill="auto"/>
            <w:vAlign w:val="center"/>
            <w:hideMark/>
          </w:tcPr>
          <w:p w:rsidR="00A079F7" w:rsidRPr="004840E2" w:rsidRDefault="00A079F7" w:rsidP="00E514F4">
            <w:pPr>
              <w:spacing w:before="60" w:after="60"/>
              <w:jc w:val="left"/>
              <w:rPr>
                <w:bCs w:val="0"/>
                <w:color w:val="000000"/>
                <w:sz w:val="18"/>
                <w:szCs w:val="18"/>
                <w:lang w:eastAsia="fr-FR"/>
              </w:rPr>
            </w:pPr>
            <w:r w:rsidRPr="004840E2">
              <w:rPr>
                <w:bCs w:val="0"/>
                <w:color w:val="000000"/>
                <w:sz w:val="18"/>
                <w:szCs w:val="18"/>
                <w:lang w:eastAsia="fr-FR"/>
              </w:rPr>
              <w:t>Autres Paiements/Revenus significatifs</w:t>
            </w:r>
          </w:p>
        </w:tc>
        <w:tc>
          <w:tcPr>
            <w:tcW w:w="0" w:type="auto"/>
            <w:tcBorders>
              <w:top w:val="single" w:sz="12" w:space="0" w:color="17365D" w:themeColor="text2" w:themeShade="BF"/>
              <w:bottom w:val="single" w:sz="12" w:space="0" w:color="17365D" w:themeColor="text2" w:themeShade="BF"/>
            </w:tcBorders>
            <w:shd w:val="clear" w:color="auto" w:fill="auto"/>
            <w:vAlign w:val="center"/>
            <w:hideMark/>
          </w:tcPr>
          <w:p w:rsidR="00A079F7" w:rsidRPr="004840E2" w:rsidRDefault="00A079F7" w:rsidP="00E514F4">
            <w:pPr>
              <w:spacing w:before="60" w:after="60"/>
              <w:jc w:val="center"/>
              <w:rPr>
                <w:rFonts w:ascii="Wingdings" w:hAnsi="Wingdings" w:cs="Times New Roman"/>
                <w:bCs w:val="0"/>
                <w:color w:val="000000"/>
                <w:sz w:val="22"/>
                <w:lang w:eastAsia="fr-FR"/>
              </w:rPr>
            </w:pPr>
            <w:r w:rsidRPr="004840E2">
              <w:rPr>
                <w:rFonts w:ascii="Wingdings" w:hAnsi="Wingdings" w:cs="Times New Roman"/>
                <w:bCs w:val="0"/>
                <w:color w:val="000000"/>
                <w:sz w:val="22"/>
                <w:lang w:eastAsia="fr-FR"/>
              </w:rPr>
              <w:t></w:t>
            </w:r>
          </w:p>
        </w:tc>
        <w:tc>
          <w:tcPr>
            <w:tcW w:w="0" w:type="auto"/>
            <w:tcBorders>
              <w:top w:val="single" w:sz="12" w:space="0" w:color="17365D" w:themeColor="text2" w:themeShade="BF"/>
              <w:bottom w:val="single" w:sz="12" w:space="0" w:color="17365D" w:themeColor="text2" w:themeShade="BF"/>
            </w:tcBorders>
            <w:shd w:val="clear" w:color="auto" w:fill="auto"/>
            <w:vAlign w:val="center"/>
            <w:hideMark/>
          </w:tcPr>
          <w:p w:rsidR="00A079F7" w:rsidRPr="004840E2" w:rsidRDefault="00A079F7" w:rsidP="00E514F4">
            <w:pPr>
              <w:spacing w:before="60" w:after="60"/>
              <w:jc w:val="center"/>
              <w:rPr>
                <w:rFonts w:ascii="Wingdings" w:hAnsi="Wingdings" w:cs="Times New Roman"/>
                <w:bCs w:val="0"/>
                <w:color w:val="000000"/>
                <w:sz w:val="22"/>
                <w:lang w:eastAsia="fr-FR"/>
              </w:rPr>
            </w:pPr>
            <w:r w:rsidRPr="004840E2">
              <w:rPr>
                <w:rFonts w:ascii="Wingdings" w:hAnsi="Wingdings" w:cs="Times New Roman"/>
                <w:bCs w:val="0"/>
                <w:color w:val="000000"/>
                <w:sz w:val="22"/>
                <w:lang w:eastAsia="fr-FR"/>
              </w:rPr>
              <w:t></w:t>
            </w:r>
          </w:p>
        </w:tc>
        <w:tc>
          <w:tcPr>
            <w:tcW w:w="0" w:type="auto"/>
            <w:tcBorders>
              <w:top w:val="single" w:sz="12" w:space="0" w:color="17365D" w:themeColor="text2" w:themeShade="BF"/>
              <w:bottom w:val="single" w:sz="12" w:space="0" w:color="17365D" w:themeColor="text2" w:themeShade="BF"/>
              <w:right w:val="single" w:sz="4" w:space="0" w:color="4F81BD" w:themeColor="accent1"/>
            </w:tcBorders>
            <w:shd w:val="clear" w:color="auto" w:fill="auto"/>
            <w:vAlign w:val="center"/>
            <w:hideMark/>
          </w:tcPr>
          <w:p w:rsidR="00A079F7" w:rsidRPr="001F60A5" w:rsidRDefault="00A079F7" w:rsidP="00E514F4">
            <w:pPr>
              <w:spacing w:before="60" w:after="60"/>
              <w:jc w:val="center"/>
              <w:rPr>
                <w:bCs w:val="0"/>
                <w:color w:val="000000"/>
                <w:sz w:val="18"/>
                <w:szCs w:val="18"/>
                <w:lang w:eastAsia="fr-FR"/>
              </w:rPr>
            </w:pPr>
          </w:p>
        </w:tc>
      </w:tr>
    </w:tbl>
    <w:p w:rsidR="00A079F7" w:rsidRPr="005D5666" w:rsidRDefault="00A079F7" w:rsidP="007B0F6C">
      <w:pPr>
        <w:pStyle w:val="Heading3"/>
        <w:numPr>
          <w:ilvl w:val="0"/>
          <w:numId w:val="33"/>
        </w:numPr>
        <w:tabs>
          <w:tab w:val="left" w:pos="800"/>
        </w:tabs>
        <w:spacing w:before="120" w:after="0"/>
        <w:rPr>
          <w:bCs w:val="0"/>
          <w:i w:val="0"/>
          <w:color w:val="000000"/>
          <w:sz w:val="18"/>
          <w:szCs w:val="18"/>
          <w:lang w:eastAsia="fr-FR"/>
        </w:rPr>
      </w:pPr>
      <w:r w:rsidRPr="005D5666">
        <w:rPr>
          <w:bCs w:val="0"/>
          <w:i w:val="0"/>
          <w:color w:val="000000"/>
          <w:sz w:val="18"/>
          <w:szCs w:val="18"/>
          <w:lang w:eastAsia="fr-FR"/>
        </w:rPr>
        <w:t>R: Déclaration Réciproques/U: Déclaration Unilatérale</w:t>
      </w:r>
      <w:r>
        <w:rPr>
          <w:bCs w:val="0"/>
          <w:i w:val="0"/>
          <w:color w:val="000000"/>
          <w:sz w:val="18"/>
          <w:szCs w:val="18"/>
          <w:lang w:eastAsia="fr-FR"/>
        </w:rPr>
        <w:t>.</w:t>
      </w:r>
    </w:p>
    <w:p w:rsidR="00A079F7" w:rsidRDefault="00A079F7" w:rsidP="007B0F6C">
      <w:pPr>
        <w:pStyle w:val="Heading3"/>
        <w:numPr>
          <w:ilvl w:val="0"/>
          <w:numId w:val="33"/>
        </w:numPr>
        <w:tabs>
          <w:tab w:val="left" w:pos="800"/>
        </w:tabs>
        <w:spacing w:after="0"/>
        <w:ind w:left="1077"/>
        <w:rPr>
          <w:bCs w:val="0"/>
          <w:i w:val="0"/>
          <w:color w:val="000000"/>
          <w:sz w:val="18"/>
          <w:szCs w:val="18"/>
          <w:lang w:eastAsia="fr-FR"/>
        </w:rPr>
      </w:pPr>
      <w:r w:rsidRPr="005D5666">
        <w:rPr>
          <w:bCs w:val="0"/>
          <w:i w:val="0"/>
          <w:color w:val="000000"/>
          <w:sz w:val="18"/>
          <w:szCs w:val="18"/>
          <w:lang w:eastAsia="fr-FR"/>
        </w:rPr>
        <w:t>Ce Flux sera déclaré unilatéralement par les Sociétés Extractives</w:t>
      </w:r>
      <w:r>
        <w:rPr>
          <w:bCs w:val="0"/>
          <w:i w:val="0"/>
          <w:color w:val="000000"/>
          <w:sz w:val="18"/>
          <w:szCs w:val="18"/>
          <w:lang w:eastAsia="fr-FR"/>
        </w:rPr>
        <w:t>.</w:t>
      </w:r>
    </w:p>
    <w:p w:rsidR="00A079F7" w:rsidRDefault="00A079F7" w:rsidP="007B0F6C">
      <w:pPr>
        <w:pStyle w:val="Heading3"/>
        <w:numPr>
          <w:ilvl w:val="0"/>
          <w:numId w:val="33"/>
        </w:numPr>
        <w:tabs>
          <w:tab w:val="left" w:pos="800"/>
        </w:tabs>
        <w:spacing w:after="0"/>
        <w:ind w:left="1077"/>
        <w:rPr>
          <w:bCs w:val="0"/>
          <w:i w:val="0"/>
          <w:color w:val="000000"/>
          <w:sz w:val="18"/>
          <w:szCs w:val="18"/>
          <w:lang w:eastAsia="fr-FR"/>
        </w:rPr>
      </w:pPr>
      <w:r w:rsidRPr="00652645">
        <w:rPr>
          <w:bCs w:val="0"/>
          <w:i w:val="0"/>
          <w:color w:val="000000"/>
          <w:sz w:val="18"/>
          <w:szCs w:val="18"/>
          <w:lang w:eastAsia="fr-FR"/>
        </w:rPr>
        <w:t>Nouveau flux identifié parmi les autres flux de paiements significatifs en 201</w:t>
      </w:r>
      <w:r>
        <w:rPr>
          <w:bCs w:val="0"/>
          <w:i w:val="0"/>
          <w:color w:val="000000"/>
          <w:sz w:val="18"/>
          <w:szCs w:val="18"/>
          <w:lang w:eastAsia="fr-FR"/>
        </w:rPr>
        <w:t>3.</w:t>
      </w:r>
    </w:p>
    <w:p w:rsidR="00A079F7" w:rsidRPr="00065EA4" w:rsidRDefault="00A079F7" w:rsidP="007B0F6C">
      <w:pPr>
        <w:pStyle w:val="Heading3"/>
        <w:numPr>
          <w:ilvl w:val="0"/>
          <w:numId w:val="33"/>
        </w:numPr>
        <w:tabs>
          <w:tab w:val="left" w:pos="800"/>
        </w:tabs>
        <w:spacing w:after="0"/>
        <w:ind w:left="1077"/>
        <w:rPr>
          <w:bCs w:val="0"/>
          <w:i w:val="0"/>
          <w:color w:val="000000"/>
          <w:sz w:val="18"/>
          <w:szCs w:val="18"/>
          <w:lang w:eastAsia="fr-FR"/>
        </w:rPr>
      </w:pPr>
      <w:r w:rsidRPr="00065EA4">
        <w:rPr>
          <w:bCs w:val="0"/>
          <w:i w:val="0"/>
          <w:color w:val="000000"/>
          <w:sz w:val="18"/>
          <w:szCs w:val="18"/>
          <w:lang w:eastAsia="fr-FR"/>
        </w:rPr>
        <w:t>Nouveau flux identifié dans les déclarations des entités publiques en 201</w:t>
      </w:r>
      <w:r>
        <w:rPr>
          <w:bCs w:val="0"/>
          <w:i w:val="0"/>
          <w:color w:val="000000"/>
          <w:sz w:val="18"/>
          <w:szCs w:val="18"/>
          <w:lang w:eastAsia="fr-FR"/>
        </w:rPr>
        <w:t>4.</w:t>
      </w:r>
    </w:p>
    <w:p w:rsidR="00FA660B" w:rsidRDefault="00FA660B" w:rsidP="00A079F7">
      <w:pPr>
        <w:ind w:left="357"/>
      </w:pPr>
    </w:p>
    <w:p w:rsidR="00A079F7" w:rsidRDefault="00A079F7" w:rsidP="00A079F7">
      <w:pPr>
        <w:ind w:left="357"/>
        <w:rPr>
          <w:lang w:eastAsia="fr-FR"/>
        </w:rPr>
      </w:pPr>
      <w:r>
        <w:br w:type="page"/>
      </w:r>
    </w:p>
    <w:p w:rsidR="00A079F7" w:rsidRPr="001F60A5" w:rsidRDefault="007E1277" w:rsidP="00A079F7">
      <w:pPr>
        <w:pStyle w:val="Heading2"/>
        <w:numPr>
          <w:ilvl w:val="1"/>
          <w:numId w:val="2"/>
        </w:numPr>
        <w:shd w:val="clear" w:color="auto" w:fill="BFBFBF"/>
        <w:spacing w:before="240"/>
        <w:ind w:hanging="720"/>
        <w:rPr>
          <w:sz w:val="24"/>
          <w:szCs w:val="24"/>
        </w:rPr>
      </w:pPr>
      <w:bookmarkStart w:id="35" w:name="_Toc373673708"/>
      <w:bookmarkStart w:id="36" w:name="_Toc429359781"/>
      <w:bookmarkStart w:id="37" w:name="_Toc451431102"/>
      <w:r>
        <w:rPr>
          <w:sz w:val="24"/>
          <w:szCs w:val="24"/>
        </w:rPr>
        <w:lastRenderedPageBreak/>
        <w:t>Périmètre</w:t>
      </w:r>
      <w:r w:rsidRPr="001F60A5">
        <w:rPr>
          <w:sz w:val="24"/>
          <w:szCs w:val="24"/>
        </w:rPr>
        <w:t xml:space="preserve"> </w:t>
      </w:r>
      <w:r w:rsidR="00A079F7">
        <w:rPr>
          <w:sz w:val="24"/>
          <w:szCs w:val="24"/>
        </w:rPr>
        <w:t>ITIE RDC 201</w:t>
      </w:r>
      <w:r>
        <w:rPr>
          <w:sz w:val="24"/>
          <w:szCs w:val="24"/>
        </w:rPr>
        <w:t>5</w:t>
      </w:r>
      <w:r w:rsidR="00A079F7" w:rsidRPr="001F60A5">
        <w:rPr>
          <w:sz w:val="24"/>
          <w:szCs w:val="24"/>
        </w:rPr>
        <w:t xml:space="preserve"> – Entreprises extractives</w:t>
      </w:r>
      <w:bookmarkEnd w:id="35"/>
      <w:bookmarkEnd w:id="36"/>
      <w:bookmarkEnd w:id="37"/>
    </w:p>
    <w:p w:rsidR="00A079F7" w:rsidRPr="001F60A5" w:rsidRDefault="00A079F7" w:rsidP="00A079F7">
      <w:pPr>
        <w:pStyle w:val="Heading3"/>
        <w:numPr>
          <w:ilvl w:val="2"/>
          <w:numId w:val="2"/>
        </w:numPr>
        <w:tabs>
          <w:tab w:val="left" w:pos="800"/>
        </w:tabs>
        <w:spacing w:before="120"/>
        <w:rPr>
          <w:b/>
          <w:bCs w:val="0"/>
          <w:i w:val="0"/>
          <w:iCs w:val="0"/>
          <w:color w:val="0070C0"/>
        </w:rPr>
      </w:pPr>
      <w:r w:rsidRPr="001F60A5">
        <w:rPr>
          <w:b/>
          <w:bCs w:val="0"/>
          <w:i w:val="0"/>
          <w:iCs w:val="0"/>
          <w:color w:val="0070C0"/>
        </w:rPr>
        <w:t xml:space="preserve"> Secteur des Hydrocarbures</w:t>
      </w:r>
    </w:p>
    <w:p w:rsidR="00A079F7" w:rsidRDefault="00A079F7" w:rsidP="00A079F7">
      <w:r w:rsidRPr="00D057BE">
        <w:t>Sur la base de notre examen d</w:t>
      </w:r>
      <w:r>
        <w:t>e</w:t>
      </w:r>
      <w:r w:rsidRPr="00D057BE">
        <w:t xml:space="preserve"> cadrage, les </w:t>
      </w:r>
      <w:r>
        <w:t>sociétés pétrolières</w:t>
      </w:r>
      <w:r w:rsidRPr="00D057BE">
        <w:t xml:space="preserve"> à retenir dans le périmètre de conciliation se présentent comme suit:</w:t>
      </w:r>
    </w:p>
    <w:tbl>
      <w:tblPr>
        <w:tblW w:w="6986" w:type="dxa"/>
        <w:jc w:val="center"/>
        <w:tblCellMar>
          <w:left w:w="70" w:type="dxa"/>
          <w:right w:w="70" w:type="dxa"/>
        </w:tblCellMar>
        <w:tblLook w:val="04A0" w:firstRow="1" w:lastRow="0" w:firstColumn="1" w:lastColumn="0" w:noHBand="0" w:noVBand="1"/>
      </w:tblPr>
      <w:tblGrid>
        <w:gridCol w:w="852"/>
        <w:gridCol w:w="4536"/>
        <w:gridCol w:w="1598"/>
      </w:tblGrid>
      <w:tr w:rsidR="00A079F7" w:rsidRPr="00A03FA3" w:rsidTr="00E514F4">
        <w:trPr>
          <w:trHeight w:val="300"/>
          <w:jc w:val="center"/>
        </w:trPr>
        <w:tc>
          <w:tcPr>
            <w:tcW w:w="852" w:type="dxa"/>
            <w:tcBorders>
              <w:top w:val="nil"/>
              <w:left w:val="nil"/>
              <w:bottom w:val="nil"/>
              <w:right w:val="nil"/>
            </w:tcBorders>
            <w:shd w:val="clear" w:color="000000" w:fill="244061"/>
            <w:vAlign w:val="center"/>
            <w:hideMark/>
          </w:tcPr>
          <w:p w:rsidR="00A079F7" w:rsidRPr="00A03FA3" w:rsidRDefault="00A079F7" w:rsidP="00E514F4">
            <w:pPr>
              <w:spacing w:after="0"/>
              <w:jc w:val="center"/>
              <w:rPr>
                <w:b/>
                <w:color w:val="FFFFFF"/>
                <w:sz w:val="16"/>
                <w:szCs w:val="16"/>
                <w:lang w:eastAsia="fr-FR"/>
              </w:rPr>
            </w:pPr>
            <w:r w:rsidRPr="00A03FA3">
              <w:rPr>
                <w:b/>
                <w:color w:val="FFFFFF"/>
                <w:sz w:val="16"/>
                <w:szCs w:val="16"/>
                <w:lang w:eastAsia="fr-FR"/>
              </w:rPr>
              <w:t>N°</w:t>
            </w:r>
          </w:p>
        </w:tc>
        <w:tc>
          <w:tcPr>
            <w:tcW w:w="4536" w:type="dxa"/>
            <w:tcBorders>
              <w:top w:val="nil"/>
              <w:left w:val="nil"/>
              <w:bottom w:val="nil"/>
              <w:right w:val="nil"/>
            </w:tcBorders>
            <w:shd w:val="clear" w:color="000000" w:fill="244061"/>
            <w:vAlign w:val="center"/>
            <w:hideMark/>
          </w:tcPr>
          <w:p w:rsidR="00A079F7" w:rsidRPr="00A03FA3" w:rsidRDefault="00A079F7" w:rsidP="00E514F4">
            <w:pPr>
              <w:spacing w:after="0"/>
              <w:jc w:val="left"/>
              <w:rPr>
                <w:b/>
                <w:color w:val="FFFFFF"/>
                <w:sz w:val="16"/>
                <w:szCs w:val="16"/>
                <w:lang w:eastAsia="fr-FR"/>
              </w:rPr>
            </w:pPr>
            <w:r w:rsidRPr="00A03FA3">
              <w:rPr>
                <w:b/>
                <w:color w:val="FFFFFF"/>
                <w:sz w:val="16"/>
                <w:szCs w:val="16"/>
                <w:lang w:eastAsia="fr-FR"/>
              </w:rPr>
              <w:t>Société</w:t>
            </w:r>
          </w:p>
        </w:tc>
        <w:tc>
          <w:tcPr>
            <w:tcW w:w="1598" w:type="dxa"/>
            <w:tcBorders>
              <w:top w:val="nil"/>
              <w:left w:val="nil"/>
              <w:bottom w:val="nil"/>
              <w:right w:val="nil"/>
            </w:tcBorders>
            <w:shd w:val="clear" w:color="000000" w:fill="244061"/>
            <w:vAlign w:val="center"/>
            <w:hideMark/>
          </w:tcPr>
          <w:p w:rsidR="00A079F7" w:rsidRPr="00A03FA3" w:rsidRDefault="00A079F7" w:rsidP="00E514F4">
            <w:pPr>
              <w:spacing w:after="0"/>
              <w:jc w:val="left"/>
              <w:rPr>
                <w:b/>
                <w:color w:val="FFFFFF"/>
                <w:sz w:val="16"/>
                <w:szCs w:val="16"/>
                <w:lang w:eastAsia="fr-FR"/>
              </w:rPr>
            </w:pPr>
            <w:r w:rsidRPr="00A03FA3">
              <w:rPr>
                <w:b/>
                <w:color w:val="FFFFFF"/>
                <w:sz w:val="16"/>
                <w:szCs w:val="16"/>
                <w:lang w:eastAsia="fr-FR"/>
              </w:rPr>
              <w:t>Abréviation</w:t>
            </w:r>
          </w:p>
        </w:tc>
      </w:tr>
      <w:tr w:rsidR="00A079F7" w:rsidRPr="00A03FA3" w:rsidTr="00E514F4">
        <w:trPr>
          <w:trHeight w:val="300"/>
          <w:jc w:val="center"/>
        </w:trPr>
        <w:tc>
          <w:tcPr>
            <w:tcW w:w="6986" w:type="dxa"/>
            <w:gridSpan w:val="3"/>
            <w:tcBorders>
              <w:top w:val="nil"/>
              <w:left w:val="nil"/>
              <w:bottom w:val="nil"/>
              <w:right w:val="nil"/>
            </w:tcBorders>
            <w:shd w:val="clear" w:color="000000" w:fill="C4BD97"/>
            <w:noWrap/>
            <w:vAlign w:val="center"/>
            <w:hideMark/>
          </w:tcPr>
          <w:p w:rsidR="00A079F7" w:rsidRPr="00A03FA3" w:rsidRDefault="00A079F7" w:rsidP="00E514F4">
            <w:pPr>
              <w:spacing w:after="0"/>
              <w:jc w:val="left"/>
              <w:rPr>
                <w:b/>
                <w:sz w:val="16"/>
                <w:szCs w:val="16"/>
                <w:lang w:eastAsia="fr-FR"/>
              </w:rPr>
            </w:pPr>
            <w:r w:rsidRPr="00A03FA3">
              <w:rPr>
                <w:b/>
                <w:sz w:val="16"/>
                <w:szCs w:val="16"/>
                <w:lang w:eastAsia="fr-FR"/>
              </w:rPr>
              <w:t>ENTREPRISE DE L’ETAT</w:t>
            </w:r>
          </w:p>
        </w:tc>
      </w:tr>
      <w:tr w:rsidR="00A079F7" w:rsidRPr="00A03FA3" w:rsidTr="00E514F4">
        <w:trPr>
          <w:trHeight w:val="300"/>
          <w:jc w:val="center"/>
        </w:trPr>
        <w:tc>
          <w:tcPr>
            <w:tcW w:w="852" w:type="dxa"/>
            <w:tcBorders>
              <w:top w:val="single" w:sz="4" w:space="0" w:color="4F81BD"/>
              <w:left w:val="nil"/>
              <w:bottom w:val="single" w:sz="4" w:space="0" w:color="4F81BD"/>
              <w:right w:val="nil"/>
            </w:tcBorders>
            <w:shd w:val="clear" w:color="000000" w:fill="B8CCE4"/>
            <w:vAlign w:val="center"/>
            <w:hideMark/>
          </w:tcPr>
          <w:p w:rsidR="00A079F7" w:rsidRPr="00A03FA3" w:rsidRDefault="00A079F7" w:rsidP="00E514F4">
            <w:pPr>
              <w:spacing w:after="0"/>
              <w:jc w:val="center"/>
              <w:rPr>
                <w:bCs w:val="0"/>
                <w:color w:val="000000"/>
                <w:sz w:val="16"/>
                <w:szCs w:val="16"/>
                <w:lang w:eastAsia="fr-FR"/>
              </w:rPr>
            </w:pPr>
            <w:r w:rsidRPr="00A03FA3">
              <w:rPr>
                <w:bCs w:val="0"/>
                <w:color w:val="000000"/>
                <w:sz w:val="16"/>
                <w:szCs w:val="16"/>
                <w:lang w:eastAsia="fr-FR"/>
              </w:rPr>
              <w:t>1</w:t>
            </w:r>
          </w:p>
        </w:tc>
        <w:tc>
          <w:tcPr>
            <w:tcW w:w="4536" w:type="dxa"/>
            <w:tcBorders>
              <w:top w:val="single" w:sz="4" w:space="0" w:color="4F81BD"/>
              <w:left w:val="nil"/>
              <w:bottom w:val="single" w:sz="4" w:space="0" w:color="4F81BD"/>
              <w:right w:val="nil"/>
            </w:tcBorders>
            <w:shd w:val="clear" w:color="000000" w:fill="B8CCE4"/>
            <w:vAlign w:val="center"/>
            <w:hideMark/>
          </w:tcPr>
          <w:p w:rsidR="00A079F7" w:rsidRPr="00A03FA3" w:rsidRDefault="00A079F7" w:rsidP="00E514F4">
            <w:pPr>
              <w:spacing w:after="0"/>
              <w:jc w:val="left"/>
              <w:rPr>
                <w:bCs w:val="0"/>
                <w:color w:val="000000"/>
                <w:sz w:val="16"/>
                <w:szCs w:val="16"/>
                <w:lang w:eastAsia="fr-FR"/>
              </w:rPr>
            </w:pPr>
            <w:r w:rsidRPr="00A03FA3">
              <w:rPr>
                <w:bCs w:val="0"/>
                <w:color w:val="000000"/>
                <w:sz w:val="16"/>
                <w:szCs w:val="16"/>
                <w:lang w:eastAsia="fr-FR"/>
              </w:rPr>
              <w:t>La Congolaise des Hydrocarbures</w:t>
            </w:r>
          </w:p>
        </w:tc>
        <w:tc>
          <w:tcPr>
            <w:tcW w:w="1598" w:type="dxa"/>
            <w:tcBorders>
              <w:top w:val="single" w:sz="4" w:space="0" w:color="4F81BD"/>
              <w:left w:val="nil"/>
              <w:bottom w:val="single" w:sz="4" w:space="0" w:color="4F81BD"/>
              <w:right w:val="nil"/>
            </w:tcBorders>
            <w:shd w:val="clear" w:color="000000" w:fill="B8CCE4"/>
            <w:vAlign w:val="center"/>
            <w:hideMark/>
          </w:tcPr>
          <w:p w:rsidR="00A079F7" w:rsidRPr="00A03FA3" w:rsidRDefault="00A079F7" w:rsidP="00E514F4">
            <w:pPr>
              <w:spacing w:after="0"/>
              <w:jc w:val="left"/>
              <w:rPr>
                <w:bCs w:val="0"/>
                <w:color w:val="000000"/>
                <w:sz w:val="16"/>
                <w:szCs w:val="16"/>
                <w:lang w:eastAsia="fr-FR"/>
              </w:rPr>
            </w:pPr>
            <w:r w:rsidRPr="00A03FA3">
              <w:rPr>
                <w:bCs w:val="0"/>
                <w:color w:val="000000"/>
                <w:sz w:val="16"/>
                <w:szCs w:val="16"/>
                <w:lang w:eastAsia="fr-FR"/>
              </w:rPr>
              <w:t>COYHDRO SA</w:t>
            </w:r>
          </w:p>
        </w:tc>
      </w:tr>
      <w:tr w:rsidR="00A079F7" w:rsidRPr="00A03FA3" w:rsidTr="00E514F4">
        <w:trPr>
          <w:trHeight w:val="300"/>
          <w:jc w:val="center"/>
        </w:trPr>
        <w:tc>
          <w:tcPr>
            <w:tcW w:w="6986" w:type="dxa"/>
            <w:gridSpan w:val="3"/>
            <w:tcBorders>
              <w:top w:val="nil"/>
              <w:left w:val="nil"/>
              <w:bottom w:val="nil"/>
              <w:right w:val="nil"/>
            </w:tcBorders>
            <w:shd w:val="clear" w:color="000000" w:fill="C4BD97"/>
            <w:noWrap/>
            <w:vAlign w:val="center"/>
            <w:hideMark/>
          </w:tcPr>
          <w:p w:rsidR="00A079F7" w:rsidRPr="00A03FA3" w:rsidRDefault="00A079F7" w:rsidP="00E514F4">
            <w:pPr>
              <w:spacing w:after="0"/>
              <w:jc w:val="left"/>
              <w:rPr>
                <w:b/>
                <w:sz w:val="16"/>
                <w:szCs w:val="16"/>
                <w:lang w:eastAsia="fr-FR"/>
              </w:rPr>
            </w:pPr>
            <w:r w:rsidRPr="00A03FA3">
              <w:rPr>
                <w:b/>
                <w:sz w:val="16"/>
                <w:szCs w:val="16"/>
                <w:lang w:eastAsia="fr-FR"/>
              </w:rPr>
              <w:t>ENTREPRISES EN PRODUCTION</w:t>
            </w:r>
          </w:p>
        </w:tc>
      </w:tr>
      <w:tr w:rsidR="00A079F7" w:rsidRPr="00A03FA3" w:rsidTr="00E514F4">
        <w:trPr>
          <w:trHeight w:val="300"/>
          <w:jc w:val="center"/>
        </w:trPr>
        <w:tc>
          <w:tcPr>
            <w:tcW w:w="852" w:type="dxa"/>
            <w:tcBorders>
              <w:top w:val="single" w:sz="4" w:space="0" w:color="4F81BD"/>
              <w:left w:val="nil"/>
              <w:bottom w:val="single" w:sz="4" w:space="0" w:color="4F81BD"/>
              <w:right w:val="nil"/>
            </w:tcBorders>
            <w:shd w:val="clear" w:color="auto" w:fill="auto"/>
            <w:vAlign w:val="center"/>
            <w:hideMark/>
          </w:tcPr>
          <w:p w:rsidR="00A079F7" w:rsidRPr="00A03FA3" w:rsidRDefault="00A079F7" w:rsidP="00E514F4">
            <w:pPr>
              <w:spacing w:after="0"/>
              <w:jc w:val="center"/>
              <w:rPr>
                <w:bCs w:val="0"/>
                <w:color w:val="000000"/>
                <w:sz w:val="16"/>
                <w:szCs w:val="16"/>
                <w:lang w:eastAsia="fr-FR"/>
              </w:rPr>
            </w:pPr>
            <w:r w:rsidRPr="00A03FA3">
              <w:rPr>
                <w:bCs w:val="0"/>
                <w:color w:val="000000"/>
                <w:sz w:val="16"/>
                <w:szCs w:val="16"/>
                <w:lang w:eastAsia="fr-FR"/>
              </w:rPr>
              <w:t>2</w:t>
            </w:r>
          </w:p>
        </w:tc>
        <w:tc>
          <w:tcPr>
            <w:tcW w:w="4536" w:type="dxa"/>
            <w:tcBorders>
              <w:top w:val="single" w:sz="4" w:space="0" w:color="4F81BD"/>
              <w:left w:val="nil"/>
              <w:bottom w:val="single" w:sz="4" w:space="0" w:color="4F81BD"/>
              <w:right w:val="nil"/>
            </w:tcBorders>
            <w:shd w:val="clear" w:color="auto" w:fill="auto"/>
            <w:vAlign w:val="center"/>
            <w:hideMark/>
          </w:tcPr>
          <w:p w:rsidR="00A079F7" w:rsidRPr="00A03FA3" w:rsidRDefault="00A079F7" w:rsidP="00E514F4">
            <w:pPr>
              <w:spacing w:after="0"/>
              <w:jc w:val="left"/>
              <w:rPr>
                <w:bCs w:val="0"/>
                <w:color w:val="000000"/>
                <w:sz w:val="16"/>
                <w:szCs w:val="16"/>
                <w:lang w:eastAsia="fr-FR"/>
              </w:rPr>
            </w:pPr>
            <w:proofErr w:type="spellStart"/>
            <w:r w:rsidRPr="00A03FA3">
              <w:rPr>
                <w:bCs w:val="0"/>
                <w:color w:val="000000"/>
                <w:sz w:val="16"/>
                <w:szCs w:val="16"/>
                <w:lang w:eastAsia="fr-FR"/>
              </w:rPr>
              <w:t>Perenco</w:t>
            </w:r>
            <w:proofErr w:type="spellEnd"/>
            <w:r w:rsidRPr="00A03FA3">
              <w:rPr>
                <w:bCs w:val="0"/>
                <w:color w:val="000000"/>
                <w:sz w:val="16"/>
                <w:szCs w:val="16"/>
                <w:lang w:eastAsia="fr-FR"/>
              </w:rPr>
              <w:t xml:space="preserve"> Recherche et Exploitation Pétrolière</w:t>
            </w:r>
          </w:p>
        </w:tc>
        <w:tc>
          <w:tcPr>
            <w:tcW w:w="1598" w:type="dxa"/>
            <w:tcBorders>
              <w:top w:val="single" w:sz="4" w:space="0" w:color="4F81BD"/>
              <w:left w:val="nil"/>
              <w:bottom w:val="single" w:sz="4" w:space="0" w:color="4F81BD"/>
              <w:right w:val="nil"/>
            </w:tcBorders>
            <w:shd w:val="clear" w:color="auto" w:fill="auto"/>
            <w:vAlign w:val="center"/>
            <w:hideMark/>
          </w:tcPr>
          <w:p w:rsidR="00A079F7" w:rsidRPr="00A03FA3" w:rsidRDefault="00A079F7" w:rsidP="00E514F4">
            <w:pPr>
              <w:spacing w:after="0"/>
              <w:jc w:val="left"/>
              <w:rPr>
                <w:bCs w:val="0"/>
                <w:color w:val="000000"/>
                <w:sz w:val="16"/>
                <w:szCs w:val="16"/>
                <w:lang w:eastAsia="fr-FR"/>
              </w:rPr>
            </w:pPr>
            <w:r w:rsidRPr="00A03FA3">
              <w:rPr>
                <w:bCs w:val="0"/>
                <w:color w:val="000000"/>
                <w:sz w:val="16"/>
                <w:szCs w:val="16"/>
                <w:lang w:eastAsia="fr-FR"/>
              </w:rPr>
              <w:t>PERENCOREP</w:t>
            </w:r>
          </w:p>
        </w:tc>
      </w:tr>
      <w:tr w:rsidR="00A079F7" w:rsidRPr="00A03FA3" w:rsidTr="00E514F4">
        <w:trPr>
          <w:trHeight w:val="300"/>
          <w:jc w:val="center"/>
        </w:trPr>
        <w:tc>
          <w:tcPr>
            <w:tcW w:w="852" w:type="dxa"/>
            <w:tcBorders>
              <w:top w:val="nil"/>
              <w:left w:val="nil"/>
              <w:bottom w:val="single" w:sz="4" w:space="0" w:color="4F81BD"/>
              <w:right w:val="nil"/>
            </w:tcBorders>
            <w:shd w:val="clear" w:color="000000" w:fill="B8CCE4"/>
            <w:vAlign w:val="center"/>
            <w:hideMark/>
          </w:tcPr>
          <w:p w:rsidR="00A079F7" w:rsidRPr="00A03FA3" w:rsidRDefault="00A079F7" w:rsidP="00E514F4">
            <w:pPr>
              <w:spacing w:after="0"/>
              <w:jc w:val="center"/>
              <w:rPr>
                <w:bCs w:val="0"/>
                <w:color w:val="000000"/>
                <w:sz w:val="16"/>
                <w:szCs w:val="16"/>
                <w:lang w:eastAsia="fr-FR"/>
              </w:rPr>
            </w:pPr>
            <w:r w:rsidRPr="00A03FA3">
              <w:rPr>
                <w:bCs w:val="0"/>
                <w:color w:val="000000"/>
                <w:sz w:val="16"/>
                <w:szCs w:val="16"/>
                <w:lang w:eastAsia="fr-FR"/>
              </w:rPr>
              <w:t>3</w:t>
            </w:r>
          </w:p>
        </w:tc>
        <w:tc>
          <w:tcPr>
            <w:tcW w:w="4536" w:type="dxa"/>
            <w:tcBorders>
              <w:top w:val="nil"/>
              <w:left w:val="nil"/>
              <w:bottom w:val="single" w:sz="4" w:space="0" w:color="4F81BD"/>
              <w:right w:val="nil"/>
            </w:tcBorders>
            <w:shd w:val="clear" w:color="000000" w:fill="B8CCE4"/>
            <w:vAlign w:val="center"/>
            <w:hideMark/>
          </w:tcPr>
          <w:p w:rsidR="00A079F7" w:rsidRPr="00A03FA3" w:rsidRDefault="00A079F7" w:rsidP="00E514F4">
            <w:pPr>
              <w:spacing w:after="0"/>
              <w:jc w:val="left"/>
              <w:rPr>
                <w:bCs w:val="0"/>
                <w:color w:val="000000"/>
                <w:sz w:val="16"/>
                <w:szCs w:val="16"/>
                <w:lang w:eastAsia="fr-FR"/>
              </w:rPr>
            </w:pPr>
            <w:proofErr w:type="spellStart"/>
            <w:r w:rsidRPr="00A03FA3">
              <w:rPr>
                <w:bCs w:val="0"/>
                <w:color w:val="000000"/>
                <w:sz w:val="16"/>
                <w:szCs w:val="16"/>
                <w:lang w:eastAsia="fr-FR"/>
              </w:rPr>
              <w:t>Lirex</w:t>
            </w:r>
            <w:proofErr w:type="spellEnd"/>
            <w:r w:rsidRPr="00A03FA3">
              <w:rPr>
                <w:bCs w:val="0"/>
                <w:color w:val="000000"/>
                <w:sz w:val="16"/>
                <w:szCs w:val="16"/>
                <w:lang w:eastAsia="fr-FR"/>
              </w:rPr>
              <w:t xml:space="preserve"> </w:t>
            </w:r>
          </w:p>
        </w:tc>
        <w:tc>
          <w:tcPr>
            <w:tcW w:w="1598" w:type="dxa"/>
            <w:tcBorders>
              <w:top w:val="nil"/>
              <w:left w:val="nil"/>
              <w:bottom w:val="single" w:sz="4" w:space="0" w:color="4F81BD"/>
              <w:right w:val="nil"/>
            </w:tcBorders>
            <w:shd w:val="clear" w:color="000000" w:fill="B8CCE4"/>
            <w:vAlign w:val="center"/>
            <w:hideMark/>
          </w:tcPr>
          <w:p w:rsidR="00A079F7" w:rsidRPr="00A03FA3" w:rsidRDefault="00A079F7" w:rsidP="00E514F4">
            <w:pPr>
              <w:spacing w:after="0"/>
              <w:jc w:val="left"/>
              <w:rPr>
                <w:bCs w:val="0"/>
                <w:color w:val="000000"/>
                <w:sz w:val="16"/>
                <w:szCs w:val="16"/>
                <w:lang w:eastAsia="fr-FR"/>
              </w:rPr>
            </w:pPr>
            <w:r w:rsidRPr="00A03FA3">
              <w:rPr>
                <w:bCs w:val="0"/>
                <w:color w:val="000000"/>
                <w:sz w:val="16"/>
                <w:szCs w:val="16"/>
                <w:lang w:eastAsia="fr-FR"/>
              </w:rPr>
              <w:t>LIREX</w:t>
            </w:r>
          </w:p>
        </w:tc>
      </w:tr>
      <w:tr w:rsidR="00A079F7" w:rsidRPr="00A03FA3" w:rsidTr="00E514F4">
        <w:trPr>
          <w:trHeight w:val="300"/>
          <w:jc w:val="center"/>
        </w:trPr>
        <w:tc>
          <w:tcPr>
            <w:tcW w:w="852" w:type="dxa"/>
            <w:tcBorders>
              <w:top w:val="nil"/>
              <w:left w:val="nil"/>
              <w:bottom w:val="single" w:sz="4" w:space="0" w:color="4F81BD"/>
              <w:right w:val="nil"/>
            </w:tcBorders>
            <w:shd w:val="clear" w:color="auto" w:fill="auto"/>
            <w:vAlign w:val="center"/>
            <w:hideMark/>
          </w:tcPr>
          <w:p w:rsidR="00A079F7" w:rsidRPr="00A03FA3" w:rsidRDefault="00A079F7" w:rsidP="00E514F4">
            <w:pPr>
              <w:spacing w:after="0"/>
              <w:jc w:val="center"/>
              <w:rPr>
                <w:bCs w:val="0"/>
                <w:color w:val="000000"/>
                <w:sz w:val="16"/>
                <w:szCs w:val="16"/>
                <w:lang w:eastAsia="fr-FR"/>
              </w:rPr>
            </w:pPr>
            <w:r w:rsidRPr="00A03FA3">
              <w:rPr>
                <w:bCs w:val="0"/>
                <w:color w:val="000000"/>
                <w:sz w:val="16"/>
                <w:szCs w:val="16"/>
                <w:lang w:eastAsia="fr-FR"/>
              </w:rPr>
              <w:t>4</w:t>
            </w:r>
          </w:p>
        </w:tc>
        <w:tc>
          <w:tcPr>
            <w:tcW w:w="4536" w:type="dxa"/>
            <w:tcBorders>
              <w:top w:val="nil"/>
              <w:left w:val="nil"/>
              <w:bottom w:val="single" w:sz="4" w:space="0" w:color="4F81BD"/>
              <w:right w:val="nil"/>
            </w:tcBorders>
            <w:shd w:val="clear" w:color="auto" w:fill="auto"/>
            <w:vAlign w:val="center"/>
            <w:hideMark/>
          </w:tcPr>
          <w:p w:rsidR="00A079F7" w:rsidRPr="00A03FA3" w:rsidRDefault="00A079F7" w:rsidP="00E514F4">
            <w:pPr>
              <w:spacing w:after="0"/>
              <w:jc w:val="left"/>
              <w:rPr>
                <w:bCs w:val="0"/>
                <w:color w:val="000000"/>
                <w:sz w:val="16"/>
                <w:szCs w:val="16"/>
                <w:lang w:eastAsia="fr-FR"/>
              </w:rPr>
            </w:pPr>
            <w:proofErr w:type="spellStart"/>
            <w:r w:rsidRPr="00A03FA3">
              <w:rPr>
                <w:bCs w:val="0"/>
                <w:color w:val="000000"/>
                <w:sz w:val="16"/>
                <w:szCs w:val="16"/>
                <w:lang w:eastAsia="fr-FR"/>
              </w:rPr>
              <w:t>Muanda</w:t>
            </w:r>
            <w:proofErr w:type="spellEnd"/>
            <w:r w:rsidRPr="00A03FA3">
              <w:rPr>
                <w:bCs w:val="0"/>
                <w:color w:val="000000"/>
                <w:sz w:val="16"/>
                <w:szCs w:val="16"/>
                <w:lang w:eastAsia="fr-FR"/>
              </w:rPr>
              <w:t xml:space="preserve"> International </w:t>
            </w:r>
            <w:proofErr w:type="spellStart"/>
            <w:r w:rsidRPr="00A03FA3">
              <w:rPr>
                <w:bCs w:val="0"/>
                <w:color w:val="000000"/>
                <w:sz w:val="16"/>
                <w:szCs w:val="16"/>
                <w:lang w:eastAsia="fr-FR"/>
              </w:rPr>
              <w:t>Oil</w:t>
            </w:r>
            <w:proofErr w:type="spellEnd"/>
            <w:r w:rsidRPr="00A03FA3">
              <w:rPr>
                <w:bCs w:val="0"/>
                <w:color w:val="000000"/>
                <w:sz w:val="16"/>
                <w:szCs w:val="16"/>
                <w:lang w:eastAsia="fr-FR"/>
              </w:rPr>
              <w:t xml:space="preserve"> </w:t>
            </w:r>
            <w:proofErr w:type="spellStart"/>
            <w:r w:rsidRPr="00A03FA3">
              <w:rPr>
                <w:bCs w:val="0"/>
                <w:color w:val="000000"/>
                <w:sz w:val="16"/>
                <w:szCs w:val="16"/>
                <w:lang w:eastAsia="fr-FR"/>
              </w:rPr>
              <w:t>Company</w:t>
            </w:r>
            <w:proofErr w:type="spellEnd"/>
          </w:p>
        </w:tc>
        <w:tc>
          <w:tcPr>
            <w:tcW w:w="1598" w:type="dxa"/>
            <w:tcBorders>
              <w:top w:val="nil"/>
              <w:left w:val="nil"/>
              <w:bottom w:val="single" w:sz="4" w:space="0" w:color="4F81BD"/>
              <w:right w:val="nil"/>
            </w:tcBorders>
            <w:shd w:val="clear" w:color="auto" w:fill="auto"/>
            <w:vAlign w:val="center"/>
            <w:hideMark/>
          </w:tcPr>
          <w:p w:rsidR="00A079F7" w:rsidRPr="00A03FA3" w:rsidRDefault="00A079F7" w:rsidP="00E514F4">
            <w:pPr>
              <w:spacing w:after="0"/>
              <w:jc w:val="left"/>
              <w:rPr>
                <w:bCs w:val="0"/>
                <w:color w:val="000000"/>
                <w:sz w:val="16"/>
                <w:szCs w:val="16"/>
                <w:lang w:eastAsia="fr-FR"/>
              </w:rPr>
            </w:pPr>
            <w:r w:rsidRPr="00A03FA3">
              <w:rPr>
                <w:bCs w:val="0"/>
                <w:color w:val="000000"/>
                <w:sz w:val="16"/>
                <w:szCs w:val="16"/>
                <w:lang w:eastAsia="fr-FR"/>
              </w:rPr>
              <w:t>MIOC</w:t>
            </w:r>
          </w:p>
        </w:tc>
      </w:tr>
      <w:tr w:rsidR="00A079F7" w:rsidRPr="00A03FA3" w:rsidTr="00E514F4">
        <w:trPr>
          <w:trHeight w:val="300"/>
          <w:jc w:val="center"/>
        </w:trPr>
        <w:tc>
          <w:tcPr>
            <w:tcW w:w="852" w:type="dxa"/>
            <w:tcBorders>
              <w:top w:val="nil"/>
              <w:left w:val="nil"/>
              <w:bottom w:val="single" w:sz="4" w:space="0" w:color="4F81BD"/>
              <w:right w:val="nil"/>
            </w:tcBorders>
            <w:shd w:val="clear" w:color="000000" w:fill="B8CCE4"/>
            <w:vAlign w:val="center"/>
            <w:hideMark/>
          </w:tcPr>
          <w:p w:rsidR="00A079F7" w:rsidRPr="00A03FA3" w:rsidRDefault="00A079F7" w:rsidP="00E514F4">
            <w:pPr>
              <w:spacing w:after="0"/>
              <w:jc w:val="center"/>
              <w:rPr>
                <w:bCs w:val="0"/>
                <w:color w:val="000000"/>
                <w:sz w:val="16"/>
                <w:szCs w:val="16"/>
                <w:lang w:eastAsia="fr-FR"/>
              </w:rPr>
            </w:pPr>
            <w:r w:rsidRPr="00A03FA3">
              <w:rPr>
                <w:bCs w:val="0"/>
                <w:color w:val="000000"/>
                <w:sz w:val="16"/>
                <w:szCs w:val="16"/>
                <w:lang w:eastAsia="fr-FR"/>
              </w:rPr>
              <w:t>5</w:t>
            </w:r>
          </w:p>
        </w:tc>
        <w:tc>
          <w:tcPr>
            <w:tcW w:w="4536" w:type="dxa"/>
            <w:tcBorders>
              <w:top w:val="nil"/>
              <w:left w:val="nil"/>
              <w:bottom w:val="single" w:sz="4" w:space="0" w:color="4F81BD"/>
              <w:right w:val="nil"/>
            </w:tcBorders>
            <w:shd w:val="clear" w:color="000000" w:fill="B8CCE4"/>
            <w:vAlign w:val="center"/>
            <w:hideMark/>
          </w:tcPr>
          <w:p w:rsidR="00A079F7" w:rsidRPr="00A03FA3" w:rsidRDefault="00A079F7" w:rsidP="00E514F4">
            <w:pPr>
              <w:spacing w:after="0"/>
              <w:jc w:val="left"/>
              <w:rPr>
                <w:bCs w:val="0"/>
                <w:color w:val="000000"/>
                <w:sz w:val="16"/>
                <w:szCs w:val="16"/>
                <w:lang w:eastAsia="fr-FR"/>
              </w:rPr>
            </w:pPr>
            <w:proofErr w:type="spellStart"/>
            <w:r w:rsidRPr="00A03FA3">
              <w:rPr>
                <w:bCs w:val="0"/>
                <w:color w:val="000000"/>
                <w:sz w:val="16"/>
                <w:szCs w:val="16"/>
                <w:lang w:eastAsia="fr-FR"/>
              </w:rPr>
              <w:t>Teikoku</w:t>
            </w:r>
            <w:proofErr w:type="spellEnd"/>
            <w:r w:rsidRPr="00A03FA3">
              <w:rPr>
                <w:bCs w:val="0"/>
                <w:color w:val="000000"/>
                <w:sz w:val="16"/>
                <w:szCs w:val="16"/>
                <w:lang w:eastAsia="fr-FR"/>
              </w:rPr>
              <w:t xml:space="preserve"> </w:t>
            </w:r>
            <w:proofErr w:type="spellStart"/>
            <w:r w:rsidRPr="00A03FA3">
              <w:rPr>
                <w:bCs w:val="0"/>
                <w:color w:val="000000"/>
                <w:sz w:val="16"/>
                <w:szCs w:val="16"/>
                <w:lang w:eastAsia="fr-FR"/>
              </w:rPr>
              <w:t>Oil</w:t>
            </w:r>
            <w:proofErr w:type="spellEnd"/>
            <w:r w:rsidRPr="00A03FA3">
              <w:rPr>
                <w:bCs w:val="0"/>
                <w:color w:val="000000"/>
                <w:sz w:val="16"/>
                <w:szCs w:val="16"/>
                <w:lang w:eastAsia="fr-FR"/>
              </w:rPr>
              <w:t xml:space="preserve"> DRC</w:t>
            </w:r>
          </w:p>
        </w:tc>
        <w:tc>
          <w:tcPr>
            <w:tcW w:w="1598" w:type="dxa"/>
            <w:tcBorders>
              <w:top w:val="nil"/>
              <w:left w:val="nil"/>
              <w:bottom w:val="single" w:sz="4" w:space="0" w:color="4F81BD"/>
              <w:right w:val="nil"/>
            </w:tcBorders>
            <w:shd w:val="clear" w:color="000000" w:fill="B8CCE4"/>
            <w:vAlign w:val="center"/>
            <w:hideMark/>
          </w:tcPr>
          <w:p w:rsidR="00A079F7" w:rsidRPr="00A03FA3" w:rsidRDefault="00A079F7" w:rsidP="00E514F4">
            <w:pPr>
              <w:spacing w:after="0"/>
              <w:jc w:val="left"/>
              <w:rPr>
                <w:bCs w:val="0"/>
                <w:color w:val="000000"/>
                <w:sz w:val="16"/>
                <w:szCs w:val="16"/>
                <w:lang w:eastAsia="fr-FR"/>
              </w:rPr>
            </w:pPr>
            <w:r w:rsidRPr="00A03FA3">
              <w:rPr>
                <w:bCs w:val="0"/>
                <w:color w:val="000000"/>
                <w:sz w:val="16"/>
                <w:szCs w:val="16"/>
                <w:lang w:eastAsia="fr-FR"/>
              </w:rPr>
              <w:t>TEIKOKU</w:t>
            </w:r>
          </w:p>
        </w:tc>
      </w:tr>
      <w:tr w:rsidR="00A079F7" w:rsidRPr="00A03FA3" w:rsidTr="00E514F4">
        <w:trPr>
          <w:trHeight w:val="300"/>
          <w:jc w:val="center"/>
        </w:trPr>
        <w:tc>
          <w:tcPr>
            <w:tcW w:w="852" w:type="dxa"/>
            <w:tcBorders>
              <w:top w:val="nil"/>
              <w:left w:val="nil"/>
              <w:bottom w:val="single" w:sz="4" w:space="0" w:color="4F81BD"/>
              <w:right w:val="nil"/>
            </w:tcBorders>
            <w:shd w:val="clear" w:color="auto" w:fill="auto"/>
            <w:vAlign w:val="center"/>
            <w:hideMark/>
          </w:tcPr>
          <w:p w:rsidR="00A079F7" w:rsidRPr="00A03FA3" w:rsidRDefault="00A079F7" w:rsidP="00E514F4">
            <w:pPr>
              <w:spacing w:after="0"/>
              <w:jc w:val="center"/>
              <w:rPr>
                <w:bCs w:val="0"/>
                <w:color w:val="000000"/>
                <w:sz w:val="16"/>
                <w:szCs w:val="16"/>
                <w:lang w:eastAsia="fr-FR"/>
              </w:rPr>
            </w:pPr>
            <w:r w:rsidRPr="00A03FA3">
              <w:rPr>
                <w:bCs w:val="0"/>
                <w:color w:val="000000"/>
                <w:sz w:val="16"/>
                <w:szCs w:val="16"/>
                <w:lang w:eastAsia="fr-FR"/>
              </w:rPr>
              <w:t>6</w:t>
            </w:r>
          </w:p>
        </w:tc>
        <w:tc>
          <w:tcPr>
            <w:tcW w:w="4536" w:type="dxa"/>
            <w:tcBorders>
              <w:top w:val="nil"/>
              <w:left w:val="nil"/>
              <w:bottom w:val="single" w:sz="4" w:space="0" w:color="4F81BD"/>
              <w:right w:val="nil"/>
            </w:tcBorders>
            <w:shd w:val="clear" w:color="auto" w:fill="auto"/>
            <w:vAlign w:val="center"/>
            <w:hideMark/>
          </w:tcPr>
          <w:p w:rsidR="00A079F7" w:rsidRPr="00A03FA3" w:rsidRDefault="00A079F7" w:rsidP="00E514F4">
            <w:pPr>
              <w:spacing w:after="0"/>
              <w:jc w:val="left"/>
              <w:rPr>
                <w:bCs w:val="0"/>
                <w:color w:val="000000"/>
                <w:sz w:val="16"/>
                <w:szCs w:val="16"/>
                <w:lang w:eastAsia="fr-FR"/>
              </w:rPr>
            </w:pPr>
            <w:r w:rsidRPr="00A03FA3">
              <w:rPr>
                <w:bCs w:val="0"/>
                <w:color w:val="000000"/>
                <w:sz w:val="16"/>
                <w:szCs w:val="16"/>
                <w:lang w:eastAsia="fr-FR"/>
              </w:rPr>
              <w:t>Chevron ODS Limited</w:t>
            </w:r>
          </w:p>
        </w:tc>
        <w:tc>
          <w:tcPr>
            <w:tcW w:w="1598" w:type="dxa"/>
            <w:tcBorders>
              <w:top w:val="nil"/>
              <w:left w:val="nil"/>
              <w:bottom w:val="single" w:sz="4" w:space="0" w:color="4F81BD"/>
              <w:right w:val="nil"/>
            </w:tcBorders>
            <w:shd w:val="clear" w:color="auto" w:fill="auto"/>
            <w:vAlign w:val="center"/>
            <w:hideMark/>
          </w:tcPr>
          <w:p w:rsidR="00A079F7" w:rsidRPr="00A03FA3" w:rsidRDefault="00A079F7" w:rsidP="00E514F4">
            <w:pPr>
              <w:spacing w:after="0"/>
              <w:jc w:val="left"/>
              <w:rPr>
                <w:bCs w:val="0"/>
                <w:color w:val="000000"/>
                <w:sz w:val="16"/>
                <w:szCs w:val="16"/>
                <w:lang w:eastAsia="fr-FR"/>
              </w:rPr>
            </w:pPr>
            <w:r w:rsidRPr="00A03FA3">
              <w:rPr>
                <w:bCs w:val="0"/>
                <w:color w:val="000000"/>
                <w:sz w:val="16"/>
                <w:szCs w:val="16"/>
                <w:lang w:eastAsia="fr-FR"/>
              </w:rPr>
              <w:t>ODS</w:t>
            </w:r>
          </w:p>
        </w:tc>
      </w:tr>
      <w:tr w:rsidR="00A079F7" w:rsidRPr="00A03FA3" w:rsidTr="00E514F4">
        <w:trPr>
          <w:trHeight w:val="300"/>
          <w:jc w:val="center"/>
        </w:trPr>
        <w:tc>
          <w:tcPr>
            <w:tcW w:w="6986" w:type="dxa"/>
            <w:gridSpan w:val="3"/>
            <w:tcBorders>
              <w:top w:val="nil"/>
              <w:left w:val="nil"/>
              <w:bottom w:val="nil"/>
              <w:right w:val="nil"/>
            </w:tcBorders>
            <w:shd w:val="clear" w:color="000000" w:fill="C4BD97"/>
            <w:noWrap/>
            <w:vAlign w:val="center"/>
            <w:hideMark/>
          </w:tcPr>
          <w:p w:rsidR="00A079F7" w:rsidRPr="00A03FA3" w:rsidRDefault="00A079F7" w:rsidP="00E514F4">
            <w:pPr>
              <w:spacing w:after="0"/>
              <w:jc w:val="left"/>
              <w:rPr>
                <w:b/>
                <w:sz w:val="16"/>
                <w:szCs w:val="16"/>
                <w:lang w:eastAsia="fr-FR"/>
              </w:rPr>
            </w:pPr>
            <w:r w:rsidRPr="00A03FA3">
              <w:rPr>
                <w:b/>
                <w:sz w:val="16"/>
                <w:szCs w:val="16"/>
                <w:lang w:eastAsia="fr-FR"/>
              </w:rPr>
              <w:t>ENTREPRISES EN EXPLORATION</w:t>
            </w:r>
          </w:p>
        </w:tc>
      </w:tr>
      <w:tr w:rsidR="00A079F7" w:rsidRPr="00A03FA3" w:rsidTr="00E514F4">
        <w:trPr>
          <w:trHeight w:val="300"/>
          <w:jc w:val="center"/>
        </w:trPr>
        <w:tc>
          <w:tcPr>
            <w:tcW w:w="852" w:type="dxa"/>
            <w:tcBorders>
              <w:top w:val="single" w:sz="4" w:space="0" w:color="4F81BD"/>
              <w:left w:val="nil"/>
              <w:bottom w:val="single" w:sz="4" w:space="0" w:color="4F81BD"/>
              <w:right w:val="nil"/>
            </w:tcBorders>
            <w:shd w:val="clear" w:color="000000" w:fill="B8CCE4"/>
            <w:vAlign w:val="center"/>
            <w:hideMark/>
          </w:tcPr>
          <w:p w:rsidR="00A079F7" w:rsidRPr="00A03FA3" w:rsidRDefault="00A079F7" w:rsidP="00E514F4">
            <w:pPr>
              <w:spacing w:after="0"/>
              <w:jc w:val="center"/>
              <w:rPr>
                <w:bCs w:val="0"/>
                <w:color w:val="000000"/>
                <w:sz w:val="16"/>
                <w:szCs w:val="16"/>
                <w:lang w:eastAsia="fr-FR"/>
              </w:rPr>
            </w:pPr>
            <w:r w:rsidRPr="00A03FA3">
              <w:rPr>
                <w:bCs w:val="0"/>
                <w:color w:val="000000"/>
                <w:sz w:val="16"/>
                <w:szCs w:val="16"/>
                <w:lang w:eastAsia="fr-FR"/>
              </w:rPr>
              <w:t>7</w:t>
            </w:r>
          </w:p>
        </w:tc>
        <w:tc>
          <w:tcPr>
            <w:tcW w:w="4536" w:type="dxa"/>
            <w:tcBorders>
              <w:top w:val="single" w:sz="4" w:space="0" w:color="4F81BD"/>
              <w:left w:val="nil"/>
              <w:bottom w:val="single" w:sz="4" w:space="0" w:color="4F81BD"/>
              <w:right w:val="nil"/>
            </w:tcBorders>
            <w:shd w:val="clear" w:color="000000" w:fill="B8CCE4"/>
            <w:vAlign w:val="center"/>
            <w:hideMark/>
          </w:tcPr>
          <w:p w:rsidR="00A079F7" w:rsidRPr="003F18FD" w:rsidRDefault="00A079F7" w:rsidP="00E514F4">
            <w:pPr>
              <w:spacing w:after="0"/>
              <w:jc w:val="left"/>
              <w:rPr>
                <w:bCs w:val="0"/>
                <w:color w:val="000000"/>
                <w:sz w:val="16"/>
                <w:szCs w:val="16"/>
                <w:lang w:val="en-GB" w:eastAsia="fr-FR"/>
              </w:rPr>
            </w:pPr>
            <w:r w:rsidRPr="003F18FD">
              <w:rPr>
                <w:bCs w:val="0"/>
                <w:color w:val="000000"/>
                <w:sz w:val="16"/>
                <w:szCs w:val="16"/>
                <w:lang w:val="en-GB" w:eastAsia="fr-FR"/>
              </w:rPr>
              <w:t xml:space="preserve">Total E&amp;P RDC </w:t>
            </w:r>
            <w:proofErr w:type="spellStart"/>
            <w:r w:rsidRPr="003F18FD">
              <w:rPr>
                <w:bCs w:val="0"/>
                <w:color w:val="000000"/>
                <w:sz w:val="16"/>
                <w:szCs w:val="16"/>
                <w:lang w:val="en-GB" w:eastAsia="fr-FR"/>
              </w:rPr>
              <w:t>sprl</w:t>
            </w:r>
            <w:proofErr w:type="spellEnd"/>
          </w:p>
        </w:tc>
        <w:tc>
          <w:tcPr>
            <w:tcW w:w="1598" w:type="dxa"/>
            <w:tcBorders>
              <w:top w:val="single" w:sz="4" w:space="0" w:color="4F81BD"/>
              <w:left w:val="nil"/>
              <w:bottom w:val="single" w:sz="4" w:space="0" w:color="4F81BD"/>
              <w:right w:val="nil"/>
            </w:tcBorders>
            <w:shd w:val="clear" w:color="000000" w:fill="B8CCE4"/>
            <w:vAlign w:val="center"/>
            <w:hideMark/>
          </w:tcPr>
          <w:p w:rsidR="00A079F7" w:rsidRPr="00A03FA3" w:rsidRDefault="00A079F7" w:rsidP="00E514F4">
            <w:pPr>
              <w:spacing w:after="0"/>
              <w:jc w:val="left"/>
              <w:rPr>
                <w:bCs w:val="0"/>
                <w:color w:val="000000"/>
                <w:sz w:val="16"/>
                <w:szCs w:val="16"/>
                <w:lang w:eastAsia="fr-FR"/>
              </w:rPr>
            </w:pPr>
            <w:r w:rsidRPr="00A03FA3">
              <w:rPr>
                <w:bCs w:val="0"/>
                <w:color w:val="000000"/>
                <w:sz w:val="16"/>
                <w:szCs w:val="16"/>
                <w:lang w:eastAsia="fr-FR"/>
              </w:rPr>
              <w:t>TOTAL</w:t>
            </w:r>
          </w:p>
        </w:tc>
      </w:tr>
      <w:tr w:rsidR="00A079F7" w:rsidRPr="00A03FA3" w:rsidTr="00E514F4">
        <w:trPr>
          <w:trHeight w:val="300"/>
          <w:jc w:val="center"/>
        </w:trPr>
        <w:tc>
          <w:tcPr>
            <w:tcW w:w="852" w:type="dxa"/>
            <w:tcBorders>
              <w:top w:val="nil"/>
              <w:left w:val="nil"/>
              <w:bottom w:val="single" w:sz="4" w:space="0" w:color="4F81BD"/>
              <w:right w:val="nil"/>
            </w:tcBorders>
            <w:shd w:val="clear" w:color="auto" w:fill="auto"/>
            <w:vAlign w:val="center"/>
            <w:hideMark/>
          </w:tcPr>
          <w:p w:rsidR="00A079F7" w:rsidRPr="00A03FA3" w:rsidRDefault="00A079F7" w:rsidP="00E514F4">
            <w:pPr>
              <w:spacing w:after="0"/>
              <w:jc w:val="center"/>
              <w:rPr>
                <w:bCs w:val="0"/>
                <w:color w:val="000000"/>
                <w:sz w:val="16"/>
                <w:szCs w:val="16"/>
                <w:lang w:eastAsia="fr-FR"/>
              </w:rPr>
            </w:pPr>
            <w:r w:rsidRPr="00A03FA3">
              <w:rPr>
                <w:bCs w:val="0"/>
                <w:color w:val="000000"/>
                <w:sz w:val="16"/>
                <w:szCs w:val="16"/>
                <w:lang w:eastAsia="fr-FR"/>
              </w:rPr>
              <w:t>8</w:t>
            </w:r>
          </w:p>
        </w:tc>
        <w:tc>
          <w:tcPr>
            <w:tcW w:w="4536" w:type="dxa"/>
            <w:tcBorders>
              <w:top w:val="nil"/>
              <w:left w:val="nil"/>
              <w:bottom w:val="single" w:sz="4" w:space="0" w:color="4F81BD"/>
              <w:right w:val="nil"/>
            </w:tcBorders>
            <w:shd w:val="clear" w:color="auto" w:fill="auto"/>
            <w:vAlign w:val="center"/>
            <w:hideMark/>
          </w:tcPr>
          <w:p w:rsidR="00A079F7" w:rsidRPr="00A03FA3" w:rsidRDefault="00A079F7" w:rsidP="00E514F4">
            <w:pPr>
              <w:spacing w:after="0"/>
              <w:jc w:val="left"/>
              <w:rPr>
                <w:bCs w:val="0"/>
                <w:color w:val="000000"/>
                <w:sz w:val="16"/>
                <w:szCs w:val="16"/>
                <w:lang w:eastAsia="fr-FR"/>
              </w:rPr>
            </w:pPr>
            <w:proofErr w:type="spellStart"/>
            <w:r w:rsidRPr="00A03FA3">
              <w:rPr>
                <w:bCs w:val="0"/>
                <w:color w:val="000000"/>
                <w:sz w:val="16"/>
                <w:szCs w:val="16"/>
                <w:lang w:eastAsia="fr-FR"/>
              </w:rPr>
              <w:t>Soco</w:t>
            </w:r>
            <w:proofErr w:type="spellEnd"/>
            <w:r w:rsidRPr="00A03FA3">
              <w:rPr>
                <w:bCs w:val="0"/>
                <w:color w:val="000000"/>
                <w:sz w:val="16"/>
                <w:szCs w:val="16"/>
                <w:lang w:eastAsia="fr-FR"/>
              </w:rPr>
              <w:t xml:space="preserve"> E&amp;P DRC</w:t>
            </w:r>
          </w:p>
        </w:tc>
        <w:tc>
          <w:tcPr>
            <w:tcW w:w="1598" w:type="dxa"/>
            <w:tcBorders>
              <w:top w:val="nil"/>
              <w:left w:val="nil"/>
              <w:bottom w:val="single" w:sz="4" w:space="0" w:color="4F81BD"/>
              <w:right w:val="nil"/>
            </w:tcBorders>
            <w:shd w:val="clear" w:color="auto" w:fill="auto"/>
            <w:vAlign w:val="center"/>
            <w:hideMark/>
          </w:tcPr>
          <w:p w:rsidR="00A079F7" w:rsidRPr="00A03FA3" w:rsidRDefault="00A079F7" w:rsidP="00E514F4">
            <w:pPr>
              <w:spacing w:after="0"/>
              <w:jc w:val="left"/>
              <w:rPr>
                <w:bCs w:val="0"/>
                <w:color w:val="000000"/>
                <w:sz w:val="16"/>
                <w:szCs w:val="16"/>
                <w:lang w:eastAsia="fr-FR"/>
              </w:rPr>
            </w:pPr>
            <w:r w:rsidRPr="00A03FA3">
              <w:rPr>
                <w:bCs w:val="0"/>
                <w:color w:val="000000"/>
                <w:sz w:val="16"/>
                <w:szCs w:val="16"/>
                <w:lang w:eastAsia="fr-FR"/>
              </w:rPr>
              <w:t>SOCO</w:t>
            </w:r>
          </w:p>
        </w:tc>
      </w:tr>
      <w:tr w:rsidR="00A079F7" w:rsidRPr="00A03FA3" w:rsidTr="00E514F4">
        <w:trPr>
          <w:trHeight w:val="300"/>
          <w:jc w:val="center"/>
        </w:trPr>
        <w:tc>
          <w:tcPr>
            <w:tcW w:w="852" w:type="dxa"/>
            <w:tcBorders>
              <w:top w:val="nil"/>
              <w:left w:val="nil"/>
              <w:bottom w:val="single" w:sz="4" w:space="0" w:color="4F81BD"/>
              <w:right w:val="nil"/>
            </w:tcBorders>
            <w:shd w:val="clear" w:color="000000" w:fill="B8CCE4"/>
            <w:vAlign w:val="center"/>
            <w:hideMark/>
          </w:tcPr>
          <w:p w:rsidR="00A079F7" w:rsidRPr="00A03FA3" w:rsidRDefault="00A079F7" w:rsidP="00E514F4">
            <w:pPr>
              <w:spacing w:after="0"/>
              <w:jc w:val="center"/>
              <w:rPr>
                <w:bCs w:val="0"/>
                <w:color w:val="000000"/>
                <w:sz w:val="16"/>
                <w:szCs w:val="16"/>
                <w:lang w:eastAsia="fr-FR"/>
              </w:rPr>
            </w:pPr>
            <w:r w:rsidRPr="00A03FA3">
              <w:rPr>
                <w:bCs w:val="0"/>
                <w:color w:val="000000"/>
                <w:sz w:val="16"/>
                <w:szCs w:val="16"/>
                <w:lang w:eastAsia="fr-FR"/>
              </w:rPr>
              <w:t>9</w:t>
            </w:r>
          </w:p>
        </w:tc>
        <w:tc>
          <w:tcPr>
            <w:tcW w:w="4536" w:type="dxa"/>
            <w:tcBorders>
              <w:top w:val="nil"/>
              <w:left w:val="nil"/>
              <w:bottom w:val="single" w:sz="4" w:space="0" w:color="4F81BD"/>
              <w:right w:val="nil"/>
            </w:tcBorders>
            <w:shd w:val="clear" w:color="000000" w:fill="B8CCE4"/>
            <w:vAlign w:val="center"/>
            <w:hideMark/>
          </w:tcPr>
          <w:p w:rsidR="00A079F7" w:rsidRPr="00A03FA3" w:rsidRDefault="00A079F7" w:rsidP="00E514F4">
            <w:pPr>
              <w:spacing w:after="0"/>
              <w:jc w:val="left"/>
              <w:rPr>
                <w:bCs w:val="0"/>
                <w:color w:val="000000"/>
                <w:sz w:val="16"/>
                <w:szCs w:val="16"/>
                <w:lang w:eastAsia="fr-FR"/>
              </w:rPr>
            </w:pPr>
            <w:proofErr w:type="spellStart"/>
            <w:r w:rsidRPr="00A03FA3">
              <w:rPr>
                <w:bCs w:val="0"/>
                <w:color w:val="000000"/>
                <w:sz w:val="16"/>
                <w:szCs w:val="16"/>
                <w:lang w:eastAsia="fr-FR"/>
              </w:rPr>
              <w:t>Energulf</w:t>
            </w:r>
            <w:proofErr w:type="spellEnd"/>
            <w:r w:rsidRPr="00A03FA3">
              <w:rPr>
                <w:bCs w:val="0"/>
                <w:color w:val="000000"/>
                <w:sz w:val="16"/>
                <w:szCs w:val="16"/>
                <w:lang w:eastAsia="fr-FR"/>
              </w:rPr>
              <w:t xml:space="preserve"> Congo</w:t>
            </w:r>
          </w:p>
        </w:tc>
        <w:tc>
          <w:tcPr>
            <w:tcW w:w="1598" w:type="dxa"/>
            <w:tcBorders>
              <w:top w:val="nil"/>
              <w:left w:val="nil"/>
              <w:bottom w:val="single" w:sz="4" w:space="0" w:color="4F81BD"/>
              <w:right w:val="nil"/>
            </w:tcBorders>
            <w:shd w:val="clear" w:color="000000" w:fill="B8CCE4"/>
            <w:vAlign w:val="center"/>
            <w:hideMark/>
          </w:tcPr>
          <w:p w:rsidR="00A079F7" w:rsidRPr="00A03FA3" w:rsidRDefault="00A079F7" w:rsidP="00E514F4">
            <w:pPr>
              <w:spacing w:after="0"/>
              <w:jc w:val="left"/>
              <w:rPr>
                <w:bCs w:val="0"/>
                <w:color w:val="000000"/>
                <w:sz w:val="16"/>
                <w:szCs w:val="16"/>
                <w:lang w:eastAsia="fr-FR"/>
              </w:rPr>
            </w:pPr>
            <w:r w:rsidRPr="00A03FA3">
              <w:rPr>
                <w:bCs w:val="0"/>
                <w:color w:val="000000"/>
                <w:sz w:val="16"/>
                <w:szCs w:val="16"/>
                <w:lang w:eastAsia="fr-FR"/>
              </w:rPr>
              <w:t>ENERGULF</w:t>
            </w:r>
          </w:p>
        </w:tc>
      </w:tr>
      <w:tr w:rsidR="00A079F7" w:rsidRPr="00A03FA3" w:rsidTr="00E514F4">
        <w:trPr>
          <w:trHeight w:val="300"/>
          <w:jc w:val="center"/>
        </w:trPr>
        <w:tc>
          <w:tcPr>
            <w:tcW w:w="852" w:type="dxa"/>
            <w:tcBorders>
              <w:top w:val="nil"/>
              <w:left w:val="nil"/>
              <w:bottom w:val="single" w:sz="4" w:space="0" w:color="4F81BD"/>
              <w:right w:val="nil"/>
            </w:tcBorders>
            <w:shd w:val="clear" w:color="auto" w:fill="auto"/>
            <w:vAlign w:val="center"/>
            <w:hideMark/>
          </w:tcPr>
          <w:p w:rsidR="00A079F7" w:rsidRPr="00A03FA3" w:rsidRDefault="00A079F7" w:rsidP="00E514F4">
            <w:pPr>
              <w:spacing w:after="0"/>
              <w:jc w:val="center"/>
              <w:rPr>
                <w:bCs w:val="0"/>
                <w:color w:val="000000"/>
                <w:sz w:val="16"/>
                <w:szCs w:val="16"/>
                <w:lang w:eastAsia="fr-FR"/>
              </w:rPr>
            </w:pPr>
            <w:r w:rsidRPr="00A03FA3">
              <w:rPr>
                <w:bCs w:val="0"/>
                <w:color w:val="000000"/>
                <w:sz w:val="16"/>
                <w:szCs w:val="16"/>
                <w:lang w:eastAsia="fr-FR"/>
              </w:rPr>
              <w:t>10</w:t>
            </w:r>
          </w:p>
        </w:tc>
        <w:tc>
          <w:tcPr>
            <w:tcW w:w="4536" w:type="dxa"/>
            <w:tcBorders>
              <w:top w:val="nil"/>
              <w:left w:val="nil"/>
              <w:bottom w:val="single" w:sz="4" w:space="0" w:color="4F81BD"/>
              <w:right w:val="nil"/>
            </w:tcBorders>
            <w:shd w:val="clear" w:color="auto" w:fill="auto"/>
            <w:vAlign w:val="center"/>
            <w:hideMark/>
          </w:tcPr>
          <w:p w:rsidR="00A079F7" w:rsidRPr="00A03FA3" w:rsidRDefault="00A079F7" w:rsidP="00E514F4">
            <w:pPr>
              <w:spacing w:after="0"/>
              <w:jc w:val="left"/>
              <w:rPr>
                <w:bCs w:val="0"/>
                <w:color w:val="000000"/>
                <w:sz w:val="16"/>
                <w:szCs w:val="16"/>
                <w:lang w:eastAsia="fr-FR"/>
              </w:rPr>
            </w:pPr>
            <w:proofErr w:type="spellStart"/>
            <w:r w:rsidRPr="00A03FA3">
              <w:rPr>
                <w:bCs w:val="0"/>
                <w:color w:val="000000"/>
                <w:sz w:val="16"/>
                <w:szCs w:val="16"/>
                <w:lang w:eastAsia="fr-FR"/>
              </w:rPr>
              <w:t>Oil</w:t>
            </w:r>
            <w:proofErr w:type="spellEnd"/>
            <w:r w:rsidRPr="00A03FA3">
              <w:rPr>
                <w:bCs w:val="0"/>
                <w:color w:val="000000"/>
                <w:sz w:val="16"/>
                <w:szCs w:val="16"/>
                <w:lang w:eastAsia="fr-FR"/>
              </w:rPr>
              <w:t xml:space="preserve"> of DRCONGO</w:t>
            </w:r>
          </w:p>
        </w:tc>
        <w:tc>
          <w:tcPr>
            <w:tcW w:w="1598" w:type="dxa"/>
            <w:tcBorders>
              <w:top w:val="nil"/>
              <w:left w:val="nil"/>
              <w:bottom w:val="single" w:sz="4" w:space="0" w:color="4F81BD"/>
              <w:right w:val="nil"/>
            </w:tcBorders>
            <w:shd w:val="clear" w:color="auto" w:fill="auto"/>
            <w:vAlign w:val="center"/>
            <w:hideMark/>
          </w:tcPr>
          <w:p w:rsidR="00A079F7" w:rsidRPr="00A03FA3" w:rsidRDefault="00A079F7" w:rsidP="00E514F4">
            <w:pPr>
              <w:spacing w:after="0"/>
              <w:jc w:val="left"/>
              <w:rPr>
                <w:bCs w:val="0"/>
                <w:color w:val="000000"/>
                <w:sz w:val="16"/>
                <w:szCs w:val="16"/>
                <w:lang w:eastAsia="fr-FR"/>
              </w:rPr>
            </w:pPr>
            <w:r w:rsidRPr="00A03FA3">
              <w:rPr>
                <w:bCs w:val="0"/>
                <w:color w:val="000000"/>
                <w:sz w:val="16"/>
                <w:szCs w:val="16"/>
                <w:lang w:eastAsia="fr-FR"/>
              </w:rPr>
              <w:t>OIL OF RDC</w:t>
            </w:r>
          </w:p>
        </w:tc>
      </w:tr>
      <w:tr w:rsidR="00A079F7" w:rsidRPr="00A03FA3" w:rsidTr="00E514F4">
        <w:trPr>
          <w:trHeight w:val="300"/>
          <w:jc w:val="center"/>
        </w:trPr>
        <w:tc>
          <w:tcPr>
            <w:tcW w:w="852" w:type="dxa"/>
            <w:tcBorders>
              <w:top w:val="nil"/>
              <w:left w:val="nil"/>
              <w:bottom w:val="single" w:sz="4" w:space="0" w:color="4F81BD"/>
              <w:right w:val="nil"/>
            </w:tcBorders>
            <w:shd w:val="clear" w:color="000000" w:fill="B8CCE4"/>
            <w:vAlign w:val="center"/>
            <w:hideMark/>
          </w:tcPr>
          <w:p w:rsidR="00A079F7" w:rsidRPr="00A03FA3" w:rsidRDefault="00A079F7" w:rsidP="00E514F4">
            <w:pPr>
              <w:spacing w:after="0"/>
              <w:jc w:val="center"/>
              <w:rPr>
                <w:bCs w:val="0"/>
                <w:color w:val="000000"/>
                <w:sz w:val="16"/>
                <w:szCs w:val="16"/>
                <w:lang w:eastAsia="fr-FR"/>
              </w:rPr>
            </w:pPr>
            <w:r w:rsidRPr="00A03FA3">
              <w:rPr>
                <w:bCs w:val="0"/>
                <w:color w:val="000000"/>
                <w:sz w:val="16"/>
                <w:szCs w:val="16"/>
                <w:lang w:eastAsia="fr-FR"/>
              </w:rPr>
              <w:t>11</w:t>
            </w:r>
          </w:p>
        </w:tc>
        <w:tc>
          <w:tcPr>
            <w:tcW w:w="4536" w:type="dxa"/>
            <w:tcBorders>
              <w:top w:val="nil"/>
              <w:left w:val="nil"/>
              <w:bottom w:val="single" w:sz="4" w:space="0" w:color="4F81BD"/>
              <w:right w:val="nil"/>
            </w:tcBorders>
            <w:shd w:val="clear" w:color="000000" w:fill="B8CCE4"/>
            <w:vAlign w:val="center"/>
            <w:hideMark/>
          </w:tcPr>
          <w:p w:rsidR="00A079F7" w:rsidRPr="00A03FA3" w:rsidRDefault="00A079F7" w:rsidP="00E514F4">
            <w:pPr>
              <w:spacing w:after="0"/>
              <w:jc w:val="left"/>
              <w:rPr>
                <w:bCs w:val="0"/>
                <w:color w:val="000000"/>
                <w:sz w:val="16"/>
                <w:szCs w:val="16"/>
                <w:lang w:eastAsia="fr-FR"/>
              </w:rPr>
            </w:pPr>
            <w:proofErr w:type="spellStart"/>
            <w:r w:rsidRPr="00A03FA3">
              <w:rPr>
                <w:bCs w:val="0"/>
                <w:color w:val="000000"/>
                <w:sz w:val="16"/>
                <w:szCs w:val="16"/>
                <w:lang w:eastAsia="fr-FR"/>
              </w:rPr>
              <w:t>Surestream</w:t>
            </w:r>
            <w:proofErr w:type="spellEnd"/>
            <w:r w:rsidRPr="00A03FA3">
              <w:rPr>
                <w:bCs w:val="0"/>
                <w:color w:val="000000"/>
                <w:sz w:val="16"/>
                <w:szCs w:val="16"/>
                <w:lang w:eastAsia="fr-FR"/>
              </w:rPr>
              <w:t xml:space="preserve"> RDC SA</w:t>
            </w:r>
          </w:p>
        </w:tc>
        <w:tc>
          <w:tcPr>
            <w:tcW w:w="1598" w:type="dxa"/>
            <w:tcBorders>
              <w:top w:val="nil"/>
              <w:left w:val="nil"/>
              <w:bottom w:val="single" w:sz="4" w:space="0" w:color="4F81BD"/>
              <w:right w:val="nil"/>
            </w:tcBorders>
            <w:shd w:val="clear" w:color="000000" w:fill="B8CCE4"/>
            <w:vAlign w:val="center"/>
            <w:hideMark/>
          </w:tcPr>
          <w:p w:rsidR="00A079F7" w:rsidRPr="00A03FA3" w:rsidRDefault="00A079F7" w:rsidP="00E514F4">
            <w:pPr>
              <w:spacing w:after="0"/>
              <w:jc w:val="left"/>
              <w:rPr>
                <w:bCs w:val="0"/>
                <w:color w:val="000000"/>
                <w:sz w:val="16"/>
                <w:szCs w:val="16"/>
                <w:lang w:eastAsia="fr-FR"/>
              </w:rPr>
            </w:pPr>
            <w:r w:rsidRPr="00A03FA3">
              <w:rPr>
                <w:bCs w:val="0"/>
                <w:color w:val="000000"/>
                <w:sz w:val="16"/>
                <w:szCs w:val="16"/>
                <w:lang w:eastAsia="fr-FR"/>
              </w:rPr>
              <w:t>SURESTREAM</w:t>
            </w:r>
          </w:p>
        </w:tc>
      </w:tr>
      <w:tr w:rsidR="0098366A" w:rsidRPr="00A03FA3" w:rsidTr="00E514F4">
        <w:trPr>
          <w:trHeight w:val="300"/>
          <w:jc w:val="center"/>
        </w:trPr>
        <w:tc>
          <w:tcPr>
            <w:tcW w:w="852" w:type="dxa"/>
            <w:tcBorders>
              <w:top w:val="nil"/>
              <w:left w:val="nil"/>
              <w:bottom w:val="single" w:sz="4" w:space="0" w:color="4F81BD"/>
              <w:right w:val="nil"/>
            </w:tcBorders>
            <w:shd w:val="clear" w:color="auto" w:fill="auto"/>
            <w:vAlign w:val="center"/>
            <w:hideMark/>
          </w:tcPr>
          <w:p w:rsidR="0098366A" w:rsidRPr="00A03FA3" w:rsidRDefault="0098366A" w:rsidP="002054C4">
            <w:pPr>
              <w:spacing w:after="0"/>
              <w:jc w:val="center"/>
              <w:rPr>
                <w:bCs w:val="0"/>
                <w:color w:val="000000"/>
                <w:sz w:val="16"/>
                <w:szCs w:val="16"/>
                <w:lang w:eastAsia="fr-FR"/>
              </w:rPr>
            </w:pPr>
            <w:r>
              <w:rPr>
                <w:bCs w:val="0"/>
                <w:color w:val="000000"/>
                <w:sz w:val="16"/>
                <w:szCs w:val="16"/>
                <w:lang w:eastAsia="fr-FR"/>
              </w:rPr>
              <w:t>12</w:t>
            </w:r>
          </w:p>
        </w:tc>
        <w:tc>
          <w:tcPr>
            <w:tcW w:w="4536" w:type="dxa"/>
            <w:tcBorders>
              <w:top w:val="nil"/>
              <w:left w:val="nil"/>
              <w:bottom w:val="single" w:sz="4" w:space="0" w:color="4F81BD"/>
              <w:right w:val="nil"/>
            </w:tcBorders>
            <w:shd w:val="clear" w:color="auto" w:fill="auto"/>
            <w:vAlign w:val="center"/>
            <w:hideMark/>
          </w:tcPr>
          <w:p w:rsidR="0098366A" w:rsidRPr="003F18FD" w:rsidRDefault="0098366A" w:rsidP="002054C4">
            <w:pPr>
              <w:spacing w:after="0"/>
              <w:jc w:val="left"/>
              <w:rPr>
                <w:bCs w:val="0"/>
                <w:color w:val="000000"/>
                <w:sz w:val="16"/>
                <w:szCs w:val="16"/>
                <w:lang w:val="en-GB" w:eastAsia="fr-FR"/>
              </w:rPr>
            </w:pPr>
            <w:r w:rsidRPr="003F18FD">
              <w:rPr>
                <w:bCs w:val="0"/>
                <w:color w:val="000000"/>
                <w:sz w:val="16"/>
                <w:szCs w:val="16"/>
                <w:lang w:val="en-GB" w:eastAsia="fr-FR"/>
              </w:rPr>
              <w:t>Divine Inspiration Group PTY Ltd</w:t>
            </w:r>
          </w:p>
        </w:tc>
        <w:tc>
          <w:tcPr>
            <w:tcW w:w="1598" w:type="dxa"/>
            <w:tcBorders>
              <w:top w:val="nil"/>
              <w:left w:val="nil"/>
              <w:bottom w:val="single" w:sz="4" w:space="0" w:color="4F81BD"/>
              <w:right w:val="nil"/>
            </w:tcBorders>
            <w:shd w:val="clear" w:color="auto" w:fill="auto"/>
            <w:vAlign w:val="center"/>
            <w:hideMark/>
          </w:tcPr>
          <w:p w:rsidR="0098366A" w:rsidRPr="00A03FA3" w:rsidRDefault="0098366A" w:rsidP="002054C4">
            <w:pPr>
              <w:spacing w:after="0"/>
              <w:jc w:val="left"/>
              <w:rPr>
                <w:bCs w:val="0"/>
                <w:color w:val="000000"/>
                <w:sz w:val="16"/>
                <w:szCs w:val="16"/>
                <w:lang w:eastAsia="fr-FR"/>
              </w:rPr>
            </w:pPr>
            <w:r w:rsidRPr="00A03FA3">
              <w:rPr>
                <w:bCs w:val="0"/>
                <w:color w:val="000000"/>
                <w:sz w:val="16"/>
                <w:szCs w:val="16"/>
                <w:lang w:eastAsia="fr-FR"/>
              </w:rPr>
              <w:t>DIVINE</w:t>
            </w:r>
          </w:p>
        </w:tc>
      </w:tr>
      <w:tr w:rsidR="0098366A" w:rsidRPr="00A03FA3" w:rsidTr="00E514F4">
        <w:trPr>
          <w:trHeight w:val="300"/>
          <w:jc w:val="center"/>
        </w:trPr>
        <w:tc>
          <w:tcPr>
            <w:tcW w:w="6986" w:type="dxa"/>
            <w:gridSpan w:val="3"/>
            <w:tcBorders>
              <w:top w:val="nil"/>
              <w:left w:val="nil"/>
              <w:bottom w:val="nil"/>
              <w:right w:val="nil"/>
            </w:tcBorders>
            <w:shd w:val="clear" w:color="000000" w:fill="C4BD97"/>
            <w:noWrap/>
            <w:vAlign w:val="center"/>
            <w:hideMark/>
          </w:tcPr>
          <w:p w:rsidR="0098366A" w:rsidRPr="00A03FA3" w:rsidRDefault="0098366A" w:rsidP="00E514F4">
            <w:pPr>
              <w:spacing w:after="0"/>
              <w:jc w:val="left"/>
              <w:rPr>
                <w:b/>
                <w:sz w:val="16"/>
                <w:szCs w:val="16"/>
                <w:lang w:eastAsia="fr-FR"/>
              </w:rPr>
            </w:pPr>
            <w:r>
              <w:rPr>
                <w:b/>
                <w:sz w:val="16"/>
                <w:szCs w:val="16"/>
                <w:lang w:eastAsia="fr-FR"/>
              </w:rPr>
              <w:t>ENTREPRISE DE TRANSIT</w:t>
            </w:r>
            <w:r w:rsidR="008E5C66">
              <w:rPr>
                <w:b/>
                <w:sz w:val="16"/>
                <w:szCs w:val="16"/>
                <w:lang w:eastAsia="fr-FR"/>
              </w:rPr>
              <w:t xml:space="preserve"> (Déclaration unilatérale de l'Etat)</w:t>
            </w:r>
          </w:p>
        </w:tc>
      </w:tr>
      <w:tr w:rsidR="0098366A" w:rsidRPr="00A03FA3" w:rsidTr="00E514F4">
        <w:trPr>
          <w:trHeight w:val="300"/>
          <w:jc w:val="center"/>
        </w:trPr>
        <w:tc>
          <w:tcPr>
            <w:tcW w:w="852" w:type="dxa"/>
            <w:tcBorders>
              <w:top w:val="single" w:sz="4" w:space="0" w:color="4F81BD"/>
              <w:left w:val="nil"/>
              <w:bottom w:val="single" w:sz="4" w:space="0" w:color="4F81BD"/>
              <w:right w:val="nil"/>
            </w:tcBorders>
            <w:shd w:val="clear" w:color="000000" w:fill="B8CCE4"/>
            <w:vAlign w:val="center"/>
            <w:hideMark/>
          </w:tcPr>
          <w:p w:rsidR="0098366A" w:rsidRPr="00A03FA3" w:rsidRDefault="0098366A" w:rsidP="00B41292">
            <w:pPr>
              <w:spacing w:after="0"/>
              <w:jc w:val="center"/>
              <w:rPr>
                <w:bCs w:val="0"/>
                <w:color w:val="000000"/>
                <w:sz w:val="16"/>
                <w:szCs w:val="16"/>
                <w:lang w:eastAsia="fr-FR"/>
              </w:rPr>
            </w:pPr>
            <w:r>
              <w:rPr>
                <w:bCs w:val="0"/>
                <w:color w:val="000000"/>
                <w:sz w:val="16"/>
                <w:szCs w:val="16"/>
                <w:lang w:eastAsia="fr-FR"/>
              </w:rPr>
              <w:t>1</w:t>
            </w:r>
            <w:r w:rsidR="00B41292">
              <w:rPr>
                <w:bCs w:val="0"/>
                <w:color w:val="000000"/>
                <w:sz w:val="16"/>
                <w:szCs w:val="16"/>
                <w:lang w:eastAsia="fr-FR"/>
              </w:rPr>
              <w:t>3</w:t>
            </w:r>
          </w:p>
        </w:tc>
        <w:tc>
          <w:tcPr>
            <w:tcW w:w="4536" w:type="dxa"/>
            <w:tcBorders>
              <w:top w:val="single" w:sz="4" w:space="0" w:color="4F81BD"/>
              <w:left w:val="nil"/>
              <w:bottom w:val="single" w:sz="4" w:space="0" w:color="4F81BD"/>
              <w:right w:val="nil"/>
            </w:tcBorders>
            <w:shd w:val="clear" w:color="000000" w:fill="B8CCE4"/>
            <w:vAlign w:val="center"/>
            <w:hideMark/>
          </w:tcPr>
          <w:p w:rsidR="0098366A" w:rsidRPr="00A03FA3" w:rsidRDefault="0098366A" w:rsidP="00E514F4">
            <w:pPr>
              <w:spacing w:after="0"/>
              <w:jc w:val="left"/>
              <w:rPr>
                <w:bCs w:val="0"/>
                <w:color w:val="000000"/>
                <w:sz w:val="16"/>
                <w:szCs w:val="16"/>
                <w:lang w:eastAsia="fr-FR"/>
              </w:rPr>
            </w:pPr>
            <w:r w:rsidRPr="00A03FA3">
              <w:rPr>
                <w:bCs w:val="0"/>
                <w:color w:val="000000"/>
                <w:sz w:val="16"/>
                <w:szCs w:val="16"/>
                <w:lang w:eastAsia="fr-FR"/>
              </w:rPr>
              <w:t xml:space="preserve">Cabinda </w:t>
            </w:r>
            <w:proofErr w:type="spellStart"/>
            <w:r w:rsidRPr="00A03FA3">
              <w:rPr>
                <w:bCs w:val="0"/>
                <w:color w:val="000000"/>
                <w:sz w:val="16"/>
                <w:szCs w:val="16"/>
                <w:lang w:eastAsia="fr-FR"/>
              </w:rPr>
              <w:t>Oil</w:t>
            </w:r>
            <w:proofErr w:type="spellEnd"/>
            <w:r w:rsidRPr="00A03FA3">
              <w:rPr>
                <w:bCs w:val="0"/>
                <w:color w:val="000000"/>
                <w:sz w:val="16"/>
                <w:szCs w:val="16"/>
                <w:lang w:eastAsia="fr-FR"/>
              </w:rPr>
              <w:t xml:space="preserve"> </w:t>
            </w:r>
            <w:proofErr w:type="spellStart"/>
            <w:r w:rsidRPr="00A03FA3">
              <w:rPr>
                <w:bCs w:val="0"/>
                <w:color w:val="000000"/>
                <w:sz w:val="16"/>
                <w:szCs w:val="16"/>
                <w:lang w:eastAsia="fr-FR"/>
              </w:rPr>
              <w:t>Company</w:t>
            </w:r>
            <w:proofErr w:type="spellEnd"/>
            <w:r w:rsidRPr="00A03FA3">
              <w:rPr>
                <w:bCs w:val="0"/>
                <w:color w:val="000000"/>
                <w:sz w:val="16"/>
                <w:szCs w:val="16"/>
                <w:lang w:eastAsia="fr-FR"/>
              </w:rPr>
              <w:t xml:space="preserve"> Ltd</w:t>
            </w:r>
          </w:p>
        </w:tc>
        <w:tc>
          <w:tcPr>
            <w:tcW w:w="1598" w:type="dxa"/>
            <w:tcBorders>
              <w:top w:val="single" w:sz="4" w:space="0" w:color="4F81BD"/>
              <w:left w:val="nil"/>
              <w:bottom w:val="single" w:sz="4" w:space="0" w:color="4F81BD"/>
              <w:right w:val="nil"/>
            </w:tcBorders>
            <w:shd w:val="clear" w:color="000000" w:fill="B8CCE4"/>
            <w:vAlign w:val="center"/>
            <w:hideMark/>
          </w:tcPr>
          <w:p w:rsidR="0098366A" w:rsidRPr="00A03FA3" w:rsidRDefault="0098366A" w:rsidP="00E514F4">
            <w:pPr>
              <w:spacing w:after="0"/>
              <w:jc w:val="left"/>
              <w:rPr>
                <w:bCs w:val="0"/>
                <w:color w:val="000000"/>
                <w:sz w:val="16"/>
                <w:szCs w:val="16"/>
                <w:lang w:eastAsia="fr-FR"/>
              </w:rPr>
            </w:pPr>
            <w:r w:rsidRPr="00A03FA3">
              <w:rPr>
                <w:bCs w:val="0"/>
                <w:color w:val="000000"/>
                <w:sz w:val="16"/>
                <w:szCs w:val="16"/>
                <w:lang w:eastAsia="fr-FR"/>
              </w:rPr>
              <w:t> </w:t>
            </w:r>
          </w:p>
        </w:tc>
      </w:tr>
    </w:tbl>
    <w:p w:rsidR="00A079F7" w:rsidRPr="001F60A5" w:rsidRDefault="00A079F7" w:rsidP="00A079F7">
      <w:pPr>
        <w:pStyle w:val="Heading3"/>
        <w:numPr>
          <w:ilvl w:val="2"/>
          <w:numId w:val="2"/>
        </w:numPr>
        <w:tabs>
          <w:tab w:val="left" w:pos="800"/>
        </w:tabs>
        <w:spacing w:before="240"/>
        <w:rPr>
          <w:b/>
          <w:bCs w:val="0"/>
          <w:i w:val="0"/>
          <w:iCs w:val="0"/>
          <w:color w:val="0070C0"/>
        </w:rPr>
      </w:pPr>
      <w:r w:rsidRPr="001F60A5">
        <w:rPr>
          <w:b/>
          <w:bCs w:val="0"/>
          <w:i w:val="0"/>
          <w:iCs w:val="0"/>
          <w:color w:val="0070C0"/>
        </w:rPr>
        <w:t xml:space="preserve">Secteur </w:t>
      </w:r>
      <w:r w:rsidR="008C3D61">
        <w:rPr>
          <w:b/>
          <w:bCs w:val="0"/>
          <w:i w:val="0"/>
          <w:iCs w:val="0"/>
          <w:color w:val="0070C0"/>
        </w:rPr>
        <w:t>des Mines</w:t>
      </w:r>
    </w:p>
    <w:p w:rsidR="00184C9B" w:rsidRPr="009454A9" w:rsidRDefault="00184C9B" w:rsidP="00F77566">
      <w:pPr>
        <w:pStyle w:val="ListParagraph"/>
        <w:numPr>
          <w:ilvl w:val="0"/>
          <w:numId w:val="55"/>
        </w:numPr>
        <w:rPr>
          <w:rFonts w:cs="Times New Roman"/>
          <w:b/>
          <w:bCs w:val="0"/>
          <w:color w:val="0070C0"/>
          <w:u w:val="single"/>
        </w:rPr>
      </w:pPr>
      <w:r w:rsidRPr="009454A9">
        <w:rPr>
          <w:rFonts w:cs="Times New Roman"/>
          <w:b/>
          <w:bCs w:val="0"/>
          <w:color w:val="0070C0"/>
          <w:u w:val="single"/>
        </w:rPr>
        <w:t>Entreprises retenues pour la réconciliation</w:t>
      </w:r>
    </w:p>
    <w:p w:rsidR="00A079F7" w:rsidRDefault="00A079F7" w:rsidP="00A079F7">
      <w:pPr>
        <w:rPr>
          <w:szCs w:val="20"/>
        </w:rPr>
      </w:pPr>
      <w:r w:rsidRPr="00A03FA3">
        <w:rPr>
          <w:szCs w:val="20"/>
        </w:rPr>
        <w:t xml:space="preserve">Pour la détermination du </w:t>
      </w:r>
      <w:r w:rsidR="00881178">
        <w:rPr>
          <w:szCs w:val="20"/>
        </w:rPr>
        <w:t>périmètre</w:t>
      </w:r>
      <w:r w:rsidRPr="00A03FA3">
        <w:rPr>
          <w:szCs w:val="20"/>
        </w:rPr>
        <w:t xml:space="preserve"> ITIE 2014 du secteur minier, nous proposons une approche qui associe l’application du seuil de matérialité présenté dans la Section 4.1.2 à d’autres critères spécifiques retenus par le Comité Exécutif que nous avons considéré comme importants dans le contexte de la RDC. Ces entreprises sont présentées comme suit :</w:t>
      </w:r>
    </w:p>
    <w:tbl>
      <w:tblPr>
        <w:tblStyle w:val="Tramemoyenne1-Accent12"/>
        <w:tblW w:w="7544" w:type="dxa"/>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140"/>
        <w:gridCol w:w="6404"/>
      </w:tblGrid>
      <w:tr w:rsidR="00E10BE5" w:rsidRPr="00E10BE5" w:rsidTr="00E10BE5">
        <w:trPr>
          <w:cnfStyle w:val="100000000000" w:firstRow="1" w:lastRow="0" w:firstColumn="0" w:lastColumn="0" w:oddVBand="0" w:evenVBand="0" w:oddHBand="0" w:evenHBand="0" w:firstRowFirstColumn="0" w:firstRowLastColumn="0" w:lastRowFirstColumn="0" w:lastRowLastColumn="0"/>
          <w:trHeight w:val="472"/>
          <w:tblHeader/>
          <w:jc w:val="center"/>
        </w:trPr>
        <w:tc>
          <w:tcPr>
            <w:cnfStyle w:val="001000000000" w:firstRow="0" w:lastRow="0" w:firstColumn="1" w:lastColumn="0" w:oddVBand="0" w:evenVBand="0" w:oddHBand="0" w:evenHBand="0" w:firstRowFirstColumn="0" w:firstRowLastColumn="0" w:lastRowFirstColumn="0" w:lastRowLastColumn="0"/>
            <w:tcW w:w="1140" w:type="dxa"/>
            <w:tcBorders>
              <w:top w:val="none" w:sz="0" w:space="0" w:color="auto"/>
              <w:left w:val="none" w:sz="0" w:space="0" w:color="auto"/>
              <w:bottom w:val="none" w:sz="0" w:space="0" w:color="auto"/>
              <w:right w:val="none" w:sz="0" w:space="0" w:color="auto"/>
            </w:tcBorders>
            <w:vAlign w:val="center"/>
            <w:hideMark/>
          </w:tcPr>
          <w:p w:rsidR="00E10BE5" w:rsidRPr="00E10BE5" w:rsidRDefault="00E10BE5" w:rsidP="00E10BE5">
            <w:pPr>
              <w:spacing w:after="0"/>
              <w:jc w:val="left"/>
              <w:rPr>
                <w:b w:val="0"/>
                <w:color w:val="FFFFFF"/>
                <w:sz w:val="18"/>
                <w:szCs w:val="18"/>
                <w:lang w:eastAsia="fr-FR"/>
              </w:rPr>
            </w:pPr>
            <w:r w:rsidRPr="00E10BE5">
              <w:rPr>
                <w:b w:val="0"/>
                <w:sz w:val="18"/>
                <w:szCs w:val="18"/>
                <w:lang w:eastAsia="fr-FR"/>
              </w:rPr>
              <w:t>N°</w:t>
            </w:r>
          </w:p>
        </w:tc>
        <w:tc>
          <w:tcPr>
            <w:tcW w:w="6404" w:type="dxa"/>
            <w:tcBorders>
              <w:top w:val="none" w:sz="0" w:space="0" w:color="auto"/>
              <w:left w:val="none" w:sz="0" w:space="0" w:color="auto"/>
              <w:bottom w:val="none" w:sz="0" w:space="0" w:color="auto"/>
              <w:right w:val="none" w:sz="0" w:space="0" w:color="auto"/>
            </w:tcBorders>
            <w:vAlign w:val="center"/>
            <w:hideMark/>
          </w:tcPr>
          <w:p w:rsidR="00E10BE5" w:rsidRPr="00E10BE5" w:rsidRDefault="00E10BE5" w:rsidP="00E10BE5">
            <w:pPr>
              <w:spacing w:after="0"/>
              <w:jc w:val="left"/>
              <w:cnfStyle w:val="100000000000" w:firstRow="1" w:lastRow="0" w:firstColumn="0" w:lastColumn="0" w:oddVBand="0" w:evenVBand="0" w:oddHBand="0" w:evenHBand="0" w:firstRowFirstColumn="0" w:firstRowLastColumn="0" w:lastRowFirstColumn="0" w:lastRowLastColumn="0"/>
              <w:rPr>
                <w:color w:val="FFFFFF"/>
                <w:sz w:val="18"/>
                <w:szCs w:val="18"/>
                <w:lang w:eastAsia="fr-FR"/>
              </w:rPr>
            </w:pPr>
            <w:r w:rsidRPr="00E10BE5">
              <w:rPr>
                <w:sz w:val="18"/>
                <w:szCs w:val="18"/>
                <w:lang w:eastAsia="fr-FR"/>
              </w:rPr>
              <w:t>Société minière</w:t>
            </w:r>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1</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ALSESY TRADING</w:t>
            </w:r>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2</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r w:rsidRPr="00E10BE5">
              <w:rPr>
                <w:bCs w:val="0"/>
                <w:color w:val="000000"/>
                <w:sz w:val="18"/>
                <w:szCs w:val="18"/>
                <w:lang w:eastAsia="fr-FR"/>
              </w:rPr>
              <w:t>ANVIL MINING CONGO SARL</w:t>
            </w:r>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3</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AURUM SPRL</w:t>
            </w:r>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4</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r w:rsidRPr="00E10BE5">
              <w:rPr>
                <w:bCs w:val="0"/>
                <w:color w:val="000000"/>
                <w:sz w:val="18"/>
                <w:szCs w:val="18"/>
                <w:lang w:eastAsia="fr-FR"/>
              </w:rPr>
              <w:t>BANRO CONGO MINING</w:t>
            </w:r>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5</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 xml:space="preserve">BOLFAST COMPANY </w:t>
            </w:r>
          </w:p>
        </w:tc>
      </w:tr>
      <w:tr w:rsidR="00E10BE5" w:rsidRPr="008D6ABB"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6</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val="en-US" w:eastAsia="fr-FR"/>
              </w:rPr>
            </w:pPr>
            <w:r w:rsidRPr="00E10BE5">
              <w:rPr>
                <w:bCs w:val="0"/>
                <w:color w:val="000000"/>
                <w:sz w:val="18"/>
                <w:szCs w:val="18"/>
                <w:lang w:val="en-US" w:eastAsia="fr-FR"/>
              </w:rPr>
              <w:t>BON GENIE K</w:t>
            </w:r>
            <w:proofErr w:type="gramStart"/>
            <w:r w:rsidRPr="00E10BE5">
              <w:rPr>
                <w:bCs w:val="0"/>
                <w:color w:val="000000"/>
                <w:sz w:val="18"/>
                <w:szCs w:val="18"/>
                <w:lang w:val="en-US" w:eastAsia="fr-FR"/>
              </w:rPr>
              <w:t>,MINING</w:t>
            </w:r>
            <w:proofErr w:type="gramEnd"/>
            <w:r w:rsidRPr="00E10BE5">
              <w:rPr>
                <w:bCs w:val="0"/>
                <w:color w:val="000000"/>
                <w:sz w:val="18"/>
                <w:szCs w:val="18"/>
                <w:lang w:val="en-US" w:eastAsia="fr-FR"/>
              </w:rPr>
              <w:t xml:space="preserve"> SPRL</w:t>
            </w:r>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7</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BOSS MINING</w:t>
            </w:r>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8</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r w:rsidRPr="00E10BE5">
              <w:rPr>
                <w:bCs w:val="0"/>
                <w:color w:val="000000"/>
                <w:sz w:val="18"/>
                <w:szCs w:val="18"/>
                <w:lang w:eastAsia="fr-FR"/>
              </w:rPr>
              <w:t>CHABARA</w:t>
            </w:r>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9</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CHEMICAL OF AFRICA SARL</w:t>
            </w:r>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10</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r w:rsidRPr="00E10BE5">
              <w:rPr>
                <w:bCs w:val="0"/>
                <w:color w:val="000000"/>
                <w:sz w:val="18"/>
                <w:szCs w:val="18"/>
                <w:lang w:eastAsia="fr-FR"/>
              </w:rPr>
              <w:t>CLUFF MINING CONGO SPRL</w:t>
            </w:r>
          </w:p>
        </w:tc>
      </w:tr>
      <w:tr w:rsidR="00E10BE5" w:rsidRPr="008D6ABB"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11</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val="en-US" w:eastAsia="fr-FR"/>
              </w:rPr>
            </w:pPr>
            <w:r w:rsidRPr="00E10BE5">
              <w:rPr>
                <w:bCs w:val="0"/>
                <w:color w:val="000000"/>
                <w:sz w:val="18"/>
                <w:szCs w:val="18"/>
                <w:lang w:val="en-US" w:eastAsia="fr-FR"/>
              </w:rPr>
              <w:t>CNMC HUACHIN MABENDE MINING SPRL</w:t>
            </w:r>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12</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proofErr w:type="spellStart"/>
            <w:r w:rsidRPr="00E10BE5">
              <w:rPr>
                <w:bCs w:val="0"/>
                <w:color w:val="000000"/>
                <w:sz w:val="18"/>
                <w:szCs w:val="18"/>
                <w:lang w:eastAsia="fr-FR"/>
              </w:rPr>
              <w:t>Cominière</w:t>
            </w:r>
            <w:proofErr w:type="spellEnd"/>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13</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COMMUS</w:t>
            </w:r>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lastRenderedPageBreak/>
              <w:t>14</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r w:rsidRPr="00E10BE5">
              <w:rPr>
                <w:bCs w:val="0"/>
                <w:color w:val="000000"/>
                <w:sz w:val="18"/>
                <w:szCs w:val="18"/>
                <w:lang w:eastAsia="fr-FR"/>
              </w:rPr>
              <w:t xml:space="preserve">COMPAGNIE DE TRAITEMENT DES REJETS DE KINGAYAMBO </w:t>
            </w:r>
            <w:proofErr w:type="gramStart"/>
            <w:r w:rsidRPr="00E10BE5">
              <w:rPr>
                <w:bCs w:val="0"/>
                <w:color w:val="000000"/>
                <w:sz w:val="18"/>
                <w:szCs w:val="18"/>
                <w:lang w:eastAsia="fr-FR"/>
              </w:rPr>
              <w:t xml:space="preserve">( </w:t>
            </w:r>
            <w:proofErr w:type="spellStart"/>
            <w:r w:rsidRPr="00E10BE5">
              <w:rPr>
                <w:bCs w:val="0"/>
                <w:color w:val="000000"/>
                <w:sz w:val="18"/>
                <w:szCs w:val="18"/>
                <w:lang w:eastAsia="fr-FR"/>
              </w:rPr>
              <w:t>Metalkol</w:t>
            </w:r>
            <w:proofErr w:type="spellEnd"/>
            <w:proofErr w:type="gramEnd"/>
            <w:r w:rsidRPr="00E10BE5">
              <w:rPr>
                <w:bCs w:val="0"/>
                <w:color w:val="000000"/>
                <w:sz w:val="18"/>
                <w:szCs w:val="18"/>
                <w:lang w:eastAsia="fr-FR"/>
              </w:rPr>
              <w:t>)</w:t>
            </w:r>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15</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COMPAGNIE MINIERE DE KAMBOVE SPRL</w:t>
            </w:r>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16</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r w:rsidRPr="00E10BE5">
              <w:rPr>
                <w:bCs w:val="0"/>
                <w:color w:val="000000"/>
                <w:sz w:val="18"/>
                <w:szCs w:val="18"/>
                <w:lang w:eastAsia="fr-FR"/>
              </w:rPr>
              <w:t>COMPAGNIE MINIERE DE LUISHA</w:t>
            </w:r>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17</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COMPAGNIE MINIERE DE SAKANIA SARL</w:t>
            </w:r>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18</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r w:rsidRPr="00E10BE5">
              <w:rPr>
                <w:bCs w:val="0"/>
                <w:color w:val="000000"/>
                <w:sz w:val="18"/>
                <w:szCs w:val="18"/>
                <w:lang w:eastAsia="fr-FR"/>
              </w:rPr>
              <w:t>COMPAGNIE MINIERE DE TONDO</w:t>
            </w:r>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19</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COMPAGNIE MINIERE DU SUD  KATANGA</w:t>
            </w:r>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20</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r w:rsidRPr="00E10BE5">
              <w:rPr>
                <w:bCs w:val="0"/>
                <w:color w:val="000000"/>
                <w:sz w:val="18"/>
                <w:szCs w:val="18"/>
                <w:lang w:eastAsia="fr-FR"/>
              </w:rPr>
              <w:t>COMPANY MINIERE DE DILALA</w:t>
            </w:r>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21</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CONGO COBALT CORPORATION SARL</w:t>
            </w:r>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22</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r w:rsidRPr="00E10BE5">
              <w:rPr>
                <w:bCs w:val="0"/>
                <w:color w:val="000000"/>
                <w:sz w:val="18"/>
                <w:szCs w:val="18"/>
                <w:lang w:eastAsia="fr-FR"/>
              </w:rPr>
              <w:t>CONGO DONGFANG INTERNATIONAL MINING</w:t>
            </w:r>
          </w:p>
        </w:tc>
      </w:tr>
      <w:tr w:rsidR="00E10BE5" w:rsidRPr="008D6ABB"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23</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val="en-US" w:eastAsia="fr-FR"/>
              </w:rPr>
            </w:pPr>
            <w:r w:rsidRPr="00E10BE5">
              <w:rPr>
                <w:bCs w:val="0"/>
                <w:color w:val="000000"/>
                <w:sz w:val="18"/>
                <w:szCs w:val="18"/>
                <w:lang w:val="en-US" w:eastAsia="fr-FR"/>
              </w:rPr>
              <w:t xml:space="preserve">CONGO </w:t>
            </w:r>
            <w:proofErr w:type="gramStart"/>
            <w:r w:rsidRPr="00E10BE5">
              <w:rPr>
                <w:bCs w:val="0"/>
                <w:color w:val="000000"/>
                <w:sz w:val="18"/>
                <w:szCs w:val="18"/>
                <w:lang w:val="en-US" w:eastAsia="fr-FR"/>
              </w:rPr>
              <w:t>INTERNATIONAL  MINING</w:t>
            </w:r>
            <w:proofErr w:type="gramEnd"/>
            <w:r w:rsidRPr="00E10BE5">
              <w:rPr>
                <w:bCs w:val="0"/>
                <w:color w:val="000000"/>
                <w:sz w:val="18"/>
                <w:szCs w:val="18"/>
                <w:lang w:val="en-US" w:eastAsia="fr-FR"/>
              </w:rPr>
              <w:t xml:space="preserve">  CORPORATION   SPRL (CIMCO)</w:t>
            </w:r>
          </w:p>
        </w:tc>
      </w:tr>
      <w:tr w:rsidR="00E10BE5" w:rsidRPr="008D6ABB"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24</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val="en-US" w:eastAsia="fr-FR"/>
              </w:rPr>
            </w:pPr>
            <w:r w:rsidRPr="00E10BE5">
              <w:rPr>
                <w:bCs w:val="0"/>
                <w:color w:val="000000"/>
                <w:sz w:val="18"/>
                <w:szCs w:val="18"/>
                <w:lang w:val="en-US" w:eastAsia="fr-FR"/>
              </w:rPr>
              <w:t>CONGO JINJUN CHENG MINING COMPAGNY</w:t>
            </w:r>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25</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DE BEERS RDC EXPLORATION SARL</w:t>
            </w:r>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26</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r w:rsidRPr="00E10BE5">
              <w:rPr>
                <w:bCs w:val="0"/>
                <w:color w:val="000000"/>
                <w:sz w:val="18"/>
                <w:szCs w:val="18"/>
                <w:lang w:eastAsia="fr-FR"/>
              </w:rPr>
              <w:t>DFSA MINING</w:t>
            </w:r>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27</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DRAGON INTERNATIONAL MINING SARL</w:t>
            </w:r>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28</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r w:rsidRPr="00E10BE5">
              <w:rPr>
                <w:bCs w:val="0"/>
                <w:color w:val="000000"/>
                <w:sz w:val="18"/>
                <w:szCs w:val="18"/>
                <w:lang w:eastAsia="fr-FR"/>
              </w:rPr>
              <w:t>ENTREPRISE GENERALE MALTA FOREST</w:t>
            </w:r>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29</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ENTREPRISE MINIERE DE MOSOSHI</w:t>
            </w:r>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30</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r w:rsidRPr="00E10BE5">
              <w:rPr>
                <w:bCs w:val="0"/>
                <w:color w:val="000000"/>
                <w:sz w:val="18"/>
                <w:szCs w:val="18"/>
                <w:lang w:eastAsia="fr-FR"/>
              </w:rPr>
              <w:t>EXPLOITATION ARTISANALE DU CONGO</w:t>
            </w:r>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31</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FEZA MINING</w:t>
            </w:r>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32</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r w:rsidRPr="00E10BE5">
              <w:rPr>
                <w:bCs w:val="0"/>
                <w:color w:val="000000"/>
                <w:sz w:val="18"/>
                <w:szCs w:val="18"/>
                <w:lang w:eastAsia="fr-FR"/>
              </w:rPr>
              <w:t>FRONTIER SPRL</w:t>
            </w:r>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33</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GENERALE DES CARRIERES ET DES MINES</w:t>
            </w:r>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34</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r w:rsidRPr="00E10BE5">
              <w:rPr>
                <w:bCs w:val="0"/>
                <w:color w:val="000000"/>
                <w:sz w:val="18"/>
                <w:szCs w:val="18"/>
                <w:lang w:eastAsia="fr-FR"/>
              </w:rPr>
              <w:t>GIRO GOLDFIELDS</w:t>
            </w:r>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35</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GOLDEN AFRICAN RESOURCES SARL</w:t>
            </w:r>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36</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r w:rsidRPr="00E10BE5">
              <w:rPr>
                <w:bCs w:val="0"/>
                <w:color w:val="000000"/>
                <w:sz w:val="18"/>
                <w:szCs w:val="18"/>
                <w:lang w:eastAsia="fr-FR"/>
              </w:rPr>
              <w:t>GROUPE BAZANO SPRL</w:t>
            </w:r>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37</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GROUPEMENT POUR LE TRAITEMENT DU TERRIL DE LUBUMBASHI</w:t>
            </w:r>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38</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r w:rsidRPr="00E10BE5">
              <w:rPr>
                <w:bCs w:val="0"/>
                <w:color w:val="000000"/>
                <w:sz w:val="18"/>
                <w:szCs w:val="18"/>
                <w:lang w:eastAsia="fr-FR"/>
              </w:rPr>
              <w:t>HUACHIN METAL LEACH</w:t>
            </w:r>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39</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HUACHIN MINING</w:t>
            </w:r>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40</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r w:rsidRPr="00E10BE5">
              <w:rPr>
                <w:bCs w:val="0"/>
                <w:color w:val="000000"/>
                <w:sz w:val="18"/>
                <w:szCs w:val="18"/>
                <w:lang w:eastAsia="fr-FR"/>
              </w:rPr>
              <w:t>IVANHOE MINES DRC SPRL</w:t>
            </w:r>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41</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IVANHOE MINES EXPLORATION DRC</w:t>
            </w:r>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42</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r w:rsidRPr="00E10BE5">
              <w:rPr>
                <w:bCs w:val="0"/>
                <w:color w:val="000000"/>
                <w:sz w:val="18"/>
                <w:szCs w:val="18"/>
                <w:lang w:eastAsia="fr-FR"/>
              </w:rPr>
              <w:t>JMT MINING</w:t>
            </w:r>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43</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KAIPENG MINING</w:t>
            </w:r>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44</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r w:rsidRPr="00E10BE5">
              <w:rPr>
                <w:bCs w:val="0"/>
                <w:color w:val="000000"/>
                <w:sz w:val="18"/>
                <w:szCs w:val="18"/>
                <w:lang w:eastAsia="fr-FR"/>
              </w:rPr>
              <w:t xml:space="preserve">KAMOA COPPER SA (ex: AFRICAN </w:t>
            </w:r>
            <w:proofErr w:type="gramStart"/>
            <w:r w:rsidRPr="00E10BE5">
              <w:rPr>
                <w:bCs w:val="0"/>
                <w:color w:val="000000"/>
                <w:sz w:val="18"/>
                <w:szCs w:val="18"/>
                <w:lang w:eastAsia="fr-FR"/>
              </w:rPr>
              <w:t>MINERALS(</w:t>
            </w:r>
            <w:proofErr w:type="gramEnd"/>
            <w:r w:rsidRPr="00E10BE5">
              <w:rPr>
                <w:bCs w:val="0"/>
                <w:color w:val="000000"/>
                <w:sz w:val="18"/>
                <w:szCs w:val="18"/>
                <w:lang w:eastAsia="fr-FR"/>
              </w:rPr>
              <w:t>BARBADOS)</w:t>
            </w:r>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45</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KAMOTO COPPER COMPANY</w:t>
            </w:r>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46</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r w:rsidRPr="00E10BE5">
              <w:rPr>
                <w:bCs w:val="0"/>
                <w:color w:val="000000"/>
                <w:sz w:val="18"/>
                <w:szCs w:val="18"/>
                <w:lang w:eastAsia="fr-FR"/>
              </w:rPr>
              <w:t>KGL SOMITURI SPRL</w:t>
            </w:r>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47</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KIBALI GOLDMINES SPRL</w:t>
            </w:r>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48</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r w:rsidRPr="00E10BE5">
              <w:rPr>
                <w:bCs w:val="0"/>
                <w:color w:val="000000"/>
                <w:sz w:val="18"/>
                <w:szCs w:val="18"/>
                <w:lang w:eastAsia="fr-FR"/>
              </w:rPr>
              <w:t xml:space="preserve">KINSENDA COPPER COMPANY </w:t>
            </w:r>
            <w:proofErr w:type="gramStart"/>
            <w:r w:rsidRPr="00E10BE5">
              <w:rPr>
                <w:bCs w:val="0"/>
                <w:color w:val="000000"/>
                <w:sz w:val="18"/>
                <w:szCs w:val="18"/>
                <w:lang w:eastAsia="fr-FR"/>
              </w:rPr>
              <w:t>SARL(</w:t>
            </w:r>
            <w:proofErr w:type="gramEnd"/>
            <w:r w:rsidRPr="00E10BE5">
              <w:rPr>
                <w:bCs w:val="0"/>
                <w:color w:val="000000"/>
                <w:sz w:val="18"/>
                <w:szCs w:val="18"/>
                <w:lang w:eastAsia="fr-FR"/>
              </w:rPr>
              <w:t>ex MINIERE DE MUSOSHI &amp; KINSENDA)</w:t>
            </w:r>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49</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KIPUSHI CORPORATION</w:t>
            </w:r>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50</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r w:rsidRPr="00E10BE5">
              <w:rPr>
                <w:bCs w:val="0"/>
                <w:color w:val="000000"/>
                <w:sz w:val="18"/>
                <w:szCs w:val="18"/>
                <w:lang w:eastAsia="fr-FR"/>
              </w:rPr>
              <w:t>KISANFU MINING SPRL</w:t>
            </w:r>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51</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LA CONGOLAISE DES MINES ET DE DEVELOPPEMENT</w:t>
            </w:r>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52</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r w:rsidRPr="00E10BE5">
              <w:rPr>
                <w:bCs w:val="0"/>
                <w:color w:val="000000"/>
                <w:sz w:val="18"/>
                <w:szCs w:val="18"/>
                <w:lang w:eastAsia="fr-FR"/>
              </w:rPr>
              <w:t>LA MINIERE DE KALUMBWE MYUNGA</w:t>
            </w:r>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53</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LA MINIERE DE KASOMBO</w:t>
            </w:r>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54</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r w:rsidRPr="00E10BE5">
              <w:rPr>
                <w:bCs w:val="0"/>
                <w:color w:val="000000"/>
                <w:sz w:val="18"/>
                <w:szCs w:val="18"/>
                <w:lang w:eastAsia="fr-FR"/>
              </w:rPr>
              <w:t>LA MINIERE DE LA LUKUGA</w:t>
            </w:r>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55</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LONCOR RESOURCES CONGO SPRL</w:t>
            </w:r>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56</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r w:rsidRPr="00E10BE5">
              <w:rPr>
                <w:bCs w:val="0"/>
                <w:color w:val="000000"/>
                <w:sz w:val="18"/>
                <w:szCs w:val="18"/>
                <w:lang w:eastAsia="fr-FR"/>
              </w:rPr>
              <w:t>LONG FEI MINING</w:t>
            </w:r>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57</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LUGUSHWA MINING</w:t>
            </w:r>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58</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r w:rsidRPr="00E10BE5">
              <w:rPr>
                <w:bCs w:val="0"/>
                <w:color w:val="000000"/>
                <w:sz w:val="18"/>
                <w:szCs w:val="18"/>
                <w:lang w:eastAsia="fr-FR"/>
              </w:rPr>
              <w:t>LUNA MINING SPRL</w:t>
            </w:r>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59</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M.J.M SPRL</w:t>
            </w:r>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lastRenderedPageBreak/>
              <w:t>60</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r w:rsidRPr="00E10BE5">
              <w:rPr>
                <w:bCs w:val="0"/>
                <w:color w:val="000000"/>
                <w:sz w:val="18"/>
                <w:szCs w:val="18"/>
                <w:lang w:eastAsia="fr-FR"/>
              </w:rPr>
              <w:t>MAGMA MINERAL</w:t>
            </w:r>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61</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MANIEMA MINING COMPANY</w:t>
            </w:r>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62</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r w:rsidRPr="00E10BE5">
              <w:rPr>
                <w:bCs w:val="0"/>
                <w:color w:val="000000"/>
                <w:sz w:val="18"/>
                <w:szCs w:val="18"/>
                <w:lang w:eastAsia="fr-FR"/>
              </w:rPr>
              <w:t>MANONO MINERALS SARL</w:t>
            </w:r>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63</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METACHEM</w:t>
            </w:r>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64</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r w:rsidRPr="00E10BE5">
              <w:rPr>
                <w:bCs w:val="0"/>
                <w:color w:val="000000"/>
                <w:sz w:val="18"/>
                <w:szCs w:val="18"/>
                <w:lang w:eastAsia="fr-FR"/>
              </w:rPr>
              <w:t>METAL MINES</w:t>
            </w:r>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65</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MIBA</w:t>
            </w:r>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66</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r w:rsidRPr="00E10BE5">
              <w:rPr>
                <w:bCs w:val="0"/>
                <w:color w:val="000000"/>
                <w:sz w:val="18"/>
                <w:szCs w:val="18"/>
                <w:lang w:eastAsia="fr-FR"/>
              </w:rPr>
              <w:t>MINING MINERAL RESSOURCE  SARL</w:t>
            </w:r>
          </w:p>
        </w:tc>
      </w:tr>
      <w:tr w:rsidR="00E10BE5" w:rsidRPr="008D6ABB"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67</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val="en-US" w:eastAsia="fr-FR"/>
              </w:rPr>
            </w:pPr>
            <w:r w:rsidRPr="00E10BE5">
              <w:rPr>
                <w:bCs w:val="0"/>
                <w:color w:val="000000"/>
                <w:sz w:val="18"/>
                <w:szCs w:val="18"/>
                <w:lang w:val="en-US" w:eastAsia="fr-FR"/>
              </w:rPr>
              <w:t xml:space="preserve">MINING PROCESSING AND </w:t>
            </w:r>
            <w:proofErr w:type="gramStart"/>
            <w:r w:rsidRPr="00E10BE5">
              <w:rPr>
                <w:bCs w:val="0"/>
                <w:color w:val="000000"/>
                <w:sz w:val="18"/>
                <w:szCs w:val="18"/>
                <w:lang w:val="en-US" w:eastAsia="fr-FR"/>
              </w:rPr>
              <w:t>CONGO(</w:t>
            </w:r>
            <w:proofErr w:type="gramEnd"/>
            <w:r w:rsidRPr="00E10BE5">
              <w:rPr>
                <w:bCs w:val="0"/>
                <w:color w:val="000000"/>
                <w:sz w:val="18"/>
                <w:szCs w:val="18"/>
                <w:lang w:val="en-US" w:eastAsia="fr-FR"/>
              </w:rPr>
              <w:t>EX ALPHAMINBISIE MINING SA)</w:t>
            </w:r>
          </w:p>
        </w:tc>
      </w:tr>
      <w:tr w:rsidR="00E10BE5" w:rsidRPr="008D6ABB"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68</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val="en-US" w:eastAsia="fr-FR"/>
              </w:rPr>
            </w:pPr>
            <w:r w:rsidRPr="00E10BE5">
              <w:rPr>
                <w:bCs w:val="0"/>
                <w:color w:val="000000"/>
                <w:sz w:val="18"/>
                <w:szCs w:val="18"/>
                <w:lang w:val="en-US" w:eastAsia="fr-FR"/>
              </w:rPr>
              <w:t>MMG KINSEVERE SARL (Ex. AMCK MINING SPRL)</w:t>
            </w:r>
          </w:p>
        </w:tc>
      </w:tr>
      <w:tr w:rsidR="00E10BE5" w:rsidRPr="008D6ABB"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69</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val="en-US" w:eastAsia="fr-FR"/>
              </w:rPr>
            </w:pPr>
            <w:r w:rsidRPr="00E10BE5">
              <w:rPr>
                <w:bCs w:val="0"/>
                <w:color w:val="000000"/>
                <w:sz w:val="18"/>
                <w:szCs w:val="18"/>
                <w:lang w:val="en-US" w:eastAsia="fr-FR"/>
              </w:rPr>
              <w:t>MONGBWALU GOLD MINES SA (ex: ASHANTI GOLDFIEDS KILO)</w:t>
            </w:r>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70</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r w:rsidRPr="00E10BE5">
              <w:rPr>
                <w:bCs w:val="0"/>
                <w:color w:val="000000"/>
                <w:sz w:val="18"/>
                <w:szCs w:val="18"/>
                <w:lang w:eastAsia="fr-FR"/>
              </w:rPr>
              <w:t>MURUMBI MINERALS SPRL</w:t>
            </w:r>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71</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MUTANDA MINING</w:t>
            </w:r>
          </w:p>
        </w:tc>
      </w:tr>
      <w:tr w:rsidR="00E10BE5" w:rsidRPr="008D6ABB"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72</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val="en-US" w:eastAsia="fr-FR"/>
              </w:rPr>
            </w:pPr>
            <w:r w:rsidRPr="00E10BE5">
              <w:rPr>
                <w:bCs w:val="0"/>
                <w:color w:val="000000"/>
                <w:sz w:val="18"/>
                <w:szCs w:val="18"/>
                <w:lang w:val="en-US" w:eastAsia="fr-FR"/>
              </w:rPr>
              <w:t>MWANA AFRICA (MIZAKO</w:t>
            </w:r>
            <w:proofErr w:type="gramStart"/>
            <w:r w:rsidRPr="00E10BE5">
              <w:rPr>
                <w:bCs w:val="0"/>
                <w:color w:val="000000"/>
                <w:sz w:val="18"/>
                <w:szCs w:val="18"/>
                <w:lang w:val="en-US" w:eastAsia="fr-FR"/>
              </w:rPr>
              <w:t>,MINIERE</w:t>
            </w:r>
            <w:proofErr w:type="gramEnd"/>
            <w:r w:rsidRPr="00E10BE5">
              <w:rPr>
                <w:bCs w:val="0"/>
                <w:color w:val="000000"/>
                <w:sz w:val="18"/>
                <w:szCs w:val="18"/>
                <w:lang w:val="en-US" w:eastAsia="fr-FR"/>
              </w:rPr>
              <w:t xml:space="preserve"> ZANI KODO)</w:t>
            </w:r>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73</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NAMOYA MINING</w:t>
            </w:r>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74</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r w:rsidRPr="00E10BE5">
              <w:rPr>
                <w:bCs w:val="0"/>
                <w:color w:val="000000"/>
                <w:sz w:val="18"/>
                <w:szCs w:val="18"/>
                <w:lang w:eastAsia="fr-FR"/>
              </w:rPr>
              <w:t>OM METAL RESSOURCES SARL</w:t>
            </w:r>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75</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 xml:space="preserve">ORAMA </w:t>
            </w:r>
            <w:proofErr w:type="spellStart"/>
            <w:r w:rsidRPr="00E10BE5">
              <w:rPr>
                <w:bCs w:val="0"/>
                <w:color w:val="000000"/>
                <w:sz w:val="18"/>
                <w:szCs w:val="18"/>
                <w:lang w:eastAsia="fr-FR"/>
              </w:rPr>
              <w:t>Pty</w:t>
            </w:r>
            <w:proofErr w:type="spellEnd"/>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76</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r w:rsidRPr="00E10BE5">
              <w:rPr>
                <w:bCs w:val="0"/>
                <w:color w:val="000000"/>
                <w:sz w:val="18"/>
                <w:szCs w:val="18"/>
                <w:lang w:eastAsia="fr-FR"/>
              </w:rPr>
              <w:t>PANCOM CONGO SPRL</w:t>
            </w:r>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77</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PHELPS DODGE CONGO SARL</w:t>
            </w:r>
          </w:p>
        </w:tc>
      </w:tr>
      <w:tr w:rsidR="00E10BE5" w:rsidRPr="008D6ABB"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78</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val="en-US" w:eastAsia="fr-FR"/>
              </w:rPr>
            </w:pPr>
            <w:r w:rsidRPr="00E10BE5">
              <w:rPr>
                <w:bCs w:val="0"/>
                <w:color w:val="000000"/>
                <w:sz w:val="18"/>
                <w:szCs w:val="18"/>
                <w:lang w:val="en-US" w:eastAsia="fr-FR"/>
              </w:rPr>
              <w:t>RIO TINTO CONGO RDC SPRL</w:t>
            </w:r>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79</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RUASHI MINING</w:t>
            </w:r>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80</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r w:rsidRPr="00E10BE5">
              <w:rPr>
                <w:bCs w:val="0"/>
                <w:color w:val="000000"/>
                <w:sz w:val="18"/>
                <w:szCs w:val="18"/>
                <w:lang w:eastAsia="fr-FR"/>
              </w:rPr>
              <w:t>RUBACO SARL</w:t>
            </w:r>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81</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RUBAMIN SARL</w:t>
            </w:r>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82</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r w:rsidRPr="00E10BE5">
              <w:rPr>
                <w:bCs w:val="0"/>
                <w:color w:val="000000"/>
                <w:sz w:val="18"/>
                <w:szCs w:val="18"/>
                <w:lang w:eastAsia="fr-FR"/>
              </w:rPr>
              <w:t>SACIM</w:t>
            </w:r>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83</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SASE MINING SARL</w:t>
            </w:r>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84</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proofErr w:type="spellStart"/>
            <w:r w:rsidRPr="00E10BE5">
              <w:rPr>
                <w:bCs w:val="0"/>
                <w:color w:val="000000"/>
                <w:sz w:val="18"/>
                <w:szCs w:val="18"/>
                <w:lang w:eastAsia="fr-FR"/>
              </w:rPr>
              <w:t>Scmk</w:t>
            </w:r>
            <w:proofErr w:type="spellEnd"/>
            <w:r w:rsidRPr="00E10BE5">
              <w:rPr>
                <w:bCs w:val="0"/>
                <w:color w:val="000000"/>
                <w:sz w:val="18"/>
                <w:szCs w:val="18"/>
                <w:lang w:eastAsia="fr-FR"/>
              </w:rPr>
              <w:t>-Mn</w:t>
            </w:r>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85</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SHITURU MINING CORPORATION</w:t>
            </w:r>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86</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r w:rsidRPr="00E10BE5">
              <w:rPr>
                <w:bCs w:val="0"/>
                <w:color w:val="000000"/>
                <w:sz w:val="18"/>
                <w:szCs w:val="18"/>
                <w:lang w:eastAsia="fr-FR"/>
              </w:rPr>
              <w:t>SINO CONGOLAISE DES MINES SARL (SICOMINES)</w:t>
            </w:r>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87</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SINO KATANGATIN</w:t>
            </w:r>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88</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r w:rsidRPr="00E10BE5">
              <w:rPr>
                <w:bCs w:val="0"/>
                <w:color w:val="000000"/>
                <w:sz w:val="18"/>
                <w:szCs w:val="18"/>
                <w:lang w:eastAsia="fr-FR"/>
              </w:rPr>
              <w:t>Société  minière de NYUNZU SPRL (*)</w:t>
            </w:r>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89</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SOCIETE AURIFERE DU KIVU ET DU MANIEMA (SAKIMA)</w:t>
            </w:r>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90</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r w:rsidRPr="00E10BE5">
              <w:rPr>
                <w:bCs w:val="0"/>
                <w:color w:val="000000"/>
                <w:sz w:val="18"/>
                <w:szCs w:val="18"/>
                <w:lang w:eastAsia="fr-FR"/>
              </w:rPr>
              <w:t>SOCIETE DE DEVELOPPEMENT INDUSTRIEL ET MINIER DE KATANGA (SODIMIKA)</w:t>
            </w:r>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91</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SOCIETE DE DEVELOPPEMENT INDUSTRIEL ET MINIER DU CONGO (SODIMICO)</w:t>
            </w:r>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92</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r w:rsidRPr="00E10BE5">
              <w:rPr>
                <w:bCs w:val="0"/>
                <w:color w:val="000000"/>
                <w:sz w:val="18"/>
                <w:szCs w:val="18"/>
                <w:lang w:eastAsia="fr-FR"/>
              </w:rPr>
              <w:t>SOCIETE DE TRAITEMENT DU TERRIL DE LUBUMBASHI</w:t>
            </w:r>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93</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SOCIETE D'EXPLOITATION DE GISEMENT DE KALUKUNDI (SWANMINES)</w:t>
            </w:r>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94</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r w:rsidRPr="00E10BE5">
              <w:rPr>
                <w:bCs w:val="0"/>
                <w:color w:val="000000"/>
                <w:sz w:val="18"/>
                <w:szCs w:val="18"/>
                <w:lang w:eastAsia="fr-FR"/>
              </w:rPr>
              <w:t>SOCIETE D'EXPLOITATION DE KIPOI S.A</w:t>
            </w:r>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95</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SOCIETE D'EXPLOITATION DE LA CASSITERITE AU KATANGA SPRL</w:t>
            </w:r>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96</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r w:rsidRPr="00E10BE5">
              <w:rPr>
                <w:bCs w:val="0"/>
                <w:color w:val="000000"/>
                <w:sz w:val="18"/>
                <w:szCs w:val="18"/>
                <w:lang w:eastAsia="fr-FR"/>
              </w:rPr>
              <w:t>SOCIETE D'EXPLOITATION DES GISEMENTS DE MALEMBA NKULU SPRL</w:t>
            </w:r>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97</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 xml:space="preserve">SOCIETE D'EXPLORATION MINIERE DU HAUT </w:t>
            </w:r>
            <w:proofErr w:type="gramStart"/>
            <w:r w:rsidRPr="00E10BE5">
              <w:rPr>
                <w:bCs w:val="0"/>
                <w:color w:val="000000"/>
                <w:sz w:val="18"/>
                <w:szCs w:val="18"/>
                <w:lang w:eastAsia="fr-FR"/>
              </w:rPr>
              <w:t>KATANGA(</w:t>
            </w:r>
            <w:proofErr w:type="gramEnd"/>
            <w:r w:rsidRPr="00E10BE5">
              <w:rPr>
                <w:bCs w:val="0"/>
                <w:color w:val="000000"/>
                <w:sz w:val="18"/>
                <w:szCs w:val="18"/>
                <w:lang w:eastAsia="fr-FR"/>
              </w:rPr>
              <w:t>ANMERCOSA)</w:t>
            </w:r>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98</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r w:rsidRPr="00E10BE5">
              <w:rPr>
                <w:bCs w:val="0"/>
                <w:color w:val="000000"/>
                <w:sz w:val="18"/>
                <w:szCs w:val="18"/>
                <w:lang w:eastAsia="fr-FR"/>
              </w:rPr>
              <w:t>SOCIETE IMMOBILIERE DU CONGO SAS</w:t>
            </w:r>
          </w:p>
        </w:tc>
      </w:tr>
      <w:tr w:rsidR="00E10BE5" w:rsidRPr="008D6ABB"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99</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val="en-US" w:eastAsia="fr-FR"/>
              </w:rPr>
            </w:pPr>
            <w:r w:rsidRPr="00E10BE5">
              <w:rPr>
                <w:bCs w:val="0"/>
                <w:color w:val="000000"/>
                <w:sz w:val="18"/>
                <w:szCs w:val="18"/>
                <w:lang w:val="en-US" w:eastAsia="fr-FR"/>
              </w:rPr>
              <w:t>SOCIETE KAMITUGA MINING S.A.R.L</w:t>
            </w:r>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100</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r w:rsidRPr="00E10BE5">
              <w:rPr>
                <w:bCs w:val="0"/>
                <w:color w:val="000000"/>
                <w:sz w:val="18"/>
                <w:szCs w:val="18"/>
                <w:lang w:eastAsia="fr-FR"/>
              </w:rPr>
              <w:t>SOCIETE MINIERE DE BISUNZU</w:t>
            </w:r>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101</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SOCIETE MINIERE DE DIAMANT DE LUPATAPATA</w:t>
            </w:r>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102</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r w:rsidRPr="00E10BE5">
              <w:rPr>
                <w:bCs w:val="0"/>
                <w:color w:val="000000"/>
                <w:sz w:val="18"/>
                <w:szCs w:val="18"/>
                <w:lang w:eastAsia="fr-FR"/>
              </w:rPr>
              <w:t>SOCIETE MINIERE DE KILO-MOTO</w:t>
            </w:r>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103</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SOCIETE MINIERE DE KOLWEZI</w:t>
            </w:r>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104</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r w:rsidRPr="00E10BE5">
              <w:rPr>
                <w:bCs w:val="0"/>
                <w:color w:val="000000"/>
                <w:sz w:val="18"/>
                <w:szCs w:val="18"/>
                <w:lang w:eastAsia="fr-FR"/>
              </w:rPr>
              <w:t>SOCIETE MINIERE DE MITWABA</w:t>
            </w:r>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lastRenderedPageBreak/>
              <w:t>105</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SOCIETE MINIERE DE MOKU BEVERENDI</w:t>
            </w:r>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106</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r w:rsidRPr="00E10BE5">
              <w:rPr>
                <w:bCs w:val="0"/>
                <w:color w:val="000000"/>
                <w:sz w:val="18"/>
                <w:szCs w:val="18"/>
                <w:lang w:eastAsia="fr-FR"/>
              </w:rPr>
              <w:t>SOCIETE MINIERE DU KATANGA</w:t>
            </w:r>
          </w:p>
        </w:tc>
      </w:tr>
      <w:tr w:rsidR="00E10BE5" w:rsidRPr="008D6ABB"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107</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val="en-US" w:eastAsia="fr-FR"/>
              </w:rPr>
            </w:pPr>
            <w:r w:rsidRPr="00E10BE5">
              <w:rPr>
                <w:bCs w:val="0"/>
                <w:color w:val="000000"/>
                <w:sz w:val="18"/>
                <w:szCs w:val="18"/>
                <w:lang w:val="en-US" w:eastAsia="fr-FR"/>
              </w:rPr>
              <w:t>SOCIETE TWANGIZA MINING S.A.R.L</w:t>
            </w:r>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108</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r w:rsidRPr="00E10BE5">
              <w:rPr>
                <w:bCs w:val="0"/>
                <w:color w:val="000000"/>
                <w:sz w:val="18"/>
                <w:szCs w:val="18"/>
                <w:lang w:eastAsia="fr-FR"/>
              </w:rPr>
              <w:t>SOCOMEX</w:t>
            </w:r>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109</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SODIFOR SPRL</w:t>
            </w:r>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110</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r w:rsidRPr="00E10BE5">
              <w:rPr>
                <w:bCs w:val="0"/>
                <w:color w:val="000000"/>
                <w:sz w:val="18"/>
                <w:szCs w:val="18"/>
                <w:lang w:eastAsia="fr-FR"/>
              </w:rPr>
              <w:t>STR MINING SPRL</w:t>
            </w:r>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111</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TANGANYIKA MINING COMPANY SPRL</w:t>
            </w:r>
          </w:p>
        </w:tc>
      </w:tr>
      <w:tr w:rsidR="00E10BE5" w:rsidRPr="008D6ABB"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112</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val="en-US" w:eastAsia="fr-FR"/>
              </w:rPr>
            </w:pPr>
            <w:r w:rsidRPr="00E10BE5">
              <w:rPr>
                <w:bCs w:val="0"/>
                <w:color w:val="000000"/>
                <w:sz w:val="18"/>
                <w:szCs w:val="18"/>
                <w:lang w:val="en-US" w:eastAsia="fr-FR"/>
              </w:rPr>
              <w:t>TENKE FUNGURUME MINING S.A (</w:t>
            </w:r>
            <w:proofErr w:type="spellStart"/>
            <w:r w:rsidRPr="00E10BE5">
              <w:rPr>
                <w:bCs w:val="0"/>
                <w:color w:val="000000"/>
                <w:sz w:val="18"/>
                <w:szCs w:val="18"/>
                <w:lang w:val="en-US" w:eastAsia="fr-FR"/>
              </w:rPr>
              <w:t>Ex</w:t>
            </w:r>
            <w:proofErr w:type="gramStart"/>
            <w:r w:rsidRPr="00E10BE5">
              <w:rPr>
                <w:bCs w:val="0"/>
                <w:color w:val="000000"/>
                <w:sz w:val="18"/>
                <w:szCs w:val="18"/>
                <w:lang w:val="en-US" w:eastAsia="fr-FR"/>
              </w:rPr>
              <w:t>:TENKE</w:t>
            </w:r>
            <w:proofErr w:type="spellEnd"/>
            <w:proofErr w:type="gramEnd"/>
            <w:r w:rsidRPr="00E10BE5">
              <w:rPr>
                <w:bCs w:val="0"/>
                <w:color w:val="000000"/>
                <w:sz w:val="18"/>
                <w:szCs w:val="18"/>
                <w:lang w:val="en-US" w:eastAsia="fr-FR"/>
              </w:rPr>
              <w:t xml:space="preserve"> FUNGURUME MINING)</w:t>
            </w:r>
          </w:p>
        </w:tc>
      </w:tr>
      <w:tr w:rsidR="00E10BE5" w:rsidRPr="00E10BE5" w:rsidTr="00E10BE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113</w:t>
            </w:r>
          </w:p>
        </w:tc>
        <w:tc>
          <w:tcPr>
            <w:tcW w:w="6404" w:type="dxa"/>
            <w:tcBorders>
              <w:left w:val="none" w:sz="0" w:space="0" w:color="auto"/>
            </w:tcBorders>
            <w:noWrap/>
            <w:hideMark/>
          </w:tcPr>
          <w:p w:rsidR="00E10BE5" w:rsidRPr="00E10BE5" w:rsidRDefault="00E10BE5" w:rsidP="00E10BE5">
            <w:pPr>
              <w:spacing w:after="0"/>
              <w:jc w:val="lef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fr-FR"/>
              </w:rPr>
            </w:pPr>
            <w:r w:rsidRPr="00E10BE5">
              <w:rPr>
                <w:bCs w:val="0"/>
                <w:color w:val="000000"/>
                <w:sz w:val="18"/>
                <w:szCs w:val="18"/>
                <w:lang w:eastAsia="fr-FR"/>
              </w:rPr>
              <w:t>TIGER CONGO</w:t>
            </w:r>
          </w:p>
        </w:tc>
      </w:tr>
      <w:tr w:rsidR="00E10BE5" w:rsidRPr="00E10BE5" w:rsidTr="00E10BE5">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40" w:type="dxa"/>
            <w:tcBorders>
              <w:right w:val="none" w:sz="0" w:space="0" w:color="auto"/>
            </w:tcBorders>
            <w:noWrap/>
            <w:hideMark/>
          </w:tcPr>
          <w:p w:rsidR="00E10BE5" w:rsidRPr="00E10BE5" w:rsidRDefault="00E10BE5" w:rsidP="00E10BE5">
            <w:pPr>
              <w:spacing w:after="0"/>
              <w:jc w:val="center"/>
              <w:rPr>
                <w:b w:val="0"/>
                <w:color w:val="000000"/>
                <w:sz w:val="18"/>
                <w:szCs w:val="18"/>
                <w:lang w:eastAsia="fr-FR"/>
              </w:rPr>
            </w:pPr>
            <w:r w:rsidRPr="00E10BE5">
              <w:rPr>
                <w:b w:val="0"/>
                <w:color w:val="000000"/>
                <w:sz w:val="18"/>
                <w:szCs w:val="18"/>
                <w:lang w:eastAsia="fr-FR"/>
              </w:rPr>
              <w:t>114</w:t>
            </w:r>
          </w:p>
        </w:tc>
        <w:tc>
          <w:tcPr>
            <w:tcW w:w="6404" w:type="dxa"/>
            <w:tcBorders>
              <w:left w:val="none" w:sz="0" w:space="0" w:color="auto"/>
            </w:tcBorders>
            <w:noWrap/>
            <w:hideMark/>
          </w:tcPr>
          <w:p w:rsidR="00E10BE5" w:rsidRPr="00E10BE5" w:rsidRDefault="00E10BE5" w:rsidP="00E10BE5">
            <w:pPr>
              <w:spacing w:after="0"/>
              <w:jc w:val="left"/>
              <w:cnfStyle w:val="000000010000" w:firstRow="0" w:lastRow="0" w:firstColumn="0" w:lastColumn="0" w:oddVBand="0" w:evenVBand="0" w:oddHBand="0" w:evenHBand="1" w:firstRowFirstColumn="0" w:firstRowLastColumn="0" w:lastRowFirstColumn="0" w:lastRowLastColumn="0"/>
              <w:rPr>
                <w:bCs w:val="0"/>
                <w:color w:val="000000"/>
                <w:sz w:val="18"/>
                <w:szCs w:val="18"/>
                <w:lang w:eastAsia="fr-FR"/>
              </w:rPr>
            </w:pPr>
            <w:r w:rsidRPr="00E10BE5">
              <w:rPr>
                <w:bCs w:val="0"/>
                <w:color w:val="000000"/>
                <w:sz w:val="18"/>
                <w:szCs w:val="18"/>
                <w:lang w:val="en-US" w:eastAsia="fr-FR"/>
              </w:rPr>
              <w:t>WANGA MINING COMPANY SARL</w:t>
            </w:r>
          </w:p>
        </w:tc>
      </w:tr>
    </w:tbl>
    <w:p w:rsidR="00CA20A3" w:rsidRDefault="00CA20A3" w:rsidP="00A079F7">
      <w:pPr>
        <w:rPr>
          <w:szCs w:val="20"/>
        </w:rPr>
      </w:pPr>
    </w:p>
    <w:p w:rsidR="009454A9" w:rsidRPr="009454A9" w:rsidRDefault="009454A9" w:rsidP="00F77566">
      <w:pPr>
        <w:pStyle w:val="ListParagraph"/>
        <w:numPr>
          <w:ilvl w:val="0"/>
          <w:numId w:val="55"/>
        </w:numPr>
        <w:rPr>
          <w:rFonts w:cs="Times New Roman"/>
          <w:b/>
          <w:bCs w:val="0"/>
          <w:color w:val="0070C0"/>
          <w:u w:val="single"/>
        </w:rPr>
      </w:pPr>
      <w:r w:rsidRPr="009454A9">
        <w:rPr>
          <w:rFonts w:cs="Times New Roman"/>
          <w:b/>
          <w:bCs w:val="0"/>
          <w:color w:val="0070C0"/>
          <w:u w:val="single"/>
        </w:rPr>
        <w:t xml:space="preserve">Entreprises retenues pour </w:t>
      </w:r>
      <w:r>
        <w:rPr>
          <w:rFonts w:cs="Times New Roman"/>
          <w:b/>
          <w:bCs w:val="0"/>
          <w:color w:val="0070C0"/>
          <w:u w:val="single"/>
        </w:rPr>
        <w:t>une déclaration unilatérale de l'Etat</w:t>
      </w:r>
    </w:p>
    <w:tbl>
      <w:tblPr>
        <w:tblStyle w:val="Tramemoyenne1-Accent12"/>
        <w:tblW w:w="7539" w:type="dxa"/>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817"/>
        <w:gridCol w:w="4738"/>
        <w:gridCol w:w="1984"/>
      </w:tblGrid>
      <w:tr w:rsidR="00DE5183" w:rsidRPr="004D2BF6" w:rsidTr="00A100ED">
        <w:trPr>
          <w:cnfStyle w:val="100000000000" w:firstRow="1" w:lastRow="0" w:firstColumn="0" w:lastColumn="0" w:oddVBand="0" w:evenVBand="0" w:oddHBand="0" w:evenHBand="0" w:firstRowFirstColumn="0" w:firstRowLastColumn="0" w:lastRowFirstColumn="0" w:lastRowLastColumn="0"/>
          <w:trHeight w:val="358"/>
          <w:tblHeader/>
          <w:jc w:val="center"/>
        </w:trPr>
        <w:tc>
          <w:tcPr>
            <w:cnfStyle w:val="001000000000" w:firstRow="0" w:lastRow="0" w:firstColumn="1" w:lastColumn="0" w:oddVBand="0" w:evenVBand="0" w:oddHBand="0" w:evenHBand="0" w:firstRowFirstColumn="0" w:firstRowLastColumn="0" w:lastRowFirstColumn="0" w:lastRowLastColumn="0"/>
            <w:tcW w:w="817" w:type="dxa"/>
            <w:tcBorders>
              <w:top w:val="none" w:sz="0" w:space="0" w:color="auto"/>
              <w:left w:val="none" w:sz="0" w:space="0" w:color="auto"/>
              <w:bottom w:val="none" w:sz="0" w:space="0" w:color="auto"/>
              <w:right w:val="none" w:sz="0" w:space="0" w:color="auto"/>
            </w:tcBorders>
            <w:shd w:val="clear" w:color="auto" w:fill="1F497D" w:themeFill="text2"/>
            <w:noWrap/>
            <w:vAlign w:val="center"/>
            <w:hideMark/>
          </w:tcPr>
          <w:p w:rsidR="00DE5183" w:rsidRPr="004D2BF6" w:rsidRDefault="00DE5183" w:rsidP="0059513A">
            <w:pPr>
              <w:spacing w:after="0"/>
              <w:jc w:val="center"/>
              <w:rPr>
                <w:b w:val="0"/>
                <w:sz w:val="18"/>
                <w:szCs w:val="18"/>
                <w:lang w:eastAsia="fr-FR"/>
              </w:rPr>
            </w:pPr>
            <w:r w:rsidRPr="004D2BF6">
              <w:rPr>
                <w:b w:val="0"/>
                <w:sz w:val="18"/>
                <w:szCs w:val="18"/>
                <w:lang w:eastAsia="fr-FR"/>
              </w:rPr>
              <w:t>N°</w:t>
            </w:r>
          </w:p>
        </w:tc>
        <w:tc>
          <w:tcPr>
            <w:tcW w:w="4738" w:type="dxa"/>
            <w:tcBorders>
              <w:top w:val="none" w:sz="0" w:space="0" w:color="auto"/>
              <w:left w:val="none" w:sz="0" w:space="0" w:color="auto"/>
              <w:bottom w:val="none" w:sz="0" w:space="0" w:color="auto"/>
              <w:right w:val="none" w:sz="0" w:space="0" w:color="auto"/>
            </w:tcBorders>
            <w:shd w:val="clear" w:color="auto" w:fill="1F497D" w:themeFill="text2"/>
            <w:noWrap/>
            <w:vAlign w:val="center"/>
            <w:hideMark/>
          </w:tcPr>
          <w:p w:rsidR="00DE5183" w:rsidRPr="004D2BF6" w:rsidRDefault="00DE5183" w:rsidP="008D6ABB">
            <w:pPr>
              <w:spacing w:after="0"/>
              <w:jc w:val="left"/>
              <w:cnfStyle w:val="100000000000" w:firstRow="1" w:lastRow="0" w:firstColumn="0" w:lastColumn="0" w:oddVBand="0" w:evenVBand="0" w:oddHBand="0" w:evenHBand="0" w:firstRowFirstColumn="0" w:firstRowLastColumn="0" w:lastRowFirstColumn="0" w:lastRowLastColumn="0"/>
              <w:rPr>
                <w:sz w:val="18"/>
                <w:szCs w:val="18"/>
                <w:lang w:eastAsia="fr-FR"/>
              </w:rPr>
            </w:pPr>
            <w:r w:rsidRPr="004D2BF6">
              <w:rPr>
                <w:sz w:val="18"/>
                <w:szCs w:val="18"/>
                <w:lang w:eastAsia="fr-FR"/>
              </w:rPr>
              <w:t>Nom de l'Entreprise</w:t>
            </w:r>
          </w:p>
        </w:tc>
        <w:tc>
          <w:tcPr>
            <w:tcW w:w="1984" w:type="dxa"/>
            <w:tcBorders>
              <w:top w:val="none" w:sz="0" w:space="0" w:color="auto"/>
              <w:left w:val="none" w:sz="0" w:space="0" w:color="auto"/>
              <w:bottom w:val="none" w:sz="0" w:space="0" w:color="auto"/>
              <w:right w:val="none" w:sz="0" w:space="0" w:color="auto"/>
            </w:tcBorders>
            <w:shd w:val="clear" w:color="auto" w:fill="1F497D" w:themeFill="text2"/>
            <w:noWrap/>
            <w:vAlign w:val="center"/>
            <w:hideMark/>
          </w:tcPr>
          <w:p w:rsidR="00DE5183" w:rsidRPr="004D2BF6" w:rsidRDefault="00DE5183" w:rsidP="00A100ED">
            <w:pPr>
              <w:spacing w:after="0"/>
              <w:jc w:val="right"/>
              <w:cnfStyle w:val="100000000000" w:firstRow="1" w:lastRow="0" w:firstColumn="0" w:lastColumn="0" w:oddVBand="0" w:evenVBand="0" w:oddHBand="0" w:evenHBand="0" w:firstRowFirstColumn="0" w:firstRowLastColumn="0" w:lastRowFirstColumn="0" w:lastRowLastColumn="0"/>
              <w:rPr>
                <w:sz w:val="18"/>
                <w:szCs w:val="18"/>
                <w:lang w:eastAsia="fr-FR"/>
              </w:rPr>
            </w:pPr>
            <w:r w:rsidRPr="004D2BF6">
              <w:rPr>
                <w:sz w:val="18"/>
                <w:szCs w:val="18"/>
                <w:lang w:eastAsia="fr-FR"/>
              </w:rPr>
              <w:t>Montant payé</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MABENDE MINING SPRL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183 294,56</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2</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OPERA MINING</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180 073,93</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3</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EBENDE RESOURCES LTD</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168 239,27</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4</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CROWN - MINING SARL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166 598,45</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5</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PROMINES   SPRL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159 417,48</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6</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KGL ISIRO SARL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139 261,35</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7</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VIRGINIKA MINING SARL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139 059,68</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8</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XING DA MINING SARL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130 343,30</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9</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ETOILE D’ORIENT</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124 158,74</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10</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MEDRADA SARL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116 098,87</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11</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CONGO MINERALS SPRL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113 637,82</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12</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val="en-US" w:eastAsia="fr-FR"/>
              </w:rPr>
            </w:pPr>
            <w:r w:rsidRPr="004D2BF6">
              <w:rPr>
                <w:color w:val="000000"/>
                <w:sz w:val="18"/>
                <w:szCs w:val="18"/>
                <w:lang w:val="en-US" w:eastAsia="fr-FR"/>
              </w:rPr>
              <w:t>WALNI   MINERAL   COMPANY (WAMICO SARL)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113 376,61</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13</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LA MINIERE DE KALUNKUNDI</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105 754,56</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14</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AFRIMINES RESOURCES SARL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98 154,76</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15</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SOCIETE MINIERE DU KIVU</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86 965,11</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16</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MR DEZITA INVESTMENTS LRD</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84 487,80</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17</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STE MINIERE DE SANDOA</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79 981,78</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18</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CEPRODEV</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76 736,01</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19</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KATANGA MEGA MINING SARL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76 593,20</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20</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IRON MOUNTAIN</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74 552,41</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21</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LEDA MINING CONGO SARL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70 962,49</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22</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E 29 RESOURCES</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70 590,04</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23</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BOMPANZE ENGOMBE FREDDY SARL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63 812,47</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24</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STE EBACOR SPRL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53 632,73</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25</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KASAÏ SUD DIAMANT SARL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51 053,14</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26</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AMUR</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47 597,99</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27</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MIDAMINES SPRL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46 186,66</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28</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MAADINI MINING SPRL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45 368,22</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29</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KISENGO MINING SPRL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39 583,22</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lastRenderedPageBreak/>
              <w:t>30</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EQUITY MANAGEMENT SPRL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38 242,50</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31</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REGAL MANIEMA</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37 757,45</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32</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GENDIANOND LONGOTSHIMO MINING COMPANY</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31 609,63</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33</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MINES AFRIQUE SPRL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29 845,95</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34</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val="en-US" w:eastAsia="fr-FR"/>
              </w:rPr>
            </w:pPr>
            <w:r w:rsidRPr="004D2BF6">
              <w:rPr>
                <w:color w:val="000000"/>
                <w:sz w:val="18"/>
                <w:szCs w:val="18"/>
                <w:lang w:val="en-US" w:eastAsia="fr-FR"/>
              </w:rPr>
              <w:t>SILVER BACK RESOURCES SARL (SBR SARL)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28 709,29</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35</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YA FEI MINING</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26 563,05</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36</w:t>
            </w:r>
          </w:p>
        </w:tc>
        <w:tc>
          <w:tcPr>
            <w:tcW w:w="4738" w:type="dxa"/>
            <w:tcBorders>
              <w:left w:val="none" w:sz="0" w:space="0" w:color="auto"/>
              <w:right w:val="none" w:sz="0" w:space="0" w:color="auto"/>
            </w:tcBorders>
            <w:hideMark/>
          </w:tcPr>
          <w:p w:rsidR="00DE5183" w:rsidRPr="004D2BF6" w:rsidRDefault="00DE5183" w:rsidP="004D2BF6">
            <w:pPr>
              <w:spacing w:after="0"/>
              <w:ind w:left="185" w:firstLineChars="7" w:firstLine="13"/>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SOCIETE D'EXPLOITATION DES GISEMENTS DE MALEMBA NKULU SPRL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25 286,03</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37</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BUNIA ENGENERING</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20 004,85</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38</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val="en-US" w:eastAsia="fr-FR"/>
              </w:rPr>
            </w:pPr>
            <w:r w:rsidRPr="004D2BF6">
              <w:rPr>
                <w:color w:val="000000"/>
                <w:sz w:val="18"/>
                <w:szCs w:val="18"/>
                <w:lang w:val="en-US" w:eastAsia="fr-FR"/>
              </w:rPr>
              <w:t>MINING MINERALS CONTRACTING SERVICES SPRL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19 714,59</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39</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KAMPENE MINING SPRL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18 587,32</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40</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LEREXCOM MINING SARL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18 216,76</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41</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KADI INTERNATIONAL SPRL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18 043,30</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42</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GROUPE BNE CONFIANCE</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17 263,45</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43</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STE GORRION PROPERTIES LTD</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16 394,63</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44</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SHARMA VIKAS</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16 382,76</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45</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NYUMBA YA AKIBA SPRL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15 880,57</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46</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LIBERTY MINING &amp; INVESTIMENTS</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15 695,16</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47</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CONGO MINERALS AND METALS</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14 648,92</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48</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KATANGA MAJENGO SPRL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14 255,29</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49</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LA TERRE COMPANY</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13 821,42</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50</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FIRST MINING COMPANY SPRL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13 689,73</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51</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REGAL SUD KIVU</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12 907,61</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52</w:t>
            </w:r>
          </w:p>
        </w:tc>
        <w:tc>
          <w:tcPr>
            <w:tcW w:w="4738" w:type="dxa"/>
            <w:tcBorders>
              <w:left w:val="none" w:sz="0" w:space="0" w:color="auto"/>
              <w:right w:val="none" w:sz="0" w:space="0" w:color="auto"/>
            </w:tcBorders>
            <w:hideMark/>
          </w:tcPr>
          <w:p w:rsidR="00DE5183" w:rsidRPr="004D2BF6" w:rsidRDefault="00DE5183" w:rsidP="00A100ED">
            <w:pPr>
              <w:spacing w:after="0"/>
              <w:ind w:left="199" w:firstLine="1"/>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CONCORDE POUR L'INDUSTRIE ET L'EXPLOITATION SPRL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12 863,89</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53</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LA MINIERE DU CONGO</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12 659,03</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54</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COEXCO CONGO</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12 256,52</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55</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LUAMBO MINING SPRL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11 549,15</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56</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KORAL MINING SPRL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10 698,73</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57</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VIRJI SHIRAZ</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10 433,66</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58</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BASMA RABAB</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10 394,10</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59</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ADAMANTES SARL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10 385,17</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60</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GOLD DRAGON RESSOURCES RDC</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10 281,19</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61</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CIE ENGINEERING ET NEGOCE</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10 144,96</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62</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GODEFROY KAMBALE BAYOLI</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10 061,41</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63</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BAKWAFIKA KABULA</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9 327,43</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64</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YUSUFU MWANA KASONGO</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9 327,43</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65</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val="en-US" w:eastAsia="fr-FR"/>
              </w:rPr>
            </w:pPr>
            <w:r w:rsidRPr="004D2BF6">
              <w:rPr>
                <w:color w:val="000000"/>
                <w:sz w:val="18"/>
                <w:szCs w:val="18"/>
                <w:lang w:val="en-US" w:eastAsia="fr-FR"/>
              </w:rPr>
              <w:t>STE JEHOVAH JIREH ADO SPRL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9 327,43</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66</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KABOYA MASHIMABI ALPHONSE</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9 304,16</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67</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INTERNATIONA CUSTOM AGENCY SPRL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9 182,73</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68</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MUZITO NZUZI</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9 094,99</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69</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KALONGWE MINING</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8 517,52</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70</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NDJOLO FIFI</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7 959,93</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lastRenderedPageBreak/>
              <w:t>71</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TANTALE MINING</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7 525,04</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72</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val="en-US" w:eastAsia="fr-FR"/>
              </w:rPr>
            </w:pPr>
            <w:r w:rsidRPr="004D2BF6">
              <w:rPr>
                <w:color w:val="000000"/>
                <w:sz w:val="18"/>
                <w:szCs w:val="18"/>
                <w:lang w:val="en-US" w:eastAsia="fr-FR"/>
              </w:rPr>
              <w:t>KUN TAI CONGO MINING SPRL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7 410,50</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73</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CAMIS SPRL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7 357,32</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74</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IKULU LAMAJANA</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7 125,13</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75</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GERASIMO EVANGELATOS</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6 771,50</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76</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FMR DEVELOPMENT SARL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6 731,48</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77</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MANIEMA GOLD</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6 574,33</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78</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FEREXFOR NKV SARL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6 481,88</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79</w:t>
            </w:r>
          </w:p>
        </w:tc>
        <w:tc>
          <w:tcPr>
            <w:tcW w:w="4738" w:type="dxa"/>
            <w:tcBorders>
              <w:left w:val="none" w:sz="0" w:space="0" w:color="auto"/>
              <w:right w:val="none" w:sz="0" w:space="0" w:color="auto"/>
            </w:tcBorders>
            <w:hideMark/>
          </w:tcPr>
          <w:p w:rsidR="00DE5183" w:rsidRPr="004D2BF6" w:rsidRDefault="00DE5183" w:rsidP="00A100ED">
            <w:pPr>
              <w:spacing w:after="0"/>
              <w:ind w:left="199" w:firstLine="1"/>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STE HAI NAN INTERNATIONAL RESSOURCES MINING DRC SPRL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6 385,28</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80</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CENTRACORE CONGO SARL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5 636,09</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81</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KINSVERE MINING RESSOURCES</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5 509,62</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82</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CLAUDINE TABELE</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5 458,21</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83</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MUSHIYA MALENGU STEPHIE</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5 185,20</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84</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LUISHA MINING ENTREPRISE</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5 181,91</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85</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BALE MINING SPRL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5 023,38</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86</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TSM ENTREPRISES</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4 713,64</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87</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DA FEI MINING SPRL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4 612,67</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88</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MR KAHILU MBAKA GASTON</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4 593,73</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89</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ALBHAI SHAROUK ALIBHAI</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4 515,71</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90</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STE EXPROM</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4 232,32</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91</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MR KABWE SABWA HERIBERT</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4 198,64</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92</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WENTONA PROPERTIES SARL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3 942,76</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93</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PISTIS MINING CORPORATION</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3 553,98</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94</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SOMAF CORPORATION DRC</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3 341,36</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95</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PALUKU LOLWAKO SYLVAIN</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3 072,96</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96</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GERARD KALUMBA WA ANKERA</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3 066,24</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97</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MINESTONE</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2 655,89</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98</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MIKUBA MINING SPRL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2 646,99</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99</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STE ZHENG XIN</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2 529,27</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100</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GLOBAL MINING CONGO SARL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2 295,83</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101</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IMEC CONGO SPRL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2 130,00</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102</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MWAMBA MOYEMBI YOANDE</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2 128,20</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103</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MERCURE RESSOURCES</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1 993,40</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104</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STE DEVON RESOURCES</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1 904,48</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105</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GEOSCIENCE CONGO SERVICES SPRL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1 813,67</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106</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JAVAN CONGO SPRL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1 749,43</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107</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JM MULATU PUATI</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1 695,28</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108</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NONO SUMBA MUGANZA</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1 678,23</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59513A">
            <w:pPr>
              <w:spacing w:after="0"/>
              <w:jc w:val="center"/>
              <w:rPr>
                <w:b w:val="0"/>
                <w:color w:val="000000"/>
                <w:sz w:val="18"/>
                <w:szCs w:val="18"/>
                <w:lang w:eastAsia="fr-FR"/>
              </w:rPr>
            </w:pPr>
            <w:r w:rsidRPr="004D2BF6">
              <w:rPr>
                <w:b w:val="0"/>
                <w:color w:val="000000"/>
                <w:sz w:val="18"/>
                <w:szCs w:val="18"/>
                <w:lang w:eastAsia="fr-FR"/>
              </w:rPr>
              <w:t>109</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DUNIA BAKARANI FAUSTIN</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1 656,30</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110</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OMEGA MINING SPRL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1 608,28</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111</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val="en-US" w:eastAsia="fr-FR"/>
              </w:rPr>
            </w:pPr>
            <w:r w:rsidRPr="004D2BF6">
              <w:rPr>
                <w:color w:val="000000"/>
                <w:sz w:val="18"/>
                <w:szCs w:val="18"/>
                <w:lang w:val="en-US" w:eastAsia="fr-FR"/>
              </w:rPr>
              <w:t>SOMIKA P/C KASONGA MINING</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1 554,11</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112</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SAMBA MAMBA RUDY</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1 539,51</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lastRenderedPageBreak/>
              <w:t>113</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SOCIETE HAINAN</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1 510,00</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114</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val="en-US" w:eastAsia="fr-FR"/>
              </w:rPr>
            </w:pPr>
            <w:r w:rsidRPr="004D2BF6">
              <w:rPr>
                <w:color w:val="000000"/>
                <w:sz w:val="18"/>
                <w:szCs w:val="18"/>
                <w:lang w:val="en-US" w:eastAsia="fr-FR"/>
              </w:rPr>
              <w:t>MR MANKUMBWA YA SUPA GODEFROID</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1 398,53</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115</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MACROLINK JIAYUAN MINING SARL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1 328,99</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116</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LOMAMI RESSOURCES</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1 328,80</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117</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SARDC MINING</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1 327,00</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118</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AFRICA MINES CONGO SARL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1 325,53</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119</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CORE MINERALS DRC SPRML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1 265,55</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120</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BARNET GROUP SARL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1 239,91</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121</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NGUVIS CORPORATION N.C SARL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1 127,22</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122</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MR NOCA WALTER</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1 127,22</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123</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MUHIYA MICHEL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1 127,22</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124</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CONGO STORE</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1 127,22</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125</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FRANCOIS KASENDE KANDOLO</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1 127,22</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126</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PIMA MINING SPRL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1 126,50</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127</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NDOBO MWAMBY JEAN PIERRE</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1 102,57</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128</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JINSHAN AFRICAN MINES</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1 036,39</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129</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INTERMINES SARL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997,19</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130</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SIKATENDA NEEMA JACQUES</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898,68</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131</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LUBANGI MUTEBA</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872,44</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132</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NESSER YAHYA</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839,12</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133</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EAGLE GROUP SPRL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805,29</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134</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KALUMBA WA ANKERA</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783,45</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135</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MANIEKE TSHITEMBO</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777,29</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136</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AKOMA MINERALS DRC</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697,93</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137</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KALWELE VULA FRANCOIS</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676,33</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138</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THREE JS GROUIP SPRL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676,33</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139</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CESTARI FRANCESCO MARIO SPRL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676,33</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140</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TATY KONDE LUMEKA</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664,48</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141</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AFRICA RESSOURCES SARL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664,03</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142</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BMN MINING SARL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663,31</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143</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MR MUHIYA MICHEL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662,84</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144</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val="en-US" w:eastAsia="fr-FR"/>
              </w:rPr>
            </w:pPr>
            <w:r w:rsidRPr="004D2BF6">
              <w:rPr>
                <w:color w:val="000000"/>
                <w:sz w:val="18"/>
                <w:szCs w:val="18"/>
                <w:lang w:val="en-US" w:eastAsia="fr-FR"/>
              </w:rPr>
              <w:t>PPC BARNET DRC QUARYING S.A</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662,83</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145</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TRANSKAT SARL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662,57</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146</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STE TALVO</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661,64</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147</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MAMBA TSHIBUYI</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628,38</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148</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DEVON RESOURCE</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547,71</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149</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STE OLIVE</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530,83</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150</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GROUPE KEPPY MUKESH COORPORATION</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440,45</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151</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MINERALS INVESTMENT SARL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419,26</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152</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GICC SPRL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387,87</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153</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KASA MINING &amp; EXPLORATION LTD</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380,43</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154</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LUWALE MUTETEKE</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368,23</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lastRenderedPageBreak/>
              <w:t>155</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DOKOLO NDONA</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349,11</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156</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BAHATI DIAMONDS</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280,82</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157</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ALBERT KAMPANGWE M.KALOBWA</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280,51</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158</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JADDAS SARL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279,91</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159</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KANUKA MINING COMPANY SARL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271,74</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160</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val="en-US" w:eastAsia="fr-FR"/>
              </w:rPr>
            </w:pPr>
            <w:r w:rsidRPr="004D2BF6">
              <w:rPr>
                <w:color w:val="000000"/>
                <w:sz w:val="18"/>
                <w:szCs w:val="18"/>
                <w:lang w:val="en-US" w:eastAsia="fr-FR"/>
              </w:rPr>
              <w:t>SOCIETE TANTALE MINING KATANGA SPRL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271,74</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161</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NYMI PHENE BALENDA THEOPHILE</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269,47</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162</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KWANGO MINES</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265,17</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163</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SASO TRANS SPRL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253,61</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164</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SAPE TRANSPORT CONGO</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225,44</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165</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LENGO DIA NDINGA JEAN</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225,44</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166</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LIBAGIZA KAPUKU</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225,44</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167</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CORNE STOME</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219,00</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168</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OR DU KATANGA SPRL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217,39</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169</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ADVANCED MINERALS SARL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209,93</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170</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JOHN KAMBA MUZENGA</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182,28</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171</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KEBAYO MAYALA J.</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168,98</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172</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TSHIMANGA MUTAYI J.ROGER</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139,85</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173</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MR NGOIE MWEPU JONAS</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85,26</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174</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KISUNKA COLA ETIENNE</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71,03</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175</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EMILE KANENGELE NGOYA</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58,57</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176</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LA GENERALE CONGOLAISE SPRL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56,33</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177</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STE SAPE TRANSPORT CONGO</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51,81</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178</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STE SOLAIZE</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30,45</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179</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MME MIKANDJ VALENCE</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22,52</w:t>
            </w:r>
          </w:p>
        </w:tc>
      </w:tr>
      <w:tr w:rsidR="00DE5183" w:rsidRPr="004D2BF6"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180</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AMICAL KAKANA MINING SPRL</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color w:val="000000"/>
                <w:sz w:val="18"/>
                <w:szCs w:val="18"/>
                <w:lang w:eastAsia="fr-FR"/>
              </w:rPr>
            </w:pPr>
            <w:r w:rsidRPr="004D2BF6">
              <w:rPr>
                <w:color w:val="000000"/>
                <w:sz w:val="18"/>
                <w:szCs w:val="18"/>
                <w:lang w:eastAsia="fr-FR"/>
              </w:rPr>
              <w:t>11,77</w:t>
            </w:r>
          </w:p>
        </w:tc>
      </w:tr>
      <w:tr w:rsidR="00DE5183" w:rsidRPr="004D2BF6"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4D2BF6" w:rsidRDefault="00DE5183" w:rsidP="004D2BF6">
            <w:pPr>
              <w:spacing w:after="0"/>
              <w:ind w:firstLineChars="105" w:firstLine="189"/>
              <w:jc w:val="center"/>
              <w:rPr>
                <w:b w:val="0"/>
                <w:color w:val="000000"/>
                <w:sz w:val="18"/>
                <w:szCs w:val="18"/>
                <w:lang w:eastAsia="fr-FR"/>
              </w:rPr>
            </w:pPr>
            <w:r w:rsidRPr="004D2BF6">
              <w:rPr>
                <w:b w:val="0"/>
                <w:color w:val="000000"/>
                <w:sz w:val="18"/>
                <w:szCs w:val="18"/>
                <w:lang w:eastAsia="fr-FR"/>
              </w:rPr>
              <w:t>181</w:t>
            </w:r>
          </w:p>
        </w:tc>
        <w:tc>
          <w:tcPr>
            <w:tcW w:w="4738" w:type="dxa"/>
            <w:tcBorders>
              <w:left w:val="none" w:sz="0" w:space="0" w:color="auto"/>
              <w:right w:val="none" w:sz="0" w:space="0" w:color="auto"/>
            </w:tcBorders>
            <w:hideMark/>
          </w:tcPr>
          <w:p w:rsidR="00DE5183" w:rsidRPr="004D2BF6" w:rsidRDefault="00DE5183" w:rsidP="004D2BF6">
            <w:pPr>
              <w:spacing w:after="0"/>
              <w:ind w:firstLineChars="100" w:firstLine="180"/>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SOGEMA</w:t>
            </w:r>
          </w:p>
        </w:tc>
        <w:tc>
          <w:tcPr>
            <w:tcW w:w="1984" w:type="dxa"/>
            <w:tcBorders>
              <w:left w:val="none" w:sz="0" w:space="0" w:color="auto"/>
            </w:tcBorders>
            <w:hideMark/>
          </w:tcPr>
          <w:p w:rsidR="00DE5183" w:rsidRPr="004D2BF6" w:rsidRDefault="00DE5183" w:rsidP="004D2BF6">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fr-FR"/>
              </w:rPr>
            </w:pPr>
            <w:r w:rsidRPr="004D2BF6">
              <w:rPr>
                <w:color w:val="000000"/>
                <w:sz w:val="18"/>
                <w:szCs w:val="18"/>
                <w:lang w:eastAsia="fr-FR"/>
              </w:rPr>
              <w:t>0,93</w:t>
            </w:r>
          </w:p>
        </w:tc>
      </w:tr>
    </w:tbl>
    <w:tbl>
      <w:tblPr>
        <w:tblW w:w="7614" w:type="dxa"/>
        <w:tblInd w:w="779" w:type="dxa"/>
        <w:tblCellMar>
          <w:left w:w="70" w:type="dxa"/>
          <w:right w:w="70" w:type="dxa"/>
        </w:tblCellMar>
        <w:tblLook w:val="04A0" w:firstRow="1" w:lastRow="0" w:firstColumn="1" w:lastColumn="0" w:noHBand="0" w:noVBand="1"/>
      </w:tblPr>
      <w:tblGrid>
        <w:gridCol w:w="1134"/>
        <w:gridCol w:w="4820"/>
        <w:gridCol w:w="1660"/>
      </w:tblGrid>
      <w:tr w:rsidR="00DF42E4" w:rsidRPr="009A5592" w:rsidTr="00DF42E4">
        <w:trPr>
          <w:trHeight w:val="288"/>
        </w:trPr>
        <w:tc>
          <w:tcPr>
            <w:tcW w:w="1134" w:type="dxa"/>
            <w:tcBorders>
              <w:top w:val="nil"/>
              <w:left w:val="nil"/>
              <w:bottom w:val="nil"/>
              <w:right w:val="nil"/>
            </w:tcBorders>
            <w:shd w:val="clear" w:color="auto" w:fill="auto"/>
            <w:noWrap/>
            <w:vAlign w:val="bottom"/>
            <w:hideMark/>
          </w:tcPr>
          <w:p w:rsidR="00DF42E4" w:rsidRPr="009A5592" w:rsidRDefault="00DF42E4" w:rsidP="008D6ABB">
            <w:pPr>
              <w:spacing w:after="0"/>
              <w:jc w:val="center"/>
              <w:rPr>
                <w:rFonts w:asciiTheme="minorHAnsi" w:hAnsiTheme="minorHAnsi"/>
                <w:bCs w:val="0"/>
                <w:color w:val="000000"/>
                <w:sz w:val="18"/>
                <w:szCs w:val="18"/>
                <w:lang w:eastAsia="fr-FR"/>
              </w:rPr>
            </w:pPr>
            <w:r w:rsidRPr="009A5592">
              <w:rPr>
                <w:rFonts w:asciiTheme="minorHAnsi" w:hAnsiTheme="minorHAnsi"/>
                <w:bCs w:val="0"/>
                <w:color w:val="000000"/>
                <w:sz w:val="18"/>
                <w:szCs w:val="18"/>
                <w:lang w:eastAsia="fr-FR"/>
              </w:rPr>
              <w:t>182</w:t>
            </w:r>
          </w:p>
        </w:tc>
        <w:tc>
          <w:tcPr>
            <w:tcW w:w="4820" w:type="dxa"/>
            <w:tcBorders>
              <w:top w:val="nil"/>
              <w:left w:val="nil"/>
              <w:bottom w:val="nil"/>
              <w:right w:val="nil"/>
            </w:tcBorders>
            <w:shd w:val="clear" w:color="auto" w:fill="auto"/>
            <w:noWrap/>
            <w:vAlign w:val="bottom"/>
            <w:hideMark/>
          </w:tcPr>
          <w:p w:rsidR="00DF42E4" w:rsidRPr="009A5592" w:rsidRDefault="00DF42E4" w:rsidP="008D6ABB">
            <w:pPr>
              <w:spacing w:after="0"/>
              <w:jc w:val="left"/>
              <w:rPr>
                <w:rFonts w:asciiTheme="minorHAnsi" w:hAnsiTheme="minorHAnsi"/>
                <w:bCs w:val="0"/>
                <w:color w:val="000000"/>
                <w:sz w:val="18"/>
                <w:szCs w:val="18"/>
                <w:lang w:eastAsia="fr-FR"/>
              </w:rPr>
            </w:pPr>
            <w:r w:rsidRPr="009A5592">
              <w:rPr>
                <w:rFonts w:asciiTheme="minorHAnsi" w:hAnsiTheme="minorHAnsi"/>
                <w:bCs w:val="0"/>
                <w:color w:val="000000"/>
                <w:sz w:val="18"/>
                <w:szCs w:val="18"/>
                <w:lang w:eastAsia="fr-FR"/>
              </w:rPr>
              <w:t xml:space="preserve">Tantale et </w:t>
            </w:r>
            <w:proofErr w:type="spellStart"/>
            <w:r w:rsidRPr="009A5592">
              <w:rPr>
                <w:rFonts w:asciiTheme="minorHAnsi" w:hAnsiTheme="minorHAnsi"/>
                <w:bCs w:val="0"/>
                <w:color w:val="000000"/>
                <w:sz w:val="18"/>
                <w:szCs w:val="18"/>
                <w:lang w:eastAsia="fr-FR"/>
              </w:rPr>
              <w:t>Niobum</w:t>
            </w:r>
            <w:proofErr w:type="spellEnd"/>
            <w:r w:rsidRPr="009A5592">
              <w:rPr>
                <w:rFonts w:asciiTheme="minorHAnsi" w:hAnsiTheme="minorHAnsi"/>
                <w:bCs w:val="0"/>
                <w:color w:val="000000"/>
                <w:sz w:val="18"/>
                <w:szCs w:val="18"/>
                <w:lang w:eastAsia="fr-FR"/>
              </w:rPr>
              <w:t xml:space="preserve"> de </w:t>
            </w:r>
            <w:proofErr w:type="spellStart"/>
            <w:r w:rsidRPr="009A5592">
              <w:rPr>
                <w:rFonts w:asciiTheme="minorHAnsi" w:hAnsiTheme="minorHAnsi"/>
                <w:bCs w:val="0"/>
                <w:color w:val="000000"/>
                <w:sz w:val="18"/>
                <w:szCs w:val="18"/>
                <w:lang w:eastAsia="fr-FR"/>
              </w:rPr>
              <w:t>Tanganyka</w:t>
            </w:r>
            <w:proofErr w:type="spellEnd"/>
            <w:r w:rsidRPr="009A5592">
              <w:rPr>
                <w:rFonts w:asciiTheme="minorHAnsi" w:hAnsiTheme="minorHAnsi"/>
                <w:bCs w:val="0"/>
                <w:color w:val="000000"/>
                <w:sz w:val="18"/>
                <w:szCs w:val="18"/>
                <w:lang w:eastAsia="fr-FR"/>
              </w:rPr>
              <w:t xml:space="preserve"> (*)</w:t>
            </w:r>
          </w:p>
        </w:tc>
        <w:tc>
          <w:tcPr>
            <w:tcW w:w="1660" w:type="dxa"/>
            <w:tcBorders>
              <w:top w:val="nil"/>
              <w:left w:val="nil"/>
              <w:bottom w:val="nil"/>
              <w:right w:val="nil"/>
            </w:tcBorders>
            <w:shd w:val="clear" w:color="auto" w:fill="auto"/>
            <w:noWrap/>
            <w:vAlign w:val="bottom"/>
            <w:hideMark/>
          </w:tcPr>
          <w:p w:rsidR="00DF42E4" w:rsidRPr="009A5592" w:rsidRDefault="00DF42E4" w:rsidP="008D6ABB">
            <w:pPr>
              <w:spacing w:after="0"/>
              <w:jc w:val="right"/>
              <w:rPr>
                <w:rFonts w:asciiTheme="minorHAnsi" w:hAnsiTheme="minorHAnsi"/>
                <w:bCs w:val="0"/>
                <w:color w:val="000000"/>
                <w:sz w:val="18"/>
                <w:szCs w:val="18"/>
                <w:lang w:eastAsia="fr-FR"/>
              </w:rPr>
            </w:pPr>
            <w:r w:rsidRPr="009A5592">
              <w:rPr>
                <w:rFonts w:asciiTheme="minorHAnsi" w:hAnsiTheme="minorHAnsi"/>
                <w:bCs w:val="0"/>
                <w:color w:val="000000"/>
                <w:sz w:val="18"/>
                <w:szCs w:val="18"/>
                <w:lang w:eastAsia="fr-FR"/>
              </w:rPr>
              <w:t>-</w:t>
            </w:r>
          </w:p>
        </w:tc>
      </w:tr>
      <w:tr w:rsidR="00DF42E4" w:rsidRPr="009A5592" w:rsidTr="00DF42E4">
        <w:trPr>
          <w:trHeight w:val="288"/>
        </w:trPr>
        <w:tc>
          <w:tcPr>
            <w:tcW w:w="1134" w:type="dxa"/>
            <w:tcBorders>
              <w:top w:val="nil"/>
              <w:left w:val="nil"/>
              <w:bottom w:val="nil"/>
              <w:right w:val="nil"/>
            </w:tcBorders>
            <w:shd w:val="clear" w:color="000000" w:fill="BDD7EE"/>
            <w:noWrap/>
            <w:vAlign w:val="bottom"/>
            <w:hideMark/>
          </w:tcPr>
          <w:p w:rsidR="00DF42E4" w:rsidRPr="009A5592" w:rsidRDefault="00DF42E4" w:rsidP="008D6ABB">
            <w:pPr>
              <w:spacing w:after="0"/>
              <w:jc w:val="center"/>
              <w:rPr>
                <w:rFonts w:asciiTheme="minorHAnsi" w:hAnsiTheme="minorHAnsi"/>
                <w:bCs w:val="0"/>
                <w:color w:val="000000"/>
                <w:sz w:val="18"/>
                <w:szCs w:val="18"/>
                <w:lang w:eastAsia="fr-FR"/>
              </w:rPr>
            </w:pPr>
            <w:r w:rsidRPr="009A5592">
              <w:rPr>
                <w:rFonts w:asciiTheme="minorHAnsi" w:hAnsiTheme="minorHAnsi"/>
                <w:bCs w:val="0"/>
                <w:color w:val="000000"/>
                <w:sz w:val="18"/>
                <w:szCs w:val="18"/>
                <w:lang w:eastAsia="fr-FR"/>
              </w:rPr>
              <w:t>183</w:t>
            </w:r>
          </w:p>
        </w:tc>
        <w:tc>
          <w:tcPr>
            <w:tcW w:w="4820" w:type="dxa"/>
            <w:tcBorders>
              <w:top w:val="nil"/>
              <w:left w:val="nil"/>
              <w:bottom w:val="nil"/>
              <w:right w:val="nil"/>
            </w:tcBorders>
            <w:shd w:val="clear" w:color="000000" w:fill="B8CCE4"/>
            <w:noWrap/>
            <w:vAlign w:val="bottom"/>
            <w:hideMark/>
          </w:tcPr>
          <w:p w:rsidR="00DF42E4" w:rsidRPr="009A5592" w:rsidRDefault="00DF42E4" w:rsidP="008D6ABB">
            <w:pPr>
              <w:spacing w:after="0"/>
              <w:jc w:val="left"/>
              <w:rPr>
                <w:rFonts w:asciiTheme="minorHAnsi" w:hAnsiTheme="minorHAnsi"/>
                <w:bCs w:val="0"/>
                <w:color w:val="000000"/>
                <w:sz w:val="18"/>
                <w:szCs w:val="18"/>
                <w:lang w:eastAsia="fr-FR"/>
              </w:rPr>
            </w:pPr>
            <w:r w:rsidRPr="009A5592">
              <w:rPr>
                <w:rFonts w:asciiTheme="minorHAnsi" w:hAnsiTheme="minorHAnsi"/>
                <w:bCs w:val="0"/>
                <w:color w:val="000000"/>
                <w:sz w:val="18"/>
                <w:szCs w:val="18"/>
                <w:lang w:eastAsia="fr-FR"/>
              </w:rPr>
              <w:t>COTA MINING (*)</w:t>
            </w:r>
          </w:p>
        </w:tc>
        <w:tc>
          <w:tcPr>
            <w:tcW w:w="1660" w:type="dxa"/>
            <w:tcBorders>
              <w:top w:val="nil"/>
              <w:left w:val="nil"/>
              <w:bottom w:val="nil"/>
              <w:right w:val="nil"/>
            </w:tcBorders>
            <w:shd w:val="clear" w:color="000000" w:fill="BDD7EE"/>
            <w:noWrap/>
            <w:vAlign w:val="bottom"/>
            <w:hideMark/>
          </w:tcPr>
          <w:p w:rsidR="00DF42E4" w:rsidRPr="009A5592" w:rsidRDefault="00DF42E4" w:rsidP="008D6ABB">
            <w:pPr>
              <w:spacing w:after="0"/>
              <w:jc w:val="right"/>
              <w:rPr>
                <w:rFonts w:asciiTheme="minorHAnsi" w:hAnsiTheme="minorHAnsi"/>
                <w:bCs w:val="0"/>
                <w:color w:val="000000"/>
                <w:sz w:val="18"/>
                <w:szCs w:val="18"/>
                <w:lang w:eastAsia="fr-FR"/>
              </w:rPr>
            </w:pPr>
            <w:r w:rsidRPr="009A5592">
              <w:rPr>
                <w:rFonts w:asciiTheme="minorHAnsi" w:hAnsiTheme="minorHAnsi"/>
                <w:bCs w:val="0"/>
                <w:color w:val="000000"/>
                <w:sz w:val="18"/>
                <w:szCs w:val="18"/>
                <w:lang w:eastAsia="fr-FR"/>
              </w:rPr>
              <w:t>-</w:t>
            </w:r>
          </w:p>
        </w:tc>
      </w:tr>
      <w:tr w:rsidR="00DF42E4" w:rsidRPr="009A5592" w:rsidTr="00DF42E4">
        <w:trPr>
          <w:trHeight w:val="288"/>
        </w:trPr>
        <w:tc>
          <w:tcPr>
            <w:tcW w:w="1134" w:type="dxa"/>
            <w:tcBorders>
              <w:top w:val="nil"/>
              <w:left w:val="nil"/>
              <w:bottom w:val="nil"/>
              <w:right w:val="nil"/>
            </w:tcBorders>
            <w:shd w:val="clear" w:color="auto" w:fill="auto"/>
            <w:noWrap/>
            <w:vAlign w:val="bottom"/>
            <w:hideMark/>
          </w:tcPr>
          <w:p w:rsidR="00DF42E4" w:rsidRPr="009A5592" w:rsidRDefault="00DF42E4" w:rsidP="008D6ABB">
            <w:pPr>
              <w:spacing w:after="0"/>
              <w:jc w:val="center"/>
              <w:rPr>
                <w:rFonts w:asciiTheme="minorHAnsi" w:hAnsiTheme="minorHAnsi"/>
                <w:bCs w:val="0"/>
                <w:color w:val="000000"/>
                <w:sz w:val="18"/>
                <w:szCs w:val="18"/>
                <w:lang w:eastAsia="fr-FR"/>
              </w:rPr>
            </w:pPr>
            <w:r w:rsidRPr="009A5592">
              <w:rPr>
                <w:rFonts w:asciiTheme="minorHAnsi" w:hAnsiTheme="minorHAnsi"/>
                <w:bCs w:val="0"/>
                <w:color w:val="000000"/>
                <w:sz w:val="18"/>
                <w:szCs w:val="18"/>
                <w:lang w:eastAsia="fr-FR"/>
              </w:rPr>
              <w:t>184</w:t>
            </w:r>
          </w:p>
        </w:tc>
        <w:tc>
          <w:tcPr>
            <w:tcW w:w="4820" w:type="dxa"/>
            <w:tcBorders>
              <w:top w:val="nil"/>
              <w:left w:val="nil"/>
              <w:bottom w:val="nil"/>
              <w:right w:val="nil"/>
            </w:tcBorders>
            <w:shd w:val="clear" w:color="auto" w:fill="auto"/>
            <w:noWrap/>
            <w:vAlign w:val="bottom"/>
            <w:hideMark/>
          </w:tcPr>
          <w:p w:rsidR="00DF42E4" w:rsidRPr="009A5592" w:rsidRDefault="00DF42E4" w:rsidP="008D6ABB">
            <w:pPr>
              <w:spacing w:after="0"/>
              <w:jc w:val="left"/>
              <w:rPr>
                <w:rFonts w:asciiTheme="minorHAnsi" w:hAnsiTheme="minorHAnsi"/>
                <w:bCs w:val="0"/>
                <w:color w:val="000000"/>
                <w:sz w:val="18"/>
                <w:szCs w:val="18"/>
                <w:lang w:eastAsia="fr-FR"/>
              </w:rPr>
            </w:pPr>
            <w:r w:rsidRPr="009A5592">
              <w:rPr>
                <w:rFonts w:asciiTheme="minorHAnsi" w:hAnsiTheme="minorHAnsi"/>
                <w:bCs w:val="0"/>
                <w:color w:val="000000"/>
                <w:sz w:val="18"/>
                <w:szCs w:val="18"/>
                <w:lang w:eastAsia="fr-FR"/>
              </w:rPr>
              <w:t>KASONTO LUPOTO MINES (*)</w:t>
            </w:r>
          </w:p>
        </w:tc>
        <w:tc>
          <w:tcPr>
            <w:tcW w:w="1660" w:type="dxa"/>
            <w:tcBorders>
              <w:top w:val="nil"/>
              <w:left w:val="nil"/>
              <w:bottom w:val="nil"/>
              <w:right w:val="nil"/>
            </w:tcBorders>
            <w:shd w:val="clear" w:color="auto" w:fill="auto"/>
            <w:noWrap/>
            <w:vAlign w:val="bottom"/>
            <w:hideMark/>
          </w:tcPr>
          <w:p w:rsidR="00DF42E4" w:rsidRPr="009A5592" w:rsidRDefault="00DF42E4" w:rsidP="008D6ABB">
            <w:pPr>
              <w:spacing w:after="0"/>
              <w:jc w:val="right"/>
              <w:rPr>
                <w:rFonts w:asciiTheme="minorHAnsi" w:hAnsiTheme="minorHAnsi"/>
                <w:bCs w:val="0"/>
                <w:color w:val="000000"/>
                <w:sz w:val="18"/>
                <w:szCs w:val="18"/>
                <w:lang w:eastAsia="fr-FR"/>
              </w:rPr>
            </w:pPr>
            <w:r w:rsidRPr="009A5592">
              <w:rPr>
                <w:rFonts w:asciiTheme="minorHAnsi" w:hAnsiTheme="minorHAnsi"/>
                <w:bCs w:val="0"/>
                <w:color w:val="000000"/>
                <w:sz w:val="18"/>
                <w:szCs w:val="18"/>
                <w:lang w:eastAsia="fr-FR"/>
              </w:rPr>
              <w:t>-</w:t>
            </w:r>
          </w:p>
        </w:tc>
      </w:tr>
      <w:tr w:rsidR="00DF42E4" w:rsidRPr="009A5592" w:rsidTr="00DF42E4">
        <w:trPr>
          <w:trHeight w:val="288"/>
        </w:trPr>
        <w:tc>
          <w:tcPr>
            <w:tcW w:w="1134" w:type="dxa"/>
            <w:tcBorders>
              <w:top w:val="nil"/>
              <w:left w:val="nil"/>
              <w:bottom w:val="nil"/>
              <w:right w:val="nil"/>
            </w:tcBorders>
            <w:shd w:val="clear" w:color="000000" w:fill="BDD7EE"/>
            <w:noWrap/>
            <w:vAlign w:val="bottom"/>
            <w:hideMark/>
          </w:tcPr>
          <w:p w:rsidR="00DF42E4" w:rsidRPr="009A5592" w:rsidRDefault="00DF42E4" w:rsidP="008D6ABB">
            <w:pPr>
              <w:spacing w:after="0"/>
              <w:jc w:val="center"/>
              <w:rPr>
                <w:rFonts w:asciiTheme="minorHAnsi" w:hAnsiTheme="minorHAnsi"/>
                <w:bCs w:val="0"/>
                <w:color w:val="000000"/>
                <w:sz w:val="18"/>
                <w:szCs w:val="18"/>
                <w:lang w:eastAsia="fr-FR"/>
              </w:rPr>
            </w:pPr>
            <w:r w:rsidRPr="009A5592">
              <w:rPr>
                <w:rFonts w:asciiTheme="minorHAnsi" w:hAnsiTheme="minorHAnsi"/>
                <w:bCs w:val="0"/>
                <w:color w:val="000000"/>
                <w:sz w:val="18"/>
                <w:szCs w:val="18"/>
                <w:lang w:eastAsia="fr-FR"/>
              </w:rPr>
              <w:t>185</w:t>
            </w:r>
          </w:p>
        </w:tc>
        <w:tc>
          <w:tcPr>
            <w:tcW w:w="4820" w:type="dxa"/>
            <w:tcBorders>
              <w:top w:val="nil"/>
              <w:left w:val="nil"/>
              <w:bottom w:val="nil"/>
              <w:right w:val="nil"/>
            </w:tcBorders>
            <w:shd w:val="clear" w:color="000000" w:fill="B8CCE4"/>
            <w:noWrap/>
            <w:vAlign w:val="bottom"/>
            <w:hideMark/>
          </w:tcPr>
          <w:p w:rsidR="00DF42E4" w:rsidRPr="009A5592" w:rsidRDefault="00DF42E4" w:rsidP="008D6ABB">
            <w:pPr>
              <w:spacing w:after="0"/>
              <w:jc w:val="left"/>
              <w:rPr>
                <w:rFonts w:asciiTheme="minorHAnsi" w:hAnsiTheme="minorHAnsi"/>
                <w:bCs w:val="0"/>
                <w:color w:val="000000"/>
                <w:sz w:val="18"/>
                <w:szCs w:val="18"/>
                <w:lang w:eastAsia="fr-FR"/>
              </w:rPr>
            </w:pPr>
            <w:r w:rsidRPr="009A5592">
              <w:rPr>
                <w:rFonts w:asciiTheme="minorHAnsi" w:hAnsiTheme="minorHAnsi"/>
                <w:bCs w:val="0"/>
                <w:color w:val="000000"/>
                <w:sz w:val="18"/>
                <w:szCs w:val="18"/>
                <w:lang w:eastAsia="fr-FR"/>
              </w:rPr>
              <w:t>Horizon SPRL (*)</w:t>
            </w:r>
          </w:p>
        </w:tc>
        <w:tc>
          <w:tcPr>
            <w:tcW w:w="1660" w:type="dxa"/>
            <w:tcBorders>
              <w:top w:val="nil"/>
              <w:left w:val="nil"/>
              <w:bottom w:val="nil"/>
              <w:right w:val="nil"/>
            </w:tcBorders>
            <w:shd w:val="clear" w:color="000000" w:fill="BDD7EE"/>
            <w:noWrap/>
            <w:vAlign w:val="bottom"/>
            <w:hideMark/>
          </w:tcPr>
          <w:p w:rsidR="00DF42E4" w:rsidRPr="009A5592" w:rsidRDefault="00DF42E4" w:rsidP="008D6ABB">
            <w:pPr>
              <w:spacing w:after="0"/>
              <w:jc w:val="right"/>
              <w:rPr>
                <w:rFonts w:asciiTheme="minorHAnsi" w:hAnsiTheme="minorHAnsi"/>
                <w:bCs w:val="0"/>
                <w:color w:val="000000"/>
                <w:sz w:val="18"/>
                <w:szCs w:val="18"/>
                <w:lang w:eastAsia="fr-FR"/>
              </w:rPr>
            </w:pPr>
            <w:r w:rsidRPr="009A5592">
              <w:rPr>
                <w:rFonts w:asciiTheme="minorHAnsi" w:hAnsiTheme="minorHAnsi"/>
                <w:bCs w:val="0"/>
                <w:color w:val="000000"/>
                <w:sz w:val="18"/>
                <w:szCs w:val="18"/>
                <w:lang w:eastAsia="fr-FR"/>
              </w:rPr>
              <w:t>-</w:t>
            </w:r>
          </w:p>
        </w:tc>
      </w:tr>
      <w:tr w:rsidR="00DF42E4" w:rsidRPr="009A5592" w:rsidTr="00DF42E4">
        <w:trPr>
          <w:trHeight w:val="288"/>
        </w:trPr>
        <w:tc>
          <w:tcPr>
            <w:tcW w:w="1134" w:type="dxa"/>
            <w:tcBorders>
              <w:top w:val="nil"/>
              <w:left w:val="nil"/>
              <w:bottom w:val="nil"/>
              <w:right w:val="nil"/>
            </w:tcBorders>
            <w:shd w:val="clear" w:color="auto" w:fill="auto"/>
            <w:noWrap/>
            <w:vAlign w:val="bottom"/>
            <w:hideMark/>
          </w:tcPr>
          <w:p w:rsidR="00DF42E4" w:rsidRPr="009A5592" w:rsidRDefault="00DF42E4" w:rsidP="008D6ABB">
            <w:pPr>
              <w:spacing w:after="0"/>
              <w:jc w:val="center"/>
              <w:rPr>
                <w:rFonts w:asciiTheme="minorHAnsi" w:hAnsiTheme="minorHAnsi"/>
                <w:bCs w:val="0"/>
                <w:color w:val="000000"/>
                <w:sz w:val="18"/>
                <w:szCs w:val="18"/>
                <w:lang w:eastAsia="fr-FR"/>
              </w:rPr>
            </w:pPr>
            <w:r w:rsidRPr="009A5592">
              <w:rPr>
                <w:rFonts w:asciiTheme="minorHAnsi" w:hAnsiTheme="minorHAnsi"/>
                <w:bCs w:val="0"/>
                <w:color w:val="000000"/>
                <w:sz w:val="18"/>
                <w:szCs w:val="18"/>
                <w:lang w:eastAsia="fr-FR"/>
              </w:rPr>
              <w:t>186</w:t>
            </w:r>
          </w:p>
        </w:tc>
        <w:tc>
          <w:tcPr>
            <w:tcW w:w="4820" w:type="dxa"/>
            <w:tcBorders>
              <w:top w:val="nil"/>
              <w:left w:val="nil"/>
              <w:bottom w:val="nil"/>
              <w:right w:val="nil"/>
            </w:tcBorders>
            <w:shd w:val="clear" w:color="auto" w:fill="auto"/>
            <w:noWrap/>
            <w:vAlign w:val="bottom"/>
            <w:hideMark/>
          </w:tcPr>
          <w:p w:rsidR="00DF42E4" w:rsidRPr="009A5592" w:rsidRDefault="00DF42E4" w:rsidP="008D6ABB">
            <w:pPr>
              <w:spacing w:after="0"/>
              <w:jc w:val="left"/>
              <w:rPr>
                <w:rFonts w:asciiTheme="minorHAnsi" w:hAnsiTheme="minorHAnsi"/>
                <w:bCs w:val="0"/>
                <w:color w:val="000000"/>
                <w:sz w:val="18"/>
                <w:szCs w:val="18"/>
                <w:lang w:eastAsia="fr-FR"/>
              </w:rPr>
            </w:pPr>
            <w:r w:rsidRPr="009A5592">
              <w:rPr>
                <w:rFonts w:asciiTheme="minorHAnsi" w:hAnsiTheme="minorHAnsi"/>
                <w:bCs w:val="0"/>
                <w:color w:val="000000"/>
                <w:sz w:val="18"/>
                <w:szCs w:val="18"/>
                <w:lang w:eastAsia="fr-FR"/>
              </w:rPr>
              <w:t>Société  minière de NYUNZU SPRL (*)</w:t>
            </w:r>
          </w:p>
        </w:tc>
        <w:tc>
          <w:tcPr>
            <w:tcW w:w="1660" w:type="dxa"/>
            <w:tcBorders>
              <w:top w:val="nil"/>
              <w:left w:val="nil"/>
              <w:bottom w:val="nil"/>
              <w:right w:val="nil"/>
            </w:tcBorders>
            <w:shd w:val="clear" w:color="auto" w:fill="auto"/>
            <w:noWrap/>
            <w:vAlign w:val="bottom"/>
            <w:hideMark/>
          </w:tcPr>
          <w:p w:rsidR="00DF42E4" w:rsidRPr="009A5592" w:rsidRDefault="00DF42E4" w:rsidP="008D6ABB">
            <w:pPr>
              <w:spacing w:after="0"/>
              <w:jc w:val="right"/>
              <w:rPr>
                <w:rFonts w:asciiTheme="minorHAnsi" w:hAnsiTheme="minorHAnsi"/>
                <w:bCs w:val="0"/>
                <w:color w:val="000000"/>
                <w:sz w:val="18"/>
                <w:szCs w:val="18"/>
                <w:lang w:eastAsia="fr-FR"/>
              </w:rPr>
            </w:pPr>
            <w:r w:rsidRPr="009A5592">
              <w:rPr>
                <w:rFonts w:asciiTheme="minorHAnsi" w:hAnsiTheme="minorHAnsi"/>
                <w:bCs w:val="0"/>
                <w:color w:val="000000"/>
                <w:sz w:val="18"/>
                <w:szCs w:val="18"/>
                <w:lang w:eastAsia="fr-FR"/>
              </w:rPr>
              <w:t>-</w:t>
            </w:r>
          </w:p>
        </w:tc>
      </w:tr>
      <w:tr w:rsidR="00DF42E4" w:rsidRPr="009A5592" w:rsidTr="00DF42E4">
        <w:trPr>
          <w:trHeight w:val="288"/>
        </w:trPr>
        <w:tc>
          <w:tcPr>
            <w:tcW w:w="1134" w:type="dxa"/>
            <w:tcBorders>
              <w:top w:val="nil"/>
              <w:left w:val="nil"/>
              <w:bottom w:val="nil"/>
              <w:right w:val="nil"/>
            </w:tcBorders>
            <w:shd w:val="clear" w:color="000000" w:fill="BDD7EE"/>
            <w:noWrap/>
            <w:vAlign w:val="bottom"/>
            <w:hideMark/>
          </w:tcPr>
          <w:p w:rsidR="00DF42E4" w:rsidRPr="009A5592" w:rsidRDefault="00DF42E4" w:rsidP="008D6ABB">
            <w:pPr>
              <w:spacing w:after="0"/>
              <w:jc w:val="center"/>
              <w:rPr>
                <w:rFonts w:asciiTheme="minorHAnsi" w:hAnsiTheme="minorHAnsi"/>
                <w:bCs w:val="0"/>
                <w:color w:val="000000"/>
                <w:sz w:val="18"/>
                <w:szCs w:val="18"/>
                <w:lang w:eastAsia="fr-FR"/>
              </w:rPr>
            </w:pPr>
            <w:r w:rsidRPr="009A5592">
              <w:rPr>
                <w:rFonts w:asciiTheme="minorHAnsi" w:hAnsiTheme="minorHAnsi"/>
                <w:bCs w:val="0"/>
                <w:color w:val="000000"/>
                <w:sz w:val="18"/>
                <w:szCs w:val="18"/>
                <w:lang w:eastAsia="fr-FR"/>
              </w:rPr>
              <w:t>187</w:t>
            </w:r>
          </w:p>
        </w:tc>
        <w:tc>
          <w:tcPr>
            <w:tcW w:w="4820" w:type="dxa"/>
            <w:tcBorders>
              <w:top w:val="nil"/>
              <w:left w:val="nil"/>
              <w:bottom w:val="nil"/>
              <w:right w:val="nil"/>
            </w:tcBorders>
            <w:shd w:val="clear" w:color="000000" w:fill="B8CCE4"/>
            <w:noWrap/>
            <w:vAlign w:val="bottom"/>
            <w:hideMark/>
          </w:tcPr>
          <w:p w:rsidR="00DF42E4" w:rsidRPr="009A5592" w:rsidRDefault="00DF42E4" w:rsidP="008D6ABB">
            <w:pPr>
              <w:spacing w:after="0"/>
              <w:jc w:val="left"/>
              <w:rPr>
                <w:rFonts w:asciiTheme="minorHAnsi" w:hAnsiTheme="minorHAnsi"/>
                <w:bCs w:val="0"/>
                <w:color w:val="000000"/>
                <w:sz w:val="18"/>
                <w:szCs w:val="18"/>
                <w:lang w:eastAsia="fr-FR"/>
              </w:rPr>
            </w:pPr>
            <w:r w:rsidRPr="009A5592">
              <w:rPr>
                <w:rFonts w:asciiTheme="minorHAnsi" w:hAnsiTheme="minorHAnsi"/>
                <w:bCs w:val="0"/>
                <w:color w:val="000000"/>
                <w:sz w:val="18"/>
                <w:szCs w:val="18"/>
                <w:lang w:eastAsia="fr-FR"/>
              </w:rPr>
              <w:t>SOCIETE MATTADORE SPRL (*)</w:t>
            </w:r>
          </w:p>
        </w:tc>
        <w:tc>
          <w:tcPr>
            <w:tcW w:w="1660" w:type="dxa"/>
            <w:tcBorders>
              <w:top w:val="nil"/>
              <w:left w:val="nil"/>
              <w:bottom w:val="nil"/>
              <w:right w:val="nil"/>
            </w:tcBorders>
            <w:shd w:val="clear" w:color="000000" w:fill="BDD7EE"/>
            <w:noWrap/>
            <w:vAlign w:val="bottom"/>
            <w:hideMark/>
          </w:tcPr>
          <w:p w:rsidR="00DF42E4" w:rsidRPr="009A5592" w:rsidRDefault="00DF42E4" w:rsidP="008D6ABB">
            <w:pPr>
              <w:spacing w:after="0"/>
              <w:jc w:val="right"/>
              <w:rPr>
                <w:rFonts w:asciiTheme="minorHAnsi" w:hAnsiTheme="minorHAnsi"/>
                <w:bCs w:val="0"/>
                <w:color w:val="000000"/>
                <w:sz w:val="18"/>
                <w:szCs w:val="18"/>
                <w:lang w:eastAsia="fr-FR"/>
              </w:rPr>
            </w:pPr>
            <w:r w:rsidRPr="009A5592">
              <w:rPr>
                <w:rFonts w:asciiTheme="minorHAnsi" w:hAnsiTheme="minorHAnsi"/>
                <w:bCs w:val="0"/>
                <w:color w:val="000000"/>
                <w:sz w:val="18"/>
                <w:szCs w:val="18"/>
                <w:lang w:eastAsia="fr-FR"/>
              </w:rPr>
              <w:t>-</w:t>
            </w:r>
          </w:p>
        </w:tc>
      </w:tr>
      <w:tr w:rsidR="00DF42E4" w:rsidRPr="009A5592" w:rsidTr="00DF42E4">
        <w:trPr>
          <w:trHeight w:val="288"/>
        </w:trPr>
        <w:tc>
          <w:tcPr>
            <w:tcW w:w="1134" w:type="dxa"/>
            <w:tcBorders>
              <w:top w:val="nil"/>
              <w:left w:val="nil"/>
              <w:bottom w:val="nil"/>
              <w:right w:val="nil"/>
            </w:tcBorders>
            <w:shd w:val="clear" w:color="auto" w:fill="auto"/>
            <w:noWrap/>
            <w:vAlign w:val="bottom"/>
            <w:hideMark/>
          </w:tcPr>
          <w:p w:rsidR="00DF42E4" w:rsidRPr="009A5592" w:rsidRDefault="00DF42E4" w:rsidP="008D6ABB">
            <w:pPr>
              <w:spacing w:after="0"/>
              <w:jc w:val="center"/>
              <w:rPr>
                <w:rFonts w:asciiTheme="minorHAnsi" w:hAnsiTheme="minorHAnsi"/>
                <w:bCs w:val="0"/>
                <w:color w:val="000000"/>
                <w:sz w:val="18"/>
                <w:szCs w:val="18"/>
                <w:lang w:eastAsia="fr-FR"/>
              </w:rPr>
            </w:pPr>
            <w:r w:rsidRPr="009A5592">
              <w:rPr>
                <w:rFonts w:asciiTheme="minorHAnsi" w:hAnsiTheme="minorHAnsi"/>
                <w:bCs w:val="0"/>
                <w:color w:val="000000"/>
                <w:sz w:val="18"/>
                <w:szCs w:val="18"/>
                <w:lang w:eastAsia="fr-FR"/>
              </w:rPr>
              <w:t>188</w:t>
            </w:r>
          </w:p>
        </w:tc>
        <w:tc>
          <w:tcPr>
            <w:tcW w:w="4820" w:type="dxa"/>
            <w:tcBorders>
              <w:top w:val="nil"/>
              <w:left w:val="nil"/>
              <w:bottom w:val="nil"/>
              <w:right w:val="nil"/>
            </w:tcBorders>
            <w:shd w:val="clear" w:color="auto" w:fill="auto"/>
            <w:noWrap/>
            <w:vAlign w:val="bottom"/>
            <w:hideMark/>
          </w:tcPr>
          <w:p w:rsidR="00DF42E4" w:rsidRPr="009A5592" w:rsidRDefault="00DF42E4" w:rsidP="008D6ABB">
            <w:pPr>
              <w:spacing w:after="0"/>
              <w:jc w:val="left"/>
              <w:rPr>
                <w:rFonts w:asciiTheme="minorHAnsi" w:hAnsiTheme="minorHAnsi"/>
                <w:bCs w:val="0"/>
                <w:color w:val="000000"/>
                <w:sz w:val="18"/>
                <w:szCs w:val="18"/>
                <w:lang w:eastAsia="fr-FR"/>
              </w:rPr>
            </w:pPr>
            <w:r w:rsidRPr="009A5592">
              <w:rPr>
                <w:rFonts w:asciiTheme="minorHAnsi" w:hAnsiTheme="minorHAnsi"/>
                <w:bCs w:val="0"/>
                <w:color w:val="000000"/>
                <w:sz w:val="18"/>
                <w:szCs w:val="18"/>
                <w:lang w:eastAsia="fr-FR"/>
              </w:rPr>
              <w:t>VOLCANO (*)</w:t>
            </w:r>
          </w:p>
        </w:tc>
        <w:tc>
          <w:tcPr>
            <w:tcW w:w="1660" w:type="dxa"/>
            <w:tcBorders>
              <w:top w:val="nil"/>
              <w:left w:val="nil"/>
              <w:bottom w:val="nil"/>
              <w:right w:val="nil"/>
            </w:tcBorders>
            <w:shd w:val="clear" w:color="auto" w:fill="auto"/>
            <w:noWrap/>
            <w:vAlign w:val="bottom"/>
            <w:hideMark/>
          </w:tcPr>
          <w:p w:rsidR="00DF42E4" w:rsidRPr="009A5592" w:rsidRDefault="00DF42E4" w:rsidP="008D6ABB">
            <w:pPr>
              <w:spacing w:after="0"/>
              <w:jc w:val="right"/>
              <w:rPr>
                <w:rFonts w:asciiTheme="minorHAnsi" w:hAnsiTheme="minorHAnsi"/>
                <w:bCs w:val="0"/>
                <w:color w:val="000000"/>
                <w:sz w:val="18"/>
                <w:szCs w:val="18"/>
                <w:lang w:eastAsia="fr-FR"/>
              </w:rPr>
            </w:pPr>
            <w:r w:rsidRPr="009A5592">
              <w:rPr>
                <w:rFonts w:asciiTheme="minorHAnsi" w:hAnsiTheme="minorHAnsi"/>
                <w:bCs w:val="0"/>
                <w:color w:val="000000"/>
                <w:sz w:val="18"/>
                <w:szCs w:val="18"/>
                <w:lang w:eastAsia="fr-FR"/>
              </w:rPr>
              <w:t>-</w:t>
            </w:r>
          </w:p>
        </w:tc>
      </w:tr>
      <w:tr w:rsidR="00DF42E4" w:rsidRPr="009A5592" w:rsidTr="00DF42E4">
        <w:trPr>
          <w:trHeight w:val="288"/>
        </w:trPr>
        <w:tc>
          <w:tcPr>
            <w:tcW w:w="1134" w:type="dxa"/>
            <w:tcBorders>
              <w:top w:val="nil"/>
              <w:left w:val="nil"/>
              <w:bottom w:val="nil"/>
              <w:right w:val="nil"/>
            </w:tcBorders>
            <w:shd w:val="clear" w:color="000000" w:fill="BDD7EE"/>
            <w:noWrap/>
            <w:vAlign w:val="bottom"/>
            <w:hideMark/>
          </w:tcPr>
          <w:p w:rsidR="00DF42E4" w:rsidRPr="009A5592" w:rsidRDefault="00DF42E4" w:rsidP="008D6ABB">
            <w:pPr>
              <w:spacing w:after="0"/>
              <w:jc w:val="center"/>
              <w:rPr>
                <w:rFonts w:asciiTheme="minorHAnsi" w:hAnsiTheme="minorHAnsi"/>
                <w:bCs w:val="0"/>
                <w:color w:val="000000"/>
                <w:sz w:val="18"/>
                <w:szCs w:val="18"/>
                <w:lang w:eastAsia="fr-FR"/>
              </w:rPr>
            </w:pPr>
            <w:r w:rsidRPr="009A5592">
              <w:rPr>
                <w:rFonts w:asciiTheme="minorHAnsi" w:hAnsiTheme="minorHAnsi"/>
                <w:bCs w:val="0"/>
                <w:color w:val="000000"/>
                <w:sz w:val="18"/>
                <w:szCs w:val="18"/>
                <w:lang w:eastAsia="fr-FR"/>
              </w:rPr>
              <w:t>189</w:t>
            </w:r>
          </w:p>
        </w:tc>
        <w:tc>
          <w:tcPr>
            <w:tcW w:w="4820" w:type="dxa"/>
            <w:tcBorders>
              <w:top w:val="nil"/>
              <w:left w:val="nil"/>
              <w:bottom w:val="nil"/>
              <w:right w:val="nil"/>
            </w:tcBorders>
            <w:shd w:val="clear" w:color="000000" w:fill="B8CCE4"/>
            <w:noWrap/>
            <w:vAlign w:val="bottom"/>
            <w:hideMark/>
          </w:tcPr>
          <w:p w:rsidR="00DF42E4" w:rsidRPr="009A5592" w:rsidRDefault="00DF42E4" w:rsidP="008D6ABB">
            <w:pPr>
              <w:spacing w:after="0"/>
              <w:jc w:val="left"/>
              <w:rPr>
                <w:rFonts w:asciiTheme="minorHAnsi" w:hAnsiTheme="minorHAnsi"/>
                <w:bCs w:val="0"/>
                <w:color w:val="000000"/>
                <w:sz w:val="18"/>
                <w:szCs w:val="18"/>
                <w:lang w:eastAsia="fr-FR"/>
              </w:rPr>
            </w:pPr>
            <w:r w:rsidRPr="009A5592">
              <w:rPr>
                <w:rFonts w:asciiTheme="minorHAnsi" w:hAnsiTheme="minorHAnsi"/>
                <w:bCs w:val="0"/>
                <w:color w:val="000000"/>
                <w:sz w:val="18"/>
                <w:szCs w:val="18"/>
                <w:lang w:eastAsia="fr-FR"/>
              </w:rPr>
              <w:t xml:space="preserve">Congo Loyal Will </w:t>
            </w:r>
            <w:proofErr w:type="spellStart"/>
            <w:r w:rsidRPr="009A5592">
              <w:rPr>
                <w:rFonts w:asciiTheme="minorHAnsi" w:hAnsiTheme="minorHAnsi"/>
                <w:bCs w:val="0"/>
                <w:color w:val="000000"/>
                <w:sz w:val="18"/>
                <w:szCs w:val="18"/>
                <w:lang w:eastAsia="fr-FR"/>
              </w:rPr>
              <w:t>Mining</w:t>
            </w:r>
            <w:proofErr w:type="spellEnd"/>
            <w:r w:rsidRPr="009A5592">
              <w:rPr>
                <w:rFonts w:asciiTheme="minorHAnsi" w:hAnsiTheme="minorHAnsi"/>
                <w:bCs w:val="0"/>
                <w:color w:val="000000"/>
                <w:sz w:val="18"/>
                <w:szCs w:val="18"/>
                <w:lang w:eastAsia="fr-FR"/>
              </w:rPr>
              <w:t xml:space="preserve"> (*)</w:t>
            </w:r>
          </w:p>
        </w:tc>
        <w:tc>
          <w:tcPr>
            <w:tcW w:w="1660" w:type="dxa"/>
            <w:tcBorders>
              <w:top w:val="nil"/>
              <w:left w:val="nil"/>
              <w:bottom w:val="nil"/>
              <w:right w:val="nil"/>
            </w:tcBorders>
            <w:shd w:val="clear" w:color="000000" w:fill="BDD7EE"/>
            <w:noWrap/>
            <w:vAlign w:val="bottom"/>
            <w:hideMark/>
          </w:tcPr>
          <w:p w:rsidR="00DF42E4" w:rsidRPr="009A5592" w:rsidRDefault="00DF42E4" w:rsidP="008D6ABB">
            <w:pPr>
              <w:spacing w:after="0"/>
              <w:jc w:val="right"/>
              <w:rPr>
                <w:rFonts w:asciiTheme="minorHAnsi" w:hAnsiTheme="minorHAnsi"/>
                <w:bCs w:val="0"/>
                <w:color w:val="000000"/>
                <w:sz w:val="18"/>
                <w:szCs w:val="18"/>
                <w:lang w:eastAsia="fr-FR"/>
              </w:rPr>
            </w:pPr>
            <w:r w:rsidRPr="009A5592">
              <w:rPr>
                <w:rFonts w:asciiTheme="minorHAnsi" w:hAnsiTheme="minorHAnsi"/>
                <w:bCs w:val="0"/>
                <w:color w:val="000000"/>
                <w:sz w:val="18"/>
                <w:szCs w:val="18"/>
                <w:lang w:eastAsia="fr-FR"/>
              </w:rPr>
              <w:t> </w:t>
            </w:r>
          </w:p>
        </w:tc>
      </w:tr>
    </w:tbl>
    <w:p w:rsidR="009454A9" w:rsidRDefault="009454A9" w:rsidP="00A079F7">
      <w:pPr>
        <w:rPr>
          <w:szCs w:val="20"/>
        </w:rPr>
      </w:pPr>
    </w:p>
    <w:p w:rsidR="005367E0" w:rsidRDefault="005367E0" w:rsidP="00A079F7">
      <w:pPr>
        <w:rPr>
          <w:szCs w:val="20"/>
        </w:rPr>
      </w:pPr>
    </w:p>
    <w:p w:rsidR="00D86B11" w:rsidRDefault="00D86B11" w:rsidP="00A079F7">
      <w:pPr>
        <w:rPr>
          <w:szCs w:val="20"/>
        </w:rPr>
      </w:pPr>
    </w:p>
    <w:p w:rsidR="00D86B11" w:rsidRDefault="00D86B11" w:rsidP="00A079F7">
      <w:pPr>
        <w:rPr>
          <w:szCs w:val="20"/>
        </w:rPr>
      </w:pPr>
    </w:p>
    <w:p w:rsidR="00D86B11" w:rsidRDefault="00D86B11" w:rsidP="00A079F7">
      <w:pPr>
        <w:rPr>
          <w:szCs w:val="20"/>
        </w:rPr>
      </w:pPr>
    </w:p>
    <w:p w:rsidR="005367E0" w:rsidRDefault="005367E0" w:rsidP="00A079F7">
      <w:pPr>
        <w:rPr>
          <w:szCs w:val="20"/>
        </w:rPr>
      </w:pPr>
    </w:p>
    <w:p w:rsidR="00A079F7" w:rsidRPr="001F60A5" w:rsidRDefault="007E1277" w:rsidP="00A079F7">
      <w:pPr>
        <w:pStyle w:val="Heading2"/>
        <w:numPr>
          <w:ilvl w:val="1"/>
          <w:numId w:val="2"/>
        </w:numPr>
        <w:shd w:val="clear" w:color="auto" w:fill="BFBFBF"/>
        <w:spacing w:before="240"/>
        <w:ind w:hanging="720"/>
        <w:rPr>
          <w:sz w:val="24"/>
          <w:szCs w:val="24"/>
        </w:rPr>
      </w:pPr>
      <w:bookmarkStart w:id="38" w:name="_Toc343975242"/>
      <w:bookmarkStart w:id="39" w:name="_Toc343975268"/>
      <w:bookmarkStart w:id="40" w:name="_Toc373673709"/>
      <w:bookmarkStart w:id="41" w:name="_Toc429359782"/>
      <w:bookmarkStart w:id="42" w:name="_Toc451431103"/>
      <w:bookmarkEnd w:id="38"/>
      <w:bookmarkEnd w:id="39"/>
      <w:r>
        <w:rPr>
          <w:sz w:val="24"/>
          <w:szCs w:val="24"/>
        </w:rPr>
        <w:lastRenderedPageBreak/>
        <w:t>Périmètre</w:t>
      </w:r>
      <w:r w:rsidRPr="001F60A5">
        <w:rPr>
          <w:sz w:val="24"/>
          <w:szCs w:val="24"/>
        </w:rPr>
        <w:t xml:space="preserve"> </w:t>
      </w:r>
      <w:r>
        <w:rPr>
          <w:sz w:val="24"/>
          <w:szCs w:val="24"/>
        </w:rPr>
        <w:t>ITIE RDC 2015</w:t>
      </w:r>
      <w:r w:rsidRPr="001F60A5">
        <w:rPr>
          <w:sz w:val="24"/>
          <w:szCs w:val="24"/>
        </w:rPr>
        <w:t xml:space="preserve"> </w:t>
      </w:r>
      <w:r w:rsidR="00A079F7" w:rsidRPr="001F60A5">
        <w:rPr>
          <w:sz w:val="24"/>
          <w:szCs w:val="24"/>
        </w:rPr>
        <w:t xml:space="preserve">– Entités </w:t>
      </w:r>
      <w:bookmarkEnd w:id="40"/>
      <w:r w:rsidR="00A079F7" w:rsidRPr="001F60A5">
        <w:rPr>
          <w:sz w:val="24"/>
          <w:szCs w:val="24"/>
        </w:rPr>
        <w:t>Publiques</w:t>
      </w:r>
      <w:bookmarkEnd w:id="41"/>
      <w:bookmarkEnd w:id="42"/>
    </w:p>
    <w:p w:rsidR="00A079F7" w:rsidRPr="001F60A5" w:rsidRDefault="00A079F7" w:rsidP="00A079F7">
      <w:pPr>
        <w:spacing w:before="240" w:after="120"/>
      </w:pPr>
      <w:r w:rsidRPr="00E718E9">
        <w:t xml:space="preserve">Sur la base du périmètre des sociétés </w:t>
      </w:r>
      <w:r>
        <w:t>extractifs</w:t>
      </w:r>
      <w:r w:rsidRPr="00E718E9">
        <w:t xml:space="preserve"> et des flux de pa</w:t>
      </w:r>
      <w:r w:rsidR="00F239A7">
        <w:t>iement retenus pour l’année 2015</w:t>
      </w:r>
      <w:r w:rsidRPr="00E718E9">
        <w:t xml:space="preserve">, </w:t>
      </w:r>
      <w:r>
        <w:t>Six (6</w:t>
      </w:r>
      <w:r w:rsidRPr="00E718E9">
        <w:t xml:space="preserve">) </w:t>
      </w:r>
      <w:r>
        <w:t>entités publiques</w:t>
      </w:r>
      <w:r w:rsidRPr="00E718E9">
        <w:t xml:space="preserve"> et </w:t>
      </w:r>
      <w:r>
        <w:t>neuf</w:t>
      </w:r>
      <w:r w:rsidRPr="00E718E9">
        <w:t xml:space="preserve"> (</w:t>
      </w:r>
      <w:r>
        <w:t>9</w:t>
      </w:r>
      <w:r w:rsidRPr="00E718E9">
        <w:t>) entreprises du Portefeuille de l’Etat devront être sollicitées pour la déclaration des paiements reçus des sociétés minières.</w:t>
      </w:r>
      <w:r>
        <w:t xml:space="preserve"> Ces entités sont présentées comme suit :</w:t>
      </w:r>
    </w:p>
    <w:tbl>
      <w:tblPr>
        <w:tblW w:w="5000" w:type="pct"/>
        <w:jc w:val="center"/>
        <w:tblCellMar>
          <w:left w:w="70" w:type="dxa"/>
          <w:right w:w="70" w:type="dxa"/>
        </w:tblCellMar>
        <w:tblLook w:val="04A0" w:firstRow="1" w:lastRow="0" w:firstColumn="1" w:lastColumn="0" w:noHBand="0" w:noVBand="1"/>
      </w:tblPr>
      <w:tblGrid>
        <w:gridCol w:w="6216"/>
        <w:gridCol w:w="1463"/>
        <w:gridCol w:w="1533"/>
      </w:tblGrid>
      <w:tr w:rsidR="00A079F7" w:rsidRPr="00CF6CD8" w:rsidTr="00E514F4">
        <w:trPr>
          <w:trHeight w:val="284"/>
          <w:jc w:val="center"/>
        </w:trPr>
        <w:tc>
          <w:tcPr>
            <w:tcW w:w="3374" w:type="pct"/>
            <w:tcBorders>
              <w:top w:val="nil"/>
              <w:left w:val="nil"/>
              <w:bottom w:val="single" w:sz="12" w:space="0" w:color="4F81BD"/>
              <w:right w:val="nil"/>
            </w:tcBorders>
            <w:shd w:val="clear" w:color="000000" w:fill="244061"/>
            <w:vAlign w:val="center"/>
            <w:hideMark/>
          </w:tcPr>
          <w:p w:rsidR="00A079F7" w:rsidRPr="00CF6CD8" w:rsidRDefault="00A079F7" w:rsidP="00E514F4">
            <w:pPr>
              <w:spacing w:before="60" w:after="60"/>
              <w:jc w:val="left"/>
              <w:rPr>
                <w:sz w:val="18"/>
                <w:szCs w:val="18"/>
              </w:rPr>
            </w:pPr>
            <w:r w:rsidRPr="00CF6CD8">
              <w:rPr>
                <w:sz w:val="18"/>
                <w:szCs w:val="18"/>
              </w:rPr>
              <w:t xml:space="preserve">Entités publiques </w:t>
            </w:r>
          </w:p>
        </w:tc>
        <w:tc>
          <w:tcPr>
            <w:tcW w:w="794" w:type="pct"/>
            <w:tcBorders>
              <w:top w:val="nil"/>
              <w:left w:val="nil"/>
              <w:bottom w:val="single" w:sz="12" w:space="0" w:color="4F81BD"/>
              <w:right w:val="nil"/>
            </w:tcBorders>
            <w:shd w:val="clear" w:color="000000" w:fill="244061"/>
            <w:vAlign w:val="center"/>
          </w:tcPr>
          <w:p w:rsidR="00A079F7" w:rsidRPr="00CF6CD8" w:rsidRDefault="00A079F7" w:rsidP="00E514F4">
            <w:pPr>
              <w:spacing w:before="60" w:after="60"/>
              <w:jc w:val="center"/>
              <w:rPr>
                <w:sz w:val="18"/>
                <w:szCs w:val="18"/>
              </w:rPr>
            </w:pPr>
            <w:r w:rsidRPr="00CF6CD8">
              <w:rPr>
                <w:sz w:val="18"/>
                <w:szCs w:val="18"/>
              </w:rPr>
              <w:t>Secteur Minier</w:t>
            </w:r>
          </w:p>
        </w:tc>
        <w:tc>
          <w:tcPr>
            <w:tcW w:w="832" w:type="pct"/>
            <w:tcBorders>
              <w:top w:val="nil"/>
              <w:left w:val="nil"/>
              <w:bottom w:val="single" w:sz="12" w:space="0" w:color="4F81BD"/>
              <w:right w:val="nil"/>
            </w:tcBorders>
            <w:shd w:val="clear" w:color="000000" w:fill="244061"/>
            <w:vAlign w:val="center"/>
          </w:tcPr>
          <w:p w:rsidR="00A079F7" w:rsidRPr="00CF6CD8" w:rsidRDefault="00A079F7" w:rsidP="00E514F4">
            <w:pPr>
              <w:spacing w:before="60" w:after="60"/>
              <w:jc w:val="center"/>
              <w:rPr>
                <w:sz w:val="18"/>
                <w:szCs w:val="18"/>
              </w:rPr>
            </w:pPr>
            <w:r w:rsidRPr="00CF6CD8">
              <w:rPr>
                <w:sz w:val="18"/>
                <w:szCs w:val="18"/>
              </w:rPr>
              <w:t>Secteur Pétrolier</w:t>
            </w:r>
          </w:p>
        </w:tc>
      </w:tr>
      <w:tr w:rsidR="00A079F7" w:rsidRPr="00CF6CD8" w:rsidTr="00E514F4">
        <w:trPr>
          <w:trHeight w:val="284"/>
          <w:jc w:val="center"/>
        </w:trPr>
        <w:tc>
          <w:tcPr>
            <w:tcW w:w="3374" w:type="pct"/>
            <w:tcBorders>
              <w:top w:val="single" w:sz="8" w:space="0" w:color="4F81BD"/>
              <w:left w:val="nil"/>
              <w:bottom w:val="single" w:sz="8" w:space="0" w:color="4F81BD"/>
              <w:right w:val="nil"/>
            </w:tcBorders>
            <w:shd w:val="clear" w:color="000000" w:fill="B8CCE4"/>
            <w:vAlign w:val="center"/>
            <w:hideMark/>
          </w:tcPr>
          <w:p w:rsidR="00A079F7" w:rsidRPr="00CF6CD8" w:rsidRDefault="00A079F7" w:rsidP="00E514F4">
            <w:pPr>
              <w:spacing w:before="60" w:after="60"/>
              <w:jc w:val="left"/>
              <w:rPr>
                <w:sz w:val="18"/>
                <w:szCs w:val="18"/>
              </w:rPr>
            </w:pPr>
            <w:r w:rsidRPr="00CF6CD8">
              <w:rPr>
                <w:sz w:val="18"/>
                <w:szCs w:val="18"/>
              </w:rPr>
              <w:t>Direction Générale des Impôts (DGI)</w:t>
            </w:r>
          </w:p>
        </w:tc>
        <w:tc>
          <w:tcPr>
            <w:tcW w:w="794" w:type="pct"/>
            <w:tcBorders>
              <w:top w:val="single" w:sz="8" w:space="0" w:color="4F81BD"/>
              <w:left w:val="nil"/>
              <w:bottom w:val="single" w:sz="8" w:space="0" w:color="4F81BD"/>
              <w:right w:val="nil"/>
            </w:tcBorders>
            <w:shd w:val="clear" w:color="000000" w:fill="B8CCE4"/>
            <w:vAlign w:val="center"/>
          </w:tcPr>
          <w:p w:rsidR="00A079F7" w:rsidRPr="00CF6CD8" w:rsidRDefault="00A079F7" w:rsidP="00E514F4">
            <w:pPr>
              <w:spacing w:before="60" w:after="60"/>
              <w:jc w:val="center"/>
              <w:rPr>
                <w:sz w:val="18"/>
                <w:szCs w:val="18"/>
              </w:rPr>
            </w:pPr>
            <w:r w:rsidRPr="00CF6CD8">
              <w:rPr>
                <w:bCs w:val="0"/>
                <w:sz w:val="18"/>
                <w:szCs w:val="18"/>
                <w:lang w:eastAsia="fr-FR"/>
              </w:rPr>
              <w:sym w:font="Wingdings" w:char="F0FC"/>
            </w:r>
          </w:p>
        </w:tc>
        <w:tc>
          <w:tcPr>
            <w:tcW w:w="832" w:type="pct"/>
            <w:tcBorders>
              <w:top w:val="single" w:sz="8" w:space="0" w:color="4F81BD"/>
              <w:left w:val="nil"/>
              <w:bottom w:val="single" w:sz="8" w:space="0" w:color="4F81BD"/>
              <w:right w:val="nil"/>
            </w:tcBorders>
            <w:shd w:val="clear" w:color="000000" w:fill="B8CCE4"/>
            <w:vAlign w:val="center"/>
          </w:tcPr>
          <w:p w:rsidR="00A079F7" w:rsidRPr="00CF6CD8" w:rsidRDefault="00A079F7" w:rsidP="00E514F4">
            <w:pPr>
              <w:spacing w:before="60" w:after="60"/>
              <w:jc w:val="center"/>
              <w:rPr>
                <w:sz w:val="18"/>
                <w:szCs w:val="18"/>
              </w:rPr>
            </w:pPr>
            <w:r w:rsidRPr="00CF6CD8">
              <w:rPr>
                <w:bCs w:val="0"/>
                <w:sz w:val="18"/>
                <w:szCs w:val="18"/>
                <w:lang w:eastAsia="fr-FR"/>
              </w:rPr>
              <w:sym w:font="Wingdings" w:char="F0FC"/>
            </w:r>
          </w:p>
        </w:tc>
      </w:tr>
      <w:tr w:rsidR="00A079F7" w:rsidRPr="00CF6CD8" w:rsidTr="00E514F4">
        <w:trPr>
          <w:trHeight w:val="284"/>
          <w:jc w:val="center"/>
        </w:trPr>
        <w:tc>
          <w:tcPr>
            <w:tcW w:w="3374" w:type="pct"/>
            <w:tcBorders>
              <w:top w:val="nil"/>
              <w:left w:val="nil"/>
              <w:bottom w:val="single" w:sz="8" w:space="0" w:color="4F81BD"/>
              <w:right w:val="nil"/>
            </w:tcBorders>
            <w:shd w:val="clear" w:color="000000" w:fill="FFFFFF"/>
            <w:vAlign w:val="center"/>
            <w:hideMark/>
          </w:tcPr>
          <w:p w:rsidR="00A079F7" w:rsidRPr="00CF6CD8" w:rsidRDefault="00A079F7" w:rsidP="00E514F4">
            <w:pPr>
              <w:spacing w:before="60" w:after="60"/>
              <w:jc w:val="left"/>
              <w:rPr>
                <w:sz w:val="18"/>
                <w:szCs w:val="18"/>
              </w:rPr>
            </w:pPr>
            <w:r w:rsidRPr="00CF6CD8">
              <w:rPr>
                <w:sz w:val="18"/>
                <w:szCs w:val="18"/>
              </w:rPr>
              <w:t>Direction Générale des Recettes Administratives, Judiciaires, Domaniales et de Participation (DGRAD)</w:t>
            </w:r>
          </w:p>
        </w:tc>
        <w:tc>
          <w:tcPr>
            <w:tcW w:w="794" w:type="pct"/>
            <w:tcBorders>
              <w:top w:val="nil"/>
              <w:left w:val="nil"/>
              <w:bottom w:val="single" w:sz="8" w:space="0" w:color="4F81BD"/>
              <w:right w:val="nil"/>
            </w:tcBorders>
            <w:shd w:val="clear" w:color="000000" w:fill="FFFFFF"/>
            <w:vAlign w:val="center"/>
          </w:tcPr>
          <w:p w:rsidR="00A079F7" w:rsidRPr="00CF6CD8" w:rsidRDefault="00A079F7" w:rsidP="00E514F4">
            <w:pPr>
              <w:spacing w:before="60" w:after="60"/>
              <w:jc w:val="center"/>
              <w:rPr>
                <w:sz w:val="18"/>
                <w:szCs w:val="18"/>
              </w:rPr>
            </w:pPr>
            <w:r w:rsidRPr="00CF6CD8">
              <w:rPr>
                <w:bCs w:val="0"/>
                <w:sz w:val="18"/>
                <w:szCs w:val="18"/>
                <w:lang w:eastAsia="fr-FR"/>
              </w:rPr>
              <w:sym w:font="Wingdings" w:char="F0FC"/>
            </w:r>
          </w:p>
        </w:tc>
        <w:tc>
          <w:tcPr>
            <w:tcW w:w="832" w:type="pct"/>
            <w:tcBorders>
              <w:top w:val="nil"/>
              <w:left w:val="nil"/>
              <w:bottom w:val="single" w:sz="8" w:space="0" w:color="4F81BD"/>
              <w:right w:val="nil"/>
            </w:tcBorders>
            <w:shd w:val="clear" w:color="000000" w:fill="FFFFFF"/>
            <w:vAlign w:val="center"/>
          </w:tcPr>
          <w:p w:rsidR="00A079F7" w:rsidRPr="00CF6CD8" w:rsidRDefault="00A079F7" w:rsidP="00E514F4">
            <w:pPr>
              <w:spacing w:before="60" w:after="60"/>
              <w:jc w:val="center"/>
              <w:rPr>
                <w:sz w:val="18"/>
                <w:szCs w:val="18"/>
              </w:rPr>
            </w:pPr>
            <w:r w:rsidRPr="00CF6CD8">
              <w:rPr>
                <w:bCs w:val="0"/>
                <w:sz w:val="18"/>
                <w:szCs w:val="18"/>
                <w:lang w:eastAsia="fr-FR"/>
              </w:rPr>
              <w:sym w:font="Wingdings" w:char="F0FC"/>
            </w:r>
          </w:p>
        </w:tc>
      </w:tr>
      <w:tr w:rsidR="00A079F7" w:rsidRPr="00CF6CD8" w:rsidTr="00E514F4">
        <w:trPr>
          <w:trHeight w:val="284"/>
          <w:jc w:val="center"/>
        </w:trPr>
        <w:tc>
          <w:tcPr>
            <w:tcW w:w="3374" w:type="pct"/>
            <w:tcBorders>
              <w:top w:val="single" w:sz="8" w:space="0" w:color="4F81BD"/>
              <w:left w:val="nil"/>
              <w:bottom w:val="single" w:sz="8" w:space="0" w:color="4F81BD"/>
              <w:right w:val="nil"/>
            </w:tcBorders>
            <w:shd w:val="clear" w:color="000000" w:fill="B8CCE4" w:themeFill="accent1" w:themeFillTint="66"/>
            <w:vAlign w:val="center"/>
          </w:tcPr>
          <w:p w:rsidR="00A079F7" w:rsidRPr="00CF6CD8" w:rsidRDefault="00A079F7" w:rsidP="00E514F4">
            <w:pPr>
              <w:spacing w:before="60" w:after="60"/>
              <w:jc w:val="left"/>
              <w:rPr>
                <w:sz w:val="18"/>
                <w:szCs w:val="18"/>
              </w:rPr>
            </w:pPr>
            <w:r w:rsidRPr="00CF6CD8">
              <w:rPr>
                <w:sz w:val="18"/>
                <w:szCs w:val="18"/>
              </w:rPr>
              <w:t>Direction Générale des Douanes et Accises (DGDA)</w:t>
            </w:r>
          </w:p>
        </w:tc>
        <w:tc>
          <w:tcPr>
            <w:tcW w:w="794" w:type="pct"/>
            <w:tcBorders>
              <w:top w:val="single" w:sz="8" w:space="0" w:color="4F81BD"/>
              <w:left w:val="nil"/>
              <w:bottom w:val="single" w:sz="8" w:space="0" w:color="4F81BD"/>
              <w:right w:val="nil"/>
            </w:tcBorders>
            <w:shd w:val="clear" w:color="000000" w:fill="B8CCE4" w:themeFill="accent1" w:themeFillTint="66"/>
            <w:vAlign w:val="center"/>
          </w:tcPr>
          <w:p w:rsidR="00A079F7" w:rsidRPr="00CF6CD8" w:rsidRDefault="00A079F7" w:rsidP="00E514F4">
            <w:pPr>
              <w:spacing w:before="60" w:after="60"/>
              <w:jc w:val="center"/>
              <w:rPr>
                <w:bCs w:val="0"/>
                <w:sz w:val="18"/>
                <w:szCs w:val="18"/>
                <w:lang w:eastAsia="fr-FR"/>
              </w:rPr>
            </w:pPr>
            <w:r w:rsidRPr="00CF6CD8">
              <w:rPr>
                <w:bCs w:val="0"/>
                <w:sz w:val="18"/>
                <w:szCs w:val="18"/>
                <w:lang w:eastAsia="fr-FR"/>
              </w:rPr>
              <w:sym w:font="Wingdings" w:char="F0FC"/>
            </w:r>
          </w:p>
        </w:tc>
        <w:tc>
          <w:tcPr>
            <w:tcW w:w="832" w:type="pct"/>
            <w:tcBorders>
              <w:top w:val="single" w:sz="8" w:space="0" w:color="4F81BD"/>
              <w:left w:val="nil"/>
              <w:bottom w:val="single" w:sz="8" w:space="0" w:color="4F81BD"/>
              <w:right w:val="nil"/>
            </w:tcBorders>
            <w:shd w:val="clear" w:color="000000" w:fill="B8CCE4" w:themeFill="accent1" w:themeFillTint="66"/>
            <w:vAlign w:val="center"/>
          </w:tcPr>
          <w:p w:rsidR="00A079F7" w:rsidRPr="00CF6CD8" w:rsidRDefault="00A079F7" w:rsidP="00E514F4">
            <w:pPr>
              <w:spacing w:before="60" w:after="60"/>
              <w:jc w:val="center"/>
              <w:rPr>
                <w:bCs w:val="0"/>
                <w:sz w:val="18"/>
                <w:szCs w:val="18"/>
                <w:lang w:eastAsia="fr-FR"/>
              </w:rPr>
            </w:pPr>
          </w:p>
        </w:tc>
      </w:tr>
      <w:tr w:rsidR="00A079F7" w:rsidRPr="00CF6CD8" w:rsidTr="00E514F4">
        <w:trPr>
          <w:trHeight w:val="284"/>
          <w:jc w:val="center"/>
        </w:trPr>
        <w:tc>
          <w:tcPr>
            <w:tcW w:w="3374" w:type="pct"/>
            <w:tcBorders>
              <w:top w:val="nil"/>
              <w:left w:val="nil"/>
              <w:bottom w:val="single" w:sz="8" w:space="0" w:color="4F81BD"/>
              <w:right w:val="nil"/>
            </w:tcBorders>
            <w:shd w:val="clear" w:color="000000" w:fill="FFFFFF"/>
            <w:vAlign w:val="center"/>
          </w:tcPr>
          <w:p w:rsidR="00A079F7" w:rsidRPr="00CF6CD8" w:rsidRDefault="00A079F7" w:rsidP="00E514F4">
            <w:pPr>
              <w:spacing w:before="60" w:after="60"/>
              <w:jc w:val="left"/>
              <w:rPr>
                <w:sz w:val="18"/>
                <w:szCs w:val="18"/>
              </w:rPr>
            </w:pPr>
            <w:r w:rsidRPr="00CF6CD8">
              <w:rPr>
                <w:sz w:val="18"/>
                <w:szCs w:val="18"/>
              </w:rPr>
              <w:t>Direction des Recettes de Katanga (DRKAT)</w:t>
            </w:r>
          </w:p>
        </w:tc>
        <w:tc>
          <w:tcPr>
            <w:tcW w:w="794" w:type="pct"/>
            <w:tcBorders>
              <w:top w:val="nil"/>
              <w:left w:val="nil"/>
              <w:bottom w:val="single" w:sz="8" w:space="0" w:color="4F81BD"/>
              <w:right w:val="nil"/>
            </w:tcBorders>
            <w:shd w:val="clear" w:color="000000" w:fill="FFFFFF"/>
            <w:vAlign w:val="center"/>
          </w:tcPr>
          <w:p w:rsidR="00A079F7" w:rsidRPr="00CF6CD8" w:rsidRDefault="00A079F7" w:rsidP="00E514F4">
            <w:pPr>
              <w:spacing w:before="60" w:after="60"/>
              <w:jc w:val="center"/>
              <w:rPr>
                <w:bCs w:val="0"/>
                <w:sz w:val="18"/>
                <w:szCs w:val="18"/>
                <w:lang w:eastAsia="fr-FR"/>
              </w:rPr>
            </w:pPr>
            <w:r w:rsidRPr="00CF6CD8">
              <w:rPr>
                <w:bCs w:val="0"/>
                <w:sz w:val="18"/>
                <w:szCs w:val="18"/>
                <w:lang w:eastAsia="fr-FR"/>
              </w:rPr>
              <w:sym w:font="Wingdings" w:char="F0FC"/>
            </w:r>
          </w:p>
        </w:tc>
        <w:tc>
          <w:tcPr>
            <w:tcW w:w="832" w:type="pct"/>
            <w:tcBorders>
              <w:top w:val="nil"/>
              <w:left w:val="nil"/>
              <w:bottom w:val="single" w:sz="8" w:space="0" w:color="4F81BD"/>
              <w:right w:val="nil"/>
            </w:tcBorders>
            <w:shd w:val="clear" w:color="000000" w:fill="FFFFFF"/>
            <w:vAlign w:val="center"/>
          </w:tcPr>
          <w:p w:rsidR="00A079F7" w:rsidRPr="00CF6CD8" w:rsidRDefault="00A079F7" w:rsidP="00E514F4">
            <w:pPr>
              <w:spacing w:before="60" w:after="60"/>
              <w:jc w:val="center"/>
              <w:rPr>
                <w:bCs w:val="0"/>
                <w:sz w:val="18"/>
                <w:szCs w:val="18"/>
                <w:lang w:eastAsia="fr-FR"/>
              </w:rPr>
            </w:pPr>
          </w:p>
        </w:tc>
      </w:tr>
      <w:tr w:rsidR="00A079F7" w:rsidRPr="00CF6CD8" w:rsidTr="00E514F4">
        <w:trPr>
          <w:trHeight w:val="284"/>
          <w:jc w:val="center"/>
        </w:trPr>
        <w:tc>
          <w:tcPr>
            <w:tcW w:w="3374" w:type="pct"/>
            <w:tcBorders>
              <w:top w:val="single" w:sz="8" w:space="0" w:color="4F81BD"/>
              <w:left w:val="nil"/>
              <w:bottom w:val="single" w:sz="8" w:space="0" w:color="4F81BD"/>
              <w:right w:val="nil"/>
            </w:tcBorders>
            <w:shd w:val="clear" w:color="000000" w:fill="B8CCE4" w:themeFill="accent1" w:themeFillTint="66"/>
            <w:vAlign w:val="center"/>
          </w:tcPr>
          <w:p w:rsidR="00A079F7" w:rsidRPr="00CF6CD8" w:rsidRDefault="00A079F7" w:rsidP="00E514F4">
            <w:pPr>
              <w:spacing w:before="60" w:after="60"/>
              <w:jc w:val="left"/>
              <w:rPr>
                <w:sz w:val="18"/>
                <w:szCs w:val="18"/>
              </w:rPr>
            </w:pPr>
            <w:r w:rsidRPr="00CF6CD8">
              <w:rPr>
                <w:sz w:val="18"/>
                <w:szCs w:val="18"/>
              </w:rPr>
              <w:t>Secrétariat Général du Ministère des Hydrocarbure (SGH)</w:t>
            </w:r>
          </w:p>
        </w:tc>
        <w:tc>
          <w:tcPr>
            <w:tcW w:w="794" w:type="pct"/>
            <w:tcBorders>
              <w:top w:val="single" w:sz="8" w:space="0" w:color="4F81BD"/>
              <w:left w:val="nil"/>
              <w:bottom w:val="single" w:sz="8" w:space="0" w:color="4F81BD"/>
              <w:right w:val="nil"/>
            </w:tcBorders>
            <w:shd w:val="clear" w:color="000000" w:fill="B8CCE4" w:themeFill="accent1" w:themeFillTint="66"/>
            <w:vAlign w:val="center"/>
          </w:tcPr>
          <w:p w:rsidR="00A079F7" w:rsidRPr="00CF6CD8" w:rsidRDefault="00A079F7" w:rsidP="00E514F4">
            <w:pPr>
              <w:spacing w:before="60" w:after="60"/>
              <w:jc w:val="center"/>
              <w:rPr>
                <w:sz w:val="18"/>
                <w:szCs w:val="18"/>
              </w:rPr>
            </w:pPr>
          </w:p>
        </w:tc>
        <w:tc>
          <w:tcPr>
            <w:tcW w:w="832" w:type="pct"/>
            <w:tcBorders>
              <w:top w:val="single" w:sz="8" w:space="0" w:color="4F81BD"/>
              <w:left w:val="nil"/>
              <w:bottom w:val="single" w:sz="8" w:space="0" w:color="4F81BD"/>
              <w:right w:val="nil"/>
            </w:tcBorders>
            <w:shd w:val="clear" w:color="000000" w:fill="B8CCE4" w:themeFill="accent1" w:themeFillTint="66"/>
            <w:vAlign w:val="center"/>
          </w:tcPr>
          <w:p w:rsidR="00A079F7" w:rsidRPr="00CF6CD8" w:rsidRDefault="00A079F7" w:rsidP="00E514F4">
            <w:pPr>
              <w:spacing w:before="60" w:after="60"/>
              <w:jc w:val="center"/>
              <w:rPr>
                <w:sz w:val="18"/>
                <w:szCs w:val="18"/>
              </w:rPr>
            </w:pPr>
            <w:r w:rsidRPr="00CF6CD8">
              <w:rPr>
                <w:bCs w:val="0"/>
                <w:sz w:val="18"/>
                <w:szCs w:val="18"/>
                <w:lang w:eastAsia="fr-FR"/>
              </w:rPr>
              <w:sym w:font="Wingdings" w:char="F0FC"/>
            </w:r>
          </w:p>
        </w:tc>
      </w:tr>
      <w:tr w:rsidR="00A079F7" w:rsidRPr="00CF6CD8" w:rsidTr="00E514F4">
        <w:trPr>
          <w:trHeight w:val="284"/>
          <w:jc w:val="center"/>
        </w:trPr>
        <w:tc>
          <w:tcPr>
            <w:tcW w:w="3374" w:type="pct"/>
            <w:tcBorders>
              <w:top w:val="single" w:sz="8" w:space="0" w:color="4F81BD"/>
              <w:left w:val="nil"/>
              <w:bottom w:val="single" w:sz="8" w:space="0" w:color="4F81BD"/>
              <w:right w:val="nil"/>
            </w:tcBorders>
            <w:shd w:val="clear" w:color="000000" w:fill="FFFFFF" w:themeFill="background1"/>
            <w:vAlign w:val="center"/>
          </w:tcPr>
          <w:p w:rsidR="00A079F7" w:rsidRPr="00CF6CD8" w:rsidRDefault="00A079F7" w:rsidP="00E514F4">
            <w:pPr>
              <w:spacing w:before="60" w:after="60"/>
              <w:jc w:val="left"/>
              <w:rPr>
                <w:sz w:val="18"/>
                <w:szCs w:val="18"/>
              </w:rPr>
            </w:pPr>
            <w:r w:rsidRPr="00CF6CD8">
              <w:rPr>
                <w:bCs w:val="0"/>
                <w:color w:val="000000"/>
                <w:sz w:val="18"/>
                <w:szCs w:val="18"/>
                <w:lang w:eastAsia="fr-FR"/>
              </w:rPr>
              <w:t>Ministère de l’Environnement et Développement Durable (MEDD)</w:t>
            </w:r>
          </w:p>
        </w:tc>
        <w:tc>
          <w:tcPr>
            <w:tcW w:w="794" w:type="pct"/>
            <w:tcBorders>
              <w:top w:val="single" w:sz="8" w:space="0" w:color="4F81BD"/>
              <w:left w:val="nil"/>
              <w:bottom w:val="single" w:sz="8" w:space="0" w:color="4F81BD"/>
              <w:right w:val="nil"/>
            </w:tcBorders>
            <w:shd w:val="clear" w:color="000000" w:fill="FFFFFF" w:themeFill="background1"/>
            <w:vAlign w:val="center"/>
          </w:tcPr>
          <w:p w:rsidR="00A079F7" w:rsidRPr="00CF6CD8" w:rsidRDefault="00A079F7" w:rsidP="00E514F4">
            <w:pPr>
              <w:spacing w:before="60" w:after="60"/>
              <w:jc w:val="center"/>
              <w:rPr>
                <w:bCs w:val="0"/>
                <w:color w:val="000000"/>
                <w:sz w:val="18"/>
                <w:szCs w:val="18"/>
                <w:lang w:eastAsia="fr-FR"/>
              </w:rPr>
            </w:pPr>
          </w:p>
        </w:tc>
        <w:tc>
          <w:tcPr>
            <w:tcW w:w="832" w:type="pct"/>
            <w:tcBorders>
              <w:top w:val="single" w:sz="8" w:space="0" w:color="4F81BD"/>
              <w:left w:val="nil"/>
              <w:bottom w:val="single" w:sz="8" w:space="0" w:color="4F81BD"/>
              <w:right w:val="nil"/>
            </w:tcBorders>
            <w:shd w:val="clear" w:color="000000" w:fill="FFFFFF" w:themeFill="background1"/>
            <w:vAlign w:val="center"/>
          </w:tcPr>
          <w:p w:rsidR="00A079F7" w:rsidRPr="00CF6CD8" w:rsidRDefault="00A079F7" w:rsidP="00E514F4">
            <w:pPr>
              <w:spacing w:before="60" w:after="60"/>
              <w:jc w:val="center"/>
              <w:rPr>
                <w:bCs w:val="0"/>
                <w:color w:val="000000"/>
                <w:sz w:val="18"/>
                <w:szCs w:val="18"/>
                <w:lang w:eastAsia="fr-FR"/>
              </w:rPr>
            </w:pPr>
            <w:r w:rsidRPr="00CF6CD8">
              <w:rPr>
                <w:bCs w:val="0"/>
                <w:sz w:val="18"/>
                <w:szCs w:val="18"/>
                <w:lang w:eastAsia="fr-FR"/>
              </w:rPr>
              <w:sym w:font="Wingdings" w:char="F0FC"/>
            </w:r>
          </w:p>
        </w:tc>
      </w:tr>
      <w:tr w:rsidR="00A079F7" w:rsidRPr="00CF6CD8" w:rsidTr="00E514F4">
        <w:trPr>
          <w:trHeight w:val="284"/>
          <w:jc w:val="center"/>
        </w:trPr>
        <w:tc>
          <w:tcPr>
            <w:tcW w:w="3374" w:type="pct"/>
            <w:tcBorders>
              <w:top w:val="single" w:sz="8" w:space="0" w:color="4F81BD"/>
              <w:left w:val="nil"/>
              <w:bottom w:val="single" w:sz="8" w:space="0" w:color="4F81BD"/>
              <w:right w:val="nil"/>
            </w:tcBorders>
            <w:shd w:val="clear" w:color="000000" w:fill="17365D" w:themeFill="text2" w:themeFillShade="BF"/>
            <w:vAlign w:val="center"/>
          </w:tcPr>
          <w:p w:rsidR="00A079F7" w:rsidRPr="00CF6CD8" w:rsidRDefault="00A079F7" w:rsidP="00E514F4">
            <w:pPr>
              <w:spacing w:before="60" w:after="60"/>
              <w:jc w:val="left"/>
              <w:rPr>
                <w:sz w:val="18"/>
                <w:szCs w:val="18"/>
              </w:rPr>
            </w:pPr>
            <w:r w:rsidRPr="00CF6CD8">
              <w:rPr>
                <w:sz w:val="18"/>
                <w:szCs w:val="18"/>
              </w:rPr>
              <w:t>Entreprise de du Portefeuille de l’Etat</w:t>
            </w:r>
          </w:p>
        </w:tc>
        <w:tc>
          <w:tcPr>
            <w:tcW w:w="794" w:type="pct"/>
            <w:tcBorders>
              <w:top w:val="single" w:sz="8" w:space="0" w:color="4F81BD"/>
              <w:left w:val="nil"/>
              <w:bottom w:val="single" w:sz="8" w:space="0" w:color="4F81BD"/>
              <w:right w:val="nil"/>
            </w:tcBorders>
            <w:shd w:val="clear" w:color="000000" w:fill="17365D" w:themeFill="text2" w:themeFillShade="BF"/>
            <w:vAlign w:val="center"/>
          </w:tcPr>
          <w:p w:rsidR="00A079F7" w:rsidRPr="00CF6CD8" w:rsidRDefault="00A079F7" w:rsidP="00E514F4">
            <w:pPr>
              <w:spacing w:before="60" w:after="60"/>
              <w:jc w:val="center"/>
              <w:rPr>
                <w:sz w:val="18"/>
                <w:szCs w:val="18"/>
              </w:rPr>
            </w:pPr>
          </w:p>
        </w:tc>
        <w:tc>
          <w:tcPr>
            <w:tcW w:w="832" w:type="pct"/>
            <w:tcBorders>
              <w:top w:val="single" w:sz="8" w:space="0" w:color="4F81BD"/>
              <w:left w:val="nil"/>
              <w:bottom w:val="single" w:sz="8" w:space="0" w:color="4F81BD"/>
              <w:right w:val="nil"/>
            </w:tcBorders>
            <w:shd w:val="clear" w:color="000000" w:fill="17365D" w:themeFill="text2" w:themeFillShade="BF"/>
            <w:vAlign w:val="center"/>
          </w:tcPr>
          <w:p w:rsidR="00A079F7" w:rsidRPr="00CF6CD8" w:rsidRDefault="00A079F7" w:rsidP="00E514F4">
            <w:pPr>
              <w:spacing w:before="60" w:after="60"/>
              <w:jc w:val="center"/>
              <w:rPr>
                <w:sz w:val="18"/>
                <w:szCs w:val="18"/>
              </w:rPr>
            </w:pPr>
          </w:p>
        </w:tc>
      </w:tr>
      <w:tr w:rsidR="00A079F7" w:rsidRPr="00CF6CD8" w:rsidTr="00E514F4">
        <w:trPr>
          <w:trHeight w:val="284"/>
          <w:jc w:val="center"/>
        </w:trPr>
        <w:tc>
          <w:tcPr>
            <w:tcW w:w="3374" w:type="pct"/>
            <w:tcBorders>
              <w:top w:val="nil"/>
              <w:left w:val="nil"/>
              <w:bottom w:val="single" w:sz="8" w:space="0" w:color="4F81BD"/>
              <w:right w:val="nil"/>
            </w:tcBorders>
            <w:shd w:val="clear" w:color="000000" w:fill="B8CCE4"/>
            <w:vAlign w:val="center"/>
            <w:hideMark/>
          </w:tcPr>
          <w:p w:rsidR="00A079F7" w:rsidRPr="00CF6CD8" w:rsidRDefault="00A079F7" w:rsidP="00E514F4">
            <w:pPr>
              <w:spacing w:before="60" w:after="60"/>
              <w:jc w:val="left"/>
              <w:rPr>
                <w:sz w:val="18"/>
                <w:szCs w:val="18"/>
              </w:rPr>
            </w:pPr>
            <w:r w:rsidRPr="00CF6CD8">
              <w:rPr>
                <w:sz w:val="18"/>
                <w:szCs w:val="18"/>
              </w:rPr>
              <w:t xml:space="preserve">Gécamines, </w:t>
            </w:r>
            <w:proofErr w:type="spellStart"/>
            <w:r w:rsidRPr="00CF6CD8">
              <w:rPr>
                <w:sz w:val="18"/>
                <w:szCs w:val="18"/>
              </w:rPr>
              <w:t>Sokimo</w:t>
            </w:r>
            <w:proofErr w:type="spellEnd"/>
            <w:r w:rsidRPr="00CF6CD8">
              <w:rPr>
                <w:sz w:val="18"/>
                <w:szCs w:val="18"/>
              </w:rPr>
              <w:t xml:space="preserve">, </w:t>
            </w:r>
            <w:proofErr w:type="spellStart"/>
            <w:r w:rsidRPr="00CF6CD8">
              <w:rPr>
                <w:sz w:val="18"/>
                <w:szCs w:val="18"/>
              </w:rPr>
              <w:t>Sodimico</w:t>
            </w:r>
            <w:proofErr w:type="spellEnd"/>
            <w:r w:rsidRPr="00CF6CD8">
              <w:rPr>
                <w:sz w:val="18"/>
                <w:szCs w:val="18"/>
              </w:rPr>
              <w:t xml:space="preserve">, </w:t>
            </w:r>
            <w:proofErr w:type="spellStart"/>
            <w:r w:rsidRPr="00CF6CD8">
              <w:rPr>
                <w:sz w:val="18"/>
                <w:szCs w:val="18"/>
              </w:rPr>
              <w:t>Scmk</w:t>
            </w:r>
            <w:proofErr w:type="spellEnd"/>
            <w:r w:rsidRPr="00CF6CD8">
              <w:rPr>
                <w:sz w:val="18"/>
                <w:szCs w:val="18"/>
              </w:rPr>
              <w:t xml:space="preserve">-Mn, </w:t>
            </w:r>
            <w:proofErr w:type="spellStart"/>
            <w:r w:rsidRPr="00CF6CD8">
              <w:rPr>
                <w:sz w:val="18"/>
                <w:szCs w:val="18"/>
              </w:rPr>
              <w:t>Cominière</w:t>
            </w:r>
            <w:proofErr w:type="spellEnd"/>
            <w:r w:rsidRPr="00CF6CD8">
              <w:rPr>
                <w:sz w:val="18"/>
                <w:szCs w:val="18"/>
              </w:rPr>
              <w:t xml:space="preserve">, </w:t>
            </w:r>
            <w:proofErr w:type="spellStart"/>
            <w:r w:rsidRPr="00CF6CD8">
              <w:rPr>
                <w:sz w:val="18"/>
                <w:szCs w:val="18"/>
              </w:rPr>
              <w:t>Sakima</w:t>
            </w:r>
            <w:proofErr w:type="spellEnd"/>
            <w:r w:rsidRPr="00CF6CD8">
              <w:rPr>
                <w:sz w:val="18"/>
                <w:szCs w:val="18"/>
              </w:rPr>
              <w:t xml:space="preserve">, </w:t>
            </w:r>
            <w:proofErr w:type="spellStart"/>
            <w:r w:rsidRPr="00CF6CD8">
              <w:rPr>
                <w:sz w:val="18"/>
                <w:szCs w:val="18"/>
              </w:rPr>
              <w:t>Miba</w:t>
            </w:r>
            <w:proofErr w:type="spellEnd"/>
            <w:r w:rsidRPr="00CF6CD8">
              <w:rPr>
                <w:sz w:val="18"/>
                <w:szCs w:val="18"/>
              </w:rPr>
              <w:t xml:space="preserve"> et </w:t>
            </w:r>
            <w:proofErr w:type="spellStart"/>
            <w:r w:rsidRPr="00CF6CD8">
              <w:rPr>
                <w:sz w:val="18"/>
                <w:szCs w:val="18"/>
              </w:rPr>
              <w:t>Sacim</w:t>
            </w:r>
            <w:proofErr w:type="spellEnd"/>
          </w:p>
        </w:tc>
        <w:tc>
          <w:tcPr>
            <w:tcW w:w="794" w:type="pct"/>
            <w:tcBorders>
              <w:top w:val="nil"/>
              <w:left w:val="nil"/>
              <w:bottom w:val="single" w:sz="8" w:space="0" w:color="4F81BD"/>
              <w:right w:val="nil"/>
            </w:tcBorders>
            <w:shd w:val="clear" w:color="000000" w:fill="B8CCE4"/>
            <w:vAlign w:val="center"/>
          </w:tcPr>
          <w:p w:rsidR="00A079F7" w:rsidRPr="00CF6CD8" w:rsidRDefault="00A079F7" w:rsidP="00E514F4">
            <w:pPr>
              <w:spacing w:before="60" w:after="60"/>
              <w:jc w:val="center"/>
              <w:rPr>
                <w:sz w:val="18"/>
                <w:szCs w:val="18"/>
              </w:rPr>
            </w:pPr>
            <w:r w:rsidRPr="00CF6CD8">
              <w:rPr>
                <w:bCs w:val="0"/>
                <w:sz w:val="18"/>
                <w:szCs w:val="18"/>
                <w:lang w:eastAsia="fr-FR"/>
              </w:rPr>
              <w:sym w:font="Wingdings" w:char="F0FC"/>
            </w:r>
          </w:p>
        </w:tc>
        <w:tc>
          <w:tcPr>
            <w:tcW w:w="832" w:type="pct"/>
            <w:tcBorders>
              <w:top w:val="nil"/>
              <w:left w:val="nil"/>
              <w:bottom w:val="single" w:sz="8" w:space="0" w:color="4F81BD"/>
              <w:right w:val="nil"/>
            </w:tcBorders>
            <w:shd w:val="clear" w:color="000000" w:fill="B8CCE4"/>
            <w:vAlign w:val="center"/>
          </w:tcPr>
          <w:p w:rsidR="00A079F7" w:rsidRPr="00CF6CD8" w:rsidRDefault="00A079F7" w:rsidP="00E514F4">
            <w:pPr>
              <w:spacing w:before="60" w:after="60"/>
              <w:jc w:val="center"/>
              <w:rPr>
                <w:sz w:val="18"/>
                <w:szCs w:val="18"/>
              </w:rPr>
            </w:pPr>
          </w:p>
        </w:tc>
      </w:tr>
      <w:tr w:rsidR="00A079F7" w:rsidRPr="00CF6CD8" w:rsidTr="00E514F4">
        <w:trPr>
          <w:trHeight w:val="284"/>
          <w:jc w:val="center"/>
        </w:trPr>
        <w:tc>
          <w:tcPr>
            <w:tcW w:w="3374" w:type="pct"/>
            <w:tcBorders>
              <w:top w:val="single" w:sz="8" w:space="0" w:color="4F81BD"/>
              <w:left w:val="nil"/>
              <w:bottom w:val="single" w:sz="8" w:space="0" w:color="4F81BD"/>
              <w:right w:val="nil"/>
            </w:tcBorders>
            <w:shd w:val="clear" w:color="000000" w:fill="auto"/>
            <w:vAlign w:val="center"/>
          </w:tcPr>
          <w:p w:rsidR="00A079F7" w:rsidRPr="00CF6CD8" w:rsidRDefault="00A079F7" w:rsidP="00E514F4">
            <w:pPr>
              <w:spacing w:before="60" w:after="60"/>
              <w:jc w:val="left"/>
              <w:rPr>
                <w:sz w:val="18"/>
                <w:szCs w:val="18"/>
              </w:rPr>
            </w:pPr>
            <w:proofErr w:type="spellStart"/>
            <w:r w:rsidRPr="00CF6CD8">
              <w:rPr>
                <w:sz w:val="18"/>
                <w:szCs w:val="18"/>
              </w:rPr>
              <w:t>Cohydro</w:t>
            </w:r>
            <w:proofErr w:type="spellEnd"/>
            <w:r w:rsidRPr="00CF6CD8">
              <w:rPr>
                <w:sz w:val="18"/>
                <w:szCs w:val="18"/>
              </w:rPr>
              <w:t xml:space="preserve"> SA</w:t>
            </w:r>
          </w:p>
        </w:tc>
        <w:tc>
          <w:tcPr>
            <w:tcW w:w="794" w:type="pct"/>
            <w:tcBorders>
              <w:top w:val="single" w:sz="8" w:space="0" w:color="4F81BD"/>
              <w:left w:val="nil"/>
              <w:bottom w:val="single" w:sz="8" w:space="0" w:color="4F81BD"/>
              <w:right w:val="nil"/>
            </w:tcBorders>
            <w:shd w:val="clear" w:color="000000" w:fill="auto"/>
            <w:vAlign w:val="center"/>
          </w:tcPr>
          <w:p w:rsidR="00A079F7" w:rsidRPr="00CF6CD8" w:rsidRDefault="00A079F7" w:rsidP="00E514F4">
            <w:pPr>
              <w:spacing w:before="60" w:after="60"/>
              <w:jc w:val="center"/>
              <w:rPr>
                <w:sz w:val="18"/>
                <w:szCs w:val="18"/>
              </w:rPr>
            </w:pPr>
          </w:p>
        </w:tc>
        <w:tc>
          <w:tcPr>
            <w:tcW w:w="832" w:type="pct"/>
            <w:tcBorders>
              <w:top w:val="single" w:sz="8" w:space="0" w:color="4F81BD"/>
              <w:left w:val="nil"/>
              <w:bottom w:val="single" w:sz="8" w:space="0" w:color="4F81BD"/>
              <w:right w:val="nil"/>
            </w:tcBorders>
            <w:shd w:val="clear" w:color="000000" w:fill="auto"/>
            <w:vAlign w:val="center"/>
          </w:tcPr>
          <w:p w:rsidR="00A079F7" w:rsidRPr="00CF6CD8" w:rsidRDefault="00A079F7" w:rsidP="00E514F4">
            <w:pPr>
              <w:spacing w:before="60" w:after="60"/>
              <w:jc w:val="center"/>
              <w:rPr>
                <w:sz w:val="18"/>
                <w:szCs w:val="18"/>
              </w:rPr>
            </w:pPr>
            <w:r w:rsidRPr="00CF6CD8">
              <w:rPr>
                <w:bCs w:val="0"/>
                <w:sz w:val="18"/>
                <w:szCs w:val="18"/>
                <w:lang w:eastAsia="fr-FR"/>
              </w:rPr>
              <w:sym w:font="Wingdings" w:char="F0FC"/>
            </w:r>
          </w:p>
        </w:tc>
      </w:tr>
    </w:tbl>
    <w:p w:rsidR="00A079F7" w:rsidRDefault="00A079F7" w:rsidP="00A079F7">
      <w:pPr>
        <w:spacing w:before="120" w:after="120"/>
      </w:pPr>
      <w:r>
        <w:t>Par ailleurs, nous recommandons de retenir les autres directions provinciales (autres que la DRKAT) pour une déclaration unilatérale des recettes perçues du secteur extractif.</w:t>
      </w:r>
    </w:p>
    <w:p w:rsidR="00A079F7" w:rsidRDefault="00A079F7" w:rsidP="00A079F7">
      <w:pPr>
        <w:spacing w:before="120" w:after="120"/>
      </w:pPr>
      <w:r w:rsidRPr="00CF6CD8">
        <w:t xml:space="preserve">Outre les Régies financières sélectionnées ci-dessus, nous recommandons que les entités publiques présentées ci-après soient retenues pour produire les informations contextuelles </w:t>
      </w:r>
      <w:r>
        <w:t>requises</w:t>
      </w:r>
      <w:r w:rsidRPr="00CF6CD8">
        <w:t> :</w:t>
      </w:r>
    </w:p>
    <w:tbl>
      <w:tblPr>
        <w:tblW w:w="1473" w:type="pct"/>
        <w:tblCellMar>
          <w:left w:w="70" w:type="dxa"/>
          <w:right w:w="70" w:type="dxa"/>
        </w:tblCellMar>
        <w:tblLook w:val="04A0" w:firstRow="1" w:lastRow="0" w:firstColumn="1" w:lastColumn="0" w:noHBand="0" w:noVBand="1"/>
      </w:tblPr>
      <w:tblGrid>
        <w:gridCol w:w="2714"/>
      </w:tblGrid>
      <w:tr w:rsidR="00A079F7" w:rsidRPr="00CF6CD8" w:rsidTr="00821848">
        <w:tc>
          <w:tcPr>
            <w:tcW w:w="5000" w:type="pct"/>
            <w:tcBorders>
              <w:top w:val="nil"/>
              <w:left w:val="nil"/>
              <w:bottom w:val="single" w:sz="12" w:space="0" w:color="4F81BD"/>
              <w:right w:val="nil"/>
            </w:tcBorders>
            <w:shd w:val="clear" w:color="000000" w:fill="244061"/>
            <w:vAlign w:val="center"/>
            <w:hideMark/>
          </w:tcPr>
          <w:p w:rsidR="00A079F7" w:rsidRPr="00CF6CD8" w:rsidRDefault="00A079F7" w:rsidP="00E514F4">
            <w:pPr>
              <w:spacing w:before="60" w:after="60"/>
              <w:jc w:val="left"/>
              <w:rPr>
                <w:sz w:val="18"/>
                <w:szCs w:val="18"/>
              </w:rPr>
            </w:pPr>
            <w:r w:rsidRPr="00CF6CD8">
              <w:rPr>
                <w:sz w:val="18"/>
                <w:szCs w:val="18"/>
              </w:rPr>
              <w:t>Entités étatiques</w:t>
            </w:r>
          </w:p>
        </w:tc>
      </w:tr>
      <w:tr w:rsidR="00A079F7" w:rsidRPr="00CF6CD8" w:rsidTr="00821848">
        <w:trPr>
          <w:trHeight w:val="371"/>
        </w:trPr>
        <w:tc>
          <w:tcPr>
            <w:tcW w:w="5000" w:type="pct"/>
            <w:tcBorders>
              <w:top w:val="single" w:sz="8" w:space="0" w:color="4F81BD"/>
              <w:left w:val="nil"/>
              <w:bottom w:val="single" w:sz="8" w:space="0" w:color="4F81BD"/>
              <w:right w:val="nil"/>
            </w:tcBorders>
            <w:shd w:val="clear" w:color="000000" w:fill="B8CCE4"/>
            <w:vAlign w:val="center"/>
            <w:hideMark/>
          </w:tcPr>
          <w:p w:rsidR="00A079F7" w:rsidRPr="00CF6CD8" w:rsidRDefault="00A079F7" w:rsidP="00E514F4">
            <w:pPr>
              <w:spacing w:before="60" w:after="60"/>
              <w:jc w:val="left"/>
              <w:rPr>
                <w:sz w:val="18"/>
                <w:szCs w:val="18"/>
              </w:rPr>
            </w:pPr>
            <w:r w:rsidRPr="00CF6CD8">
              <w:rPr>
                <w:sz w:val="18"/>
                <w:szCs w:val="18"/>
              </w:rPr>
              <w:t xml:space="preserve">Ministère des mines </w:t>
            </w:r>
          </w:p>
        </w:tc>
      </w:tr>
      <w:tr w:rsidR="00A079F7" w:rsidRPr="00CF6CD8" w:rsidTr="00821848">
        <w:trPr>
          <w:trHeight w:val="315"/>
        </w:trPr>
        <w:tc>
          <w:tcPr>
            <w:tcW w:w="5000" w:type="pct"/>
            <w:tcBorders>
              <w:top w:val="nil"/>
              <w:left w:val="nil"/>
              <w:bottom w:val="single" w:sz="8" w:space="0" w:color="4F81BD"/>
              <w:right w:val="nil"/>
            </w:tcBorders>
            <w:shd w:val="clear" w:color="000000" w:fill="FFFFFF"/>
            <w:vAlign w:val="center"/>
          </w:tcPr>
          <w:p w:rsidR="00A079F7" w:rsidRPr="00CF6CD8" w:rsidRDefault="00A079F7" w:rsidP="00E514F4">
            <w:pPr>
              <w:spacing w:before="60" w:after="60"/>
              <w:jc w:val="left"/>
              <w:rPr>
                <w:sz w:val="18"/>
                <w:szCs w:val="18"/>
              </w:rPr>
            </w:pPr>
            <w:r w:rsidRPr="00CF6CD8">
              <w:rPr>
                <w:sz w:val="18"/>
                <w:szCs w:val="18"/>
              </w:rPr>
              <w:t>Ministère des finances</w:t>
            </w:r>
          </w:p>
        </w:tc>
      </w:tr>
      <w:tr w:rsidR="00A079F7" w:rsidRPr="00CF6CD8" w:rsidTr="00821848">
        <w:trPr>
          <w:trHeight w:val="315"/>
        </w:trPr>
        <w:tc>
          <w:tcPr>
            <w:tcW w:w="5000" w:type="pct"/>
            <w:tcBorders>
              <w:top w:val="single" w:sz="8" w:space="0" w:color="4F81BD"/>
              <w:left w:val="nil"/>
              <w:bottom w:val="single" w:sz="8" w:space="0" w:color="4F81BD"/>
              <w:right w:val="nil"/>
            </w:tcBorders>
            <w:shd w:val="clear" w:color="000000" w:fill="B8CCE4" w:themeFill="accent1" w:themeFillTint="66"/>
            <w:vAlign w:val="center"/>
          </w:tcPr>
          <w:p w:rsidR="00A079F7" w:rsidRPr="00CF6CD8" w:rsidRDefault="00A079F7" w:rsidP="00E514F4">
            <w:pPr>
              <w:spacing w:before="60" w:after="60"/>
              <w:jc w:val="left"/>
              <w:rPr>
                <w:sz w:val="18"/>
                <w:szCs w:val="18"/>
              </w:rPr>
            </w:pPr>
            <w:r w:rsidRPr="00CF6CD8">
              <w:rPr>
                <w:sz w:val="18"/>
                <w:szCs w:val="18"/>
              </w:rPr>
              <w:t>Ministère du portefeuille</w:t>
            </w:r>
          </w:p>
        </w:tc>
      </w:tr>
      <w:tr w:rsidR="00A079F7" w:rsidRPr="00CF6CD8" w:rsidTr="00821848">
        <w:trPr>
          <w:trHeight w:val="315"/>
        </w:trPr>
        <w:tc>
          <w:tcPr>
            <w:tcW w:w="5000" w:type="pct"/>
            <w:tcBorders>
              <w:top w:val="nil"/>
              <w:left w:val="nil"/>
              <w:bottom w:val="single" w:sz="8" w:space="0" w:color="4F81BD"/>
              <w:right w:val="nil"/>
            </w:tcBorders>
            <w:shd w:val="clear" w:color="000000" w:fill="FFFFFF"/>
            <w:vAlign w:val="center"/>
            <w:hideMark/>
          </w:tcPr>
          <w:p w:rsidR="00A079F7" w:rsidRPr="00CF6CD8" w:rsidRDefault="00A079F7" w:rsidP="00E514F4">
            <w:pPr>
              <w:spacing w:before="60" w:after="60"/>
              <w:jc w:val="left"/>
              <w:rPr>
                <w:sz w:val="18"/>
                <w:szCs w:val="18"/>
              </w:rPr>
            </w:pPr>
            <w:r w:rsidRPr="00CF6CD8">
              <w:rPr>
                <w:sz w:val="18"/>
                <w:szCs w:val="18"/>
              </w:rPr>
              <w:t>Ministère du Budget</w:t>
            </w:r>
          </w:p>
        </w:tc>
      </w:tr>
      <w:tr w:rsidR="00A079F7" w:rsidRPr="00CF6CD8" w:rsidTr="00821848">
        <w:trPr>
          <w:trHeight w:val="315"/>
        </w:trPr>
        <w:tc>
          <w:tcPr>
            <w:tcW w:w="5000" w:type="pct"/>
            <w:tcBorders>
              <w:top w:val="single" w:sz="8" w:space="0" w:color="4F81BD"/>
              <w:left w:val="nil"/>
              <w:bottom w:val="single" w:sz="8" w:space="0" w:color="4F81BD"/>
              <w:right w:val="nil"/>
            </w:tcBorders>
            <w:shd w:val="clear" w:color="auto" w:fill="B8CCE4" w:themeFill="accent1" w:themeFillTint="66"/>
            <w:vAlign w:val="center"/>
          </w:tcPr>
          <w:p w:rsidR="00A079F7" w:rsidRPr="00CF6CD8" w:rsidRDefault="00A079F7" w:rsidP="00E514F4">
            <w:pPr>
              <w:spacing w:before="60" w:after="60"/>
              <w:jc w:val="left"/>
              <w:rPr>
                <w:sz w:val="18"/>
                <w:szCs w:val="18"/>
              </w:rPr>
            </w:pPr>
            <w:r w:rsidRPr="00CF6CD8">
              <w:rPr>
                <w:sz w:val="18"/>
                <w:szCs w:val="18"/>
              </w:rPr>
              <w:t>La banque centrale du Congo</w:t>
            </w:r>
          </w:p>
        </w:tc>
      </w:tr>
    </w:tbl>
    <w:p w:rsidR="00CA20A3" w:rsidRDefault="00CA20A3" w:rsidP="00CA20A3">
      <w:pPr>
        <w:rPr>
          <w:rFonts w:cs="Times New Roman"/>
        </w:rPr>
      </w:pPr>
      <w:bookmarkStart w:id="43" w:name="_Toc373673710"/>
      <w:bookmarkStart w:id="44" w:name="_Toc429359783"/>
    </w:p>
    <w:p w:rsidR="00A079F7" w:rsidRPr="001F60A5" w:rsidRDefault="00A079F7" w:rsidP="00A079F7">
      <w:pPr>
        <w:pStyle w:val="Heading2"/>
        <w:numPr>
          <w:ilvl w:val="1"/>
          <w:numId w:val="2"/>
        </w:numPr>
        <w:shd w:val="clear" w:color="auto" w:fill="BFBFBF"/>
        <w:spacing w:before="240"/>
        <w:ind w:hanging="720"/>
        <w:rPr>
          <w:sz w:val="24"/>
          <w:szCs w:val="24"/>
        </w:rPr>
      </w:pPr>
      <w:bookmarkStart w:id="45" w:name="_Toc451431104"/>
      <w:r w:rsidRPr="001F60A5">
        <w:rPr>
          <w:sz w:val="24"/>
          <w:szCs w:val="24"/>
        </w:rPr>
        <w:t>Période fiscale</w:t>
      </w:r>
      <w:bookmarkEnd w:id="43"/>
      <w:bookmarkEnd w:id="44"/>
      <w:bookmarkEnd w:id="45"/>
    </w:p>
    <w:p w:rsidR="00A079F7" w:rsidRPr="00321D82" w:rsidRDefault="00A079F7" w:rsidP="00A079F7">
      <w:pPr>
        <w:pStyle w:val="ListParagraph"/>
        <w:ind w:left="0"/>
      </w:pPr>
      <w:r w:rsidRPr="00321D82">
        <w:t>La période fiscale retenue dans le cadre de la publication du cinquième rapport ITIE de la RDC couvre l’année 201</w:t>
      </w:r>
      <w:r w:rsidR="00AE4DA6">
        <w:t>5</w:t>
      </w:r>
      <w:r w:rsidRPr="00321D82">
        <w:t>.</w:t>
      </w:r>
    </w:p>
    <w:p w:rsidR="00A079F7" w:rsidRPr="00321D82" w:rsidRDefault="00A079F7" w:rsidP="00A079F7">
      <w:pPr>
        <w:spacing w:after="120"/>
      </w:pPr>
      <w:r w:rsidRPr="00321D82">
        <w:t xml:space="preserve">Ainsi, les flux de paiement et les contributions </w:t>
      </w:r>
      <w:r w:rsidRPr="00321D82">
        <w:rPr>
          <w:szCs w:val="20"/>
        </w:rPr>
        <w:t>effectués entre le 1</w:t>
      </w:r>
      <w:r w:rsidRPr="00321D82">
        <w:rPr>
          <w:szCs w:val="20"/>
          <w:vertAlign w:val="superscript"/>
        </w:rPr>
        <w:t xml:space="preserve">er </w:t>
      </w:r>
      <w:r w:rsidRPr="00321D82">
        <w:rPr>
          <w:szCs w:val="20"/>
        </w:rPr>
        <w:t>janvier et le 31 décembre 201</w:t>
      </w:r>
      <w:r w:rsidR="00AE4DA6">
        <w:rPr>
          <w:szCs w:val="20"/>
        </w:rPr>
        <w:t>5</w:t>
      </w:r>
      <w:r w:rsidRPr="00321D82">
        <w:rPr>
          <w:szCs w:val="20"/>
        </w:rPr>
        <w:t xml:space="preserve"> doivent être reportés par les sociétés et administrations retenu</w:t>
      </w:r>
      <w:r w:rsidR="00AE4DA6">
        <w:rPr>
          <w:szCs w:val="20"/>
        </w:rPr>
        <w:t>es dans le Référentiel ITIE 2015</w:t>
      </w:r>
      <w:r w:rsidRPr="00321D82">
        <w:rPr>
          <w:szCs w:val="20"/>
        </w:rPr>
        <w:t>.</w:t>
      </w:r>
    </w:p>
    <w:p w:rsidR="00A079F7" w:rsidRDefault="00A079F7" w:rsidP="00A079F7">
      <w:pPr>
        <w:rPr>
          <w:lang w:bidi="ar-TN"/>
        </w:rPr>
      </w:pPr>
      <w:r w:rsidRPr="00321D82">
        <w:rPr>
          <w:lang w:bidi="ar-TN"/>
        </w:rPr>
        <w:t>La date à prendre en considération est celle qui correspond normalement à la date mentionnée sur le reçu/la quittance de paiement ou à défaut la date du chèque/virement.</w:t>
      </w:r>
    </w:p>
    <w:p w:rsidR="00A079F7" w:rsidRPr="001F60A5" w:rsidRDefault="00A079F7" w:rsidP="00A079F7">
      <w:pPr>
        <w:pStyle w:val="Heading2"/>
        <w:numPr>
          <w:ilvl w:val="1"/>
          <w:numId w:val="2"/>
        </w:numPr>
        <w:shd w:val="clear" w:color="auto" w:fill="BFBFBF"/>
        <w:ind w:hanging="720"/>
        <w:rPr>
          <w:sz w:val="24"/>
          <w:szCs w:val="24"/>
        </w:rPr>
      </w:pPr>
      <w:bookmarkStart w:id="46" w:name="_Toc373673711"/>
      <w:bookmarkStart w:id="47" w:name="_Toc429359784"/>
      <w:bookmarkStart w:id="48" w:name="_Toc451431105"/>
      <w:r w:rsidRPr="001F60A5">
        <w:rPr>
          <w:sz w:val="24"/>
          <w:szCs w:val="24"/>
        </w:rPr>
        <w:t>Fiabilité et attestation des données à déclarer</w:t>
      </w:r>
      <w:bookmarkEnd w:id="46"/>
      <w:bookmarkEnd w:id="47"/>
      <w:bookmarkEnd w:id="48"/>
    </w:p>
    <w:p w:rsidR="00A079F7" w:rsidRDefault="00A079F7" w:rsidP="00A079F7">
      <w:pPr>
        <w:spacing w:before="240"/>
      </w:pPr>
      <w:r w:rsidRPr="00874257">
        <w:t xml:space="preserve">Afin de se conformer à l’Exigence </w:t>
      </w:r>
      <w:r w:rsidR="00F03DF5">
        <w:t>4.9</w:t>
      </w:r>
      <w:r w:rsidR="00C625CB">
        <w:t xml:space="preserve"> de la Norme ITIE </w:t>
      </w:r>
      <w:r w:rsidRPr="00874257">
        <w:t>201</w:t>
      </w:r>
      <w:r w:rsidR="00F03DF5">
        <w:t>6</w:t>
      </w:r>
      <w:r w:rsidRPr="00874257">
        <w:t xml:space="preserve"> visant à garantir que les données soumises par les entités déclarantes soient crédibles, nous recommandons d’adopter la démarche suivante:</w:t>
      </w:r>
    </w:p>
    <w:p w:rsidR="00A079F7" w:rsidRPr="00C0358D" w:rsidRDefault="00A079F7" w:rsidP="00A079F7">
      <w:pPr>
        <w:spacing w:before="240"/>
        <w:rPr>
          <w:b/>
        </w:rPr>
      </w:pPr>
      <w:r w:rsidRPr="00C0358D">
        <w:rPr>
          <w:b/>
        </w:rPr>
        <w:t xml:space="preserve">Entreprises </w:t>
      </w:r>
      <w:r>
        <w:rPr>
          <w:b/>
        </w:rPr>
        <w:t>extractive</w:t>
      </w:r>
      <w:r w:rsidR="003922A6">
        <w:rPr>
          <w:b/>
        </w:rPr>
        <w:t>s</w:t>
      </w:r>
    </w:p>
    <w:p w:rsidR="00A079F7" w:rsidRPr="006C2879" w:rsidRDefault="00A079F7" w:rsidP="007B0F6C">
      <w:pPr>
        <w:pStyle w:val="ListParagraph"/>
        <w:numPr>
          <w:ilvl w:val="0"/>
          <w:numId w:val="32"/>
        </w:numPr>
        <w:spacing w:after="120"/>
        <w:ind w:left="426" w:hanging="426"/>
        <w:rPr>
          <w:bCs w:val="0"/>
          <w:szCs w:val="20"/>
        </w:rPr>
      </w:pPr>
      <w:r w:rsidRPr="006C2879">
        <w:rPr>
          <w:bCs w:val="0"/>
          <w:szCs w:val="20"/>
        </w:rPr>
        <w:t>Pour les entreprises extractives ayant l’obligation de désigner un</w:t>
      </w:r>
      <w:r w:rsidRPr="006C2879">
        <w:rPr>
          <w:szCs w:val="20"/>
        </w:rPr>
        <w:t xml:space="preserve"> Commissaire aux Comptes</w:t>
      </w:r>
      <w:r w:rsidRPr="006C2879">
        <w:rPr>
          <w:bCs w:val="0"/>
          <w:szCs w:val="20"/>
        </w:rPr>
        <w:t>, le formulaire de déclaration doit:</w:t>
      </w:r>
    </w:p>
    <w:p w:rsidR="00A079F7" w:rsidRDefault="00A079F7" w:rsidP="007B0F6C">
      <w:pPr>
        <w:pStyle w:val="ListParagraph"/>
        <w:numPr>
          <w:ilvl w:val="0"/>
          <w:numId w:val="30"/>
        </w:numPr>
        <w:spacing w:after="120"/>
        <w:rPr>
          <w:bCs w:val="0"/>
          <w:szCs w:val="20"/>
        </w:rPr>
      </w:pPr>
      <w:r w:rsidRPr="006C2879">
        <w:rPr>
          <w:bCs w:val="0"/>
          <w:szCs w:val="20"/>
        </w:rPr>
        <w:lastRenderedPageBreak/>
        <w:t>porter la signature d’un haut responsable ou d’une personne habilitée à engager l</w:t>
      </w:r>
      <w:r>
        <w:rPr>
          <w:bCs w:val="0"/>
          <w:szCs w:val="20"/>
        </w:rPr>
        <w:t>’entreprise;</w:t>
      </w:r>
      <w:r w:rsidRPr="006C2879">
        <w:rPr>
          <w:bCs w:val="0"/>
          <w:szCs w:val="20"/>
        </w:rPr>
        <w:t xml:space="preserve"> et </w:t>
      </w:r>
    </w:p>
    <w:p w:rsidR="00A079F7" w:rsidRPr="006C2879" w:rsidRDefault="00A079F7" w:rsidP="007B0F6C">
      <w:pPr>
        <w:pStyle w:val="ListParagraph"/>
        <w:numPr>
          <w:ilvl w:val="0"/>
          <w:numId w:val="30"/>
        </w:numPr>
        <w:spacing w:before="120" w:after="120"/>
        <w:ind w:left="1281" w:hanging="357"/>
        <w:rPr>
          <w:bCs w:val="0"/>
          <w:szCs w:val="20"/>
        </w:rPr>
      </w:pPr>
      <w:r>
        <w:rPr>
          <w:bCs w:val="0"/>
          <w:szCs w:val="20"/>
        </w:rPr>
        <w:t xml:space="preserve">être </w:t>
      </w:r>
      <w:r w:rsidRPr="006D4602">
        <w:rPr>
          <w:bCs w:val="0"/>
          <w:szCs w:val="20"/>
          <w:lang w:eastAsia="fr-FR"/>
        </w:rPr>
        <w:t>accompagnés des états financiers certifiés de</w:t>
      </w:r>
      <w:r>
        <w:rPr>
          <w:bCs w:val="0"/>
          <w:szCs w:val="20"/>
          <w:lang w:eastAsia="fr-FR"/>
        </w:rPr>
        <w:t xml:space="preserve"> l’entreprise pour l’année 2014 ; et</w:t>
      </w:r>
      <w:r w:rsidRPr="006D4602">
        <w:rPr>
          <w:bCs w:val="0"/>
          <w:szCs w:val="20"/>
          <w:lang w:eastAsia="fr-FR"/>
        </w:rPr>
        <w:t> </w:t>
      </w:r>
    </w:p>
    <w:p w:rsidR="00A079F7" w:rsidRPr="006C2879" w:rsidRDefault="00A079F7" w:rsidP="007B0F6C">
      <w:pPr>
        <w:pStyle w:val="ListParagraph"/>
        <w:numPr>
          <w:ilvl w:val="0"/>
          <w:numId w:val="30"/>
        </w:numPr>
        <w:spacing w:after="120"/>
        <w:rPr>
          <w:bCs w:val="0"/>
          <w:szCs w:val="20"/>
          <w:u w:val="single"/>
        </w:rPr>
      </w:pPr>
      <w:r w:rsidRPr="006C2879">
        <w:rPr>
          <w:bCs w:val="0"/>
          <w:szCs w:val="20"/>
        </w:rPr>
        <w:t>être certifié par un auditeur externe.</w:t>
      </w:r>
    </w:p>
    <w:p w:rsidR="00A079F7" w:rsidRPr="00321D82" w:rsidRDefault="00A079F7" w:rsidP="007B0F6C">
      <w:pPr>
        <w:pStyle w:val="ListParagraph"/>
        <w:numPr>
          <w:ilvl w:val="0"/>
          <w:numId w:val="32"/>
        </w:numPr>
        <w:spacing w:before="240"/>
        <w:ind w:left="425" w:hanging="425"/>
        <w:rPr>
          <w:bCs w:val="0"/>
          <w:szCs w:val="20"/>
        </w:rPr>
      </w:pPr>
      <w:r w:rsidRPr="00321D82">
        <w:rPr>
          <w:bCs w:val="0"/>
          <w:szCs w:val="20"/>
        </w:rPr>
        <w:t xml:space="preserve">Pour les sociétés à responsabilité limitée n’ayant pas l’obligation de désigner </w:t>
      </w:r>
      <w:r w:rsidRPr="00321D82">
        <w:rPr>
          <w:szCs w:val="20"/>
        </w:rPr>
        <w:t xml:space="preserve">un Commissaire </w:t>
      </w:r>
      <w:r w:rsidRPr="00321D82">
        <w:rPr>
          <w:bCs w:val="0"/>
          <w:szCs w:val="20"/>
        </w:rPr>
        <w:t>déclaration doit porter la signature d’un haut responsable ou d’une personne habilitée à engager l’entreprise.</w:t>
      </w:r>
    </w:p>
    <w:p w:rsidR="00A079F7" w:rsidRPr="00C0358D" w:rsidRDefault="0040236D" w:rsidP="00A079F7">
      <w:pPr>
        <w:spacing w:before="240"/>
        <w:rPr>
          <w:b/>
        </w:rPr>
      </w:pPr>
      <w:r>
        <w:rPr>
          <w:b/>
        </w:rPr>
        <w:t>Agence</w:t>
      </w:r>
      <w:r w:rsidR="003922A6">
        <w:rPr>
          <w:b/>
        </w:rPr>
        <w:t>s</w:t>
      </w:r>
      <w:r>
        <w:rPr>
          <w:b/>
        </w:rPr>
        <w:t xml:space="preserve"> Financière</w:t>
      </w:r>
      <w:r w:rsidR="003922A6">
        <w:rPr>
          <w:b/>
        </w:rPr>
        <w:t>s</w:t>
      </w:r>
      <w:r>
        <w:rPr>
          <w:b/>
        </w:rPr>
        <w:t xml:space="preserve"> de l'Etat</w:t>
      </w:r>
    </w:p>
    <w:p w:rsidR="00A079F7" w:rsidRPr="0040236D" w:rsidRDefault="00A079F7" w:rsidP="0040236D">
      <w:pPr>
        <w:spacing w:before="240"/>
        <w:rPr>
          <w:b/>
        </w:rPr>
      </w:pPr>
      <w:r w:rsidRPr="00C0358D">
        <w:rPr>
          <w:bCs w:val="0"/>
          <w:szCs w:val="20"/>
        </w:rPr>
        <w:t xml:space="preserve">Pour les </w:t>
      </w:r>
      <w:r w:rsidR="0040236D">
        <w:rPr>
          <w:b/>
        </w:rPr>
        <w:t>Agences Financières de l'Etat</w:t>
      </w:r>
      <w:r w:rsidRPr="00C0358D">
        <w:rPr>
          <w:bCs w:val="0"/>
          <w:szCs w:val="20"/>
        </w:rPr>
        <w:t>, le formulaire de déclaration doit :</w:t>
      </w:r>
    </w:p>
    <w:p w:rsidR="00A079F7" w:rsidRDefault="00A079F7" w:rsidP="007B0F6C">
      <w:pPr>
        <w:pStyle w:val="ListParagraph"/>
        <w:numPr>
          <w:ilvl w:val="0"/>
          <w:numId w:val="31"/>
        </w:numPr>
        <w:spacing w:after="120"/>
        <w:ind w:left="1276"/>
        <w:rPr>
          <w:bCs w:val="0"/>
          <w:szCs w:val="20"/>
        </w:rPr>
      </w:pPr>
      <w:r w:rsidRPr="00C0358D">
        <w:rPr>
          <w:bCs w:val="0"/>
          <w:szCs w:val="20"/>
        </w:rPr>
        <w:t xml:space="preserve">porter la signature du haut responsable ou d’une personne habilitée de </w:t>
      </w:r>
      <w:r>
        <w:rPr>
          <w:bCs w:val="0"/>
          <w:szCs w:val="20"/>
        </w:rPr>
        <w:t>la Régie financière</w:t>
      </w:r>
      <w:r w:rsidRPr="00C0358D">
        <w:rPr>
          <w:bCs w:val="0"/>
          <w:szCs w:val="20"/>
        </w:rPr>
        <w:t xml:space="preserve"> ; et </w:t>
      </w:r>
    </w:p>
    <w:p w:rsidR="00A079F7" w:rsidRPr="00321D82" w:rsidRDefault="00A079F7" w:rsidP="007B0F6C">
      <w:pPr>
        <w:pStyle w:val="ListParagraph"/>
        <w:numPr>
          <w:ilvl w:val="0"/>
          <w:numId w:val="31"/>
        </w:numPr>
        <w:ind w:left="1276" w:hanging="357"/>
        <w:rPr>
          <w:bCs w:val="0"/>
          <w:szCs w:val="20"/>
        </w:rPr>
      </w:pPr>
      <w:r w:rsidRPr="00321D82">
        <w:rPr>
          <w:bCs w:val="0"/>
          <w:szCs w:val="20"/>
        </w:rPr>
        <w:t>être certifié par l’Inspection Générale des Finances (IGF). L’IGF</w:t>
      </w:r>
      <w:r w:rsidRPr="00C0358D">
        <w:rPr>
          <w:lang w:bidi="ar-TN"/>
        </w:rPr>
        <w:t xml:space="preserve"> devra produire une lettre d’affirmation que la vérification a été effectuée conformément aux normes internationales.</w:t>
      </w:r>
    </w:p>
    <w:p w:rsidR="00A079F7" w:rsidRPr="001F60A5" w:rsidRDefault="0040236D" w:rsidP="00A079F7">
      <w:pPr>
        <w:pStyle w:val="Heading2"/>
        <w:numPr>
          <w:ilvl w:val="1"/>
          <w:numId w:val="2"/>
        </w:numPr>
        <w:shd w:val="clear" w:color="auto" w:fill="BFBFBF"/>
        <w:ind w:hanging="720"/>
        <w:rPr>
          <w:sz w:val="24"/>
          <w:szCs w:val="24"/>
        </w:rPr>
      </w:pPr>
      <w:bookmarkStart w:id="49" w:name="_Toc373673712"/>
      <w:bookmarkStart w:id="50" w:name="_Toc429359785"/>
      <w:bookmarkStart w:id="51" w:name="_Toc451431106"/>
      <w:r>
        <w:rPr>
          <w:sz w:val="24"/>
          <w:szCs w:val="24"/>
        </w:rPr>
        <w:t>Niveau de désa</w:t>
      </w:r>
      <w:r w:rsidR="00A079F7" w:rsidRPr="001F60A5">
        <w:rPr>
          <w:sz w:val="24"/>
          <w:szCs w:val="24"/>
        </w:rPr>
        <w:t>grégation</w:t>
      </w:r>
      <w:bookmarkEnd w:id="49"/>
      <w:bookmarkEnd w:id="50"/>
      <w:bookmarkEnd w:id="51"/>
      <w:r w:rsidR="00A079F7" w:rsidRPr="001F60A5">
        <w:rPr>
          <w:sz w:val="24"/>
          <w:szCs w:val="24"/>
        </w:rPr>
        <w:t xml:space="preserve"> </w:t>
      </w:r>
    </w:p>
    <w:p w:rsidR="00A079F7" w:rsidRPr="00321D82" w:rsidRDefault="00A079F7" w:rsidP="00A079F7">
      <w:pPr>
        <w:spacing w:after="120"/>
        <w:rPr>
          <w:lang w:bidi="ar-TN"/>
        </w:rPr>
      </w:pPr>
      <w:r w:rsidRPr="00321D82">
        <w:rPr>
          <w:lang w:bidi="ar-TN"/>
        </w:rPr>
        <w:t>Nous recommandons à ce que les formulaires de déclaration et les chiffres soient soumis :</w:t>
      </w:r>
    </w:p>
    <w:p w:rsidR="00A079F7" w:rsidRPr="00321D82" w:rsidRDefault="00A079F7" w:rsidP="007B0F6C">
      <w:pPr>
        <w:numPr>
          <w:ilvl w:val="0"/>
          <w:numId w:val="26"/>
        </w:numPr>
        <w:tabs>
          <w:tab w:val="left" w:pos="300"/>
        </w:tabs>
        <w:spacing w:after="120"/>
        <w:ind w:left="301" w:hanging="301"/>
      </w:pPr>
      <w:r w:rsidRPr="00321D82">
        <w:t>par entreprise extractive ;</w:t>
      </w:r>
    </w:p>
    <w:p w:rsidR="00A079F7" w:rsidRPr="00321D82" w:rsidRDefault="00A079F7" w:rsidP="007B0F6C">
      <w:pPr>
        <w:numPr>
          <w:ilvl w:val="0"/>
          <w:numId w:val="26"/>
        </w:numPr>
        <w:tabs>
          <w:tab w:val="left" w:pos="300"/>
        </w:tabs>
        <w:spacing w:after="60"/>
        <w:ind w:left="301" w:hanging="301"/>
      </w:pPr>
      <w:r w:rsidRPr="00321D82">
        <w:t>par administration ou entité publique pour chaque société retenue dans le périmètre de conciliation ; et</w:t>
      </w:r>
    </w:p>
    <w:p w:rsidR="00A079F7" w:rsidRPr="00321D82" w:rsidRDefault="00A079F7" w:rsidP="007B0F6C">
      <w:pPr>
        <w:numPr>
          <w:ilvl w:val="0"/>
          <w:numId w:val="26"/>
        </w:numPr>
        <w:tabs>
          <w:tab w:val="left" w:pos="300"/>
        </w:tabs>
        <w:spacing w:after="200"/>
        <w:ind w:left="301" w:hanging="301"/>
      </w:pPr>
      <w:r w:rsidRPr="00321D82">
        <w:t>par taxe et par nature de flux de paiement tels que détaillés dans les formulaires de déclaration.</w:t>
      </w:r>
    </w:p>
    <w:p w:rsidR="00A079F7" w:rsidRPr="00321D82" w:rsidRDefault="00A079F7" w:rsidP="00A079F7">
      <w:pPr>
        <w:spacing w:after="200"/>
      </w:pPr>
      <w:r w:rsidRPr="00321D82">
        <w:t xml:space="preserve">Pour chaque flux de paiement reporté, les sociétés et les administrations devront produire un détail par quittance/paiement, par date et par bénéficiaire. </w:t>
      </w:r>
    </w:p>
    <w:p w:rsidR="004F628B" w:rsidRDefault="00A079F7" w:rsidP="004F628B">
      <w:r w:rsidRPr="00321D82">
        <w:t xml:space="preserve">Toutes les données et le niveau de détail qui </w:t>
      </w:r>
      <w:proofErr w:type="gramStart"/>
      <w:r w:rsidRPr="00321D82">
        <w:t>seront</w:t>
      </w:r>
      <w:proofErr w:type="gramEnd"/>
      <w:r w:rsidRPr="00321D82">
        <w:t xml:space="preserve"> requis dans le cadre de l’exercice de conciliation sont présentés dans les formulaires de déclaration qui seront annexés au présent rapport.</w:t>
      </w:r>
      <w:bookmarkStart w:id="52" w:name="_Toc412819823"/>
      <w:bookmarkStart w:id="53" w:name="_Toc425502959"/>
    </w:p>
    <w:p w:rsidR="00DD64B5" w:rsidRPr="00DD64B5" w:rsidRDefault="004F628B" w:rsidP="004F628B">
      <w:pPr>
        <w:rPr>
          <w:sz w:val="24"/>
          <w:szCs w:val="24"/>
        </w:rPr>
      </w:pPr>
      <w:r>
        <w:rPr>
          <w:sz w:val="24"/>
          <w:szCs w:val="24"/>
        </w:rPr>
        <w:t xml:space="preserve"> </w:t>
      </w:r>
      <w:r w:rsidR="009E2C97">
        <w:rPr>
          <w:sz w:val="24"/>
          <w:szCs w:val="24"/>
        </w:rPr>
        <w:t>Outil</w:t>
      </w:r>
      <w:r w:rsidR="009E2C97" w:rsidRPr="00DD64B5">
        <w:rPr>
          <w:sz w:val="24"/>
          <w:szCs w:val="24"/>
        </w:rPr>
        <w:t xml:space="preserve"> </w:t>
      </w:r>
      <w:r w:rsidR="009E2C97">
        <w:rPr>
          <w:sz w:val="24"/>
          <w:szCs w:val="24"/>
        </w:rPr>
        <w:t>de collecte des données pour le Rapport</w:t>
      </w:r>
      <w:r w:rsidR="009E2C97" w:rsidRPr="00DD64B5">
        <w:rPr>
          <w:sz w:val="24"/>
          <w:szCs w:val="24"/>
        </w:rPr>
        <w:t xml:space="preserve"> 201</w:t>
      </w:r>
      <w:bookmarkEnd w:id="52"/>
      <w:bookmarkEnd w:id="53"/>
      <w:r w:rsidR="009E2C97">
        <w:rPr>
          <w:sz w:val="24"/>
          <w:szCs w:val="24"/>
        </w:rPr>
        <w:t>5</w:t>
      </w:r>
    </w:p>
    <w:p w:rsidR="00DD64B5" w:rsidRPr="00EA74E5" w:rsidRDefault="00DD64B5" w:rsidP="007B0F6C">
      <w:pPr>
        <w:pStyle w:val="ListParagraph"/>
        <w:keepNext/>
        <w:keepLines/>
        <w:numPr>
          <w:ilvl w:val="0"/>
          <w:numId w:val="34"/>
        </w:numPr>
        <w:spacing w:before="200" w:after="0"/>
        <w:ind w:firstLine="0"/>
        <w:jc w:val="left"/>
        <w:outlineLvl w:val="1"/>
        <w:rPr>
          <w:rFonts w:ascii="Garamond" w:hAnsi="Garamond" w:cs="Times New Roman"/>
          <w:b/>
          <w:bCs w:val="0"/>
          <w:vanish/>
          <w:color w:val="4F81BD"/>
        </w:rPr>
      </w:pPr>
      <w:bookmarkStart w:id="54" w:name="_Toc412809224"/>
      <w:bookmarkStart w:id="55" w:name="_Toc412819824"/>
      <w:bookmarkStart w:id="56" w:name="_Toc412820919"/>
      <w:bookmarkStart w:id="57" w:name="_Toc413056562"/>
      <w:bookmarkStart w:id="58" w:name="_Toc413056688"/>
      <w:bookmarkStart w:id="59" w:name="_Toc413056925"/>
      <w:bookmarkStart w:id="60" w:name="_Toc413057013"/>
      <w:bookmarkStart w:id="61" w:name="_Toc413057106"/>
      <w:bookmarkStart w:id="62" w:name="_Toc413057152"/>
      <w:bookmarkStart w:id="63" w:name="_Toc413059240"/>
      <w:bookmarkStart w:id="64" w:name="_Toc413059409"/>
      <w:bookmarkStart w:id="65" w:name="_Toc413059506"/>
      <w:bookmarkStart w:id="66" w:name="_Toc413059862"/>
      <w:bookmarkStart w:id="67" w:name="_Toc413064209"/>
      <w:bookmarkStart w:id="68" w:name="_Toc413064280"/>
      <w:bookmarkStart w:id="69" w:name="_Toc413064328"/>
      <w:bookmarkStart w:id="70" w:name="_Toc413246719"/>
      <w:bookmarkStart w:id="71" w:name="_Toc413246884"/>
      <w:bookmarkStart w:id="72" w:name="_Toc425434121"/>
      <w:bookmarkStart w:id="73" w:name="_Toc425502826"/>
      <w:bookmarkStart w:id="74" w:name="_Toc425502960"/>
      <w:bookmarkStart w:id="75" w:name="_Toc451356721"/>
      <w:bookmarkStart w:id="76" w:name="_Toc451418367"/>
      <w:bookmarkStart w:id="77" w:name="_Toc451419981"/>
      <w:bookmarkStart w:id="78" w:name="_Toc451430972"/>
      <w:bookmarkStart w:id="79" w:name="_Toc451431107"/>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rsidR="00DD64B5" w:rsidRPr="00EA74E5" w:rsidRDefault="00DD64B5" w:rsidP="007B0F6C">
      <w:pPr>
        <w:pStyle w:val="ListParagraph"/>
        <w:keepNext/>
        <w:keepLines/>
        <w:numPr>
          <w:ilvl w:val="0"/>
          <w:numId w:val="34"/>
        </w:numPr>
        <w:spacing w:before="200" w:after="0"/>
        <w:ind w:firstLine="0"/>
        <w:jc w:val="left"/>
        <w:outlineLvl w:val="1"/>
        <w:rPr>
          <w:rFonts w:ascii="Garamond" w:hAnsi="Garamond" w:cs="Times New Roman"/>
          <w:b/>
          <w:bCs w:val="0"/>
          <w:vanish/>
          <w:color w:val="4F81BD"/>
        </w:rPr>
      </w:pPr>
      <w:bookmarkStart w:id="80" w:name="_Toc412809225"/>
      <w:bookmarkStart w:id="81" w:name="_Toc412819825"/>
      <w:bookmarkStart w:id="82" w:name="_Toc412820920"/>
      <w:bookmarkStart w:id="83" w:name="_Toc413056563"/>
      <w:bookmarkStart w:id="84" w:name="_Toc413056689"/>
      <w:bookmarkStart w:id="85" w:name="_Toc413056926"/>
      <w:bookmarkStart w:id="86" w:name="_Toc413057014"/>
      <w:bookmarkStart w:id="87" w:name="_Toc413057107"/>
      <w:bookmarkStart w:id="88" w:name="_Toc413057153"/>
      <w:bookmarkStart w:id="89" w:name="_Toc413059241"/>
      <w:bookmarkStart w:id="90" w:name="_Toc413059410"/>
      <w:bookmarkStart w:id="91" w:name="_Toc413059507"/>
      <w:bookmarkStart w:id="92" w:name="_Toc413059863"/>
      <w:bookmarkStart w:id="93" w:name="_Toc413064210"/>
      <w:bookmarkStart w:id="94" w:name="_Toc413064281"/>
      <w:bookmarkStart w:id="95" w:name="_Toc413064329"/>
      <w:bookmarkStart w:id="96" w:name="_Toc413246720"/>
      <w:bookmarkStart w:id="97" w:name="_Toc413246885"/>
      <w:bookmarkStart w:id="98" w:name="_Toc425434122"/>
      <w:bookmarkStart w:id="99" w:name="_Toc425502827"/>
      <w:bookmarkStart w:id="100" w:name="_Toc425502961"/>
      <w:bookmarkStart w:id="101" w:name="_Toc451356722"/>
      <w:bookmarkStart w:id="102" w:name="_Toc451418368"/>
      <w:bookmarkStart w:id="103" w:name="_Toc451419982"/>
      <w:bookmarkStart w:id="104" w:name="_Toc451430973"/>
      <w:bookmarkStart w:id="105" w:name="_Toc451431108"/>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rsidR="00DD64B5" w:rsidRPr="00EA74E5" w:rsidRDefault="00DD64B5" w:rsidP="00DD64B5">
      <w:pPr>
        <w:pStyle w:val="ListParagraph"/>
        <w:keepNext/>
        <w:keepLines/>
        <w:spacing w:before="480" w:after="0" w:line="259" w:lineRule="auto"/>
        <w:ind w:left="432"/>
        <w:jc w:val="left"/>
        <w:outlineLvl w:val="0"/>
        <w:rPr>
          <w:rFonts w:ascii="Garamond" w:eastAsiaTheme="majorEastAsia" w:hAnsi="Garamond" w:cstheme="majorBidi"/>
          <w:b/>
          <w:bCs w:val="0"/>
          <w:vanish/>
          <w:color w:val="365F91" w:themeColor="accent1" w:themeShade="BF"/>
        </w:rPr>
      </w:pPr>
      <w:bookmarkStart w:id="106" w:name="_Toc412809226"/>
      <w:bookmarkStart w:id="107" w:name="_Toc412819826"/>
      <w:bookmarkStart w:id="108" w:name="_Toc412820921"/>
      <w:bookmarkStart w:id="109" w:name="_Toc413056564"/>
      <w:bookmarkStart w:id="110" w:name="_Toc413056690"/>
      <w:bookmarkStart w:id="111" w:name="_Toc413056927"/>
      <w:bookmarkStart w:id="112" w:name="_Toc413057015"/>
      <w:bookmarkStart w:id="113" w:name="_Toc413057108"/>
      <w:bookmarkStart w:id="114" w:name="_Toc413057154"/>
      <w:bookmarkStart w:id="115" w:name="_Toc413059242"/>
      <w:bookmarkStart w:id="116" w:name="_Toc413059411"/>
      <w:bookmarkStart w:id="117" w:name="_Toc413059508"/>
      <w:bookmarkStart w:id="118" w:name="_Toc413059864"/>
      <w:bookmarkStart w:id="119" w:name="_Toc413064211"/>
      <w:bookmarkStart w:id="120" w:name="_Toc413064282"/>
      <w:bookmarkStart w:id="121" w:name="_Toc413064330"/>
      <w:bookmarkStart w:id="122" w:name="_Toc413246721"/>
      <w:bookmarkStart w:id="123" w:name="_Toc413246886"/>
      <w:bookmarkStart w:id="124" w:name="_Toc425434123"/>
      <w:bookmarkStart w:id="125" w:name="_Toc425502828"/>
      <w:bookmarkStart w:id="126" w:name="_Toc425502962"/>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rsidR="00DD64B5" w:rsidRPr="00BC3CF2" w:rsidRDefault="00DD64B5" w:rsidP="00BC3CF2">
      <w:pPr>
        <w:pStyle w:val="Heading2"/>
        <w:keepNext/>
        <w:keepLines/>
        <w:numPr>
          <w:ilvl w:val="0"/>
          <w:numId w:val="0"/>
        </w:numPr>
        <w:tabs>
          <w:tab w:val="left" w:pos="1560"/>
        </w:tabs>
        <w:spacing w:before="200" w:after="0" w:line="360" w:lineRule="auto"/>
        <w:jc w:val="left"/>
        <w:rPr>
          <w:rFonts w:cs="Arial"/>
          <w:sz w:val="24"/>
          <w:szCs w:val="24"/>
        </w:rPr>
      </w:pPr>
      <w:bookmarkStart w:id="127" w:name="_Toc412819829"/>
      <w:bookmarkStart w:id="128" w:name="_Toc425502965"/>
      <w:bookmarkStart w:id="129" w:name="_Toc451431109"/>
      <w:r w:rsidRPr="00BC3CF2">
        <w:rPr>
          <w:rFonts w:cs="Arial"/>
          <w:sz w:val="24"/>
          <w:szCs w:val="24"/>
        </w:rPr>
        <w:t>Le logiciel TSL</w:t>
      </w:r>
      <w:bookmarkEnd w:id="127"/>
      <w:bookmarkEnd w:id="128"/>
      <w:bookmarkEnd w:id="129"/>
    </w:p>
    <w:p w:rsidR="00F20AED" w:rsidRDefault="00E12BBC" w:rsidP="00674A4E">
      <w:pPr>
        <w:spacing w:after="200"/>
      </w:pPr>
      <w:r w:rsidRPr="00BC3CF2">
        <w:t xml:space="preserve">Les données seront collectées au moyen des formulaires contenus </w:t>
      </w:r>
      <w:r w:rsidR="003C7D48">
        <w:t>(A</w:t>
      </w:r>
      <w:r w:rsidR="00E17229">
        <w:t xml:space="preserve">nnexe </w:t>
      </w:r>
      <w:r w:rsidR="00E542AB">
        <w:t>5</w:t>
      </w:r>
      <w:r w:rsidR="00E17229">
        <w:t xml:space="preserve">) </w:t>
      </w:r>
      <w:r w:rsidRPr="00BC3CF2">
        <w:t>dans le Progiciel TSL.</w:t>
      </w:r>
    </w:p>
    <w:p w:rsidR="00674A4E" w:rsidRPr="00674A4E" w:rsidRDefault="005B0A90" w:rsidP="00674A4E">
      <w:pPr>
        <w:pStyle w:val="Heading2"/>
        <w:numPr>
          <w:ilvl w:val="1"/>
          <w:numId w:val="2"/>
        </w:numPr>
        <w:shd w:val="clear" w:color="auto" w:fill="BFBFBF"/>
        <w:ind w:hanging="720"/>
        <w:rPr>
          <w:sz w:val="24"/>
          <w:szCs w:val="24"/>
        </w:rPr>
      </w:pPr>
      <w:bookmarkStart w:id="130" w:name="_Toc451431110"/>
      <w:r>
        <w:rPr>
          <w:sz w:val="24"/>
          <w:szCs w:val="24"/>
        </w:rPr>
        <w:t xml:space="preserve">Déclaration de la </w:t>
      </w:r>
      <w:r w:rsidR="00674A4E" w:rsidRPr="00674A4E">
        <w:rPr>
          <w:sz w:val="24"/>
          <w:szCs w:val="24"/>
        </w:rPr>
        <w:t>Propriété réelle</w:t>
      </w:r>
      <w:bookmarkEnd w:id="130"/>
    </w:p>
    <w:p w:rsidR="00455F67" w:rsidRPr="00455F67" w:rsidRDefault="00455F67" w:rsidP="00455F67">
      <w:pPr>
        <w:autoSpaceDE w:val="0"/>
        <w:autoSpaceDN w:val="0"/>
        <w:adjustRightInd w:val="0"/>
        <w:spacing w:after="0"/>
        <w:rPr>
          <w:sz w:val="28"/>
          <w:szCs w:val="24"/>
        </w:rPr>
      </w:pPr>
      <w:r>
        <w:rPr>
          <w:color w:val="000000"/>
          <w:szCs w:val="18"/>
        </w:rPr>
        <w:t xml:space="preserve">Se basant sur la disposition 2.5.f.i de la Norme ITIE2016 qui définit </w:t>
      </w:r>
      <w:r w:rsidRPr="00423A5A">
        <w:rPr>
          <w:b/>
          <w:i/>
          <w:color w:val="000000"/>
          <w:szCs w:val="18"/>
        </w:rPr>
        <w:t xml:space="preserve">Un (Les) propriétaire(s) réel(s) d’une entreprise comme étant la (ou les) personne(s) physique(s) qui, directement ou indirectement, </w:t>
      </w:r>
      <w:proofErr w:type="gramStart"/>
      <w:r w:rsidRPr="00423A5A">
        <w:rPr>
          <w:b/>
          <w:i/>
          <w:color w:val="000000"/>
          <w:szCs w:val="18"/>
        </w:rPr>
        <w:t>possède(</w:t>
      </w:r>
      <w:proofErr w:type="gramEnd"/>
      <w:r w:rsidRPr="00423A5A">
        <w:rPr>
          <w:b/>
          <w:i/>
          <w:color w:val="000000"/>
          <w:szCs w:val="18"/>
        </w:rPr>
        <w:t>nt) ou exerce(nt) en dernier ressort le droit de propriété ou le contrôle de l’entité juridique</w:t>
      </w:r>
      <w:r>
        <w:rPr>
          <w:color w:val="000000"/>
          <w:szCs w:val="18"/>
        </w:rPr>
        <w:t>, le Comité Exécutif a convenu de définir de la manière suivante les termes "Propriétaire réel":</w:t>
      </w:r>
    </w:p>
    <w:p w:rsidR="00674A4E" w:rsidRDefault="00674A4E" w:rsidP="00674A4E">
      <w:pPr>
        <w:autoSpaceDE w:val="0"/>
        <w:autoSpaceDN w:val="0"/>
        <w:adjustRightInd w:val="0"/>
        <w:spacing w:after="0"/>
        <w:rPr>
          <w:rFonts w:ascii="Times New Roman" w:eastAsiaTheme="minorHAnsi" w:hAnsi="Times New Roman" w:cs="Times New Roman"/>
          <w:bCs w:val="0"/>
          <w:sz w:val="24"/>
          <w:szCs w:val="24"/>
        </w:rPr>
      </w:pPr>
    </w:p>
    <w:p w:rsidR="00674A4E" w:rsidRDefault="005B0A90" w:rsidP="00674A4E">
      <w:pPr>
        <w:autoSpaceDE w:val="0"/>
        <w:autoSpaceDN w:val="0"/>
        <w:adjustRightInd w:val="0"/>
        <w:spacing w:after="0"/>
        <w:rPr>
          <w:rFonts w:eastAsiaTheme="minorHAnsi"/>
          <w:bCs w:val="0"/>
          <w:color w:val="000000"/>
          <w:szCs w:val="20"/>
        </w:rPr>
      </w:pPr>
      <w:r>
        <w:rPr>
          <w:rFonts w:eastAsiaTheme="minorHAnsi"/>
          <w:bCs w:val="0"/>
          <w:color w:val="000000"/>
          <w:szCs w:val="20"/>
        </w:rPr>
        <w:t>P</w:t>
      </w:r>
      <w:r w:rsidR="00674A4E">
        <w:rPr>
          <w:rFonts w:eastAsiaTheme="minorHAnsi"/>
          <w:bCs w:val="0"/>
          <w:color w:val="000000"/>
          <w:szCs w:val="20"/>
        </w:rPr>
        <w:t xml:space="preserve">ar « </w:t>
      </w:r>
      <w:r w:rsidR="00674A4E">
        <w:rPr>
          <w:rFonts w:ascii="Arial Black" w:eastAsiaTheme="minorHAnsi" w:hAnsi="Arial Black" w:cs="Arial Black"/>
          <w:b/>
          <w:color w:val="000000"/>
          <w:szCs w:val="20"/>
        </w:rPr>
        <w:t>propriétaire réel</w:t>
      </w:r>
      <w:r w:rsidR="00674A4E">
        <w:rPr>
          <w:rFonts w:eastAsiaTheme="minorHAnsi"/>
          <w:bCs w:val="0"/>
          <w:color w:val="000000"/>
          <w:szCs w:val="20"/>
        </w:rPr>
        <w:t xml:space="preserve">» d'une société minière, pétrolière ou gazière, </w:t>
      </w:r>
      <w:r w:rsidR="00674A4E">
        <w:rPr>
          <w:rFonts w:ascii="Arial Black" w:eastAsiaTheme="minorHAnsi" w:hAnsi="Arial Black" w:cs="Arial Black"/>
          <w:b/>
          <w:color w:val="000000"/>
          <w:szCs w:val="20"/>
        </w:rPr>
        <w:t>tout bénéficiaire effectif</w:t>
      </w:r>
      <w:r w:rsidR="00674A4E">
        <w:rPr>
          <w:rFonts w:eastAsiaTheme="minorHAnsi"/>
          <w:bCs w:val="0"/>
          <w:color w:val="000000"/>
          <w:szCs w:val="20"/>
        </w:rPr>
        <w:t xml:space="preserve">:  </w:t>
      </w:r>
    </w:p>
    <w:p w:rsidR="00674A4E" w:rsidRPr="00455F67" w:rsidRDefault="00674A4E" w:rsidP="00674A4E">
      <w:pPr>
        <w:autoSpaceDE w:val="0"/>
        <w:autoSpaceDN w:val="0"/>
        <w:adjustRightInd w:val="0"/>
        <w:spacing w:after="0"/>
        <w:rPr>
          <w:rFonts w:ascii="Times New Roman" w:eastAsiaTheme="minorHAnsi" w:hAnsi="Times New Roman" w:cs="Times New Roman"/>
          <w:bCs w:val="0"/>
          <w:sz w:val="16"/>
          <w:szCs w:val="24"/>
        </w:rPr>
      </w:pPr>
    </w:p>
    <w:p w:rsidR="00674A4E" w:rsidRPr="00A46530" w:rsidRDefault="00674A4E" w:rsidP="007B0F6C">
      <w:pPr>
        <w:pStyle w:val="ListParagraph"/>
        <w:numPr>
          <w:ilvl w:val="1"/>
          <w:numId w:val="43"/>
        </w:numPr>
        <w:autoSpaceDE w:val="0"/>
        <w:autoSpaceDN w:val="0"/>
        <w:adjustRightInd w:val="0"/>
        <w:spacing w:after="0"/>
        <w:ind w:left="360"/>
        <w:rPr>
          <w:rFonts w:ascii="Times New Roman" w:eastAsiaTheme="minorHAnsi" w:hAnsi="Times New Roman" w:cs="Times New Roman"/>
          <w:bCs w:val="0"/>
          <w:sz w:val="24"/>
          <w:szCs w:val="24"/>
        </w:rPr>
      </w:pPr>
      <w:r w:rsidRPr="00A46530">
        <w:rPr>
          <w:rFonts w:eastAsiaTheme="minorHAnsi"/>
          <w:bCs w:val="0"/>
          <w:color w:val="000000"/>
          <w:szCs w:val="20"/>
        </w:rPr>
        <w:t xml:space="preserve">des revenus générés ou réalisés des ventes, cession ou aliénation des produits marchands par les titulaires ou détenteur d'une licence, d'une autorisation ou d'un permis d'exploitation minière ou d'un agrément au titre d'entité de traitement et de transformation en vertu de ces licences, autorisations, permis ou agréments; </w:t>
      </w:r>
    </w:p>
    <w:p w:rsidR="00674A4E" w:rsidRPr="00455F67" w:rsidRDefault="00674A4E" w:rsidP="00A46530">
      <w:pPr>
        <w:autoSpaceDE w:val="0"/>
        <w:autoSpaceDN w:val="0"/>
        <w:adjustRightInd w:val="0"/>
        <w:spacing w:after="0"/>
        <w:rPr>
          <w:rFonts w:eastAsiaTheme="minorHAnsi"/>
          <w:bCs w:val="0"/>
          <w:color w:val="000000"/>
          <w:sz w:val="16"/>
          <w:szCs w:val="20"/>
        </w:rPr>
      </w:pPr>
    </w:p>
    <w:p w:rsidR="00674A4E" w:rsidRPr="00A46530" w:rsidRDefault="00674A4E" w:rsidP="007B0F6C">
      <w:pPr>
        <w:pStyle w:val="ListParagraph"/>
        <w:numPr>
          <w:ilvl w:val="1"/>
          <w:numId w:val="43"/>
        </w:numPr>
        <w:autoSpaceDE w:val="0"/>
        <w:autoSpaceDN w:val="0"/>
        <w:adjustRightInd w:val="0"/>
        <w:spacing w:after="0"/>
        <w:ind w:left="360"/>
        <w:rPr>
          <w:rFonts w:ascii="Times New Roman" w:eastAsiaTheme="minorHAnsi" w:hAnsi="Times New Roman" w:cs="Times New Roman"/>
          <w:bCs w:val="0"/>
          <w:sz w:val="24"/>
          <w:szCs w:val="24"/>
        </w:rPr>
      </w:pPr>
      <w:r w:rsidRPr="00A46530">
        <w:rPr>
          <w:rFonts w:eastAsiaTheme="minorHAnsi"/>
          <w:bCs w:val="0"/>
          <w:color w:val="000000"/>
          <w:szCs w:val="20"/>
        </w:rPr>
        <w:lastRenderedPageBreak/>
        <w:t xml:space="preserve">des revenus générés ou réalisés des ventes, cessions ou aliénation des parts des hydrocarbures liquides par les contractants ou des parts d'intérêt d'un contractant en vertu des conventions pétrolières ou gazières;  </w:t>
      </w:r>
    </w:p>
    <w:p w:rsidR="00674A4E" w:rsidRPr="00455F67" w:rsidRDefault="00674A4E" w:rsidP="00A46530">
      <w:pPr>
        <w:autoSpaceDE w:val="0"/>
        <w:autoSpaceDN w:val="0"/>
        <w:adjustRightInd w:val="0"/>
        <w:spacing w:after="0"/>
        <w:rPr>
          <w:rFonts w:eastAsiaTheme="minorHAnsi"/>
          <w:bCs w:val="0"/>
          <w:color w:val="000000"/>
          <w:sz w:val="16"/>
          <w:szCs w:val="20"/>
        </w:rPr>
      </w:pPr>
    </w:p>
    <w:p w:rsidR="00674A4E" w:rsidRPr="00A46530" w:rsidRDefault="00674A4E" w:rsidP="007B0F6C">
      <w:pPr>
        <w:pStyle w:val="ListParagraph"/>
        <w:numPr>
          <w:ilvl w:val="1"/>
          <w:numId w:val="43"/>
        </w:numPr>
        <w:autoSpaceDE w:val="0"/>
        <w:autoSpaceDN w:val="0"/>
        <w:adjustRightInd w:val="0"/>
        <w:spacing w:after="0"/>
        <w:ind w:left="360"/>
        <w:rPr>
          <w:rFonts w:eastAsiaTheme="minorHAnsi"/>
          <w:bCs w:val="0"/>
          <w:color w:val="000000"/>
          <w:szCs w:val="20"/>
        </w:rPr>
      </w:pPr>
      <w:r w:rsidRPr="00A46530">
        <w:rPr>
          <w:rFonts w:eastAsiaTheme="minorHAnsi"/>
          <w:bCs w:val="0"/>
          <w:color w:val="000000"/>
          <w:szCs w:val="20"/>
        </w:rPr>
        <w:t>des revenus de tous genres, autre que les coûts pétroliers, réalisées ou générés par la société opératrice dans les blocs pétroliers ou gaziers en exécution des termes des conventions, des lois ou règlements applicables aux travaux pétroliers ou gaziers réalisés par ladite société opératrice.</w:t>
      </w:r>
    </w:p>
    <w:p w:rsidR="00674A4E" w:rsidRPr="00455F67" w:rsidRDefault="00674A4E" w:rsidP="00674A4E">
      <w:pPr>
        <w:autoSpaceDE w:val="0"/>
        <w:autoSpaceDN w:val="0"/>
        <w:adjustRightInd w:val="0"/>
        <w:spacing w:after="0"/>
        <w:rPr>
          <w:rFonts w:ascii="Times New Roman" w:eastAsiaTheme="minorHAnsi" w:hAnsi="Times New Roman" w:cs="Times New Roman"/>
          <w:bCs w:val="0"/>
          <w:szCs w:val="24"/>
        </w:rPr>
      </w:pPr>
      <w:r w:rsidRPr="00455F67">
        <w:rPr>
          <w:rFonts w:eastAsiaTheme="minorHAnsi"/>
          <w:bCs w:val="0"/>
          <w:color w:val="000000"/>
          <w:sz w:val="16"/>
          <w:szCs w:val="20"/>
        </w:rPr>
        <w:t xml:space="preserve"> </w:t>
      </w:r>
    </w:p>
    <w:p w:rsidR="00674A4E" w:rsidRDefault="00674A4E" w:rsidP="00674A4E">
      <w:pPr>
        <w:autoSpaceDE w:val="0"/>
        <w:autoSpaceDN w:val="0"/>
        <w:adjustRightInd w:val="0"/>
        <w:spacing w:after="0"/>
        <w:rPr>
          <w:rFonts w:eastAsiaTheme="minorHAnsi"/>
          <w:bCs w:val="0"/>
          <w:color w:val="000000"/>
          <w:szCs w:val="20"/>
        </w:rPr>
      </w:pPr>
      <w:r>
        <w:rPr>
          <w:rFonts w:eastAsiaTheme="minorHAnsi"/>
          <w:bCs w:val="0"/>
          <w:color w:val="000000"/>
          <w:szCs w:val="20"/>
        </w:rPr>
        <w:t xml:space="preserve">Par bénéficiaire effectif, on entend toute personne physique qui, directement ou indirectement, par tous procédés et même par des artifices légalement admis: </w:t>
      </w:r>
    </w:p>
    <w:p w:rsidR="00674A4E" w:rsidRPr="00455F67" w:rsidRDefault="00674A4E" w:rsidP="00674A4E">
      <w:pPr>
        <w:autoSpaceDE w:val="0"/>
        <w:autoSpaceDN w:val="0"/>
        <w:adjustRightInd w:val="0"/>
        <w:spacing w:after="0"/>
        <w:rPr>
          <w:rFonts w:ascii="Times New Roman" w:eastAsiaTheme="minorHAnsi" w:hAnsi="Times New Roman" w:cs="Times New Roman"/>
          <w:bCs w:val="0"/>
          <w:sz w:val="16"/>
          <w:szCs w:val="24"/>
        </w:rPr>
      </w:pPr>
    </w:p>
    <w:p w:rsidR="00674A4E" w:rsidRPr="009D58FD" w:rsidRDefault="00674A4E" w:rsidP="007B0F6C">
      <w:pPr>
        <w:pStyle w:val="ListParagraph"/>
        <w:numPr>
          <w:ilvl w:val="0"/>
          <w:numId w:val="44"/>
        </w:numPr>
        <w:autoSpaceDE w:val="0"/>
        <w:autoSpaceDN w:val="0"/>
        <w:adjustRightInd w:val="0"/>
        <w:spacing w:after="0"/>
        <w:rPr>
          <w:rFonts w:eastAsiaTheme="minorHAnsi"/>
          <w:bCs w:val="0"/>
          <w:color w:val="000000"/>
          <w:szCs w:val="20"/>
        </w:rPr>
      </w:pPr>
      <w:r w:rsidRPr="009D58FD">
        <w:rPr>
          <w:rFonts w:eastAsiaTheme="minorHAnsi"/>
          <w:bCs w:val="0"/>
          <w:color w:val="000000"/>
          <w:szCs w:val="20"/>
        </w:rPr>
        <w:t>Exerce en dernier ressort un contrôle effectif sur une société, ou</w:t>
      </w:r>
    </w:p>
    <w:p w:rsidR="00674A4E" w:rsidRPr="009D58FD" w:rsidRDefault="00674A4E" w:rsidP="007B0F6C">
      <w:pPr>
        <w:pStyle w:val="ListParagraph"/>
        <w:numPr>
          <w:ilvl w:val="0"/>
          <w:numId w:val="44"/>
        </w:numPr>
        <w:autoSpaceDE w:val="0"/>
        <w:autoSpaceDN w:val="0"/>
        <w:adjustRightInd w:val="0"/>
        <w:spacing w:after="0"/>
        <w:rPr>
          <w:rFonts w:eastAsiaTheme="minorHAnsi"/>
          <w:bCs w:val="0"/>
          <w:color w:val="000000"/>
          <w:szCs w:val="20"/>
        </w:rPr>
      </w:pPr>
      <w:r w:rsidRPr="009D58FD">
        <w:rPr>
          <w:rFonts w:eastAsiaTheme="minorHAnsi"/>
          <w:bCs w:val="0"/>
          <w:color w:val="000000"/>
          <w:szCs w:val="20"/>
        </w:rPr>
        <w:t xml:space="preserve">Détient un intérêt quelconque ou tire un avantage pécuniaire substantiel de la société, au détriment d’autres actionnaires ou associés. </w:t>
      </w:r>
    </w:p>
    <w:p w:rsidR="00674A4E" w:rsidRPr="00455F67" w:rsidRDefault="00674A4E" w:rsidP="00674A4E">
      <w:pPr>
        <w:autoSpaceDE w:val="0"/>
        <w:autoSpaceDN w:val="0"/>
        <w:adjustRightInd w:val="0"/>
        <w:spacing w:after="0"/>
        <w:rPr>
          <w:rFonts w:eastAsiaTheme="minorHAnsi"/>
          <w:bCs w:val="0"/>
          <w:color w:val="000000"/>
          <w:sz w:val="16"/>
          <w:szCs w:val="20"/>
        </w:rPr>
      </w:pPr>
    </w:p>
    <w:p w:rsidR="00674A4E" w:rsidRDefault="00674A4E" w:rsidP="00674A4E">
      <w:pPr>
        <w:autoSpaceDE w:val="0"/>
        <w:autoSpaceDN w:val="0"/>
        <w:adjustRightInd w:val="0"/>
        <w:spacing w:after="0"/>
        <w:rPr>
          <w:rFonts w:eastAsiaTheme="minorHAnsi"/>
          <w:bCs w:val="0"/>
          <w:color w:val="000000"/>
          <w:szCs w:val="20"/>
        </w:rPr>
      </w:pPr>
      <w:r>
        <w:rPr>
          <w:rFonts w:eastAsiaTheme="minorHAnsi"/>
          <w:bCs w:val="0"/>
          <w:color w:val="000000"/>
          <w:szCs w:val="20"/>
        </w:rPr>
        <w:t xml:space="preserve">Par contrôle effectif, on entend le fait pour :  </w:t>
      </w:r>
    </w:p>
    <w:p w:rsidR="00674A4E" w:rsidRPr="00455F67" w:rsidRDefault="00674A4E" w:rsidP="00674A4E">
      <w:pPr>
        <w:autoSpaceDE w:val="0"/>
        <w:autoSpaceDN w:val="0"/>
        <w:adjustRightInd w:val="0"/>
        <w:spacing w:after="0"/>
        <w:rPr>
          <w:rFonts w:ascii="Times New Roman" w:eastAsiaTheme="minorHAnsi" w:hAnsi="Times New Roman" w:cs="Times New Roman"/>
          <w:bCs w:val="0"/>
          <w:sz w:val="16"/>
          <w:szCs w:val="24"/>
        </w:rPr>
      </w:pPr>
    </w:p>
    <w:p w:rsidR="00674A4E" w:rsidRPr="009D58FD" w:rsidRDefault="00674A4E" w:rsidP="007B0F6C">
      <w:pPr>
        <w:pStyle w:val="ListParagraph"/>
        <w:numPr>
          <w:ilvl w:val="1"/>
          <w:numId w:val="45"/>
        </w:numPr>
        <w:autoSpaceDE w:val="0"/>
        <w:autoSpaceDN w:val="0"/>
        <w:adjustRightInd w:val="0"/>
        <w:spacing w:after="0"/>
        <w:ind w:left="360"/>
        <w:rPr>
          <w:rFonts w:ascii="Times New Roman" w:eastAsiaTheme="minorHAnsi" w:hAnsi="Times New Roman" w:cs="Times New Roman"/>
          <w:bCs w:val="0"/>
          <w:sz w:val="24"/>
          <w:szCs w:val="24"/>
        </w:rPr>
      </w:pPr>
      <w:r w:rsidRPr="009D58FD">
        <w:rPr>
          <w:rFonts w:eastAsiaTheme="minorHAnsi"/>
          <w:bCs w:val="0"/>
          <w:color w:val="000000"/>
          <w:szCs w:val="20"/>
        </w:rPr>
        <w:t xml:space="preserve">la ou les personnes physiques qui, en dernier lieu, possèdent ou contrôlent directement ou indirectement un pourcentage suffisant d’actions ou de droits de vote dans cette entité juridique, y compris par le biais d’actions au porteur, autre qu’une société cotée sur un marché réglementé qui est soumise à des obligations de publicité conformes aux normes internationales équivalentes. Un pourcentage de 25 % des actions est une preuve de propriété ou de contrôle par participation, qui s’applique à tout niveau de participation directe ou indirecte; </w:t>
      </w:r>
    </w:p>
    <w:p w:rsidR="00674A4E" w:rsidRPr="009D58FD" w:rsidRDefault="00674A4E" w:rsidP="007B0F6C">
      <w:pPr>
        <w:pStyle w:val="ListParagraph"/>
        <w:numPr>
          <w:ilvl w:val="1"/>
          <w:numId w:val="45"/>
        </w:numPr>
        <w:autoSpaceDE w:val="0"/>
        <w:autoSpaceDN w:val="0"/>
        <w:adjustRightInd w:val="0"/>
        <w:spacing w:after="0"/>
        <w:ind w:left="360"/>
        <w:rPr>
          <w:rFonts w:eastAsiaTheme="minorHAnsi"/>
          <w:bCs w:val="0"/>
          <w:color w:val="000000"/>
          <w:szCs w:val="20"/>
        </w:rPr>
      </w:pPr>
      <w:r w:rsidRPr="009D58FD">
        <w:rPr>
          <w:rFonts w:eastAsiaTheme="minorHAnsi"/>
          <w:bCs w:val="0"/>
          <w:color w:val="000000"/>
          <w:szCs w:val="20"/>
        </w:rPr>
        <w:t>la ou les personnes physiques qui, en dernier lieu, sans posséder un pourcentage suffisant d’actions ou de droits de vote dans une entité juridique, contrôlent  directement ou indirectement la société par la possession des actions de priorité, des actions privilégiées ou actions de préférence et/ou par la possession des actions à vote double ou à vote multiple;</w:t>
      </w:r>
    </w:p>
    <w:p w:rsidR="00674A4E" w:rsidRPr="00455F67" w:rsidRDefault="00674A4E" w:rsidP="009D58FD">
      <w:pPr>
        <w:autoSpaceDE w:val="0"/>
        <w:autoSpaceDN w:val="0"/>
        <w:adjustRightInd w:val="0"/>
        <w:spacing w:after="0"/>
        <w:ind w:left="-1080" w:firstLine="120"/>
        <w:rPr>
          <w:rFonts w:eastAsiaTheme="minorHAnsi"/>
          <w:bCs w:val="0"/>
          <w:color w:val="000000"/>
          <w:sz w:val="16"/>
          <w:szCs w:val="20"/>
        </w:rPr>
      </w:pPr>
    </w:p>
    <w:p w:rsidR="00674A4E" w:rsidRPr="009D58FD" w:rsidRDefault="00674A4E" w:rsidP="007B0F6C">
      <w:pPr>
        <w:pStyle w:val="ListParagraph"/>
        <w:numPr>
          <w:ilvl w:val="1"/>
          <w:numId w:val="45"/>
        </w:numPr>
        <w:autoSpaceDE w:val="0"/>
        <w:autoSpaceDN w:val="0"/>
        <w:adjustRightInd w:val="0"/>
        <w:spacing w:after="0"/>
        <w:ind w:left="360"/>
        <w:rPr>
          <w:rFonts w:eastAsiaTheme="minorHAnsi"/>
          <w:bCs w:val="0"/>
          <w:color w:val="000000"/>
          <w:szCs w:val="20"/>
        </w:rPr>
      </w:pPr>
      <w:r w:rsidRPr="009D58FD">
        <w:rPr>
          <w:rFonts w:eastAsiaTheme="minorHAnsi"/>
          <w:bCs w:val="0"/>
          <w:color w:val="000000"/>
          <w:szCs w:val="20"/>
        </w:rPr>
        <w:t>s’il n’est pas certain que les</w:t>
      </w:r>
      <w:r w:rsidR="007B06E6">
        <w:rPr>
          <w:rFonts w:eastAsiaTheme="minorHAnsi"/>
          <w:bCs w:val="0"/>
          <w:color w:val="000000"/>
          <w:szCs w:val="20"/>
        </w:rPr>
        <w:t xml:space="preserve"> personnes visées aux points ci</w:t>
      </w:r>
      <w:r w:rsidRPr="009D58FD">
        <w:rPr>
          <w:rFonts w:eastAsiaTheme="minorHAnsi"/>
          <w:bCs w:val="0"/>
          <w:color w:val="000000"/>
          <w:szCs w:val="20"/>
        </w:rPr>
        <w:t xml:space="preserve">-dessus soient les bénéficiaires effectifs, la ou les personnes physiques qui exercent le contrôle sur la direction de l’entité juridique par d’autres moyens ou procédés. </w:t>
      </w:r>
    </w:p>
    <w:p w:rsidR="00674A4E" w:rsidRPr="00455F67" w:rsidRDefault="00674A4E" w:rsidP="00674A4E">
      <w:pPr>
        <w:autoSpaceDE w:val="0"/>
        <w:autoSpaceDN w:val="0"/>
        <w:adjustRightInd w:val="0"/>
        <w:spacing w:after="0"/>
        <w:rPr>
          <w:rFonts w:ascii="Times New Roman" w:eastAsiaTheme="minorHAnsi" w:hAnsi="Times New Roman" w:cs="Times New Roman"/>
          <w:bCs w:val="0"/>
          <w:sz w:val="16"/>
          <w:szCs w:val="24"/>
        </w:rPr>
      </w:pPr>
    </w:p>
    <w:p w:rsidR="00D675AE" w:rsidRDefault="005B0A90" w:rsidP="00674A4E">
      <w:pPr>
        <w:autoSpaceDE w:val="0"/>
        <w:autoSpaceDN w:val="0"/>
        <w:adjustRightInd w:val="0"/>
        <w:spacing w:after="0"/>
        <w:rPr>
          <w:rFonts w:eastAsiaTheme="minorHAnsi"/>
          <w:bCs w:val="0"/>
          <w:color w:val="000000"/>
          <w:szCs w:val="20"/>
        </w:rPr>
      </w:pPr>
      <w:r>
        <w:rPr>
          <w:rFonts w:eastAsiaTheme="minorHAnsi"/>
          <w:bCs w:val="0"/>
          <w:color w:val="000000"/>
          <w:szCs w:val="20"/>
        </w:rPr>
        <w:t>Le GMP se propose de continuer à collecter les données sur la Propriété Réelle suivant le formulaire conçu et distribué pour les rapports 2012, 2013 et 2014.</w:t>
      </w:r>
    </w:p>
    <w:p w:rsidR="00674A4E" w:rsidRDefault="005B0A90" w:rsidP="00674A4E">
      <w:pPr>
        <w:autoSpaceDE w:val="0"/>
        <w:autoSpaceDN w:val="0"/>
        <w:adjustRightInd w:val="0"/>
        <w:spacing w:after="0"/>
        <w:rPr>
          <w:rFonts w:eastAsiaTheme="minorHAnsi"/>
          <w:bCs w:val="0"/>
          <w:color w:val="000000"/>
          <w:szCs w:val="20"/>
        </w:rPr>
      </w:pPr>
      <w:r>
        <w:rPr>
          <w:rFonts w:eastAsiaTheme="minorHAnsi"/>
          <w:bCs w:val="0"/>
          <w:color w:val="000000"/>
          <w:szCs w:val="20"/>
        </w:rPr>
        <w:t xml:space="preserve"> </w:t>
      </w:r>
    </w:p>
    <w:p w:rsidR="005B0A90" w:rsidRDefault="005B0A90" w:rsidP="00674A4E">
      <w:pPr>
        <w:autoSpaceDE w:val="0"/>
        <w:autoSpaceDN w:val="0"/>
        <w:adjustRightInd w:val="0"/>
        <w:spacing w:after="0"/>
        <w:rPr>
          <w:rFonts w:eastAsiaTheme="minorHAnsi"/>
          <w:bCs w:val="0"/>
          <w:color w:val="000000"/>
          <w:szCs w:val="20"/>
        </w:rPr>
      </w:pPr>
      <w:r>
        <w:rPr>
          <w:rFonts w:eastAsiaTheme="minorHAnsi"/>
          <w:bCs w:val="0"/>
          <w:color w:val="000000"/>
          <w:szCs w:val="20"/>
        </w:rPr>
        <w:t>Selon les dispositions de l'Exigence 2.5.ii, le GMP s'emploie à élaborer une feuille de route qui sera publiée le 01 janvier 2017 décrivant le processus tendant à obliger les pays de mise en œuvre de divulguer obligatoirement la Propriété Réelle en 2020.</w:t>
      </w:r>
    </w:p>
    <w:p w:rsidR="00CD450A" w:rsidRDefault="00CD450A">
      <w:pPr>
        <w:spacing w:after="200" w:line="276" w:lineRule="auto"/>
        <w:jc w:val="left"/>
        <w:sectPr w:rsidR="00CD450A" w:rsidSect="00BB1DE1">
          <w:footerReference w:type="default" r:id="rId16"/>
          <w:pgSz w:w="11906" w:h="16838"/>
          <w:pgMar w:top="1417" w:right="1417" w:bottom="1417" w:left="1417" w:header="708" w:footer="708" w:gutter="0"/>
          <w:cols w:space="708"/>
          <w:docGrid w:linePitch="360"/>
        </w:sectPr>
      </w:pPr>
      <w:r>
        <w:br w:type="page"/>
      </w:r>
    </w:p>
    <w:p w:rsidR="00CA17C9" w:rsidRPr="00674A4E" w:rsidRDefault="00CA17C9" w:rsidP="00CA17C9">
      <w:pPr>
        <w:pStyle w:val="Heading2"/>
        <w:numPr>
          <w:ilvl w:val="1"/>
          <w:numId w:val="2"/>
        </w:numPr>
        <w:shd w:val="clear" w:color="auto" w:fill="BFBFBF"/>
        <w:ind w:hanging="720"/>
        <w:rPr>
          <w:sz w:val="24"/>
          <w:szCs w:val="24"/>
        </w:rPr>
      </w:pPr>
      <w:bookmarkStart w:id="131" w:name="_Toc451431111"/>
      <w:r>
        <w:rPr>
          <w:sz w:val="24"/>
          <w:szCs w:val="24"/>
        </w:rPr>
        <w:lastRenderedPageBreak/>
        <w:t>Plan de suivi des recommandations des Exercices ITIE précédents</w:t>
      </w:r>
      <w:bookmarkEnd w:id="131"/>
    </w:p>
    <w:tbl>
      <w:tblPr>
        <w:tblStyle w:val="Tramemoyenne1-Accent12"/>
        <w:tblW w:w="14142" w:type="dxa"/>
        <w:tblLook w:val="04A0" w:firstRow="1" w:lastRow="0" w:firstColumn="1" w:lastColumn="0" w:noHBand="0" w:noVBand="1"/>
      </w:tblPr>
      <w:tblGrid>
        <w:gridCol w:w="1242"/>
        <w:gridCol w:w="6521"/>
        <w:gridCol w:w="6379"/>
      </w:tblGrid>
      <w:tr w:rsidR="00CD450A" w:rsidRPr="006F22B2" w:rsidTr="004D4FD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42" w:type="dxa"/>
            <w:vAlign w:val="center"/>
          </w:tcPr>
          <w:p w:rsidR="00CD450A" w:rsidRPr="006F22B2" w:rsidRDefault="00CD450A" w:rsidP="004D4FD7">
            <w:pPr>
              <w:jc w:val="left"/>
              <w:rPr>
                <w:szCs w:val="20"/>
              </w:rPr>
            </w:pPr>
          </w:p>
        </w:tc>
        <w:tc>
          <w:tcPr>
            <w:tcW w:w="6521" w:type="dxa"/>
            <w:vAlign w:val="center"/>
          </w:tcPr>
          <w:p w:rsidR="00CD450A" w:rsidRPr="006F22B2" w:rsidRDefault="00CD450A" w:rsidP="00CD450A">
            <w:pPr>
              <w:jc w:val="left"/>
              <w:cnfStyle w:val="100000000000" w:firstRow="1" w:lastRow="0" w:firstColumn="0" w:lastColumn="0" w:oddVBand="0" w:evenVBand="0" w:oddHBand="0" w:evenHBand="0" w:firstRowFirstColumn="0" w:firstRowLastColumn="0" w:lastRowFirstColumn="0" w:lastRowLastColumn="0"/>
              <w:rPr>
                <w:szCs w:val="20"/>
              </w:rPr>
            </w:pPr>
          </w:p>
          <w:p w:rsidR="00CD450A" w:rsidRPr="006F22B2" w:rsidRDefault="00CD450A" w:rsidP="00CD450A">
            <w:pPr>
              <w:jc w:val="left"/>
              <w:cnfStyle w:val="100000000000" w:firstRow="1" w:lastRow="0" w:firstColumn="0" w:lastColumn="0" w:oddVBand="0" w:evenVBand="0" w:oddHBand="0" w:evenHBand="0" w:firstRowFirstColumn="0" w:firstRowLastColumn="0" w:lastRowFirstColumn="0" w:lastRowLastColumn="0"/>
              <w:rPr>
                <w:szCs w:val="20"/>
              </w:rPr>
            </w:pPr>
            <w:r w:rsidRPr="006F22B2">
              <w:rPr>
                <w:szCs w:val="20"/>
              </w:rPr>
              <w:t>Recommandations</w:t>
            </w:r>
          </w:p>
        </w:tc>
        <w:tc>
          <w:tcPr>
            <w:tcW w:w="6379" w:type="dxa"/>
            <w:vAlign w:val="center"/>
          </w:tcPr>
          <w:p w:rsidR="00CD450A" w:rsidRPr="006F22B2" w:rsidRDefault="00CD450A" w:rsidP="004D4FD7">
            <w:pPr>
              <w:jc w:val="left"/>
              <w:cnfStyle w:val="100000000000" w:firstRow="1" w:lastRow="0" w:firstColumn="0" w:lastColumn="0" w:oddVBand="0" w:evenVBand="0" w:oddHBand="0" w:evenHBand="0" w:firstRowFirstColumn="0" w:firstRowLastColumn="0" w:lastRowFirstColumn="0" w:lastRowLastColumn="0"/>
              <w:rPr>
                <w:szCs w:val="20"/>
              </w:rPr>
            </w:pPr>
          </w:p>
          <w:p w:rsidR="00CD450A" w:rsidRPr="006F22B2" w:rsidRDefault="00CD450A" w:rsidP="004D4FD7">
            <w:pPr>
              <w:jc w:val="left"/>
              <w:cnfStyle w:val="100000000000" w:firstRow="1" w:lastRow="0" w:firstColumn="0" w:lastColumn="0" w:oddVBand="0" w:evenVBand="0" w:oddHBand="0" w:evenHBand="0" w:firstRowFirstColumn="0" w:firstRowLastColumn="0" w:lastRowFirstColumn="0" w:lastRowLastColumn="0"/>
              <w:rPr>
                <w:szCs w:val="20"/>
              </w:rPr>
            </w:pPr>
            <w:r w:rsidRPr="006F22B2">
              <w:rPr>
                <w:szCs w:val="20"/>
              </w:rPr>
              <w:t>Actions réalisées</w:t>
            </w:r>
          </w:p>
        </w:tc>
      </w:tr>
      <w:tr w:rsidR="00CD450A" w:rsidRPr="006F22B2" w:rsidTr="004D4F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CD450A" w:rsidRPr="006F22B2" w:rsidRDefault="00CD450A" w:rsidP="004D4FD7">
            <w:pPr>
              <w:rPr>
                <w:szCs w:val="20"/>
              </w:rPr>
            </w:pPr>
          </w:p>
        </w:tc>
        <w:tc>
          <w:tcPr>
            <w:tcW w:w="6521" w:type="dxa"/>
            <w:tcBorders>
              <w:right w:val="single" w:sz="4" w:space="0" w:color="7BA0CD" w:themeColor="accent1" w:themeTint="BF"/>
            </w:tcBorders>
            <w:vAlign w:val="center"/>
          </w:tcPr>
          <w:p w:rsidR="00CD450A" w:rsidRPr="006F22B2" w:rsidRDefault="00CD450A" w:rsidP="004D4FD7">
            <w:pPr>
              <w:cnfStyle w:val="000000100000" w:firstRow="0" w:lastRow="0" w:firstColumn="0" w:lastColumn="0" w:oddVBand="0" w:evenVBand="0" w:oddHBand="1" w:evenHBand="0" w:firstRowFirstColumn="0" w:firstRowLastColumn="0" w:lastRowFirstColumn="0" w:lastRowLastColumn="0"/>
              <w:rPr>
                <w:b/>
                <w:szCs w:val="20"/>
                <w:u w:val="single"/>
              </w:rPr>
            </w:pPr>
          </w:p>
          <w:p w:rsidR="00CD450A" w:rsidRPr="006F22B2" w:rsidRDefault="00CD450A" w:rsidP="004D4FD7">
            <w:pPr>
              <w:jc w:val="left"/>
              <w:cnfStyle w:val="000000100000" w:firstRow="0" w:lastRow="0" w:firstColumn="0" w:lastColumn="0" w:oddVBand="0" w:evenVBand="0" w:oddHBand="1" w:evenHBand="0" w:firstRowFirstColumn="0" w:firstRowLastColumn="0" w:lastRowFirstColumn="0" w:lastRowLastColumn="0"/>
              <w:rPr>
                <w:b/>
                <w:szCs w:val="20"/>
                <w:u w:val="single"/>
              </w:rPr>
            </w:pPr>
            <w:r w:rsidRPr="006F22B2">
              <w:rPr>
                <w:b/>
                <w:szCs w:val="20"/>
                <w:u w:val="single"/>
              </w:rPr>
              <w:t>Enoncé de la Recommandation 4</w:t>
            </w:r>
          </w:p>
          <w:p w:rsidR="00CD450A" w:rsidRPr="006F22B2" w:rsidRDefault="00CD450A" w:rsidP="004D4FD7">
            <w:pPr>
              <w:spacing w:after="0"/>
              <w:jc w:val="left"/>
              <w:cnfStyle w:val="000000100000" w:firstRow="0" w:lastRow="0" w:firstColumn="0" w:lastColumn="0" w:oddVBand="0" w:evenVBand="0" w:oddHBand="1" w:evenHBand="0" w:firstRowFirstColumn="0" w:firstRowLastColumn="0" w:lastRowFirstColumn="0" w:lastRowLastColumn="0"/>
              <w:rPr>
                <w:szCs w:val="20"/>
              </w:rPr>
            </w:pPr>
            <w:r w:rsidRPr="006F22B2">
              <w:rPr>
                <w:b/>
                <w:szCs w:val="20"/>
              </w:rPr>
              <w:t>Organisation du Cadastre Minier</w:t>
            </w:r>
            <w:r w:rsidRPr="006F22B2">
              <w:rPr>
                <w:szCs w:val="20"/>
              </w:rPr>
              <w:t xml:space="preserve">. </w:t>
            </w:r>
          </w:p>
          <w:p w:rsidR="00CD450A" w:rsidRPr="006F22B2" w:rsidRDefault="00CD450A" w:rsidP="004D4FD7">
            <w:pPr>
              <w:spacing w:after="0"/>
              <w:jc w:val="left"/>
              <w:cnfStyle w:val="000000100000" w:firstRow="0" w:lastRow="0" w:firstColumn="0" w:lastColumn="0" w:oddVBand="0" w:evenVBand="0" w:oddHBand="1" w:evenHBand="0" w:firstRowFirstColumn="0" w:firstRowLastColumn="0" w:lastRowFirstColumn="0" w:lastRowLastColumn="0"/>
              <w:rPr>
                <w:szCs w:val="20"/>
              </w:rPr>
            </w:pPr>
            <w:r w:rsidRPr="006F22B2">
              <w:rPr>
                <w:szCs w:val="20"/>
              </w:rPr>
              <w:t>Le Cadastre Minier étant un document de base pour la délimitation du périmètre ITIE, nous recommandons au CE de sensibiliser les parties prenantes pour prendre les mesures nécessaires afin de pallier aux insuffisances citées ci-haut dans l’objectif d’avoir une assurance raisonnable d’exhaustivité lors de la validation des périmètres de conciliation des prochains exercices.</w:t>
            </w:r>
          </w:p>
          <w:p w:rsidR="00CD450A" w:rsidRPr="006F22B2" w:rsidRDefault="00CD450A" w:rsidP="004D4FD7">
            <w:pPr>
              <w:jc w:val="left"/>
              <w:cnfStyle w:val="000000100000" w:firstRow="0" w:lastRow="0" w:firstColumn="0" w:lastColumn="0" w:oddVBand="0" w:evenVBand="0" w:oddHBand="1" w:evenHBand="0" w:firstRowFirstColumn="0" w:firstRowLastColumn="0" w:lastRowFirstColumn="0" w:lastRowLastColumn="0"/>
              <w:rPr>
                <w:szCs w:val="20"/>
              </w:rPr>
            </w:pPr>
          </w:p>
        </w:tc>
        <w:tc>
          <w:tcPr>
            <w:tcW w:w="6379" w:type="dxa"/>
            <w:tcBorders>
              <w:left w:val="single" w:sz="4" w:space="0" w:color="7BA0CD" w:themeColor="accent1" w:themeTint="BF"/>
              <w:bottom w:val="single" w:sz="8" w:space="0" w:color="7BA0CD" w:themeColor="accent1" w:themeTint="BF"/>
            </w:tcBorders>
            <w:vAlign w:val="center"/>
          </w:tcPr>
          <w:p w:rsidR="00CD450A" w:rsidRPr="006F22B2" w:rsidRDefault="00CD450A" w:rsidP="004D4FD7">
            <w:pPr>
              <w:spacing w:after="0"/>
              <w:ind w:left="360"/>
              <w:cnfStyle w:val="000000100000" w:firstRow="0" w:lastRow="0" w:firstColumn="0" w:lastColumn="0" w:oddVBand="0" w:evenVBand="0" w:oddHBand="1" w:evenHBand="0" w:firstRowFirstColumn="0" w:firstRowLastColumn="0" w:lastRowFirstColumn="0" w:lastRowLastColumn="0"/>
              <w:rPr>
                <w:szCs w:val="20"/>
              </w:rPr>
            </w:pPr>
            <w:r w:rsidRPr="006F22B2">
              <w:rPr>
                <w:szCs w:val="20"/>
              </w:rPr>
              <w:t>Publication du répertoire des titulaires des titres miniers et leurs NIF sur le site de l'ITIE-RDC</w:t>
            </w:r>
          </w:p>
          <w:p w:rsidR="00CD450A" w:rsidRPr="006F22B2" w:rsidRDefault="00CD450A" w:rsidP="004D4FD7">
            <w:pPr>
              <w:spacing w:after="0"/>
              <w:ind w:left="360"/>
              <w:cnfStyle w:val="000000100000" w:firstRow="0" w:lastRow="0" w:firstColumn="0" w:lastColumn="0" w:oddVBand="0" w:evenVBand="0" w:oddHBand="1" w:evenHBand="0" w:firstRowFirstColumn="0" w:firstRowLastColumn="0" w:lastRowFirstColumn="0" w:lastRowLastColumn="0"/>
              <w:rPr>
                <w:szCs w:val="20"/>
              </w:rPr>
            </w:pPr>
          </w:p>
        </w:tc>
      </w:tr>
      <w:tr w:rsidR="00CD450A" w:rsidRPr="006F22B2" w:rsidTr="004D4FD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CD450A" w:rsidRPr="006F22B2" w:rsidRDefault="00CD450A" w:rsidP="004D4FD7">
            <w:pPr>
              <w:rPr>
                <w:szCs w:val="20"/>
              </w:rPr>
            </w:pPr>
          </w:p>
        </w:tc>
        <w:tc>
          <w:tcPr>
            <w:tcW w:w="6521" w:type="dxa"/>
            <w:tcBorders>
              <w:right w:val="single" w:sz="4" w:space="0" w:color="7BA0CD" w:themeColor="accent1" w:themeTint="BF"/>
            </w:tcBorders>
            <w:vAlign w:val="center"/>
          </w:tcPr>
          <w:p w:rsidR="00CD450A" w:rsidRPr="006F22B2" w:rsidRDefault="00CD450A" w:rsidP="004D4FD7">
            <w:pPr>
              <w:cnfStyle w:val="000000010000" w:firstRow="0" w:lastRow="0" w:firstColumn="0" w:lastColumn="0" w:oddVBand="0" w:evenVBand="0" w:oddHBand="0" w:evenHBand="1" w:firstRowFirstColumn="0" w:firstRowLastColumn="0" w:lastRowFirstColumn="0" w:lastRowLastColumn="0"/>
              <w:rPr>
                <w:b/>
                <w:szCs w:val="20"/>
                <w:u w:val="single"/>
              </w:rPr>
            </w:pPr>
          </w:p>
          <w:p w:rsidR="00CD450A" w:rsidRPr="006F22B2" w:rsidRDefault="00CD450A" w:rsidP="004D4FD7">
            <w:pPr>
              <w:cnfStyle w:val="000000010000" w:firstRow="0" w:lastRow="0" w:firstColumn="0" w:lastColumn="0" w:oddVBand="0" w:evenVBand="0" w:oddHBand="0" w:evenHBand="1" w:firstRowFirstColumn="0" w:firstRowLastColumn="0" w:lastRowFirstColumn="0" w:lastRowLastColumn="0"/>
              <w:rPr>
                <w:b/>
                <w:szCs w:val="20"/>
                <w:u w:val="single"/>
              </w:rPr>
            </w:pPr>
            <w:r w:rsidRPr="006F22B2">
              <w:rPr>
                <w:b/>
                <w:szCs w:val="20"/>
                <w:u w:val="single"/>
              </w:rPr>
              <w:t>Enoncé de la Recommandation 3</w:t>
            </w:r>
          </w:p>
          <w:p w:rsidR="00CD450A" w:rsidRPr="006F22B2" w:rsidRDefault="00CD450A" w:rsidP="004D4FD7">
            <w:pPr>
              <w:spacing w:after="0"/>
              <w:cnfStyle w:val="000000010000" w:firstRow="0" w:lastRow="0" w:firstColumn="0" w:lastColumn="0" w:oddVBand="0" w:evenVBand="0" w:oddHBand="0" w:evenHBand="1" w:firstRowFirstColumn="0" w:firstRowLastColumn="0" w:lastRowFirstColumn="0" w:lastRowLastColumn="0"/>
              <w:rPr>
                <w:b/>
                <w:szCs w:val="20"/>
              </w:rPr>
            </w:pPr>
            <w:r w:rsidRPr="006F22B2">
              <w:rPr>
                <w:b/>
                <w:szCs w:val="20"/>
              </w:rPr>
              <w:t xml:space="preserve">Situation des participations de l’Etat non mis à jour. </w:t>
            </w:r>
          </w:p>
          <w:p w:rsidR="00CD450A" w:rsidRPr="006F22B2" w:rsidRDefault="00CD450A" w:rsidP="004D4FD7">
            <w:pPr>
              <w:spacing w:after="0"/>
              <w:cnfStyle w:val="000000010000" w:firstRow="0" w:lastRow="0" w:firstColumn="0" w:lastColumn="0" w:oddVBand="0" w:evenVBand="0" w:oddHBand="0" w:evenHBand="1" w:firstRowFirstColumn="0" w:firstRowLastColumn="0" w:lastRowFirstColumn="0" w:lastRowLastColumn="0"/>
              <w:rPr>
                <w:szCs w:val="20"/>
              </w:rPr>
            </w:pPr>
            <w:r w:rsidRPr="006F22B2">
              <w:rPr>
                <w:szCs w:val="20"/>
              </w:rPr>
              <w:t>Nous recommandons au CE de sensibiliser le Ministère du PF sur l’importance de cette information exigée par la norme ITIE et ce par un suivi rigoureux de toutes les opérations ayant une incidence sur les participations de l’Etat et la mise à jour, en conséquence, de la situation de ces participations.</w:t>
            </w:r>
          </w:p>
          <w:p w:rsidR="00CD450A" w:rsidRPr="006F22B2" w:rsidRDefault="00CD450A" w:rsidP="004D4FD7">
            <w:pPr>
              <w:spacing w:after="0"/>
              <w:cnfStyle w:val="000000010000" w:firstRow="0" w:lastRow="0" w:firstColumn="0" w:lastColumn="0" w:oddVBand="0" w:evenVBand="0" w:oddHBand="0" w:evenHBand="1" w:firstRowFirstColumn="0" w:firstRowLastColumn="0" w:lastRowFirstColumn="0" w:lastRowLastColumn="0"/>
              <w:rPr>
                <w:b/>
                <w:szCs w:val="20"/>
                <w:u w:val="single"/>
              </w:rPr>
            </w:pPr>
          </w:p>
        </w:tc>
        <w:tc>
          <w:tcPr>
            <w:tcW w:w="6379" w:type="dxa"/>
            <w:tcBorders>
              <w:left w:val="single" w:sz="4" w:space="0" w:color="7BA0CD" w:themeColor="accent1" w:themeTint="BF"/>
              <w:bottom w:val="single" w:sz="8" w:space="0" w:color="7BA0CD" w:themeColor="accent1" w:themeTint="BF"/>
            </w:tcBorders>
            <w:vAlign w:val="center"/>
          </w:tcPr>
          <w:p w:rsidR="00CD450A" w:rsidRPr="006F22B2" w:rsidRDefault="00CD450A" w:rsidP="004D4FD7">
            <w:pPr>
              <w:ind w:left="360"/>
              <w:cnfStyle w:val="000000010000" w:firstRow="0" w:lastRow="0" w:firstColumn="0" w:lastColumn="0" w:oddVBand="0" w:evenVBand="0" w:oddHBand="0" w:evenHBand="1" w:firstRowFirstColumn="0" w:firstRowLastColumn="0" w:lastRowFirstColumn="0" w:lastRowLastColumn="0"/>
              <w:rPr>
                <w:szCs w:val="20"/>
              </w:rPr>
            </w:pPr>
            <w:r w:rsidRPr="006F22B2">
              <w:rPr>
                <w:szCs w:val="20"/>
              </w:rPr>
              <w:t>Après une réunion d'harmonisation avec les Experts du Ministère du Portefeuille, ce dernier a fourni une liste actualisée des participations de l'Etat.</w:t>
            </w:r>
          </w:p>
        </w:tc>
      </w:tr>
      <w:tr w:rsidR="00CD450A" w:rsidRPr="006F22B2" w:rsidTr="004D4F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CD450A" w:rsidRPr="006F22B2" w:rsidRDefault="00CD450A" w:rsidP="004D4FD7">
            <w:pPr>
              <w:rPr>
                <w:szCs w:val="20"/>
              </w:rPr>
            </w:pPr>
          </w:p>
        </w:tc>
        <w:tc>
          <w:tcPr>
            <w:tcW w:w="6521" w:type="dxa"/>
            <w:tcBorders>
              <w:right w:val="single" w:sz="4" w:space="0" w:color="7BA0CD" w:themeColor="accent1" w:themeTint="BF"/>
            </w:tcBorders>
            <w:vAlign w:val="center"/>
          </w:tcPr>
          <w:p w:rsidR="00CD450A" w:rsidRPr="006F22B2" w:rsidRDefault="00CD450A" w:rsidP="004D4FD7">
            <w:pPr>
              <w:cnfStyle w:val="000000100000" w:firstRow="0" w:lastRow="0" w:firstColumn="0" w:lastColumn="0" w:oddVBand="0" w:evenVBand="0" w:oddHBand="1" w:evenHBand="0" w:firstRowFirstColumn="0" w:firstRowLastColumn="0" w:lastRowFirstColumn="0" w:lastRowLastColumn="0"/>
              <w:rPr>
                <w:b/>
                <w:szCs w:val="20"/>
                <w:u w:val="single"/>
              </w:rPr>
            </w:pPr>
          </w:p>
          <w:p w:rsidR="00CD450A" w:rsidRPr="006F22B2" w:rsidRDefault="00CD450A" w:rsidP="004D4FD7">
            <w:pPr>
              <w:spacing w:after="0"/>
              <w:jc w:val="left"/>
              <w:cnfStyle w:val="000000100000" w:firstRow="0" w:lastRow="0" w:firstColumn="0" w:lastColumn="0" w:oddVBand="0" w:evenVBand="0" w:oddHBand="1" w:evenHBand="0" w:firstRowFirstColumn="0" w:firstRowLastColumn="0" w:lastRowFirstColumn="0" w:lastRowLastColumn="0"/>
              <w:rPr>
                <w:b/>
                <w:szCs w:val="20"/>
                <w:u w:val="single"/>
              </w:rPr>
            </w:pPr>
            <w:r w:rsidRPr="006F22B2">
              <w:rPr>
                <w:b/>
                <w:szCs w:val="20"/>
                <w:u w:val="single"/>
              </w:rPr>
              <w:t xml:space="preserve">Enoncé de la Recommandation 6 </w:t>
            </w:r>
          </w:p>
          <w:p w:rsidR="00CD450A" w:rsidRPr="006F22B2" w:rsidRDefault="00CD450A" w:rsidP="004D4FD7">
            <w:pPr>
              <w:spacing w:after="0"/>
              <w:jc w:val="left"/>
              <w:cnfStyle w:val="000000100000" w:firstRow="0" w:lastRow="0" w:firstColumn="0" w:lastColumn="0" w:oddVBand="0" w:evenVBand="0" w:oddHBand="1" w:evenHBand="0" w:firstRowFirstColumn="0" w:firstRowLastColumn="0" w:lastRowFirstColumn="0" w:lastRowLastColumn="0"/>
              <w:rPr>
                <w:szCs w:val="20"/>
              </w:rPr>
            </w:pPr>
            <w:r w:rsidRPr="006F22B2">
              <w:rPr>
                <w:b/>
                <w:szCs w:val="20"/>
              </w:rPr>
              <w:t>Extension du périmètre de conciliation</w:t>
            </w:r>
            <w:r w:rsidRPr="006F22B2">
              <w:rPr>
                <w:szCs w:val="20"/>
              </w:rPr>
              <w:t xml:space="preserve">. </w:t>
            </w:r>
          </w:p>
          <w:p w:rsidR="00CD450A" w:rsidRPr="006F22B2" w:rsidRDefault="00CD450A" w:rsidP="004D4FD7">
            <w:pPr>
              <w:spacing w:after="0"/>
              <w:jc w:val="left"/>
              <w:cnfStyle w:val="000000100000" w:firstRow="0" w:lastRow="0" w:firstColumn="0" w:lastColumn="0" w:oddVBand="0" w:evenVBand="0" w:oddHBand="1" w:evenHBand="0" w:firstRowFirstColumn="0" w:firstRowLastColumn="0" w:lastRowFirstColumn="0" w:lastRowLastColumn="0"/>
              <w:rPr>
                <w:szCs w:val="20"/>
              </w:rPr>
            </w:pPr>
            <w:r w:rsidRPr="006F22B2">
              <w:rPr>
                <w:szCs w:val="20"/>
              </w:rPr>
              <w:t>Nous recommandons que la « Redevance annuelle pour entités de traitement et de transformation de toutes catégories et tailleries » soit retenue dans le périmètre de conciliation des prochains rapports ITIE.</w:t>
            </w:r>
          </w:p>
          <w:p w:rsidR="00CD450A" w:rsidRPr="006F22B2" w:rsidRDefault="00CD450A" w:rsidP="004D4FD7">
            <w:pPr>
              <w:jc w:val="left"/>
              <w:cnfStyle w:val="000000100000" w:firstRow="0" w:lastRow="0" w:firstColumn="0" w:lastColumn="0" w:oddVBand="0" w:evenVBand="0" w:oddHBand="1" w:evenHBand="0" w:firstRowFirstColumn="0" w:firstRowLastColumn="0" w:lastRowFirstColumn="0" w:lastRowLastColumn="0"/>
              <w:rPr>
                <w:szCs w:val="20"/>
              </w:rPr>
            </w:pPr>
          </w:p>
        </w:tc>
        <w:tc>
          <w:tcPr>
            <w:tcW w:w="6379" w:type="dxa"/>
            <w:tcBorders>
              <w:left w:val="single" w:sz="4" w:space="0" w:color="7BA0CD" w:themeColor="accent1" w:themeTint="BF"/>
              <w:bottom w:val="single" w:sz="8" w:space="0" w:color="7BA0CD" w:themeColor="accent1" w:themeTint="BF"/>
            </w:tcBorders>
            <w:vAlign w:val="center"/>
          </w:tcPr>
          <w:p w:rsidR="00CD450A" w:rsidRPr="006F22B2" w:rsidRDefault="00CD450A" w:rsidP="004D4FD7">
            <w:pPr>
              <w:spacing w:after="0"/>
              <w:ind w:left="360"/>
              <w:jc w:val="left"/>
              <w:cnfStyle w:val="000000100000" w:firstRow="0" w:lastRow="0" w:firstColumn="0" w:lastColumn="0" w:oddVBand="0" w:evenVBand="0" w:oddHBand="1" w:evenHBand="0" w:firstRowFirstColumn="0" w:firstRowLastColumn="0" w:lastRowFirstColumn="0" w:lastRowLastColumn="0"/>
              <w:rPr>
                <w:szCs w:val="20"/>
              </w:rPr>
            </w:pPr>
            <w:r w:rsidRPr="006F22B2">
              <w:rPr>
                <w:szCs w:val="20"/>
              </w:rPr>
              <w:lastRenderedPageBreak/>
              <w:t>La « Redevance annuelle pour entités de traitement et de transformation de toutes catégories et tailleries » fait partie du référentiel du Rapport ITIE-RDC 2015.</w:t>
            </w:r>
          </w:p>
          <w:p w:rsidR="00CD450A" w:rsidRPr="006F22B2" w:rsidRDefault="00CD450A" w:rsidP="004D4FD7">
            <w:pPr>
              <w:jc w:val="left"/>
              <w:cnfStyle w:val="000000100000" w:firstRow="0" w:lastRow="0" w:firstColumn="0" w:lastColumn="0" w:oddVBand="0" w:evenVBand="0" w:oddHBand="1" w:evenHBand="0" w:firstRowFirstColumn="0" w:firstRowLastColumn="0" w:lastRowFirstColumn="0" w:lastRowLastColumn="0"/>
              <w:rPr>
                <w:szCs w:val="20"/>
              </w:rPr>
            </w:pPr>
          </w:p>
        </w:tc>
      </w:tr>
      <w:tr w:rsidR="00CD450A" w:rsidRPr="006F22B2" w:rsidTr="004D4FD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CD450A" w:rsidRPr="006F22B2" w:rsidRDefault="00CD450A" w:rsidP="004D4FD7">
            <w:pPr>
              <w:rPr>
                <w:szCs w:val="20"/>
              </w:rPr>
            </w:pPr>
          </w:p>
        </w:tc>
        <w:tc>
          <w:tcPr>
            <w:tcW w:w="6521" w:type="dxa"/>
            <w:tcBorders>
              <w:bottom w:val="single" w:sz="8" w:space="0" w:color="7BA0CD" w:themeColor="accent1" w:themeTint="BF"/>
              <w:right w:val="single" w:sz="4" w:space="0" w:color="7BA0CD" w:themeColor="accent1" w:themeTint="BF"/>
            </w:tcBorders>
          </w:tcPr>
          <w:p w:rsidR="00CD450A" w:rsidRPr="006F22B2" w:rsidRDefault="00CD450A" w:rsidP="004D4FD7">
            <w:pPr>
              <w:spacing w:after="0"/>
              <w:cnfStyle w:val="000000010000" w:firstRow="0" w:lastRow="0" w:firstColumn="0" w:lastColumn="0" w:oddVBand="0" w:evenVBand="0" w:oddHBand="0" w:evenHBand="1" w:firstRowFirstColumn="0" w:firstRowLastColumn="0" w:lastRowFirstColumn="0" w:lastRowLastColumn="0"/>
              <w:rPr>
                <w:b/>
                <w:szCs w:val="20"/>
                <w:u w:val="single"/>
              </w:rPr>
            </w:pPr>
            <w:r w:rsidRPr="006F22B2">
              <w:rPr>
                <w:b/>
                <w:szCs w:val="20"/>
                <w:u w:val="single"/>
              </w:rPr>
              <w:t xml:space="preserve">Enoncé de la Recommandation 8 </w:t>
            </w:r>
          </w:p>
          <w:p w:rsidR="00CD450A" w:rsidRPr="006F22B2" w:rsidRDefault="00CD450A" w:rsidP="004D4FD7">
            <w:pPr>
              <w:spacing w:after="0"/>
              <w:cnfStyle w:val="000000010000" w:firstRow="0" w:lastRow="0" w:firstColumn="0" w:lastColumn="0" w:oddVBand="0" w:evenVBand="0" w:oddHBand="0" w:evenHBand="1" w:firstRowFirstColumn="0" w:firstRowLastColumn="0" w:lastRowFirstColumn="0" w:lastRowLastColumn="0"/>
              <w:rPr>
                <w:b/>
                <w:szCs w:val="20"/>
              </w:rPr>
            </w:pPr>
            <w:r w:rsidRPr="006F22B2">
              <w:rPr>
                <w:b/>
                <w:szCs w:val="20"/>
              </w:rPr>
              <w:t>Respect du mécanisme de fiabilité des déclarations</w:t>
            </w:r>
          </w:p>
          <w:p w:rsidR="00CD450A" w:rsidRPr="006F22B2" w:rsidRDefault="00CD450A" w:rsidP="004D4FD7">
            <w:pPr>
              <w:spacing w:after="0"/>
              <w:cnfStyle w:val="000000010000" w:firstRow="0" w:lastRow="0" w:firstColumn="0" w:lastColumn="0" w:oddVBand="0" w:evenVBand="0" w:oddHBand="0" w:evenHBand="1" w:firstRowFirstColumn="0" w:firstRowLastColumn="0" w:lastRowFirstColumn="0" w:lastRowLastColumn="0"/>
              <w:rPr>
                <w:szCs w:val="20"/>
              </w:rPr>
            </w:pPr>
            <w:r w:rsidRPr="006F22B2">
              <w:rPr>
                <w:szCs w:val="20"/>
              </w:rPr>
              <w:t xml:space="preserve">Nous recommandons au Comité Exécutif de prendre les mesures nécessaires afin de pallier à cette insuffisance par : </w:t>
            </w:r>
          </w:p>
          <w:p w:rsidR="00CD450A" w:rsidRPr="006F22B2" w:rsidRDefault="00CD450A" w:rsidP="00F77566">
            <w:pPr>
              <w:pStyle w:val="ListParagraph"/>
              <w:numPr>
                <w:ilvl w:val="0"/>
                <w:numId w:val="54"/>
              </w:numPr>
              <w:spacing w:after="0"/>
              <w:contextualSpacing/>
              <w:cnfStyle w:val="000000010000" w:firstRow="0" w:lastRow="0" w:firstColumn="0" w:lastColumn="0" w:oddVBand="0" w:evenVBand="0" w:oddHBand="0" w:evenHBand="1" w:firstRowFirstColumn="0" w:firstRowLastColumn="0" w:lastRowFirstColumn="0" w:lastRowLastColumn="0"/>
              <w:rPr>
                <w:szCs w:val="20"/>
              </w:rPr>
            </w:pPr>
            <w:r w:rsidRPr="006F22B2">
              <w:rPr>
                <w:szCs w:val="20"/>
              </w:rPr>
              <w:t>la sensibilisation davantage des parties prenantes à l’importance de ce volet dans le  processus ITIE ; et</w:t>
            </w:r>
          </w:p>
          <w:p w:rsidR="00CD450A" w:rsidRPr="006F22B2" w:rsidRDefault="00CD450A" w:rsidP="00F77566">
            <w:pPr>
              <w:pStyle w:val="ListParagraph"/>
              <w:numPr>
                <w:ilvl w:val="0"/>
                <w:numId w:val="54"/>
              </w:numPr>
              <w:spacing w:after="0"/>
              <w:contextualSpacing/>
              <w:cnfStyle w:val="000000010000" w:firstRow="0" w:lastRow="0" w:firstColumn="0" w:lastColumn="0" w:oddVBand="0" w:evenVBand="0" w:oddHBand="0" w:evenHBand="1" w:firstRowFirstColumn="0" w:firstRowLastColumn="0" w:lastRowFirstColumn="0" w:lastRowLastColumn="0"/>
              <w:rPr>
                <w:szCs w:val="20"/>
              </w:rPr>
            </w:pPr>
            <w:r w:rsidRPr="006F22B2">
              <w:rPr>
                <w:szCs w:val="20"/>
              </w:rPr>
              <w:t>la fixation d'un délai raisonnable pour la certification des données</w:t>
            </w:r>
          </w:p>
          <w:p w:rsidR="00CD450A" w:rsidRPr="006F22B2" w:rsidRDefault="00CD450A" w:rsidP="004D4FD7">
            <w:pPr>
              <w:cnfStyle w:val="000000010000" w:firstRow="0" w:lastRow="0" w:firstColumn="0" w:lastColumn="0" w:oddVBand="0" w:evenVBand="0" w:oddHBand="0" w:evenHBand="1" w:firstRowFirstColumn="0" w:firstRowLastColumn="0" w:lastRowFirstColumn="0" w:lastRowLastColumn="0"/>
              <w:rPr>
                <w:szCs w:val="20"/>
              </w:rPr>
            </w:pPr>
          </w:p>
        </w:tc>
        <w:tc>
          <w:tcPr>
            <w:tcW w:w="6379" w:type="dxa"/>
            <w:tcBorders>
              <w:left w:val="single" w:sz="4" w:space="0" w:color="7BA0CD" w:themeColor="accent1" w:themeTint="BF"/>
            </w:tcBorders>
            <w:vAlign w:val="center"/>
          </w:tcPr>
          <w:p w:rsidR="00CD450A" w:rsidRPr="006F22B2" w:rsidRDefault="00CD450A" w:rsidP="004D4FD7">
            <w:pPr>
              <w:pStyle w:val="ListParagraph"/>
              <w:ind w:left="367" w:firstLine="28"/>
              <w:cnfStyle w:val="000000010000" w:firstRow="0" w:lastRow="0" w:firstColumn="0" w:lastColumn="0" w:oddVBand="0" w:evenVBand="0" w:oddHBand="0" w:evenHBand="1" w:firstRowFirstColumn="0" w:firstRowLastColumn="0" w:lastRowFirstColumn="0" w:lastRowLastColumn="0"/>
              <w:rPr>
                <w:szCs w:val="20"/>
              </w:rPr>
            </w:pPr>
            <w:r w:rsidRPr="006F22B2">
              <w:rPr>
                <w:szCs w:val="20"/>
              </w:rPr>
              <w:t>Les Ministres des Finances, des Mines et des Hydrocarbures ont adressé des lettres aux parties déclarantes, les obligeant à respecter le mécanisme de fiabilisation adopté par le CE.</w:t>
            </w:r>
          </w:p>
          <w:p w:rsidR="00CD450A" w:rsidRPr="006F22B2" w:rsidRDefault="00CD450A" w:rsidP="004D4FD7">
            <w:pPr>
              <w:jc w:val="left"/>
              <w:cnfStyle w:val="000000010000" w:firstRow="0" w:lastRow="0" w:firstColumn="0" w:lastColumn="0" w:oddVBand="0" w:evenVBand="0" w:oddHBand="0" w:evenHBand="1" w:firstRowFirstColumn="0" w:firstRowLastColumn="0" w:lastRowFirstColumn="0" w:lastRowLastColumn="0"/>
              <w:rPr>
                <w:szCs w:val="20"/>
              </w:rPr>
            </w:pPr>
          </w:p>
        </w:tc>
      </w:tr>
      <w:tr w:rsidR="00CD450A" w:rsidRPr="006F22B2" w:rsidTr="004D4F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CD450A" w:rsidRPr="006F22B2" w:rsidRDefault="00CD450A" w:rsidP="004D4FD7">
            <w:pPr>
              <w:rPr>
                <w:szCs w:val="20"/>
              </w:rPr>
            </w:pPr>
          </w:p>
        </w:tc>
        <w:tc>
          <w:tcPr>
            <w:tcW w:w="6521" w:type="dxa"/>
            <w:tcBorders>
              <w:right w:val="single" w:sz="4" w:space="0" w:color="7BA0CD" w:themeColor="accent1" w:themeTint="BF"/>
            </w:tcBorders>
          </w:tcPr>
          <w:p w:rsidR="00CD450A" w:rsidRPr="006F22B2" w:rsidRDefault="00CD450A" w:rsidP="004D4FD7">
            <w:pPr>
              <w:spacing w:after="0"/>
              <w:cnfStyle w:val="000000100000" w:firstRow="0" w:lastRow="0" w:firstColumn="0" w:lastColumn="0" w:oddVBand="0" w:evenVBand="0" w:oddHBand="1" w:evenHBand="0" w:firstRowFirstColumn="0" w:firstRowLastColumn="0" w:lastRowFirstColumn="0" w:lastRowLastColumn="0"/>
              <w:rPr>
                <w:b/>
                <w:szCs w:val="20"/>
                <w:u w:val="single"/>
              </w:rPr>
            </w:pPr>
            <w:r w:rsidRPr="006F22B2">
              <w:rPr>
                <w:b/>
                <w:szCs w:val="20"/>
                <w:u w:val="single"/>
              </w:rPr>
              <w:t>Enoncé de la Recommandation 10</w:t>
            </w:r>
          </w:p>
          <w:p w:rsidR="00CD450A" w:rsidRPr="006F22B2" w:rsidRDefault="00CD450A" w:rsidP="004D4FD7">
            <w:pPr>
              <w:spacing w:after="0"/>
              <w:cnfStyle w:val="000000100000" w:firstRow="0" w:lastRow="0" w:firstColumn="0" w:lastColumn="0" w:oddVBand="0" w:evenVBand="0" w:oddHBand="1" w:evenHBand="0" w:firstRowFirstColumn="0" w:firstRowLastColumn="0" w:lastRowFirstColumn="0" w:lastRowLastColumn="0"/>
              <w:rPr>
                <w:b/>
                <w:szCs w:val="20"/>
              </w:rPr>
            </w:pPr>
            <w:r w:rsidRPr="006F22B2">
              <w:rPr>
                <w:b/>
                <w:szCs w:val="20"/>
              </w:rPr>
              <w:t>Processus de déclaration pour les données de production et d’exportation</w:t>
            </w:r>
          </w:p>
          <w:p w:rsidR="00CD450A" w:rsidRPr="006F22B2" w:rsidRDefault="00CD450A" w:rsidP="004D4FD7">
            <w:pPr>
              <w:cnfStyle w:val="000000100000" w:firstRow="0" w:lastRow="0" w:firstColumn="0" w:lastColumn="0" w:oddVBand="0" w:evenVBand="0" w:oddHBand="1" w:evenHBand="0" w:firstRowFirstColumn="0" w:firstRowLastColumn="0" w:lastRowFirstColumn="0" w:lastRowLastColumn="0"/>
              <w:rPr>
                <w:szCs w:val="20"/>
              </w:rPr>
            </w:pPr>
            <w:r w:rsidRPr="006F22B2">
              <w:rPr>
                <w:szCs w:val="20"/>
              </w:rPr>
              <w:t>Nous recommandons pour les déclarations futures de se conformer à la nomenclature des produits marchands telle que déterminée dans l’Arrêté Interministériel N°0122/MINES et N°0782/FINANCES du 05 avril 2013 portant règlementation des exportations des produits miniers marchands  complété et modifié par l’Arrêté Interministériel N°0327/MINES et N°855/FINANCES du 04 juillet 2013.</w:t>
            </w:r>
          </w:p>
          <w:p w:rsidR="00CD450A" w:rsidRPr="006F22B2" w:rsidRDefault="00CD450A" w:rsidP="004D4FD7">
            <w:pPr>
              <w:cnfStyle w:val="000000100000" w:firstRow="0" w:lastRow="0" w:firstColumn="0" w:lastColumn="0" w:oddVBand="0" w:evenVBand="0" w:oddHBand="1" w:evenHBand="0" w:firstRowFirstColumn="0" w:firstRowLastColumn="0" w:lastRowFirstColumn="0" w:lastRowLastColumn="0"/>
              <w:rPr>
                <w:szCs w:val="20"/>
              </w:rPr>
            </w:pPr>
            <w:r w:rsidRPr="006F22B2">
              <w:rPr>
                <w:szCs w:val="20"/>
              </w:rPr>
              <w:t xml:space="preserve">D’autre part, nous recommandons, pour les prochains exercices, de ne pas demander des valorisations de la production. En effet, la valorisation de la production peut poser des problèmes pratiques vu la diversité des méthodes comptables : certaines sociétés pourraient faire la valorisation au coût de production alors que d’autres pourraient utiliser d’autres méthodes telle que la juste valeur ce qui alourdirait le processus sans rendre l’information comparable. </w:t>
            </w:r>
          </w:p>
          <w:p w:rsidR="00CD450A" w:rsidRPr="006F22B2" w:rsidRDefault="00CD450A" w:rsidP="004D4FD7">
            <w:pPr>
              <w:cnfStyle w:val="000000100000" w:firstRow="0" w:lastRow="0" w:firstColumn="0" w:lastColumn="0" w:oddVBand="0" w:evenVBand="0" w:oddHBand="1" w:evenHBand="0" w:firstRowFirstColumn="0" w:firstRowLastColumn="0" w:lastRowFirstColumn="0" w:lastRowLastColumn="0"/>
              <w:rPr>
                <w:szCs w:val="20"/>
              </w:rPr>
            </w:pPr>
          </w:p>
        </w:tc>
        <w:tc>
          <w:tcPr>
            <w:tcW w:w="6379" w:type="dxa"/>
            <w:tcBorders>
              <w:left w:val="single" w:sz="4" w:space="0" w:color="7BA0CD" w:themeColor="accent1" w:themeTint="BF"/>
            </w:tcBorders>
            <w:vAlign w:val="center"/>
          </w:tcPr>
          <w:p w:rsidR="00CD450A" w:rsidRPr="006F22B2" w:rsidRDefault="00CD450A" w:rsidP="004D4FD7">
            <w:pPr>
              <w:pStyle w:val="ListParagraph"/>
              <w:ind w:left="367" w:firstLine="28"/>
              <w:cnfStyle w:val="000000100000" w:firstRow="0" w:lastRow="0" w:firstColumn="0" w:lastColumn="0" w:oddVBand="0" w:evenVBand="0" w:oddHBand="1" w:evenHBand="0" w:firstRowFirstColumn="0" w:firstRowLastColumn="0" w:lastRowFirstColumn="0" w:lastRowLastColumn="0"/>
              <w:rPr>
                <w:szCs w:val="20"/>
              </w:rPr>
            </w:pPr>
            <w:r w:rsidRPr="006F22B2">
              <w:rPr>
                <w:szCs w:val="20"/>
              </w:rPr>
              <w:t>Le Ministre des Mines a adressé une lettre aux parties déclarantes, les obligeant à  respecter la méthodologie de déclaration des données de production et des exportations suivant le modèle arrêté par la commission « GECAMINES » et validé par le CE.</w:t>
            </w:r>
          </w:p>
          <w:p w:rsidR="00CD450A" w:rsidRPr="006F22B2" w:rsidRDefault="00CD450A" w:rsidP="004D4FD7">
            <w:pPr>
              <w:ind w:left="367" w:firstLine="28"/>
              <w:jc w:val="left"/>
              <w:cnfStyle w:val="000000100000" w:firstRow="0" w:lastRow="0" w:firstColumn="0" w:lastColumn="0" w:oddVBand="0" w:evenVBand="0" w:oddHBand="1" w:evenHBand="0" w:firstRowFirstColumn="0" w:firstRowLastColumn="0" w:lastRowFirstColumn="0" w:lastRowLastColumn="0"/>
              <w:rPr>
                <w:szCs w:val="20"/>
              </w:rPr>
            </w:pPr>
          </w:p>
        </w:tc>
      </w:tr>
    </w:tbl>
    <w:p w:rsidR="004122CF" w:rsidRDefault="004122CF">
      <w:pPr>
        <w:spacing w:after="200" w:line="276" w:lineRule="auto"/>
        <w:jc w:val="left"/>
      </w:pPr>
    </w:p>
    <w:p w:rsidR="00804AAB" w:rsidRDefault="00804AAB"/>
    <w:p w:rsidR="00CD450A" w:rsidRDefault="00CD450A">
      <w:pPr>
        <w:sectPr w:rsidR="00CD450A" w:rsidSect="00CD450A">
          <w:pgSz w:w="16838" w:h="11906" w:orient="landscape"/>
          <w:pgMar w:top="1418" w:right="1418" w:bottom="1418" w:left="1418" w:header="708" w:footer="708" w:gutter="0"/>
          <w:cols w:space="708"/>
          <w:docGrid w:linePitch="360"/>
        </w:sectPr>
      </w:pPr>
    </w:p>
    <w:p w:rsidR="00804AAB" w:rsidRDefault="00804AAB"/>
    <w:p w:rsidR="00CD450A" w:rsidRDefault="00CD450A"/>
    <w:p w:rsidR="00CD450A" w:rsidRDefault="00CD450A"/>
    <w:p w:rsidR="00CD450A" w:rsidRDefault="00CD450A"/>
    <w:p w:rsidR="00CD450A" w:rsidRDefault="00CD450A"/>
    <w:p w:rsidR="00804AAB" w:rsidRDefault="00804AAB"/>
    <w:p w:rsidR="00804AAB" w:rsidRDefault="00804AAB"/>
    <w:p w:rsidR="00804AAB" w:rsidRDefault="00804AAB"/>
    <w:p w:rsidR="00804AAB" w:rsidRDefault="00804AAB"/>
    <w:p w:rsidR="004122CF" w:rsidRDefault="004122CF"/>
    <w:p w:rsidR="004122CF" w:rsidRDefault="004122CF"/>
    <w:p w:rsidR="004122CF" w:rsidRDefault="004122CF" w:rsidP="00804AAB">
      <w:pPr>
        <w:pStyle w:val="Heading1"/>
        <w:keepNext/>
        <w:numPr>
          <w:ilvl w:val="0"/>
          <w:numId w:val="0"/>
        </w:numPr>
        <w:shd w:val="clear" w:color="auto" w:fill="244061"/>
        <w:spacing w:after="0"/>
        <w:jc w:val="center"/>
        <w:rPr>
          <w:color w:val="FFFFFF"/>
          <w:kern w:val="32"/>
          <w:lang w:val="fr-FR" w:bidi="ar-TN"/>
        </w:rPr>
      </w:pPr>
      <w:bookmarkStart w:id="132" w:name="_Toc451431112"/>
      <w:r w:rsidRPr="004122CF">
        <w:rPr>
          <w:color w:val="FFFFFF"/>
          <w:kern w:val="32"/>
          <w:lang w:val="fr-FR" w:bidi="ar-TN"/>
        </w:rPr>
        <w:t>ANNEXES</w:t>
      </w:r>
      <w:bookmarkEnd w:id="132"/>
    </w:p>
    <w:p w:rsidR="004122CF" w:rsidRDefault="004122CF" w:rsidP="004122CF">
      <w:pPr>
        <w:rPr>
          <w:lang w:bidi="ar-TN"/>
        </w:rPr>
      </w:pPr>
    </w:p>
    <w:p w:rsidR="00E60486" w:rsidRDefault="00E60486" w:rsidP="004122CF">
      <w:pPr>
        <w:rPr>
          <w:lang w:bidi="ar-TN"/>
        </w:rPr>
      </w:pPr>
    </w:p>
    <w:p w:rsidR="00804AAB" w:rsidRDefault="00804AAB" w:rsidP="004122CF">
      <w:pPr>
        <w:rPr>
          <w:lang w:bidi="ar-TN"/>
        </w:rPr>
      </w:pPr>
    </w:p>
    <w:p w:rsidR="00804AAB" w:rsidRDefault="00804AAB" w:rsidP="004122CF">
      <w:pPr>
        <w:rPr>
          <w:lang w:bidi="ar-TN"/>
        </w:rPr>
      </w:pPr>
    </w:p>
    <w:p w:rsidR="00804AAB" w:rsidRDefault="00804AAB" w:rsidP="004122CF">
      <w:pPr>
        <w:rPr>
          <w:lang w:bidi="ar-TN"/>
        </w:rPr>
      </w:pPr>
    </w:p>
    <w:p w:rsidR="00804AAB" w:rsidRDefault="00804AAB" w:rsidP="004122CF">
      <w:pPr>
        <w:rPr>
          <w:lang w:bidi="ar-TN"/>
        </w:rPr>
      </w:pPr>
    </w:p>
    <w:p w:rsidR="00804AAB" w:rsidRDefault="00804AAB" w:rsidP="004122CF">
      <w:pPr>
        <w:rPr>
          <w:lang w:bidi="ar-TN"/>
        </w:rPr>
      </w:pPr>
    </w:p>
    <w:p w:rsidR="00804AAB" w:rsidRDefault="00804AAB" w:rsidP="004122CF">
      <w:pPr>
        <w:rPr>
          <w:lang w:bidi="ar-TN"/>
        </w:rPr>
      </w:pPr>
    </w:p>
    <w:p w:rsidR="00804AAB" w:rsidRDefault="00804AAB" w:rsidP="004122CF">
      <w:pPr>
        <w:rPr>
          <w:lang w:bidi="ar-TN"/>
        </w:rPr>
      </w:pPr>
    </w:p>
    <w:p w:rsidR="00804AAB" w:rsidRDefault="00804AAB">
      <w:pPr>
        <w:spacing w:after="200" w:line="276" w:lineRule="auto"/>
        <w:jc w:val="left"/>
        <w:rPr>
          <w:lang w:bidi="ar-TN"/>
        </w:rPr>
      </w:pPr>
      <w:r>
        <w:rPr>
          <w:lang w:bidi="ar-TN"/>
        </w:rPr>
        <w:br w:type="page"/>
      </w:r>
    </w:p>
    <w:p w:rsidR="00B22856" w:rsidRPr="00B22856" w:rsidRDefault="00B22856" w:rsidP="00B22856">
      <w:pPr>
        <w:pStyle w:val="Heading2"/>
        <w:numPr>
          <w:ilvl w:val="0"/>
          <w:numId w:val="0"/>
        </w:numPr>
        <w:shd w:val="clear" w:color="auto" w:fill="BFBFBF"/>
        <w:spacing w:after="0"/>
        <w:rPr>
          <w:sz w:val="24"/>
          <w:szCs w:val="24"/>
        </w:rPr>
      </w:pPr>
      <w:bookmarkStart w:id="133" w:name="_Toc451431113"/>
      <w:r w:rsidRPr="00B22856">
        <w:rPr>
          <w:sz w:val="24"/>
          <w:szCs w:val="24"/>
        </w:rPr>
        <w:lastRenderedPageBreak/>
        <w:t>ANNEXE 1 : Liste des Titulaires des droits mines</w:t>
      </w:r>
      <w:bookmarkEnd w:id="133"/>
    </w:p>
    <w:p w:rsidR="00B22856" w:rsidRDefault="00B22856" w:rsidP="004122CF">
      <w:pPr>
        <w:rPr>
          <w:lang w:bidi="ar-TN"/>
        </w:rPr>
      </w:pPr>
    </w:p>
    <w:tbl>
      <w:tblPr>
        <w:tblStyle w:val="MediumShading1-Accent11"/>
        <w:tblW w:w="9574" w:type="dxa"/>
        <w:tblLook w:val="04A0" w:firstRow="1" w:lastRow="0" w:firstColumn="1" w:lastColumn="0" w:noHBand="0" w:noVBand="1"/>
      </w:tblPr>
      <w:tblGrid>
        <w:gridCol w:w="483"/>
        <w:gridCol w:w="5784"/>
        <w:gridCol w:w="500"/>
        <w:gridCol w:w="727"/>
        <w:gridCol w:w="587"/>
        <w:gridCol w:w="585"/>
        <w:gridCol w:w="1039"/>
      </w:tblGrid>
      <w:tr w:rsidR="00F1116A" w:rsidRPr="002D3E23" w:rsidTr="00F1116A">
        <w:trPr>
          <w:cnfStyle w:val="100000000000" w:firstRow="1" w:lastRow="0" w:firstColumn="0" w:lastColumn="0" w:oddVBand="0" w:evenVBand="0" w:oddHBand="0" w:evenHBand="0" w:firstRowFirstColumn="0" w:firstRowLastColumn="0" w:lastRowFirstColumn="0" w:lastRowLastColumn="0"/>
          <w:trHeight w:val="336"/>
          <w:tblHeader/>
        </w:trPr>
        <w:tc>
          <w:tcPr>
            <w:cnfStyle w:val="001000000000" w:firstRow="0" w:lastRow="0" w:firstColumn="1" w:lastColumn="0" w:oddVBand="0" w:evenVBand="0" w:oddHBand="0" w:evenHBand="0" w:firstRowFirstColumn="0" w:firstRowLastColumn="0" w:lastRowFirstColumn="0" w:lastRowLastColumn="0"/>
            <w:tcW w:w="392" w:type="dxa"/>
            <w:shd w:val="clear" w:color="auto" w:fill="1F497D" w:themeFill="text2"/>
            <w:noWrap/>
            <w:vAlign w:val="center"/>
            <w:hideMark/>
          </w:tcPr>
          <w:p w:rsidR="00F1116A" w:rsidRPr="00D22D6C" w:rsidRDefault="00F1116A" w:rsidP="008D6ABB">
            <w:pPr>
              <w:spacing w:after="0"/>
              <w:jc w:val="center"/>
              <w:rPr>
                <w:sz w:val="18"/>
                <w:szCs w:val="16"/>
                <w:lang w:eastAsia="fr-FR"/>
              </w:rPr>
            </w:pPr>
            <w:r w:rsidRPr="00D22D6C">
              <w:rPr>
                <w:sz w:val="18"/>
                <w:szCs w:val="16"/>
                <w:lang w:eastAsia="fr-FR"/>
              </w:rPr>
              <w:t>N°</w:t>
            </w:r>
          </w:p>
        </w:tc>
        <w:tc>
          <w:tcPr>
            <w:tcW w:w="5784" w:type="dxa"/>
            <w:shd w:val="clear" w:color="auto" w:fill="1F497D" w:themeFill="text2"/>
            <w:noWrap/>
            <w:vAlign w:val="center"/>
            <w:hideMark/>
          </w:tcPr>
          <w:p w:rsidR="00F1116A" w:rsidRPr="00D22D6C" w:rsidRDefault="00F1116A" w:rsidP="008D6ABB">
            <w:pPr>
              <w:spacing w:after="0"/>
              <w:jc w:val="left"/>
              <w:cnfStyle w:val="100000000000" w:firstRow="1" w:lastRow="0" w:firstColumn="0" w:lastColumn="0" w:oddVBand="0" w:evenVBand="0" w:oddHBand="0" w:evenHBand="0" w:firstRowFirstColumn="0" w:firstRowLastColumn="0" w:lastRowFirstColumn="0" w:lastRowLastColumn="0"/>
              <w:rPr>
                <w:sz w:val="18"/>
                <w:szCs w:val="16"/>
                <w:lang w:eastAsia="fr-FR"/>
              </w:rPr>
            </w:pPr>
            <w:r w:rsidRPr="00D22D6C">
              <w:rPr>
                <w:sz w:val="18"/>
                <w:szCs w:val="16"/>
                <w:lang w:eastAsia="fr-FR"/>
              </w:rPr>
              <w:t>TITULAIRES</w:t>
            </w:r>
          </w:p>
        </w:tc>
        <w:tc>
          <w:tcPr>
            <w:tcW w:w="500" w:type="dxa"/>
            <w:shd w:val="clear" w:color="auto" w:fill="1F497D" w:themeFill="text2"/>
            <w:noWrap/>
            <w:vAlign w:val="center"/>
            <w:hideMark/>
          </w:tcPr>
          <w:p w:rsidR="00F1116A" w:rsidRPr="00D22D6C" w:rsidRDefault="00F1116A" w:rsidP="008D6ABB">
            <w:pPr>
              <w:spacing w:after="0"/>
              <w:jc w:val="center"/>
              <w:cnfStyle w:val="100000000000" w:firstRow="1" w:lastRow="0" w:firstColumn="0" w:lastColumn="0" w:oddVBand="0" w:evenVBand="0" w:oddHBand="0" w:evenHBand="0" w:firstRowFirstColumn="0" w:firstRowLastColumn="0" w:lastRowFirstColumn="0" w:lastRowLastColumn="0"/>
              <w:rPr>
                <w:sz w:val="18"/>
                <w:szCs w:val="16"/>
                <w:lang w:eastAsia="fr-FR"/>
              </w:rPr>
            </w:pPr>
            <w:r w:rsidRPr="00D22D6C">
              <w:rPr>
                <w:sz w:val="18"/>
                <w:szCs w:val="16"/>
                <w:lang w:eastAsia="fr-FR"/>
              </w:rPr>
              <w:t>PE</w:t>
            </w:r>
          </w:p>
        </w:tc>
        <w:tc>
          <w:tcPr>
            <w:tcW w:w="697" w:type="dxa"/>
            <w:shd w:val="clear" w:color="auto" w:fill="1F497D" w:themeFill="text2"/>
            <w:noWrap/>
            <w:vAlign w:val="center"/>
            <w:hideMark/>
          </w:tcPr>
          <w:p w:rsidR="00F1116A" w:rsidRPr="00D22D6C" w:rsidRDefault="00F1116A" w:rsidP="008D6ABB">
            <w:pPr>
              <w:spacing w:after="0"/>
              <w:jc w:val="center"/>
              <w:cnfStyle w:val="100000000000" w:firstRow="1" w:lastRow="0" w:firstColumn="0" w:lastColumn="0" w:oddVBand="0" w:evenVBand="0" w:oddHBand="0" w:evenHBand="0" w:firstRowFirstColumn="0" w:firstRowLastColumn="0" w:lastRowFirstColumn="0" w:lastRowLastColumn="0"/>
              <w:rPr>
                <w:sz w:val="18"/>
                <w:szCs w:val="16"/>
                <w:lang w:eastAsia="fr-FR"/>
              </w:rPr>
            </w:pPr>
            <w:r w:rsidRPr="00D22D6C">
              <w:rPr>
                <w:sz w:val="18"/>
                <w:szCs w:val="16"/>
                <w:lang w:eastAsia="fr-FR"/>
              </w:rPr>
              <w:t>PEPM</w:t>
            </w:r>
          </w:p>
        </w:tc>
        <w:tc>
          <w:tcPr>
            <w:tcW w:w="577" w:type="dxa"/>
            <w:shd w:val="clear" w:color="auto" w:fill="1F497D" w:themeFill="text2"/>
            <w:noWrap/>
            <w:vAlign w:val="center"/>
            <w:hideMark/>
          </w:tcPr>
          <w:p w:rsidR="00F1116A" w:rsidRPr="00D22D6C" w:rsidRDefault="00F1116A" w:rsidP="008D6ABB">
            <w:pPr>
              <w:spacing w:after="0"/>
              <w:jc w:val="center"/>
              <w:cnfStyle w:val="100000000000" w:firstRow="1" w:lastRow="0" w:firstColumn="0" w:lastColumn="0" w:oddVBand="0" w:evenVBand="0" w:oddHBand="0" w:evenHBand="0" w:firstRowFirstColumn="0" w:firstRowLastColumn="0" w:lastRowFirstColumn="0" w:lastRowLastColumn="0"/>
              <w:rPr>
                <w:sz w:val="18"/>
                <w:szCs w:val="16"/>
                <w:lang w:eastAsia="fr-FR"/>
              </w:rPr>
            </w:pPr>
            <w:r w:rsidRPr="00D22D6C">
              <w:rPr>
                <w:sz w:val="18"/>
                <w:szCs w:val="16"/>
                <w:lang w:eastAsia="fr-FR"/>
              </w:rPr>
              <w:t>PER</w:t>
            </w:r>
          </w:p>
        </w:tc>
        <w:tc>
          <w:tcPr>
            <w:tcW w:w="585" w:type="dxa"/>
            <w:shd w:val="clear" w:color="auto" w:fill="1F497D" w:themeFill="text2"/>
            <w:noWrap/>
            <w:vAlign w:val="center"/>
            <w:hideMark/>
          </w:tcPr>
          <w:p w:rsidR="00F1116A" w:rsidRPr="00D22D6C" w:rsidRDefault="00F1116A" w:rsidP="008D6ABB">
            <w:pPr>
              <w:spacing w:after="0"/>
              <w:jc w:val="center"/>
              <w:cnfStyle w:val="100000000000" w:firstRow="1" w:lastRow="0" w:firstColumn="0" w:lastColumn="0" w:oddVBand="0" w:evenVBand="0" w:oddHBand="0" w:evenHBand="0" w:firstRowFirstColumn="0" w:firstRowLastColumn="0" w:lastRowFirstColumn="0" w:lastRowLastColumn="0"/>
              <w:rPr>
                <w:sz w:val="18"/>
                <w:szCs w:val="16"/>
                <w:lang w:eastAsia="fr-FR"/>
              </w:rPr>
            </w:pPr>
            <w:r w:rsidRPr="00D22D6C">
              <w:rPr>
                <w:sz w:val="18"/>
                <w:szCs w:val="16"/>
                <w:lang w:eastAsia="fr-FR"/>
              </w:rPr>
              <w:t>PR</w:t>
            </w:r>
          </w:p>
        </w:tc>
        <w:tc>
          <w:tcPr>
            <w:tcW w:w="1039" w:type="dxa"/>
            <w:shd w:val="clear" w:color="auto" w:fill="1F497D" w:themeFill="text2"/>
            <w:noWrap/>
            <w:vAlign w:val="center"/>
            <w:hideMark/>
          </w:tcPr>
          <w:p w:rsidR="00F1116A" w:rsidRPr="00D22D6C" w:rsidRDefault="00F1116A" w:rsidP="008D6ABB">
            <w:pPr>
              <w:spacing w:after="0"/>
              <w:jc w:val="center"/>
              <w:cnfStyle w:val="100000000000" w:firstRow="1" w:lastRow="0" w:firstColumn="0" w:lastColumn="0" w:oddVBand="0" w:evenVBand="0" w:oddHBand="0" w:evenHBand="0" w:firstRowFirstColumn="0" w:firstRowLastColumn="0" w:lastRowFirstColumn="0" w:lastRowLastColumn="0"/>
              <w:rPr>
                <w:sz w:val="18"/>
                <w:szCs w:val="16"/>
                <w:lang w:eastAsia="fr-FR"/>
              </w:rPr>
            </w:pPr>
            <w:r w:rsidRPr="00D22D6C">
              <w:rPr>
                <w:sz w:val="18"/>
                <w:szCs w:val="16"/>
                <w:lang w:eastAsia="fr-FR"/>
              </w:rPr>
              <w:t>Total Titre</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3161331 CANADA SPRL</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ABBA JEANS MINING SPRL</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ABDALLAH HASSAN ALI MOHAMED</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4</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ACACIA SPRL</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43</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43</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5</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ADAMANTES SARL</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6</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ADELE NDALA</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7</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ADVANCED MINERALS DRC SPRL</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5</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5</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8</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AFRICA RESOURCES SARL</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9</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AFRICAN MINES CONGO "AMC"</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10</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AKOMA MINERALS DRC SPRL</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11</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ALBERT KAMPANGWE M. KALOBWA</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12</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ALLAMANDA TRADING LIMITED</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9</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9</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13</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ALPHAMIN BISIE MINING S.A</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5</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6</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14</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ALPHONSE RÉMY BIBUAYA KAYEMBE</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15</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AMBASE EXPLORATION AFRICA SPRL</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6</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6</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16</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AMBROISE MBAKA KAWAYA SWANA</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17</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AMCK MINING SPRL</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18</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AMERICAN ATM</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19</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AMICAL KAKANA MINING SPRL</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20</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AMIRA GOLD MINING</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21</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ANDERS ILUNGA KALIMWANDA</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22</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ANVIL MINING CONGO SARL</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19</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22</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23</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AQUALOGZ SPRL</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24</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ASHANTI GOLDFIELDS KILO SARL</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16</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16</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25</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AURUM SPRL</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19</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22</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26</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BAHATI DIAMOND SPRL</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27</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BAKWAFIKA KABULA</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28</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BALE MINING SPRL</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6</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6</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29</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BANRO CONGO MINING SARL</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27</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27</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30</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BARAKA MINING</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31</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BASHALA KANTU WA MILANDU</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32</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BASMA RABAB</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33</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BERNADETTE ILUNGA BAMPELEDI</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34</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BITMAK COMPANY SPRL</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18</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19</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35</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BLACKSTONE PETROMINERALS SPRL</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36</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BMN MINING SARL</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37</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BOLFAST</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38</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BONIFACE NZAU BUKETE</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39</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BOSS MINING SPRL</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5</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5</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40</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BRIGITTE MBOMBA BOMPOLONGA</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41</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BROADTEC CONGO MINING SPRL</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42</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BUMBA MINES SARL</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43</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BUNIA ENGENEERING</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44</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BUREAU D'ETUDES ET DE COMMERCE</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45</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BUREAU D'ETUDES ET D'ENGINEERING</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lastRenderedPageBreak/>
              <w:t>46</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BYABOSHI MUYEYE</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47</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val="en-US" w:eastAsia="fr-FR"/>
              </w:rPr>
            </w:pPr>
            <w:r w:rsidRPr="00D22D6C">
              <w:rPr>
                <w:color w:val="000000"/>
                <w:sz w:val="16"/>
                <w:szCs w:val="16"/>
                <w:lang w:val="en-US" w:eastAsia="fr-FR"/>
              </w:rPr>
              <w:t>C.N.M.C HUACHIN MABENDE MINING</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fr-FR"/>
              </w:rPr>
            </w:pPr>
          </w:p>
        </w:tc>
        <w:tc>
          <w:tcPr>
            <w:tcW w:w="697"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48</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val="en-US" w:eastAsia="fr-FR"/>
              </w:rPr>
            </w:pPr>
            <w:r w:rsidRPr="00D22D6C">
              <w:rPr>
                <w:color w:val="000000"/>
                <w:sz w:val="16"/>
                <w:szCs w:val="16"/>
                <w:lang w:val="en-US" w:eastAsia="fr-FR"/>
              </w:rPr>
              <w:t>CASPIAN OIL AND GAS LIMITED</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val="en-US"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val="en-US"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val="en-US"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49</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CHEKINA SPRL</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50</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CHEMAF EXPLORATION SPRL</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20</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22</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51</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CHEMAF KAPAMBA</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52</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CHEMAF KATANGA MINING SPRL</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4</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4</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53</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CHEMAF MAKALA</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12</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12</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54</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CHEMICAL OF AFRICA SARL</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4</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7</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55</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CHRISTOPHE PAPADIMITRIOU</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56</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CLAUDINE TABELE</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5</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5</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57</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CLAUVIS KAJAMA SALAMBOTE</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58</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CLEARSURF NEW MEDIA</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59</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CLÉMENT LETA MBAVU</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4</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60</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COEXCO CONGO SPRL</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61</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COGE EBID</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62</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COGETA</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63</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COMICO</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64</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COMONA SPRL</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65</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COMPAGNIE DE DEVELOPPEMENT RURAL</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10</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12</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66</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COMPAGNIE GENERALE DES MINES</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67</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COMPAGNIE MINIERE DE DILALA</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68</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COMPAGNIE MINIERE DE KAMBOVE SPRL</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69</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COMPAGNIE MINIERE DE LUISHA</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70</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COMPAGNIE MINIERE DE MUSONOIE GLOBAL</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71</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COMPAGNIE MINIERE DE SAKANIA SPRL</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8</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8</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72</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CONCORDE POUR L'INDUSTRIE ET L'EXPLOITATION SPRL</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73</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CONGO COBALT CORPORATION SPRL</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74</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val="en-US" w:eastAsia="fr-FR"/>
              </w:rPr>
            </w:pPr>
            <w:r w:rsidRPr="00D22D6C">
              <w:rPr>
                <w:color w:val="000000"/>
                <w:sz w:val="16"/>
                <w:szCs w:val="16"/>
                <w:lang w:val="en-US" w:eastAsia="fr-FR"/>
              </w:rPr>
              <w:t>CONGO DONGFANG INTERNATIONAL MINING SPRL</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75</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CONGO ECO-PROJECT</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4</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76</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val="en-US" w:eastAsia="fr-FR"/>
              </w:rPr>
            </w:pPr>
            <w:r w:rsidRPr="00D22D6C">
              <w:rPr>
                <w:color w:val="000000"/>
                <w:sz w:val="16"/>
                <w:szCs w:val="16"/>
                <w:lang w:val="en-US" w:eastAsia="fr-FR"/>
              </w:rPr>
              <w:t>CONGO JIN JU CHENG MINING COMPANY</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val="en-US"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val="en-US"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val="en-US"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77</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CONGO LOYAL WILL MINING</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78</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CONGO METAL SPRL</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6</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6</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79</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CONGO MINERALS EXPLORATION</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80</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val="en-US" w:eastAsia="fr-FR"/>
              </w:rPr>
            </w:pPr>
            <w:r w:rsidRPr="00D22D6C">
              <w:rPr>
                <w:color w:val="000000"/>
                <w:sz w:val="16"/>
                <w:szCs w:val="16"/>
                <w:lang w:val="en-US" w:eastAsia="fr-FR"/>
              </w:rPr>
              <w:t>CONGO MINING AND MINERAL RESOURCES</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val="en-US" w:eastAsia="fr-FR"/>
              </w:rPr>
            </w:pPr>
          </w:p>
        </w:tc>
        <w:tc>
          <w:tcPr>
            <w:tcW w:w="697"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81</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CONGO MOTORS SPRL</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4</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4</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82</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CONGO UNITED MINING</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83</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CONGO WORLD INVESTMENT</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84</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CONGOLESE EXPLORATION COMPAGNIE</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7</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7</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85</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CORE MINERAL DRC SPRL</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86</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CORNER STONES RESOURCES RDC</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87</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COSHA INVESTMENT SPRL</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6</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6</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88</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CROWN MINING SARL</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4</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6</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89</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CYPRIEN KYAMUSOKE BAMUSALANGA NTA'BOTE</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90</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DA FEI MINING SPRL</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9</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9</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91</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DELILLE KIZANGA LUMBALA</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92</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DELRAND RESOURCES CONGO SPRL</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lastRenderedPageBreak/>
              <w:t>93</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DÉO KATULANYA ISU</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94</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DEVELOPPEMENT TOUS AZIMUTS</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95</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DEVON RESOURCES</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8</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8</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96</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DEZITA INVESTMENTS SPRL</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97</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DHANANI AZIZ BADRUDIN</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98</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DIER-YE-MIY</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99</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DIEUDONNÉ BANZE LUBUNDJI</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100</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DOKOLO NDONA</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8</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8</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101</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DOROD SPRL</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102</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DRAGON INTERNATIONAL MINING</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103</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DRC RESOURCE HOLDINGS INC</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6</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6</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104</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E29 RESSOURCES SARL</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105</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EBACOR SPRL</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106</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EBENDE RESOURCES LIMITED</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17</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17</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107</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EDDY MUANDA LUAKA</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108</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EDMOND SELEMANI SALUMU</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109</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EDOUARD KAMBALE</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110</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EFASTO LOGISTICS</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13</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13</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111</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ELITE EARTH PRODUCTS SPRL</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112</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EMBA INVESTMENTS LIMITED</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113</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EMENTO MANUFACTURING &amp; TRADING SPRL</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4</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4</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114</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EMILE KANENGELE NGOYA MUSUYA</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115</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EMON CHALWE NGWASHI</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116</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ENTREPRISE MINIERE DU KIVU</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117</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ENTREPRISES MINIERE DE MUSOSHI SA</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118</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EQUITY MANAGEMENT SPRL</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7</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7</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119</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ERIC DIEUDONNÉ MAPOTI OLELA</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120</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ETIENNE KISUNKA COLA</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121</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ETION GEMS AND METALS</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122</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EXPLOITATION ET PROSPECTION MINIERE SARL</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123</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FAMETAL MINING ET RESSOURCES DRC SPRL</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124</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FAUSTIN DUNIA BAKARANI</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125</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FAUSTIN MAPWAR</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126</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FIFI NDJOLO</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127</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FIFI ODIA KANYINDA</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128</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FIRST AFRICAN GOLD DRC</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129</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FIRST MINING COMPANY SARL</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130</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FLORENCE KALUMBU MWADI</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131</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FMR DEVELOPMENT</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6</w:t>
            </w: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9</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132</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val="en-US" w:eastAsia="fr-FR"/>
              </w:rPr>
            </w:pPr>
            <w:r w:rsidRPr="00D22D6C">
              <w:rPr>
                <w:color w:val="000000"/>
                <w:sz w:val="16"/>
                <w:szCs w:val="16"/>
                <w:lang w:val="en-US" w:eastAsia="fr-FR"/>
              </w:rPr>
              <w:t>FOSSIL FUEL &amp; METAL CORPORATION SPRL</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val="en-US"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val="en-US"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val="en-US"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4</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4</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133</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FREDDY BOMPANZE ENGOMBE</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134</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FRONTIER SPRL</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135</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FURNEIKO FIRE EXTRUTIONS</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136</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GASTON KAHILU MBAKA</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5</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5</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137</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val="en-US" w:eastAsia="fr-FR"/>
              </w:rPr>
            </w:pPr>
            <w:r w:rsidRPr="00D22D6C">
              <w:rPr>
                <w:color w:val="000000"/>
                <w:sz w:val="16"/>
                <w:szCs w:val="16"/>
                <w:lang w:val="en-US" w:eastAsia="fr-FR"/>
              </w:rPr>
              <w:t>GEM DIAMOND LONGATSHIMO MINING COMPANY</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fr-FR"/>
              </w:rPr>
            </w:pPr>
          </w:p>
        </w:tc>
        <w:tc>
          <w:tcPr>
            <w:tcW w:w="697"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8</w:t>
            </w: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8</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138</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val="en-US" w:eastAsia="fr-FR"/>
              </w:rPr>
            </w:pPr>
            <w:r w:rsidRPr="00D22D6C">
              <w:rPr>
                <w:color w:val="000000"/>
                <w:sz w:val="16"/>
                <w:szCs w:val="16"/>
                <w:lang w:val="en-US" w:eastAsia="fr-FR"/>
              </w:rPr>
              <w:t>GEM DIAMOND MINING COMPANY OF AFRICA SPRL</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val="en-US"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val="en-US"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val="en-US"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139</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GEMCO SPRL</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6</w:t>
            </w: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6</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lastRenderedPageBreak/>
              <w:t>140</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GEORGES BOPE MIKO MBUDIMBO</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141</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GEOSCIENCE CONGO SERVICE</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142</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GERARD KALUMBA WA ANKERA</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143</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GICC SPRL</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7</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7</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144</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GIRO GOLDFIELDS</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145</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GLOBAL MINING CONGO</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146</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GODEFROY KAMBALE BAYOLI</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147</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GOLD DRAGON RESSOURCES RDC</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148</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GOLD MINING CORPORATION-NEPOKO</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149</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val="en-US" w:eastAsia="fr-FR"/>
              </w:rPr>
            </w:pPr>
            <w:r w:rsidRPr="00D22D6C">
              <w:rPr>
                <w:color w:val="000000"/>
                <w:sz w:val="16"/>
                <w:szCs w:val="16"/>
                <w:lang w:val="en-US" w:eastAsia="fr-FR"/>
              </w:rPr>
              <w:t>GOLDBELTS EXPLORATION AND MINING SPRL</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5</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5</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150</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GOLDEN VALLEY SERVICES LTD</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8</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8</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151</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GOMA MINING SPRL</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5</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152</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GORRION PROPERTIES SPRL</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153</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GRACE NDOMBI -OSSAK</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154</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GROUPE BAZANO</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7</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8</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155</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val="en-US" w:eastAsia="fr-FR"/>
              </w:rPr>
            </w:pPr>
            <w:r w:rsidRPr="00D22D6C">
              <w:rPr>
                <w:color w:val="000000"/>
                <w:sz w:val="16"/>
                <w:szCs w:val="16"/>
                <w:lang w:val="en-US" w:eastAsia="fr-FR"/>
              </w:rPr>
              <w:t>GROUPE KEPPY MUKESH COORPORATION SPRL</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156</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GROUPE MINIER KASHALA &amp; CHUGBO SPRL</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157</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GROUPE MWEMA BUSINESS SPRL</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158</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HAI NAN INTERNATIONAL RESOURCES MINING DRC SPRL</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159</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HAULCO HAULING COMPANY</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160</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HEATMELTO SMELTERS SPRL</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4</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4</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161</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HEBRON HOLDING DRC</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162</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HERIBERT KABWE SABWA</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163</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HUACHIN METAL LEACH SPRL</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164</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HUACHIN SPRL</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8</w:t>
            </w: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9</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165</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HUBERT ABEN IDUKU</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166</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IKULU LAMAJANA</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5</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167</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IMPORTATION - REPRESENTATION - COMMERCIALE SPRL</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4</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4</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168</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INNOCENT BIOKO-SINGA</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169</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INTERLACS SARL</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4</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4</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170</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INTERMINES SPRL</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171</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INTERNATIONAL CONGO AFRICAN MINING</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172</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INVESTORS EQUITY LIMITED SPRL</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6</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6</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173</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IRON MOUNTAIN ENTERPRISES SPRL</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36</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36</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174</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val="en-US" w:eastAsia="fr-FR"/>
              </w:rPr>
            </w:pPr>
            <w:r w:rsidRPr="00D22D6C">
              <w:rPr>
                <w:color w:val="000000"/>
                <w:sz w:val="16"/>
                <w:szCs w:val="16"/>
                <w:lang w:val="en-US" w:eastAsia="fr-FR"/>
              </w:rPr>
              <w:t>ITURI GOLD MINING COMPANY SPRL</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175</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IVANHOE MINES EXPLORATION DRC SARL</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29</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29</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176</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JACQUES MASANGU-A-MWANZA KYABUTA</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177</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JACQUES SIKATENDA NEEMA</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178</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JADAS ENTREPRISES SPRL</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179</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JAVAN CONGO SPRL</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180</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JEAN PIERRE NDOBO MWAMBY</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181</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JEAN ROGER TSHIMANGA MUTAYI</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182</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JIN SHENG MINING</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4</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4</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183</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JINSHAN AFRICA MINES SPRL</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184</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JOHN KAMBA MUZENGA</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6</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6</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185</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JOSEPH ITEJO MALANGA</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186</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KABONGO DEVELOPPEMENT COMPANY</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6</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7</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lastRenderedPageBreak/>
              <w:t>187</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KABOYA MASHIMABI</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188</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KADI INTERNATIONAL SARL</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189</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KAI PENG MINING SARL</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190</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KALONGWE MINING SA</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191</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KALUBAMBA</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192</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KAMBOVE OPERATING MINING SPRL</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193</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KAMITUGA MINING</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194</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KAMOA COPPER SA</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195</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KAMOTO COPPER COMPANY SA</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6</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6</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196</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KAMPENE MINING SARL</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197</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KANAA</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198</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KANSONGA MINING</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199</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KANUKA MINING</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200</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val="en-US" w:eastAsia="fr-FR"/>
              </w:rPr>
            </w:pPr>
            <w:r w:rsidRPr="00D22D6C">
              <w:rPr>
                <w:color w:val="000000"/>
                <w:sz w:val="16"/>
                <w:szCs w:val="16"/>
                <w:lang w:val="en-US" w:eastAsia="fr-FR"/>
              </w:rPr>
              <w:t>KASAI MINING AND EXPLORATION LIMITED</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val="en-US"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val="en-US"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val="en-US"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201</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KASAI SUD DIAMANT SARL</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697"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5</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202</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KASHALA N'SENDA</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203</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KASIMU LUWANDA KASIMU</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204</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KATANGA CONSULTING COMPANY</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205</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KATANGA MEGA MINING</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25</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25</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206</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KATANGA RESSOURCES TRADING</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207</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KGL ISIRO</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12</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12</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208</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KGL -SOMITURI</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8</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8</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209</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KGL-ERW SPRL</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210</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KIBALI GOLDMINES</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10</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10</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211</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KINSENDA COPPER COMPANY</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212</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KINSEVERE MINING RESSOURCES</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213</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KIPUSHI CORPORATION</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4</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214</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KISANFU MINING SPRL</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215</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KISENGO MINING</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697"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4</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216</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KIVU MINING SPRL</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217</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KOPPA MINING SERVICES</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218</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KORAL MINING SPRL</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219</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KRISMAT FINANCIAL CORPORATION</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220</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KUMPALA DIAMOND RESOURCES DRC SARL</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15</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12</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27</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221</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val="en-US" w:eastAsia="fr-FR"/>
              </w:rPr>
            </w:pPr>
            <w:r w:rsidRPr="00D22D6C">
              <w:rPr>
                <w:color w:val="000000"/>
                <w:sz w:val="16"/>
                <w:szCs w:val="16"/>
                <w:lang w:val="en-US" w:eastAsia="fr-FR"/>
              </w:rPr>
              <w:t>KUN TAI CONGO MINING " K.T.C.M"</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fr-FR"/>
              </w:rPr>
            </w:pPr>
          </w:p>
        </w:tc>
        <w:tc>
          <w:tcPr>
            <w:tcW w:w="697"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4</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222</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KWANGO MINES SPRL</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53</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53</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223</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LA BOISSIERE SPRL</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224</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LA CONGOLAISE DES MINES ET DEVELOPPEMENT</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4</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4</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225</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LA CONGOLAISE D'EXPLOITATION MINIERE</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18</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19</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226</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LA GENERALE DES CARRIERES ET DES MINES</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93</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5</w:t>
            </w: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4</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102</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227</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 xml:space="preserve">LA GENERALE DES </w:t>
            </w:r>
            <w:proofErr w:type="gramStart"/>
            <w:r w:rsidRPr="00D22D6C">
              <w:rPr>
                <w:color w:val="000000"/>
                <w:sz w:val="16"/>
                <w:szCs w:val="16"/>
                <w:lang w:eastAsia="fr-FR"/>
              </w:rPr>
              <w:t>MINES ,</w:t>
            </w:r>
            <w:proofErr w:type="gramEnd"/>
            <w:r w:rsidRPr="00D22D6C">
              <w:rPr>
                <w:color w:val="000000"/>
                <w:sz w:val="16"/>
                <w:szCs w:val="16"/>
                <w:lang w:eastAsia="fr-FR"/>
              </w:rPr>
              <w:t xml:space="preserve"> D'AGRICULTURE ET DU COMMERCE</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8</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8</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228</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LA MINIERE DE KALUKUNDI</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229</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LA MINIERE DE KALUMBWE MYUNGA</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230</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LA MINIERE DE KASOMBO</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231</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LA MINIERE DE LA LUKUGA</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13</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13</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232</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LA MINIERE DE ZANI-KODO</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4</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4</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233</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LA MINIERE DU CONGO_MDC</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4</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4</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lastRenderedPageBreak/>
              <w:t>234</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LA MINIERE DU CONGO_MINICO</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235</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LA MINIERE DU KATANGA</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9</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9</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236</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LA SINO-CONGOLAISE DES MINES SA</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237</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LA TERRE COMPANY</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6</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7</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238</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LEDA MINING CONGO</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11</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14</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239</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LEDYA</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240</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LEK MINING SPRL</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241</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LEON KHONDE MAKUNGA</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242</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LEREXCOM</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243</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val="en-US" w:eastAsia="fr-FR"/>
              </w:rPr>
            </w:pPr>
            <w:r w:rsidRPr="00D22D6C">
              <w:rPr>
                <w:color w:val="000000"/>
                <w:sz w:val="16"/>
                <w:szCs w:val="16"/>
                <w:lang w:val="en-US" w:eastAsia="fr-FR"/>
              </w:rPr>
              <w:t>LIBERTY MINING AND INVESTMENTS SARL</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244</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LIDA AFRIMING</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245</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LOMAMI RESOURCES SARL</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246</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LONCOR RESOURCES CONGO SPRL</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49</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49</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247</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LUALABA MINING COMPANY</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248</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LUAMBO MINING</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249</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LUBANGI MUTEBA</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250</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LUGUSHWA MINING</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251</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LUISHA MINING ENTREPRISE</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252</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MAADINI MINING</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5</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7</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253</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MAANYAA SARL</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254</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MABEKA NE NIKU NICOLAS</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4</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4</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255</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MABENDE MINING SPRL</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256</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MACROLINK JIAYUAN MINING</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257</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MAIKO MINERALS FIELDS</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258</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MAMBA TSHIBUYI</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259</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MAMIE MAYINA NGENTSHI</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260</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MANIEKE TSHITEMBO</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261</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MANIEMA GOLD</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9</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9</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262</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MANONO MINERALS</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263</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MAONI MINING</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264</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MARCELINE PALIMAU NAMADE</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265</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MARIAM DJANDE WAMBAL</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266</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MARTIN TCHAMLESSO</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267</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MASTERS</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268</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MATCHA CONSTRUCT SARL</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269</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MEDRARA SARL</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270</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MERCURE RESSOURCES RDC</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271</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METALKOL</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272</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MEXPO MINERALS SPRL</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5</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5</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273</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MIDAMINES SARL</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6</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9</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274</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MIKUBA MINING</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4</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4</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275</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MINERAL DEVELOPMENT AND INVESTMENT</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276</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MINERAL RESSOURCES DEVELOPMENT</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277</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MINERALS INVESTMENT</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278</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MINERALS MINING COMPANY SARL</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279</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MINES D'OR DE KISENGE ''MDDK'' SARL</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4</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30</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34</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280</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MINESTONE SARL</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lastRenderedPageBreak/>
              <w:t>281</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MINIERE DU MANIEMA SPRL</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6</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6</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282</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MINING MINERAL RESOURCES SARL</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5</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19</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24</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283</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MONDO MINING</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284</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MR TSHINOTA WATALA</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285</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MUKENDI LUESE</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286</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MURUMBI MINERALS</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287</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MUTANDA MINING SARL</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4</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4</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288</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MUYA RESSOURCES</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26</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26</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289</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NAKO MINES</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14</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290</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NAMOYA MINING</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291</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NESSER YAHYA</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292</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NESSRALLAH SAHID MOHAMED</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293</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NEW TIME SPRL</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294</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NONO SUMBA MUGANZA</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295</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NOVA MINING</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296</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OMEGA MINING SPRL</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297</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ORISA</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298</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ORKA</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6</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6</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299</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OSHUNG CONGO</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300</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OSIFAL</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7</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7</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301</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PARC INDUSTRIEL AU CONGO</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302</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PATIENCE</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303</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PAULIN LUENDU KADUNYI SACOR</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4</w:t>
            </w: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4</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304</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PHELPS DODGE CONGO SARL</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305</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PIMA MINING SPRL</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306</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PISTIS MINING CORPORATION</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307</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PROXMIN</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4</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4</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308</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REGAL MANIEMA</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4</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4</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309</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REGAL SK</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13</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13</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310</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REMEC</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49</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49</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311</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RESHINE CONGO</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312</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RUASHI MINING</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313</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RUBACO</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4</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4</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8</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314</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SA DRC MINING</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5</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6</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315</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SANZETTA INVESTMENTS</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16</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16</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316</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SASE MINING SARL</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317</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SC NEGRO 2000 SRL</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318</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SÉBASTIEN MAYAMONA LUYEYE</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319</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SEMCO</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4</w:t>
            </w: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4</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320</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SHAMIKA CONGO KALEHE</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321</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SHARMA VIKAS</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322</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SHITURU MINING CORPORATION</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323</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SICO KHALIL</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324</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SILVER BACK RESSOURCES SARL</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325</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SIMÉON TSHISANGAMA</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4</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5</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326</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SINO KATANGA TIN SARL</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327</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SK MINERAL</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lastRenderedPageBreak/>
              <w:t>328</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SOCERDEMI</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18</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18</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329</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SOCIETE AMIBOD IMPORT-EXPORT</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4</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4</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330</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 xml:space="preserve">SOCIETE ANHUI CONGO </w:t>
            </w:r>
            <w:proofErr w:type="gramStart"/>
            <w:r w:rsidRPr="00D22D6C">
              <w:rPr>
                <w:color w:val="000000"/>
                <w:sz w:val="16"/>
                <w:szCs w:val="16"/>
                <w:lang w:eastAsia="fr-FR"/>
              </w:rPr>
              <w:t>D' INVESTISSEMENT</w:t>
            </w:r>
            <w:proofErr w:type="gramEnd"/>
            <w:r w:rsidRPr="00D22D6C">
              <w:rPr>
                <w:color w:val="000000"/>
                <w:sz w:val="16"/>
                <w:szCs w:val="16"/>
                <w:lang w:eastAsia="fr-FR"/>
              </w:rPr>
              <w:t xml:space="preserve"> MINIER</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8</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8</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331</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SOCIETE AURIFERE DU KIVU ET DU MANIEMA ''SAKIMA SARL''</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46</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46</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332</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SOCIETE COMMERCIALE LA MINIERE DE KISENGE "MANGANESE" SARL</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40</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41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333</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SOCIETE DE DEVELOPPEMENT INDUSTRIEL ET MINIER DU CONGO</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334</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SOCIETE DE DEVELOPPEMENT INDUSTRIEL ET MINIER DU KATANGA</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6</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7</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335</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SOCIETE DE PROSPECTION ET D'EXPLOITATION</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336</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SOCIETE D'EXPLOITATION DE KIPOI ''SEK''</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6</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6</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337</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SOCIETE D'EXPLOITATION DE LA CASSITERITE AU KATANGA</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338</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SOCIETE D'EXPLOITATION DES GISEMENTS DE KALUKUNDI</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339</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SOCIETE D'EXPLOITATION DES GISEMENTS DE MALEMBA NKULU</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4</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340</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SOCIETE D'EXPLOITATION MINIERES</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14</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16</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341</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SOCIETE D'EXPLORATION MINIERE DU HAUT KATANGA</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6</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6</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342</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SOCIETE DU CIMENT DE KATANGA SPRL</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13</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13</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343</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val="en-US" w:eastAsia="fr-FR"/>
              </w:rPr>
            </w:pPr>
            <w:r w:rsidRPr="00D22D6C">
              <w:rPr>
                <w:color w:val="000000"/>
                <w:sz w:val="16"/>
                <w:szCs w:val="16"/>
                <w:lang w:val="en-US" w:eastAsia="fr-FR"/>
              </w:rPr>
              <w:t>SOCIETE GOLDEN AFRICA RESSOURCES SARL</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697"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344</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val="en-US" w:eastAsia="fr-FR"/>
              </w:rPr>
            </w:pPr>
            <w:r w:rsidRPr="00D22D6C">
              <w:rPr>
                <w:color w:val="000000"/>
                <w:sz w:val="16"/>
                <w:szCs w:val="16"/>
                <w:lang w:val="en-US" w:eastAsia="fr-FR"/>
              </w:rPr>
              <w:t>SOCIETE JEHOVAH JIREH ADO SPRL</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val="en-US" w:eastAsia="fr-FR"/>
              </w:rPr>
            </w:pPr>
          </w:p>
        </w:tc>
        <w:tc>
          <w:tcPr>
            <w:tcW w:w="697"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345</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SOCIETE KAMKIS MINING SPRL</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346</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SOCIETE MINIERE DE BAKWANGA ''MIBA''</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24</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43</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67</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347</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SOCIETE MINIERE DE BISUNZU</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348</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SOCIETE MINIERE DE DEVELOPPEMENT</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349</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SOCIETE MINIERE DE DIAMANT DE LUPATAPATA</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350</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SOCIETE MINIERE DE KASONTA</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351</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SOCIETE MINIERE DE KILO MOTO</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7</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9</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16</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352</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SOCIETE MINIERE DE KOLWEZI</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353</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SOCIETE MINIERE DE LONGATSHIMO</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354</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SOCIETE MINIERE DE LUBUTU</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355</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SOCIETE MINIERE DE MITWABA</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4</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4</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356</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SOCIETE MINIERE DE MOKU-BEVERENDI</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6</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6</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357</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SOCIETE MINIERE DE SANDOA</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358</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SOCIETE MINIERE DU KASAI</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17</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17</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359</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SOCIETE MINIERE DU KATANGA</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4</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6</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360</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SOCIETE MINIERE DU KIVU</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361</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SOCIETE MINIERE INTERNATIONALE SPRL</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362</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SOCIETE OLIVE</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6</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363</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SOCIETE ROTAX INTERNATIONAL SARL</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364</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SOCOMEX CONGO SARL</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8</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365</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SODIFOR SPRL</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32</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33</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366</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SOLAIZE DRC</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367</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SOMAF CORPORATION S.A</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368</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SOPHIE TUMALEO MWANGE</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369</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 xml:space="preserve">STEVE TULUMUNA </w:t>
            </w:r>
            <w:proofErr w:type="spellStart"/>
            <w:r w:rsidRPr="00D22D6C">
              <w:rPr>
                <w:color w:val="000000"/>
                <w:sz w:val="16"/>
                <w:szCs w:val="16"/>
                <w:lang w:eastAsia="fr-FR"/>
              </w:rPr>
              <w:t>TULUMUNA</w:t>
            </w:r>
            <w:proofErr w:type="spellEnd"/>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370</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STR MINING SPRL</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4</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4</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371</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SYLVAIN OYUMBO ONUYA</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372</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TALVO SARL</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373</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TANGANYIKA MINING COMPANY</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8</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8</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374</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TANGANYIKA MINING SPRL</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4</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4</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lastRenderedPageBreak/>
              <w:t>375</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TANTALE MINING KATANGA</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697"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376</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TECHNO BUILD</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5</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5</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377</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TENKE FUNGURUME MINING</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6</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6</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378</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THERESE KAZADI LUDIMBA</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379</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THERMO METALS PROCESSER</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7</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7</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380</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TIDIANE KONE &amp; FREDERICK SPRL</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7</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7</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381</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TIGER CONGO</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382</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TILU MINING</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383</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TRANSAFRIKA DRC</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3</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384</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TRATNOR SERVICES LIMITED</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5</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5</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385</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TSHIKELE BAKASHALA TSHIMANGA</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386</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TSM ENTREPRISE SARL</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697"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5</w:t>
            </w: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9</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15</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387</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TWANGIZA MINING</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6</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6</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388</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VIRGINIKA MINING</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389</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VIRJI SHIRAZ</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18</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20</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390</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WALNI MINERAL COMPANY SPRL</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3</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19</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22</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391</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WB KASAI INVESTMENTS SPRL</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7</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7</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392</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WENTONA PROPERTIES SPRL</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393</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XING DA MINING SARL</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394</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XING PENG MINING SARL</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395</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YA FEI MINING SPRL</w:t>
            </w: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697"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5</w:t>
            </w: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2</w:t>
            </w: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8</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396</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YOLLANDE MWAMBA MUYEMBI</w:t>
            </w:r>
          </w:p>
        </w:tc>
        <w:tc>
          <w:tcPr>
            <w:tcW w:w="500"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397</w:t>
            </w: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YUSUFU MWANA KASONGO</w:t>
            </w:r>
          </w:p>
        </w:tc>
        <w:tc>
          <w:tcPr>
            <w:tcW w:w="500"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r w:rsidRPr="00D22D6C">
              <w:rPr>
                <w:b w:val="0"/>
                <w:color w:val="000000"/>
                <w:sz w:val="16"/>
                <w:szCs w:val="16"/>
                <w:lang w:eastAsia="fr-FR"/>
              </w:rPr>
              <w:t>398</w:t>
            </w:r>
          </w:p>
        </w:tc>
        <w:tc>
          <w:tcPr>
            <w:tcW w:w="5784" w:type="dxa"/>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ZHENG XIN</w:t>
            </w: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c>
          <w:tcPr>
            <w:tcW w:w="1039" w:type="dxa"/>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r w:rsidRPr="00D22D6C">
              <w:rPr>
                <w:color w:val="000000"/>
                <w:sz w:val="16"/>
                <w:szCs w:val="16"/>
                <w:lang w:eastAsia="fr-FR"/>
              </w:rPr>
              <w:t>1</w:t>
            </w:r>
          </w:p>
        </w:tc>
      </w:tr>
      <w:tr w:rsidR="00F1116A" w:rsidRPr="00D22D6C" w:rsidTr="00F1116A">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p>
        </w:tc>
        <w:tc>
          <w:tcPr>
            <w:tcW w:w="5784" w:type="dxa"/>
            <w:vAlign w:val="center"/>
            <w:hideMark/>
          </w:tcPr>
          <w:p w:rsidR="00F1116A" w:rsidRPr="00D22D6C" w:rsidRDefault="00F1116A" w:rsidP="008D6ABB">
            <w:pPr>
              <w:spacing w:after="0"/>
              <w:jc w:val="left"/>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00"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69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77" w:type="dxa"/>
            <w:noWrap/>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585"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c>
          <w:tcPr>
            <w:tcW w:w="1039" w:type="dxa"/>
            <w:vAlign w:val="center"/>
            <w:hideMark/>
          </w:tcPr>
          <w:p w:rsidR="00F1116A" w:rsidRPr="00D22D6C" w:rsidRDefault="00F1116A" w:rsidP="008D6ABB">
            <w:pPr>
              <w:spacing w:after="0"/>
              <w:jc w:val="center"/>
              <w:cnfStyle w:val="000000100000" w:firstRow="0" w:lastRow="0" w:firstColumn="0" w:lastColumn="0" w:oddVBand="0" w:evenVBand="0" w:oddHBand="1" w:evenHBand="0" w:firstRowFirstColumn="0" w:firstRowLastColumn="0" w:lastRowFirstColumn="0" w:lastRowLastColumn="0"/>
              <w:rPr>
                <w:color w:val="000000"/>
                <w:sz w:val="16"/>
                <w:szCs w:val="16"/>
                <w:lang w:eastAsia="fr-FR"/>
              </w:rPr>
            </w:pPr>
          </w:p>
        </w:tc>
      </w:tr>
      <w:tr w:rsidR="00F1116A" w:rsidRPr="00D22D6C" w:rsidTr="00F1116A">
        <w:trPr>
          <w:cnfStyle w:val="000000010000" w:firstRow="0" w:lastRow="0" w:firstColumn="0" w:lastColumn="0" w:oddVBand="0" w:evenVBand="0" w:oddHBand="0" w:evenHBand="1"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D22D6C" w:rsidRDefault="00F1116A" w:rsidP="008D6ABB">
            <w:pPr>
              <w:spacing w:after="0"/>
              <w:jc w:val="center"/>
              <w:rPr>
                <w:b w:val="0"/>
                <w:color w:val="000000"/>
                <w:sz w:val="16"/>
                <w:szCs w:val="16"/>
                <w:lang w:eastAsia="fr-FR"/>
              </w:rPr>
            </w:pPr>
          </w:p>
        </w:tc>
        <w:tc>
          <w:tcPr>
            <w:tcW w:w="5784" w:type="dxa"/>
            <w:noWrap/>
            <w:vAlign w:val="center"/>
            <w:hideMark/>
          </w:tcPr>
          <w:p w:rsidR="00F1116A" w:rsidRPr="00D22D6C" w:rsidRDefault="00F1116A" w:rsidP="008D6ABB">
            <w:pPr>
              <w:spacing w:after="0"/>
              <w:jc w:val="left"/>
              <w:cnfStyle w:val="000000010000" w:firstRow="0" w:lastRow="0" w:firstColumn="0" w:lastColumn="0" w:oddVBand="0" w:evenVBand="0" w:oddHBand="0" w:evenHBand="1" w:firstRowFirstColumn="0" w:firstRowLastColumn="0" w:lastRowFirstColumn="0" w:lastRowLastColumn="0"/>
              <w:rPr>
                <w:color w:val="000000"/>
                <w:sz w:val="16"/>
                <w:szCs w:val="16"/>
                <w:lang w:eastAsia="fr-FR"/>
              </w:rPr>
            </w:pPr>
          </w:p>
        </w:tc>
        <w:tc>
          <w:tcPr>
            <w:tcW w:w="500"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b/>
                <w:i/>
                <w:iCs/>
                <w:color w:val="000000"/>
                <w:sz w:val="16"/>
                <w:szCs w:val="16"/>
                <w:lang w:eastAsia="fr-FR"/>
              </w:rPr>
            </w:pPr>
            <w:r w:rsidRPr="00D22D6C">
              <w:rPr>
                <w:b/>
                <w:i/>
                <w:iCs/>
                <w:color w:val="000000"/>
                <w:sz w:val="16"/>
                <w:szCs w:val="16"/>
                <w:lang w:eastAsia="fr-FR"/>
              </w:rPr>
              <w:t>476</w:t>
            </w:r>
          </w:p>
        </w:tc>
        <w:tc>
          <w:tcPr>
            <w:tcW w:w="69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b/>
                <w:i/>
                <w:iCs/>
                <w:color w:val="000000"/>
                <w:sz w:val="16"/>
                <w:szCs w:val="16"/>
                <w:lang w:eastAsia="fr-FR"/>
              </w:rPr>
            </w:pPr>
            <w:r w:rsidRPr="00D22D6C">
              <w:rPr>
                <w:b/>
                <w:i/>
                <w:iCs/>
                <w:color w:val="000000"/>
                <w:sz w:val="16"/>
                <w:szCs w:val="16"/>
                <w:lang w:eastAsia="fr-FR"/>
              </w:rPr>
              <w:t>132</w:t>
            </w:r>
          </w:p>
        </w:tc>
        <w:tc>
          <w:tcPr>
            <w:tcW w:w="577"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b/>
                <w:i/>
                <w:iCs/>
                <w:color w:val="000000"/>
                <w:sz w:val="16"/>
                <w:szCs w:val="16"/>
                <w:lang w:eastAsia="fr-FR"/>
              </w:rPr>
            </w:pPr>
            <w:r w:rsidRPr="00D22D6C">
              <w:rPr>
                <w:b/>
                <w:i/>
                <w:iCs/>
                <w:color w:val="000000"/>
                <w:sz w:val="16"/>
                <w:szCs w:val="16"/>
                <w:lang w:eastAsia="fr-FR"/>
              </w:rPr>
              <w:t>13</w:t>
            </w:r>
          </w:p>
        </w:tc>
        <w:tc>
          <w:tcPr>
            <w:tcW w:w="585"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b/>
                <w:i/>
                <w:iCs/>
                <w:color w:val="000000"/>
                <w:sz w:val="16"/>
                <w:szCs w:val="16"/>
                <w:lang w:eastAsia="fr-FR"/>
              </w:rPr>
            </w:pPr>
            <w:r w:rsidRPr="00D22D6C">
              <w:rPr>
                <w:b/>
                <w:i/>
                <w:iCs/>
                <w:color w:val="000000"/>
                <w:sz w:val="16"/>
                <w:szCs w:val="16"/>
                <w:lang w:eastAsia="fr-FR"/>
              </w:rPr>
              <w:t>1486</w:t>
            </w:r>
          </w:p>
        </w:tc>
        <w:tc>
          <w:tcPr>
            <w:tcW w:w="1039" w:type="dxa"/>
            <w:noWrap/>
            <w:vAlign w:val="center"/>
            <w:hideMark/>
          </w:tcPr>
          <w:p w:rsidR="00F1116A" w:rsidRPr="00D22D6C" w:rsidRDefault="00F1116A" w:rsidP="008D6ABB">
            <w:pPr>
              <w:spacing w:after="0"/>
              <w:jc w:val="center"/>
              <w:cnfStyle w:val="000000010000" w:firstRow="0" w:lastRow="0" w:firstColumn="0" w:lastColumn="0" w:oddVBand="0" w:evenVBand="0" w:oddHBand="0" w:evenHBand="1" w:firstRowFirstColumn="0" w:firstRowLastColumn="0" w:lastRowFirstColumn="0" w:lastRowLastColumn="0"/>
              <w:rPr>
                <w:b/>
                <w:i/>
                <w:iCs/>
                <w:color w:val="000000"/>
                <w:sz w:val="16"/>
                <w:szCs w:val="16"/>
                <w:lang w:eastAsia="fr-FR"/>
              </w:rPr>
            </w:pPr>
            <w:r w:rsidRPr="00D22D6C">
              <w:rPr>
                <w:b/>
                <w:i/>
                <w:iCs/>
                <w:color w:val="000000"/>
                <w:sz w:val="16"/>
                <w:szCs w:val="16"/>
                <w:lang w:eastAsia="fr-FR"/>
              </w:rPr>
              <w:t>2107</w:t>
            </w:r>
          </w:p>
        </w:tc>
      </w:tr>
    </w:tbl>
    <w:p w:rsidR="00B22856" w:rsidRDefault="00B22856" w:rsidP="004122CF">
      <w:pPr>
        <w:rPr>
          <w:lang w:bidi="ar-TN"/>
        </w:rPr>
      </w:pPr>
    </w:p>
    <w:p w:rsidR="00CD450A" w:rsidRDefault="00CD450A">
      <w:pPr>
        <w:spacing w:after="200" w:line="276" w:lineRule="auto"/>
        <w:jc w:val="left"/>
        <w:rPr>
          <w:sz w:val="24"/>
          <w:szCs w:val="24"/>
        </w:rPr>
        <w:sectPr w:rsidR="00CD450A" w:rsidSect="00CD450A">
          <w:pgSz w:w="11906" w:h="16838"/>
          <w:pgMar w:top="1418" w:right="1418" w:bottom="1418" w:left="1418" w:header="708" w:footer="708" w:gutter="0"/>
          <w:cols w:space="708"/>
          <w:docGrid w:linePitch="360"/>
        </w:sectPr>
      </w:pPr>
    </w:p>
    <w:p w:rsidR="008639FD" w:rsidRDefault="008639FD">
      <w:pPr>
        <w:spacing w:after="200" w:line="276" w:lineRule="auto"/>
        <w:jc w:val="left"/>
        <w:rPr>
          <w:rFonts w:cs="Times New Roman"/>
          <w:b/>
          <w:bCs w:val="0"/>
          <w:sz w:val="24"/>
          <w:szCs w:val="24"/>
        </w:rPr>
      </w:pPr>
    </w:p>
    <w:p w:rsidR="00B22856" w:rsidRPr="00B22856" w:rsidRDefault="00B22856" w:rsidP="00B22856">
      <w:pPr>
        <w:pStyle w:val="Heading2"/>
        <w:numPr>
          <w:ilvl w:val="0"/>
          <w:numId w:val="0"/>
        </w:numPr>
        <w:shd w:val="clear" w:color="auto" w:fill="BFBFBF"/>
        <w:spacing w:after="0"/>
        <w:rPr>
          <w:sz w:val="24"/>
          <w:szCs w:val="24"/>
        </w:rPr>
      </w:pPr>
      <w:bookmarkStart w:id="134" w:name="_Toc451431114"/>
      <w:r>
        <w:rPr>
          <w:sz w:val="24"/>
          <w:szCs w:val="24"/>
        </w:rPr>
        <w:t>ANNEXE 2</w:t>
      </w:r>
      <w:r w:rsidRPr="00B22856">
        <w:rPr>
          <w:sz w:val="24"/>
          <w:szCs w:val="24"/>
        </w:rPr>
        <w:t xml:space="preserve"> : Liste des </w:t>
      </w:r>
      <w:r>
        <w:rPr>
          <w:sz w:val="24"/>
          <w:szCs w:val="24"/>
        </w:rPr>
        <w:t>Entités de traitement</w:t>
      </w:r>
      <w:bookmarkEnd w:id="134"/>
    </w:p>
    <w:p w:rsidR="00B22856" w:rsidRDefault="00B22856" w:rsidP="004122CF">
      <w:pPr>
        <w:rPr>
          <w:lang w:bidi="ar-TN"/>
        </w:rPr>
      </w:pPr>
    </w:p>
    <w:tbl>
      <w:tblPr>
        <w:tblStyle w:val="Tramemoyenne1-Accent11"/>
        <w:tblW w:w="14034" w:type="dxa"/>
        <w:tblBorders>
          <w:top w:val="single" w:sz="4" w:space="0" w:color="7BA0CD" w:themeColor="accent1" w:themeTint="BF"/>
          <w:left w:val="single" w:sz="4" w:space="0" w:color="7BA0CD" w:themeColor="accent1" w:themeTint="BF"/>
          <w:bottom w:val="single" w:sz="4" w:space="0" w:color="7BA0CD" w:themeColor="accent1" w:themeTint="BF"/>
          <w:right w:val="single" w:sz="4" w:space="0" w:color="7BA0CD" w:themeColor="accent1" w:themeTint="BF"/>
          <w:insideH w:val="single" w:sz="4" w:space="0" w:color="7BA0CD" w:themeColor="accent1" w:themeTint="BF"/>
          <w:insideV w:val="single" w:sz="4" w:space="0" w:color="7BA0CD" w:themeColor="accent1" w:themeTint="BF"/>
        </w:tblBorders>
        <w:tblLook w:val="04A0" w:firstRow="1" w:lastRow="0" w:firstColumn="1" w:lastColumn="0" w:noHBand="0" w:noVBand="1"/>
      </w:tblPr>
      <w:tblGrid>
        <w:gridCol w:w="1300"/>
        <w:gridCol w:w="560"/>
        <w:gridCol w:w="3669"/>
        <w:gridCol w:w="2268"/>
        <w:gridCol w:w="899"/>
        <w:gridCol w:w="1069"/>
        <w:gridCol w:w="780"/>
        <w:gridCol w:w="1140"/>
        <w:gridCol w:w="2349"/>
      </w:tblGrid>
      <w:tr w:rsidR="008639FD" w:rsidRPr="00841A5E" w:rsidTr="00570C4F">
        <w:trPr>
          <w:cnfStyle w:val="100000000000" w:firstRow="1" w:lastRow="0" w:firstColumn="0" w:lastColumn="0" w:oddVBand="0" w:evenVBand="0" w:oddHBand="0" w:evenHBand="0" w:firstRowFirstColumn="0" w:firstRowLastColumn="0" w:lastRowFirstColumn="0" w:lastRowLastColumn="0"/>
          <w:trHeight w:val="468"/>
          <w:tblHeader/>
        </w:trPr>
        <w:tc>
          <w:tcPr>
            <w:cnfStyle w:val="001000000000" w:firstRow="0" w:lastRow="0" w:firstColumn="1" w:lastColumn="0" w:oddVBand="0" w:evenVBand="0" w:oddHBand="0" w:evenHBand="0" w:firstRowFirstColumn="0" w:firstRowLastColumn="0" w:lastRowFirstColumn="0" w:lastRowLastColumn="0"/>
            <w:tcW w:w="1300" w:type="dxa"/>
            <w:tcBorders>
              <w:top w:val="none" w:sz="0" w:space="0" w:color="auto"/>
              <w:left w:val="none" w:sz="0" w:space="0" w:color="auto"/>
              <w:bottom w:val="none" w:sz="0" w:space="0" w:color="auto"/>
              <w:right w:val="none" w:sz="0" w:space="0" w:color="auto"/>
            </w:tcBorders>
            <w:noWrap/>
            <w:vAlign w:val="center"/>
            <w:hideMark/>
          </w:tcPr>
          <w:p w:rsidR="008639FD" w:rsidRPr="00841A5E" w:rsidRDefault="008639FD" w:rsidP="00570C4F">
            <w:pPr>
              <w:spacing w:after="0"/>
              <w:jc w:val="left"/>
              <w:rPr>
                <w:color w:val="FFFFFF" w:themeColor="background1"/>
                <w:sz w:val="18"/>
                <w:szCs w:val="18"/>
              </w:rPr>
            </w:pPr>
            <w:r w:rsidRPr="00841A5E">
              <w:rPr>
                <w:color w:val="FFFFFF" w:themeColor="background1"/>
                <w:sz w:val="18"/>
                <w:szCs w:val="18"/>
              </w:rPr>
              <w:t>PROVINCE</w:t>
            </w:r>
          </w:p>
        </w:tc>
        <w:tc>
          <w:tcPr>
            <w:tcW w:w="560" w:type="dxa"/>
            <w:tcBorders>
              <w:top w:val="none" w:sz="0" w:space="0" w:color="auto"/>
              <w:left w:val="none" w:sz="0" w:space="0" w:color="auto"/>
              <w:bottom w:val="none" w:sz="0" w:space="0" w:color="auto"/>
              <w:right w:val="none" w:sz="0" w:space="0" w:color="auto"/>
            </w:tcBorders>
            <w:noWrap/>
            <w:vAlign w:val="center"/>
            <w:hideMark/>
          </w:tcPr>
          <w:p w:rsidR="008639FD" w:rsidRPr="00841A5E" w:rsidRDefault="008639FD" w:rsidP="00570C4F">
            <w:pPr>
              <w:spacing w:after="0"/>
              <w:jc w:val="left"/>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841A5E">
              <w:rPr>
                <w:color w:val="FFFFFF" w:themeColor="background1"/>
                <w:sz w:val="18"/>
                <w:szCs w:val="18"/>
              </w:rPr>
              <w:t>N°</w:t>
            </w:r>
          </w:p>
        </w:tc>
        <w:tc>
          <w:tcPr>
            <w:tcW w:w="3669" w:type="dxa"/>
            <w:tcBorders>
              <w:top w:val="none" w:sz="0" w:space="0" w:color="auto"/>
              <w:left w:val="none" w:sz="0" w:space="0" w:color="auto"/>
              <w:bottom w:val="none" w:sz="0" w:space="0" w:color="auto"/>
              <w:right w:val="none" w:sz="0" w:space="0" w:color="auto"/>
            </w:tcBorders>
            <w:vAlign w:val="center"/>
            <w:hideMark/>
          </w:tcPr>
          <w:p w:rsidR="008639FD" w:rsidRPr="00841A5E" w:rsidRDefault="008639FD" w:rsidP="00570C4F">
            <w:pPr>
              <w:spacing w:after="0"/>
              <w:jc w:val="left"/>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841A5E">
              <w:rPr>
                <w:color w:val="FFFFFF" w:themeColor="background1"/>
                <w:sz w:val="18"/>
                <w:szCs w:val="18"/>
              </w:rPr>
              <w:t>DENOMINATION</w:t>
            </w:r>
          </w:p>
        </w:tc>
        <w:tc>
          <w:tcPr>
            <w:tcW w:w="2268" w:type="dxa"/>
            <w:tcBorders>
              <w:top w:val="none" w:sz="0" w:space="0" w:color="auto"/>
              <w:left w:val="none" w:sz="0" w:space="0" w:color="auto"/>
              <w:bottom w:val="none" w:sz="0" w:space="0" w:color="auto"/>
              <w:right w:val="none" w:sz="0" w:space="0" w:color="auto"/>
            </w:tcBorders>
            <w:noWrap/>
            <w:vAlign w:val="center"/>
            <w:hideMark/>
          </w:tcPr>
          <w:p w:rsidR="008639FD" w:rsidRPr="00841A5E" w:rsidRDefault="008639FD" w:rsidP="00570C4F">
            <w:pPr>
              <w:spacing w:after="0"/>
              <w:jc w:val="left"/>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841A5E">
              <w:rPr>
                <w:color w:val="FFFFFF" w:themeColor="background1"/>
                <w:sz w:val="18"/>
                <w:szCs w:val="18"/>
              </w:rPr>
              <w:t>STATUT</w:t>
            </w:r>
          </w:p>
        </w:tc>
        <w:tc>
          <w:tcPr>
            <w:tcW w:w="3888" w:type="dxa"/>
            <w:gridSpan w:val="4"/>
            <w:tcBorders>
              <w:top w:val="none" w:sz="0" w:space="0" w:color="auto"/>
              <w:left w:val="none" w:sz="0" w:space="0" w:color="auto"/>
              <w:bottom w:val="none" w:sz="0" w:space="0" w:color="auto"/>
              <w:right w:val="none" w:sz="0" w:space="0" w:color="auto"/>
            </w:tcBorders>
            <w:noWrap/>
            <w:vAlign w:val="center"/>
            <w:hideMark/>
          </w:tcPr>
          <w:p w:rsidR="008639FD" w:rsidRPr="00841A5E" w:rsidRDefault="008639FD" w:rsidP="00570C4F">
            <w:pPr>
              <w:spacing w:after="0"/>
              <w:jc w:val="left"/>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841A5E">
              <w:rPr>
                <w:color w:val="FFFFFF" w:themeColor="background1"/>
                <w:sz w:val="18"/>
                <w:szCs w:val="18"/>
              </w:rPr>
              <w:t>SUBSTANCES</w:t>
            </w:r>
          </w:p>
        </w:tc>
        <w:tc>
          <w:tcPr>
            <w:tcW w:w="2349" w:type="dxa"/>
            <w:tcBorders>
              <w:top w:val="none" w:sz="0" w:space="0" w:color="auto"/>
              <w:left w:val="none" w:sz="0" w:space="0" w:color="auto"/>
              <w:bottom w:val="none" w:sz="0" w:space="0" w:color="auto"/>
              <w:right w:val="none" w:sz="0" w:space="0" w:color="auto"/>
            </w:tcBorders>
            <w:vAlign w:val="center"/>
            <w:hideMark/>
          </w:tcPr>
          <w:p w:rsidR="008639FD" w:rsidRPr="00841A5E" w:rsidRDefault="008639FD" w:rsidP="00570C4F">
            <w:pPr>
              <w:spacing w:after="0"/>
              <w:jc w:val="center"/>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841A5E">
              <w:rPr>
                <w:color w:val="FFFFFF" w:themeColor="background1"/>
                <w:sz w:val="18"/>
                <w:szCs w:val="18"/>
              </w:rPr>
              <w:t>Observation en 2015</w:t>
            </w:r>
          </w:p>
        </w:tc>
      </w:tr>
      <w:tr w:rsidR="008639FD" w:rsidRPr="00841A5E" w:rsidTr="00570C4F">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300" w:type="dxa"/>
            <w:vMerge w:val="restart"/>
            <w:tcBorders>
              <w:right w:val="none" w:sz="0" w:space="0" w:color="auto"/>
            </w:tcBorders>
            <w:noWrap/>
            <w:vAlign w:val="center"/>
            <w:hideMark/>
          </w:tcPr>
          <w:p w:rsidR="008639FD" w:rsidRPr="00841A5E" w:rsidRDefault="008639FD" w:rsidP="00570C4F">
            <w:pPr>
              <w:spacing w:after="0"/>
              <w:jc w:val="left"/>
              <w:rPr>
                <w:color w:val="000000"/>
                <w:sz w:val="18"/>
                <w:szCs w:val="18"/>
              </w:rPr>
            </w:pPr>
            <w:r w:rsidRPr="00841A5E">
              <w:rPr>
                <w:color w:val="000000"/>
                <w:sz w:val="18"/>
                <w:szCs w:val="18"/>
              </w:rPr>
              <w:t>KATANGA</w:t>
            </w: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1</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GROUPE BAZANO</w:t>
            </w:r>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 xml:space="preserve">Titulaire et Entité </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Cuivre</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Cobalt</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2349" w:type="dxa"/>
            <w:tcBorders>
              <w:lef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Non Opérationnelle</w:t>
            </w:r>
          </w:p>
        </w:tc>
      </w:tr>
      <w:tr w:rsidR="008639FD" w:rsidRPr="00841A5E" w:rsidTr="00570C4F">
        <w:trPr>
          <w:cnfStyle w:val="000000010000" w:firstRow="0" w:lastRow="0" w:firstColumn="0" w:lastColumn="0" w:oddVBand="0" w:evenVBand="0" w:oddHBand="0" w:evenHBand="1"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2</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41A5E">
              <w:rPr>
                <w:sz w:val="18"/>
                <w:szCs w:val="18"/>
              </w:rPr>
              <w:t>BOLFAST COMPANY</w:t>
            </w:r>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41A5E">
              <w:rPr>
                <w:sz w:val="18"/>
                <w:szCs w:val="18"/>
              </w:rPr>
              <w:t xml:space="preserve">Titulaire et Entité </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Cuivre</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Cobalt</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2349" w:type="dxa"/>
            <w:tcBorders>
              <w:lef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Opérationnelle</w:t>
            </w:r>
          </w:p>
        </w:tc>
      </w:tr>
      <w:tr w:rsidR="008639FD" w:rsidRPr="00841A5E" w:rsidTr="00570C4F">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3</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BONNE CINFIANCE</w:t>
            </w:r>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 xml:space="preserve">Titulaire et Entité </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proofErr w:type="spellStart"/>
            <w:r w:rsidRPr="00841A5E">
              <w:rPr>
                <w:color w:val="000000"/>
                <w:sz w:val="18"/>
                <w:szCs w:val="18"/>
              </w:rPr>
              <w:t>Cassiterite</w:t>
            </w:r>
            <w:proofErr w:type="spellEnd"/>
          </w:p>
        </w:tc>
        <w:tc>
          <w:tcPr>
            <w:tcW w:w="2349" w:type="dxa"/>
            <w:tcBorders>
              <w:lef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Opérationnelle</w:t>
            </w:r>
          </w:p>
        </w:tc>
      </w:tr>
      <w:tr w:rsidR="008639FD" w:rsidRPr="00841A5E" w:rsidTr="00570C4F">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4</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xml:space="preserve">CAM RESSORCES </w:t>
            </w:r>
            <w:proofErr w:type="spellStart"/>
            <w:r w:rsidRPr="00841A5E">
              <w:rPr>
                <w:color w:val="000000"/>
                <w:sz w:val="18"/>
                <w:szCs w:val="18"/>
              </w:rPr>
              <w:t>Sprl</w:t>
            </w:r>
            <w:proofErr w:type="spellEnd"/>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41A5E">
              <w:rPr>
                <w:sz w:val="18"/>
                <w:szCs w:val="18"/>
              </w:rPr>
              <w:t>Entité de traitement</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Cuivre</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Cobalt</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2349" w:type="dxa"/>
            <w:tcBorders>
              <w:lef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Non Opérationnelle</w:t>
            </w:r>
          </w:p>
        </w:tc>
      </w:tr>
      <w:tr w:rsidR="008639FD" w:rsidRPr="00841A5E" w:rsidTr="00570C4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5</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CAMIS</w:t>
            </w:r>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Entité de traitement</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proofErr w:type="spellStart"/>
            <w:r w:rsidRPr="00841A5E">
              <w:rPr>
                <w:color w:val="000000"/>
                <w:sz w:val="18"/>
                <w:szCs w:val="18"/>
              </w:rPr>
              <w:t>Coltan</w:t>
            </w:r>
            <w:proofErr w:type="spellEnd"/>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2349" w:type="dxa"/>
            <w:tcBorders>
              <w:lef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Opérationnelle</w:t>
            </w:r>
          </w:p>
        </w:tc>
      </w:tr>
      <w:tr w:rsidR="008639FD" w:rsidRPr="00841A5E" w:rsidTr="00570C4F">
        <w:trPr>
          <w:cnfStyle w:val="000000010000" w:firstRow="0" w:lastRow="0" w:firstColumn="0" w:lastColumn="0" w:oddVBand="0" w:evenVBand="0" w:oddHBand="0" w:evenHBand="1"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6</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41A5E">
              <w:rPr>
                <w:sz w:val="18"/>
                <w:szCs w:val="18"/>
              </w:rPr>
              <w:t>CONGO COBALT  CORPORATION</w:t>
            </w:r>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41A5E">
              <w:rPr>
                <w:sz w:val="18"/>
                <w:szCs w:val="18"/>
              </w:rPr>
              <w:t>Sous traitant</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Cuivre</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2349" w:type="dxa"/>
            <w:tcBorders>
              <w:lef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41A5E">
              <w:rPr>
                <w:sz w:val="18"/>
                <w:szCs w:val="18"/>
              </w:rPr>
              <w:t>Opérationnelle</w:t>
            </w:r>
          </w:p>
        </w:tc>
      </w:tr>
      <w:tr w:rsidR="008639FD" w:rsidRPr="00841A5E" w:rsidTr="00570C4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7</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lang w:val="en-US"/>
              </w:rPr>
            </w:pPr>
            <w:r w:rsidRPr="00841A5E">
              <w:rPr>
                <w:sz w:val="18"/>
                <w:szCs w:val="18"/>
                <w:lang w:val="en-US"/>
              </w:rPr>
              <w:t>CONGO DONGFANG INTERNATIONAL MINING SPRL</w:t>
            </w:r>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Entité de traitement</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Cuivre</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2349" w:type="dxa"/>
            <w:tcBorders>
              <w:lef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Opérationnelle</w:t>
            </w:r>
          </w:p>
        </w:tc>
      </w:tr>
      <w:tr w:rsidR="008639FD" w:rsidRPr="00841A5E" w:rsidTr="00570C4F">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8</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41A5E">
              <w:rPr>
                <w:sz w:val="18"/>
                <w:szCs w:val="18"/>
              </w:rPr>
              <w:t>CEPRODEV SPRL</w:t>
            </w:r>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41A5E">
              <w:rPr>
                <w:sz w:val="18"/>
                <w:szCs w:val="18"/>
              </w:rPr>
              <w:t>Entité de traitement</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proofErr w:type="spellStart"/>
            <w:r w:rsidRPr="00841A5E">
              <w:rPr>
                <w:color w:val="000000"/>
                <w:sz w:val="18"/>
                <w:szCs w:val="18"/>
              </w:rPr>
              <w:t>Cassiterite</w:t>
            </w:r>
            <w:proofErr w:type="spellEnd"/>
          </w:p>
        </w:tc>
        <w:tc>
          <w:tcPr>
            <w:tcW w:w="2349" w:type="dxa"/>
            <w:tcBorders>
              <w:lef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Opérationnelle</w:t>
            </w:r>
          </w:p>
        </w:tc>
      </w:tr>
      <w:tr w:rsidR="008639FD" w:rsidRPr="00841A5E" w:rsidTr="00570C4F">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9</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CNMC HUACHIN MABENDE</w:t>
            </w:r>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 xml:space="preserve">Titulaire et Entité </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Cuivre</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Cobalt</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proofErr w:type="spellStart"/>
            <w:r w:rsidRPr="00841A5E">
              <w:rPr>
                <w:color w:val="000000"/>
                <w:sz w:val="18"/>
                <w:szCs w:val="18"/>
              </w:rPr>
              <w:t>Coltan</w:t>
            </w:r>
            <w:proofErr w:type="spellEnd"/>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proofErr w:type="spellStart"/>
            <w:r w:rsidRPr="00841A5E">
              <w:rPr>
                <w:color w:val="000000"/>
                <w:sz w:val="18"/>
                <w:szCs w:val="18"/>
              </w:rPr>
              <w:t>Cassiterite</w:t>
            </w:r>
            <w:proofErr w:type="spellEnd"/>
          </w:p>
        </w:tc>
        <w:tc>
          <w:tcPr>
            <w:tcW w:w="2349" w:type="dxa"/>
            <w:tcBorders>
              <w:lef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Opérationnelle</w:t>
            </w:r>
          </w:p>
        </w:tc>
      </w:tr>
      <w:tr w:rsidR="008639FD" w:rsidRPr="00841A5E" w:rsidTr="00570C4F">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10</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lang w:val="en-US"/>
              </w:rPr>
            </w:pPr>
            <w:r w:rsidRPr="00841A5E">
              <w:rPr>
                <w:sz w:val="18"/>
                <w:szCs w:val="18"/>
                <w:lang w:val="en-US"/>
              </w:rPr>
              <w:t xml:space="preserve">CONGO INTERNATIONAL MINING CORPORATION </w:t>
            </w:r>
            <w:proofErr w:type="spellStart"/>
            <w:r w:rsidRPr="00841A5E">
              <w:rPr>
                <w:sz w:val="18"/>
                <w:szCs w:val="18"/>
                <w:lang w:val="en-US"/>
              </w:rPr>
              <w:t>Sprl</w:t>
            </w:r>
            <w:proofErr w:type="spellEnd"/>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41A5E">
              <w:rPr>
                <w:sz w:val="18"/>
                <w:szCs w:val="18"/>
              </w:rPr>
              <w:t xml:space="preserve">Titulaire et Entité </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Cuivre</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2349" w:type="dxa"/>
            <w:tcBorders>
              <w:lef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Opérationnelle</w:t>
            </w:r>
          </w:p>
        </w:tc>
      </w:tr>
      <w:tr w:rsidR="008639FD" w:rsidRPr="00841A5E" w:rsidTr="00570C4F">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11</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 xml:space="preserve">COMIDE </w:t>
            </w:r>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 xml:space="preserve">Titulaire et Entité </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2349" w:type="dxa"/>
            <w:tcBorders>
              <w:lef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Opérationnelle</w:t>
            </w:r>
          </w:p>
        </w:tc>
      </w:tr>
      <w:tr w:rsidR="008639FD" w:rsidRPr="00841A5E" w:rsidTr="00570C4F">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12</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41A5E">
              <w:rPr>
                <w:sz w:val="18"/>
                <w:szCs w:val="18"/>
              </w:rPr>
              <w:t>CONCORDE POUR L'INDUSTRIE ET L'EXPLOITATION SPRL</w:t>
            </w:r>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41A5E">
              <w:rPr>
                <w:sz w:val="18"/>
                <w:szCs w:val="18"/>
              </w:rPr>
              <w:t>Sous traitant et Entité</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Cuivre</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2349" w:type="dxa"/>
            <w:tcBorders>
              <w:lef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Non Opérationnelle</w:t>
            </w:r>
          </w:p>
        </w:tc>
      </w:tr>
      <w:tr w:rsidR="008639FD" w:rsidRPr="00841A5E" w:rsidTr="00570C4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13</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CONGO COPPER MILLS</w:t>
            </w:r>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Entité de traitement</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Cuivre</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2349" w:type="dxa"/>
            <w:tcBorders>
              <w:lef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Non Opérationnelle</w:t>
            </w:r>
          </w:p>
        </w:tc>
      </w:tr>
      <w:tr w:rsidR="008639FD" w:rsidRPr="00841A5E" w:rsidTr="00570C4F">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14</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lang w:val="en-US"/>
              </w:rPr>
            </w:pPr>
            <w:r w:rsidRPr="00841A5E">
              <w:rPr>
                <w:sz w:val="18"/>
                <w:szCs w:val="18"/>
                <w:lang w:val="en-US"/>
              </w:rPr>
              <w:t>CONGO JIN JU CHENG SPRL</w:t>
            </w:r>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41A5E">
              <w:rPr>
                <w:sz w:val="18"/>
                <w:szCs w:val="18"/>
              </w:rPr>
              <w:t>Entité de traitement</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Cuivre</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2349" w:type="dxa"/>
            <w:tcBorders>
              <w:lef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Opérationnelle</w:t>
            </w:r>
          </w:p>
        </w:tc>
      </w:tr>
      <w:tr w:rsidR="008639FD" w:rsidRPr="00841A5E" w:rsidTr="00570C4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15</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 xml:space="preserve">CONGO LOYAL WILL MINING </w:t>
            </w:r>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Entité de traitement</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Cuivre</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2349" w:type="dxa"/>
            <w:tcBorders>
              <w:lef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Non Opérationnelle</w:t>
            </w:r>
          </w:p>
        </w:tc>
      </w:tr>
      <w:tr w:rsidR="008639FD" w:rsidRPr="00841A5E" w:rsidTr="00570C4F">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16</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41A5E">
              <w:rPr>
                <w:sz w:val="18"/>
                <w:szCs w:val="18"/>
              </w:rPr>
              <w:t>COPROCO</w:t>
            </w:r>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41A5E">
              <w:rPr>
                <w:sz w:val="18"/>
                <w:szCs w:val="18"/>
              </w:rPr>
              <w:t>Entité de traitement</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Etain</w:t>
            </w:r>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2349" w:type="dxa"/>
            <w:tcBorders>
              <w:lef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Non Opérationnelle</w:t>
            </w:r>
          </w:p>
        </w:tc>
      </w:tr>
      <w:tr w:rsidR="008639FD" w:rsidRPr="00841A5E" w:rsidTr="00570C4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17</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DRAGON INTRNATIONAL</w:t>
            </w:r>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Entité de traitement</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Cuivre</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2349" w:type="dxa"/>
            <w:tcBorders>
              <w:lef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Opérationnelle</w:t>
            </w:r>
          </w:p>
        </w:tc>
      </w:tr>
      <w:tr w:rsidR="008639FD" w:rsidRPr="00841A5E" w:rsidTr="00570C4F">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18</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41A5E">
              <w:rPr>
                <w:sz w:val="18"/>
                <w:szCs w:val="18"/>
              </w:rPr>
              <w:t>EAGLE GROUP SPRL</w:t>
            </w:r>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41A5E">
              <w:rPr>
                <w:sz w:val="18"/>
                <w:szCs w:val="18"/>
              </w:rPr>
              <w:t>Entité de traitement</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Cuivre</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Cobalt</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2349" w:type="dxa"/>
            <w:tcBorders>
              <w:lef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Non Opérationnelle</w:t>
            </w:r>
          </w:p>
        </w:tc>
      </w:tr>
      <w:tr w:rsidR="008639FD" w:rsidRPr="00841A5E" w:rsidTr="00570C4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19</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EXPLOITATION ARTISANALE DU CONGO "EXACO"</w:t>
            </w:r>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Entité de traitement</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Cuivre</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2349" w:type="dxa"/>
            <w:tcBorders>
              <w:lef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Non Opérationnelle</w:t>
            </w:r>
          </w:p>
        </w:tc>
      </w:tr>
      <w:tr w:rsidR="008639FD" w:rsidRPr="00841A5E" w:rsidTr="00570C4F">
        <w:trPr>
          <w:cnfStyle w:val="000000010000" w:firstRow="0" w:lastRow="0" w:firstColumn="0" w:lastColumn="0" w:oddVBand="0" w:evenVBand="0" w:oddHBand="0" w:evenHBand="1"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20</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41A5E">
              <w:rPr>
                <w:sz w:val="18"/>
                <w:szCs w:val="18"/>
              </w:rPr>
              <w:t>FEZA MINING SPRL</w:t>
            </w:r>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41A5E">
              <w:rPr>
                <w:sz w:val="18"/>
                <w:szCs w:val="18"/>
              </w:rPr>
              <w:t xml:space="preserve">Titulaire et Entité </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Cuivre</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Cobalt</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2349" w:type="dxa"/>
            <w:tcBorders>
              <w:lef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Opérationnelle</w:t>
            </w:r>
          </w:p>
        </w:tc>
      </w:tr>
      <w:tr w:rsidR="008639FD" w:rsidRPr="00841A5E" w:rsidTr="00570C4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21</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GOLDEN AFRICAN RESSOURCES</w:t>
            </w:r>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Entité de traitement</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Cuivre</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2349" w:type="dxa"/>
            <w:tcBorders>
              <w:lef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Opérationnelle</w:t>
            </w:r>
          </w:p>
        </w:tc>
      </w:tr>
      <w:tr w:rsidR="008639FD" w:rsidRPr="00841A5E" w:rsidTr="00570C4F">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22</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41A5E">
              <w:rPr>
                <w:sz w:val="18"/>
                <w:szCs w:val="18"/>
              </w:rPr>
              <w:t xml:space="preserve">GROUPE LA BONNE CONFIANCE </w:t>
            </w:r>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41A5E">
              <w:rPr>
                <w:sz w:val="18"/>
                <w:szCs w:val="18"/>
              </w:rPr>
              <w:t>Entité de traitement</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Etain</w:t>
            </w:r>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2349" w:type="dxa"/>
            <w:tcBorders>
              <w:lef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Non Opérationnelle</w:t>
            </w:r>
          </w:p>
        </w:tc>
      </w:tr>
      <w:tr w:rsidR="008639FD" w:rsidRPr="00841A5E" w:rsidTr="00570C4F">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23</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GROUPEMENT POUR LE TRAITEMENT  DES TERRILS DE LUBUMBASHI "GTL"</w:t>
            </w:r>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Entité de traitement</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Cuivre</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Cobalt</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2349" w:type="dxa"/>
            <w:tcBorders>
              <w:lef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Opérationnelle</w:t>
            </w:r>
          </w:p>
        </w:tc>
      </w:tr>
      <w:tr w:rsidR="008639FD" w:rsidRPr="00841A5E" w:rsidTr="00570C4F">
        <w:trPr>
          <w:cnfStyle w:val="000000010000" w:firstRow="0" w:lastRow="0" w:firstColumn="0" w:lastColumn="0" w:oddVBand="0" w:evenVBand="0" w:oddHBand="0" w:evenHBand="1"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24</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41A5E">
              <w:rPr>
                <w:sz w:val="18"/>
                <w:szCs w:val="18"/>
              </w:rPr>
              <w:t>HUACHIN METAL LEACH SPRL</w:t>
            </w:r>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41A5E">
              <w:rPr>
                <w:sz w:val="18"/>
                <w:szCs w:val="18"/>
              </w:rPr>
              <w:t xml:space="preserve">Titulaire et Entité </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Cuivre</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2349" w:type="dxa"/>
            <w:tcBorders>
              <w:lef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Opérationnelle</w:t>
            </w:r>
          </w:p>
        </w:tc>
      </w:tr>
      <w:tr w:rsidR="008639FD" w:rsidRPr="00841A5E" w:rsidTr="00570C4F">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25</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HUACHIN MINING</w:t>
            </w:r>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 xml:space="preserve">Titulaire et Entité </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Cuivre</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2349" w:type="dxa"/>
            <w:tcBorders>
              <w:lef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Opérationnelle</w:t>
            </w:r>
          </w:p>
        </w:tc>
      </w:tr>
      <w:tr w:rsidR="008639FD" w:rsidRPr="00841A5E" w:rsidTr="00570C4F">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26</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41A5E">
              <w:rPr>
                <w:sz w:val="18"/>
                <w:szCs w:val="18"/>
              </w:rPr>
              <w:t>KAI PENG MINING</w:t>
            </w:r>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41A5E">
              <w:rPr>
                <w:sz w:val="18"/>
                <w:szCs w:val="18"/>
              </w:rPr>
              <w:t>Entité de traitement</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Cuivre</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2349" w:type="dxa"/>
            <w:tcBorders>
              <w:lef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Opérationnelle</w:t>
            </w:r>
          </w:p>
        </w:tc>
      </w:tr>
      <w:tr w:rsidR="008639FD" w:rsidRPr="00841A5E" w:rsidTr="00570C4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27</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KATANGA METALS</w:t>
            </w:r>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Entité de traitement</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Cuivre</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2349" w:type="dxa"/>
            <w:tcBorders>
              <w:lef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Opérationnelle</w:t>
            </w:r>
          </w:p>
        </w:tc>
      </w:tr>
      <w:tr w:rsidR="008639FD" w:rsidRPr="00841A5E" w:rsidTr="00570C4F">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28</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41A5E">
              <w:rPr>
                <w:sz w:val="18"/>
                <w:szCs w:val="18"/>
              </w:rPr>
              <w:t>LOMAMINES</w:t>
            </w:r>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41A5E">
              <w:rPr>
                <w:sz w:val="18"/>
                <w:szCs w:val="18"/>
              </w:rPr>
              <w:t>Entité de traitement</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Etain</w:t>
            </w:r>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2349" w:type="dxa"/>
            <w:tcBorders>
              <w:lef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41A5E">
              <w:rPr>
                <w:sz w:val="18"/>
                <w:szCs w:val="18"/>
              </w:rPr>
              <w:t>Non Opérationnelle</w:t>
            </w:r>
          </w:p>
        </w:tc>
      </w:tr>
      <w:tr w:rsidR="008639FD" w:rsidRPr="00841A5E" w:rsidTr="00570C4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29</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 xml:space="preserve">LONG FEI MINING </w:t>
            </w:r>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Entité de traitement</w:t>
            </w:r>
          </w:p>
        </w:tc>
        <w:tc>
          <w:tcPr>
            <w:tcW w:w="899"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 </w:t>
            </w:r>
          </w:p>
        </w:tc>
        <w:tc>
          <w:tcPr>
            <w:tcW w:w="1069"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 </w:t>
            </w:r>
          </w:p>
        </w:tc>
        <w:tc>
          <w:tcPr>
            <w:tcW w:w="780"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 </w:t>
            </w:r>
          </w:p>
        </w:tc>
        <w:tc>
          <w:tcPr>
            <w:tcW w:w="1140"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 </w:t>
            </w:r>
          </w:p>
        </w:tc>
        <w:tc>
          <w:tcPr>
            <w:tcW w:w="2349" w:type="dxa"/>
            <w:tcBorders>
              <w:lef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Non Opérationnelle</w:t>
            </w:r>
          </w:p>
        </w:tc>
      </w:tr>
      <w:tr w:rsidR="008639FD" w:rsidRPr="00841A5E" w:rsidTr="00570C4F">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30</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41A5E">
              <w:rPr>
                <w:sz w:val="18"/>
                <w:szCs w:val="18"/>
              </w:rPr>
              <w:t>LUNA MINING SPRL</w:t>
            </w:r>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41A5E">
              <w:rPr>
                <w:sz w:val="18"/>
                <w:szCs w:val="18"/>
              </w:rPr>
              <w:t>Entité de traitement</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2349" w:type="dxa"/>
            <w:tcBorders>
              <w:lef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41A5E">
              <w:rPr>
                <w:sz w:val="18"/>
                <w:szCs w:val="18"/>
              </w:rPr>
              <w:t>Non Opérationnelle</w:t>
            </w:r>
          </w:p>
        </w:tc>
      </w:tr>
      <w:tr w:rsidR="008639FD" w:rsidRPr="00841A5E" w:rsidTr="00570C4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31</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MAGMA MINERALS SPRL</w:t>
            </w:r>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Entité de traitement</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Cuivre</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2349" w:type="dxa"/>
            <w:tcBorders>
              <w:lef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Opérationnelle</w:t>
            </w:r>
          </w:p>
        </w:tc>
      </w:tr>
      <w:tr w:rsidR="008639FD" w:rsidRPr="00841A5E" w:rsidTr="00570C4F">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32</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41A5E">
              <w:rPr>
                <w:sz w:val="18"/>
                <w:szCs w:val="18"/>
              </w:rPr>
              <w:t>METALS MINES</w:t>
            </w:r>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41A5E">
              <w:rPr>
                <w:sz w:val="18"/>
                <w:szCs w:val="18"/>
              </w:rPr>
              <w:t>Entité de traitement</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Cuivre</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Cobalt</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2349" w:type="dxa"/>
            <w:tcBorders>
              <w:lef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Opérationnelle</w:t>
            </w:r>
          </w:p>
        </w:tc>
      </w:tr>
      <w:tr w:rsidR="008639FD" w:rsidRPr="00841A5E" w:rsidTr="00570C4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33</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MINES D'AFRIQUE</w:t>
            </w:r>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Entité de traitement</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Etain</w:t>
            </w:r>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2349" w:type="dxa"/>
            <w:tcBorders>
              <w:lef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Opérationnelle</w:t>
            </w:r>
          </w:p>
        </w:tc>
      </w:tr>
      <w:tr w:rsidR="008639FD" w:rsidRPr="00841A5E" w:rsidTr="00570C4F">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34</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41A5E">
              <w:rPr>
                <w:sz w:val="18"/>
                <w:szCs w:val="18"/>
              </w:rPr>
              <w:t>MJM</w:t>
            </w:r>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41A5E">
              <w:rPr>
                <w:sz w:val="18"/>
                <w:szCs w:val="18"/>
              </w:rPr>
              <w:t>Entité de traitement</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Cuivre</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Cobalt</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2349" w:type="dxa"/>
            <w:tcBorders>
              <w:lef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Opérationnelle</w:t>
            </w:r>
          </w:p>
        </w:tc>
      </w:tr>
      <w:tr w:rsidR="008639FD" w:rsidRPr="00841A5E" w:rsidTr="00570C4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35</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MINING MINERALS RESOURCES "MMR"</w:t>
            </w:r>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 xml:space="preserve">Titulaire et Entité </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proofErr w:type="spellStart"/>
            <w:r w:rsidRPr="00841A5E">
              <w:rPr>
                <w:color w:val="000000"/>
                <w:sz w:val="18"/>
                <w:szCs w:val="18"/>
              </w:rPr>
              <w:t>Coltan</w:t>
            </w:r>
            <w:proofErr w:type="spellEnd"/>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proofErr w:type="spellStart"/>
            <w:r w:rsidRPr="00841A5E">
              <w:rPr>
                <w:color w:val="000000"/>
                <w:sz w:val="18"/>
                <w:szCs w:val="18"/>
              </w:rPr>
              <w:t>Cassiterite</w:t>
            </w:r>
            <w:proofErr w:type="spellEnd"/>
          </w:p>
        </w:tc>
        <w:tc>
          <w:tcPr>
            <w:tcW w:w="2349" w:type="dxa"/>
            <w:tcBorders>
              <w:lef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Opérationnelle</w:t>
            </w:r>
          </w:p>
        </w:tc>
      </w:tr>
      <w:tr w:rsidR="008639FD" w:rsidRPr="00841A5E" w:rsidTr="00570C4F">
        <w:trPr>
          <w:cnfStyle w:val="000000010000" w:firstRow="0" w:lastRow="0" w:firstColumn="0" w:lastColumn="0" w:oddVBand="0" w:evenVBand="0" w:oddHBand="0" w:evenHBand="1"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36</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41A5E">
              <w:rPr>
                <w:sz w:val="18"/>
                <w:szCs w:val="18"/>
              </w:rPr>
              <w:t>NORD KATANGA GROUP</w:t>
            </w:r>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41A5E">
              <w:rPr>
                <w:sz w:val="18"/>
                <w:szCs w:val="18"/>
              </w:rPr>
              <w:t xml:space="preserve">Titulaire et Entité </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proofErr w:type="spellStart"/>
            <w:r w:rsidRPr="00841A5E">
              <w:rPr>
                <w:color w:val="000000"/>
                <w:sz w:val="18"/>
                <w:szCs w:val="18"/>
              </w:rPr>
              <w:t>Coltan</w:t>
            </w:r>
            <w:proofErr w:type="spellEnd"/>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proofErr w:type="spellStart"/>
            <w:r w:rsidRPr="00841A5E">
              <w:rPr>
                <w:color w:val="000000"/>
                <w:sz w:val="18"/>
                <w:szCs w:val="18"/>
              </w:rPr>
              <w:t>Cassiterite</w:t>
            </w:r>
            <w:proofErr w:type="spellEnd"/>
          </w:p>
        </w:tc>
        <w:tc>
          <w:tcPr>
            <w:tcW w:w="2349" w:type="dxa"/>
            <w:tcBorders>
              <w:lef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Opérationnelle</w:t>
            </w:r>
          </w:p>
        </w:tc>
      </w:tr>
      <w:tr w:rsidR="008639FD" w:rsidRPr="00841A5E" w:rsidTr="00570C4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37</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 xml:space="preserve">OM METAL RESOURCES SPRL </w:t>
            </w:r>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Entité de traitement</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Cuivre</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2349" w:type="dxa"/>
            <w:tcBorders>
              <w:lef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Opérationnelle</w:t>
            </w:r>
          </w:p>
        </w:tc>
      </w:tr>
      <w:tr w:rsidR="008639FD" w:rsidRPr="00841A5E" w:rsidTr="00570C4F">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38</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41A5E">
              <w:rPr>
                <w:sz w:val="18"/>
                <w:szCs w:val="18"/>
              </w:rPr>
              <w:t xml:space="preserve">OPERA MINING SPRL </w:t>
            </w:r>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41A5E">
              <w:rPr>
                <w:sz w:val="18"/>
                <w:szCs w:val="18"/>
              </w:rPr>
              <w:t>Entité de traitement</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Etain</w:t>
            </w:r>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2349" w:type="dxa"/>
            <w:tcBorders>
              <w:lef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Opérationnelle</w:t>
            </w:r>
          </w:p>
        </w:tc>
      </w:tr>
      <w:tr w:rsidR="008639FD" w:rsidRPr="00841A5E" w:rsidTr="00570C4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39</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 xml:space="preserve">PANCOM CONGO SPRL </w:t>
            </w:r>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Entité de traitement</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Cuivre</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2349" w:type="dxa"/>
            <w:tcBorders>
              <w:lef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Opérationnelle</w:t>
            </w:r>
          </w:p>
        </w:tc>
      </w:tr>
      <w:tr w:rsidR="008639FD" w:rsidRPr="00841A5E" w:rsidTr="00570C4F">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40</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41A5E">
              <w:rPr>
                <w:sz w:val="18"/>
                <w:szCs w:val="18"/>
              </w:rPr>
              <w:t xml:space="preserve">RUBAMIN SPRL </w:t>
            </w:r>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41A5E">
              <w:rPr>
                <w:sz w:val="18"/>
                <w:szCs w:val="18"/>
              </w:rPr>
              <w:t>Entité de traitement</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Cuivre</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2349" w:type="dxa"/>
            <w:tcBorders>
              <w:lef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Opérationnelle</w:t>
            </w:r>
          </w:p>
        </w:tc>
      </w:tr>
      <w:tr w:rsidR="008639FD" w:rsidRPr="00841A5E" w:rsidTr="00570C4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41</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SINO KATANGA (STK)</w:t>
            </w:r>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Entité de traitement</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Etain</w:t>
            </w:r>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2349" w:type="dxa"/>
            <w:tcBorders>
              <w:lef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Opérationnelle</w:t>
            </w:r>
          </w:p>
        </w:tc>
      </w:tr>
      <w:tr w:rsidR="008639FD" w:rsidRPr="00841A5E" w:rsidTr="00570C4F">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42</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41A5E">
              <w:rPr>
                <w:sz w:val="18"/>
                <w:szCs w:val="18"/>
              </w:rPr>
              <w:t>DEVELOPPEMENT TOUS AZIMUTS</w:t>
            </w:r>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41A5E">
              <w:rPr>
                <w:sz w:val="18"/>
                <w:szCs w:val="18"/>
              </w:rPr>
              <w:t>Entité de traitement</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2349" w:type="dxa"/>
            <w:tcBorders>
              <w:lef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Non Opérationnelle</w:t>
            </w:r>
          </w:p>
        </w:tc>
      </w:tr>
      <w:tr w:rsidR="008639FD" w:rsidRPr="00841A5E" w:rsidTr="00570C4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43</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Société de traitement du terril de Lubumbashi</w:t>
            </w:r>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Entité de traitement</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2349" w:type="dxa"/>
            <w:tcBorders>
              <w:lef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Opérationnelle</w:t>
            </w:r>
          </w:p>
        </w:tc>
      </w:tr>
      <w:tr w:rsidR="008639FD" w:rsidRPr="00841A5E" w:rsidTr="00570C4F">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val="restart"/>
            <w:tcBorders>
              <w:right w:val="none" w:sz="0" w:space="0" w:color="auto"/>
            </w:tcBorders>
            <w:vAlign w:val="center"/>
            <w:hideMark/>
          </w:tcPr>
          <w:p w:rsidR="008639FD" w:rsidRPr="00841A5E" w:rsidRDefault="008639FD" w:rsidP="00570C4F">
            <w:pPr>
              <w:spacing w:after="0"/>
              <w:jc w:val="left"/>
              <w:rPr>
                <w:color w:val="000000"/>
                <w:sz w:val="18"/>
                <w:szCs w:val="18"/>
              </w:rPr>
            </w:pPr>
            <w:r w:rsidRPr="00841A5E">
              <w:rPr>
                <w:color w:val="000000"/>
                <w:sz w:val="18"/>
                <w:szCs w:val="18"/>
              </w:rPr>
              <w:t>PROVINCE DU NORD KIVU</w:t>
            </w: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1</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lang w:val="en-US"/>
              </w:rPr>
            </w:pPr>
            <w:r w:rsidRPr="00841A5E">
              <w:rPr>
                <w:color w:val="000000"/>
                <w:sz w:val="18"/>
                <w:szCs w:val="18"/>
                <w:lang w:val="en-US"/>
              </w:rPr>
              <w:t>CONGO MINERALS AND METALS SPRL</w:t>
            </w:r>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41A5E">
              <w:rPr>
                <w:sz w:val="18"/>
                <w:szCs w:val="18"/>
              </w:rPr>
              <w:t>Entité de traitement</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proofErr w:type="spellStart"/>
            <w:r w:rsidRPr="00841A5E">
              <w:rPr>
                <w:color w:val="000000"/>
                <w:sz w:val="18"/>
                <w:szCs w:val="18"/>
              </w:rPr>
              <w:t>Coltan</w:t>
            </w:r>
            <w:proofErr w:type="spellEnd"/>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proofErr w:type="spellStart"/>
            <w:r w:rsidRPr="00841A5E">
              <w:rPr>
                <w:color w:val="000000"/>
                <w:sz w:val="18"/>
                <w:szCs w:val="18"/>
              </w:rPr>
              <w:t>cassiterite</w:t>
            </w:r>
            <w:proofErr w:type="spellEnd"/>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2349" w:type="dxa"/>
            <w:tcBorders>
              <w:lef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Opérationnelle</w:t>
            </w:r>
          </w:p>
        </w:tc>
      </w:tr>
      <w:tr w:rsidR="008639FD" w:rsidRPr="00841A5E" w:rsidTr="00570C4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2</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 xml:space="preserve">AMR </w:t>
            </w:r>
            <w:proofErr w:type="spellStart"/>
            <w:r w:rsidRPr="00841A5E">
              <w:rPr>
                <w:sz w:val="18"/>
                <w:szCs w:val="18"/>
              </w:rPr>
              <w:t>Mugote</w:t>
            </w:r>
            <w:proofErr w:type="spellEnd"/>
            <w:r w:rsidRPr="00841A5E">
              <w:rPr>
                <w:sz w:val="18"/>
                <w:szCs w:val="18"/>
              </w:rPr>
              <w:t xml:space="preserve"> et frères </w:t>
            </w:r>
            <w:proofErr w:type="spellStart"/>
            <w:r w:rsidRPr="00841A5E">
              <w:rPr>
                <w:sz w:val="18"/>
                <w:szCs w:val="18"/>
              </w:rPr>
              <w:t>Sprl</w:t>
            </w:r>
            <w:proofErr w:type="spellEnd"/>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Entité de traitement</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proofErr w:type="spellStart"/>
            <w:r w:rsidRPr="00841A5E">
              <w:rPr>
                <w:color w:val="000000"/>
                <w:sz w:val="18"/>
                <w:szCs w:val="18"/>
              </w:rPr>
              <w:t>Coltan</w:t>
            </w:r>
            <w:proofErr w:type="spellEnd"/>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Cassitérite</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2349" w:type="dxa"/>
            <w:tcBorders>
              <w:lef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Opérationnelle</w:t>
            </w:r>
          </w:p>
        </w:tc>
      </w:tr>
      <w:tr w:rsidR="008639FD" w:rsidRPr="00841A5E" w:rsidTr="00570C4F">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3</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41A5E">
              <w:rPr>
                <w:sz w:val="18"/>
                <w:szCs w:val="18"/>
              </w:rPr>
              <w:t>MHI</w:t>
            </w:r>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41A5E">
              <w:rPr>
                <w:sz w:val="18"/>
                <w:szCs w:val="18"/>
              </w:rPr>
              <w:t>Entité de traitement</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proofErr w:type="spellStart"/>
            <w:r w:rsidRPr="00841A5E">
              <w:rPr>
                <w:color w:val="000000"/>
                <w:sz w:val="18"/>
                <w:szCs w:val="18"/>
              </w:rPr>
              <w:t>Coltan</w:t>
            </w:r>
            <w:proofErr w:type="spellEnd"/>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2349" w:type="dxa"/>
            <w:tcBorders>
              <w:lef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Opérationnelle</w:t>
            </w:r>
          </w:p>
        </w:tc>
      </w:tr>
      <w:tr w:rsidR="008639FD" w:rsidRPr="00841A5E" w:rsidTr="00570C4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4</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HUAYING TRADING COMPANY</w:t>
            </w:r>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Entité de traitement</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Cassitérite</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2349" w:type="dxa"/>
            <w:tcBorders>
              <w:lef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Opérationnelle</w:t>
            </w:r>
          </w:p>
        </w:tc>
      </w:tr>
      <w:tr w:rsidR="008639FD" w:rsidRPr="00841A5E" w:rsidTr="00570C4F">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tcBorders>
              <w:right w:val="none" w:sz="0" w:space="0" w:color="auto"/>
            </w:tcBorders>
            <w:vAlign w:val="center"/>
            <w:hideMark/>
          </w:tcPr>
          <w:p w:rsidR="008639FD" w:rsidRPr="00841A5E" w:rsidRDefault="008639FD" w:rsidP="00570C4F">
            <w:pPr>
              <w:spacing w:after="0"/>
              <w:jc w:val="left"/>
              <w:rPr>
                <w:color w:val="000000"/>
                <w:sz w:val="18"/>
                <w:szCs w:val="18"/>
              </w:rPr>
            </w:pPr>
            <w:r w:rsidRPr="00841A5E">
              <w:rPr>
                <w:color w:val="000000"/>
                <w:sz w:val="18"/>
                <w:szCs w:val="18"/>
              </w:rPr>
              <w:t> </w:t>
            </w: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5</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CEPRODEV</w:t>
            </w:r>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41A5E">
              <w:rPr>
                <w:sz w:val="18"/>
                <w:szCs w:val="18"/>
              </w:rPr>
              <w:t>Entité de traitement</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Cassitérite</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2349" w:type="dxa"/>
            <w:tcBorders>
              <w:lef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Opérationnelle</w:t>
            </w:r>
          </w:p>
        </w:tc>
      </w:tr>
      <w:tr w:rsidR="008639FD" w:rsidRPr="00841A5E" w:rsidTr="00570C4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val="restart"/>
            <w:tcBorders>
              <w:right w:val="none" w:sz="0" w:space="0" w:color="auto"/>
            </w:tcBorders>
            <w:noWrap/>
            <w:vAlign w:val="center"/>
            <w:hideMark/>
          </w:tcPr>
          <w:p w:rsidR="008639FD" w:rsidRPr="00841A5E" w:rsidRDefault="008639FD" w:rsidP="00570C4F">
            <w:pPr>
              <w:spacing w:after="0"/>
              <w:jc w:val="left"/>
              <w:rPr>
                <w:color w:val="000000"/>
                <w:sz w:val="18"/>
                <w:szCs w:val="18"/>
              </w:rPr>
            </w:pPr>
            <w:r w:rsidRPr="00841A5E">
              <w:rPr>
                <w:color w:val="000000"/>
                <w:sz w:val="18"/>
                <w:szCs w:val="18"/>
              </w:rPr>
              <w:t>MANIEMA</w:t>
            </w: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1</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xml:space="preserve">COMI-CONGO </w:t>
            </w:r>
            <w:proofErr w:type="spellStart"/>
            <w:r w:rsidRPr="00841A5E">
              <w:rPr>
                <w:color w:val="000000"/>
                <w:sz w:val="18"/>
                <w:szCs w:val="18"/>
              </w:rPr>
              <w:t>sprl</w:t>
            </w:r>
            <w:proofErr w:type="spellEnd"/>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Entité de traitement</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Cassitérite</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2349" w:type="dxa"/>
            <w:tcBorders>
              <w:lef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Opérationnelle</w:t>
            </w:r>
          </w:p>
        </w:tc>
      </w:tr>
      <w:tr w:rsidR="008639FD" w:rsidRPr="00841A5E" w:rsidTr="00570C4F">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2</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xml:space="preserve">METACHEM </w:t>
            </w:r>
            <w:proofErr w:type="spellStart"/>
            <w:r w:rsidRPr="00841A5E">
              <w:rPr>
                <w:color w:val="000000"/>
                <w:sz w:val="18"/>
                <w:szCs w:val="18"/>
              </w:rPr>
              <w:t>Sprl</w:t>
            </w:r>
            <w:proofErr w:type="spellEnd"/>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41A5E">
              <w:rPr>
                <w:sz w:val="18"/>
                <w:szCs w:val="18"/>
              </w:rPr>
              <w:t>Entité de traitement</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Cassitérite</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2349" w:type="dxa"/>
            <w:tcBorders>
              <w:lef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Opérationnelle</w:t>
            </w:r>
          </w:p>
        </w:tc>
      </w:tr>
      <w:tr w:rsidR="008639FD" w:rsidRPr="00841A5E" w:rsidTr="00570C4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3</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 xml:space="preserve">AMR </w:t>
            </w:r>
            <w:proofErr w:type="spellStart"/>
            <w:r w:rsidRPr="00841A5E">
              <w:rPr>
                <w:sz w:val="18"/>
                <w:szCs w:val="18"/>
              </w:rPr>
              <w:t>Mugote</w:t>
            </w:r>
            <w:proofErr w:type="spellEnd"/>
            <w:r w:rsidRPr="00841A5E">
              <w:rPr>
                <w:sz w:val="18"/>
                <w:szCs w:val="18"/>
              </w:rPr>
              <w:t xml:space="preserve"> et frères </w:t>
            </w:r>
            <w:proofErr w:type="spellStart"/>
            <w:r w:rsidRPr="00841A5E">
              <w:rPr>
                <w:sz w:val="18"/>
                <w:szCs w:val="18"/>
              </w:rPr>
              <w:t>Sprl</w:t>
            </w:r>
            <w:proofErr w:type="spellEnd"/>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Entité de traitement</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Cassitérite</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2349" w:type="dxa"/>
            <w:tcBorders>
              <w:lef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Opérationnelle</w:t>
            </w:r>
          </w:p>
        </w:tc>
      </w:tr>
      <w:tr w:rsidR="008639FD" w:rsidRPr="00841A5E" w:rsidTr="00570C4F">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4</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41A5E">
              <w:rPr>
                <w:sz w:val="18"/>
                <w:szCs w:val="18"/>
              </w:rPr>
              <w:t>HUAYING TRADING COMPANY SPRL</w:t>
            </w:r>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41A5E">
              <w:rPr>
                <w:sz w:val="18"/>
                <w:szCs w:val="18"/>
              </w:rPr>
              <w:t>Entité de traitement</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Cassitérite</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2349" w:type="dxa"/>
            <w:tcBorders>
              <w:lef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Opérationnelle</w:t>
            </w:r>
          </w:p>
        </w:tc>
      </w:tr>
      <w:tr w:rsidR="008639FD" w:rsidRPr="00841A5E" w:rsidTr="00570C4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5</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COMPAGNIE DES MINES DU CONGO SPRL</w:t>
            </w:r>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Entité de traitement</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Cassitérite</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2349" w:type="dxa"/>
            <w:tcBorders>
              <w:lef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Opérationnelle</w:t>
            </w:r>
          </w:p>
        </w:tc>
      </w:tr>
      <w:tr w:rsidR="008639FD" w:rsidRPr="00841A5E" w:rsidTr="00570C4F">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6</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xml:space="preserve">MANIEMA MINING COMPANY </w:t>
            </w:r>
            <w:proofErr w:type="spellStart"/>
            <w:r w:rsidRPr="00841A5E">
              <w:rPr>
                <w:color w:val="000000"/>
                <w:sz w:val="18"/>
                <w:szCs w:val="18"/>
              </w:rPr>
              <w:t>Sprl</w:t>
            </w:r>
            <w:proofErr w:type="spellEnd"/>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841A5E">
              <w:rPr>
                <w:sz w:val="18"/>
                <w:szCs w:val="18"/>
              </w:rPr>
              <w:t>Entité de traitement</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Cassitérite</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 </w:t>
            </w:r>
          </w:p>
        </w:tc>
        <w:tc>
          <w:tcPr>
            <w:tcW w:w="2349" w:type="dxa"/>
            <w:tcBorders>
              <w:left w:val="none" w:sz="0" w:space="0" w:color="auto"/>
            </w:tcBorders>
            <w:vAlign w:val="center"/>
            <w:hideMark/>
          </w:tcPr>
          <w:p w:rsidR="008639FD" w:rsidRPr="00841A5E"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color w:val="000000"/>
                <w:sz w:val="18"/>
                <w:szCs w:val="18"/>
              </w:rPr>
            </w:pPr>
            <w:r w:rsidRPr="00841A5E">
              <w:rPr>
                <w:color w:val="000000"/>
                <w:sz w:val="18"/>
                <w:szCs w:val="18"/>
              </w:rPr>
              <w:t>Opérationnelle</w:t>
            </w:r>
          </w:p>
        </w:tc>
      </w:tr>
      <w:tr w:rsidR="008639FD" w:rsidRPr="00841A5E" w:rsidTr="00570C4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841A5E" w:rsidRDefault="008639FD" w:rsidP="00570C4F">
            <w:pPr>
              <w:spacing w:after="0"/>
              <w:jc w:val="left"/>
              <w:rPr>
                <w:color w:val="000000"/>
                <w:sz w:val="18"/>
                <w:szCs w:val="18"/>
              </w:rPr>
            </w:pPr>
          </w:p>
        </w:tc>
        <w:tc>
          <w:tcPr>
            <w:tcW w:w="56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7</w:t>
            </w:r>
          </w:p>
        </w:tc>
        <w:tc>
          <w:tcPr>
            <w:tcW w:w="3669"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xml:space="preserve">ETOILE D'ORIENT </w:t>
            </w:r>
            <w:proofErr w:type="spellStart"/>
            <w:r w:rsidRPr="00841A5E">
              <w:rPr>
                <w:color w:val="000000"/>
                <w:sz w:val="18"/>
                <w:szCs w:val="18"/>
              </w:rPr>
              <w:t>sprl</w:t>
            </w:r>
            <w:proofErr w:type="spellEnd"/>
          </w:p>
        </w:tc>
        <w:tc>
          <w:tcPr>
            <w:tcW w:w="2268" w:type="dxa"/>
            <w:tcBorders>
              <w:left w:val="none" w:sz="0" w:space="0" w:color="auto"/>
              <w:righ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sidRPr="00841A5E">
              <w:rPr>
                <w:sz w:val="18"/>
                <w:szCs w:val="18"/>
              </w:rPr>
              <w:t>Entité de traitement</w:t>
            </w:r>
          </w:p>
        </w:tc>
        <w:tc>
          <w:tcPr>
            <w:tcW w:w="89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1069"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Cassitérite</w:t>
            </w:r>
          </w:p>
        </w:tc>
        <w:tc>
          <w:tcPr>
            <w:tcW w:w="78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1140" w:type="dxa"/>
            <w:tcBorders>
              <w:left w:val="none" w:sz="0" w:space="0" w:color="auto"/>
              <w:right w:val="none" w:sz="0" w:space="0" w:color="auto"/>
            </w:tcBorders>
            <w:noWrap/>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 </w:t>
            </w:r>
          </w:p>
        </w:tc>
        <w:tc>
          <w:tcPr>
            <w:tcW w:w="2349" w:type="dxa"/>
            <w:tcBorders>
              <w:left w:val="none" w:sz="0" w:space="0" w:color="auto"/>
            </w:tcBorders>
            <w:vAlign w:val="center"/>
            <w:hideMark/>
          </w:tcPr>
          <w:p w:rsidR="008639FD" w:rsidRPr="00841A5E"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8"/>
              </w:rPr>
            </w:pPr>
            <w:r w:rsidRPr="00841A5E">
              <w:rPr>
                <w:color w:val="000000"/>
                <w:sz w:val="18"/>
                <w:szCs w:val="18"/>
              </w:rPr>
              <w:t>Opérationnelle</w:t>
            </w:r>
          </w:p>
        </w:tc>
      </w:tr>
    </w:tbl>
    <w:p w:rsidR="00C055A1" w:rsidRDefault="00C055A1" w:rsidP="004122CF">
      <w:pPr>
        <w:rPr>
          <w:lang w:bidi="ar-TN"/>
        </w:rPr>
      </w:pPr>
    </w:p>
    <w:p w:rsidR="00B22856" w:rsidRDefault="00B22856" w:rsidP="004122CF">
      <w:pPr>
        <w:rPr>
          <w:lang w:bidi="ar-TN"/>
        </w:rPr>
      </w:pPr>
    </w:p>
    <w:p w:rsidR="00B22856" w:rsidRDefault="00B22856" w:rsidP="004122CF">
      <w:pPr>
        <w:rPr>
          <w:lang w:bidi="ar-TN"/>
        </w:rPr>
      </w:pPr>
    </w:p>
    <w:p w:rsidR="004D4FD7" w:rsidRDefault="004D4FD7">
      <w:pPr>
        <w:spacing w:after="200" w:line="276" w:lineRule="auto"/>
        <w:jc w:val="left"/>
        <w:rPr>
          <w:sz w:val="24"/>
          <w:szCs w:val="24"/>
        </w:rPr>
      </w:pPr>
    </w:p>
    <w:p w:rsidR="004D4FD7" w:rsidRDefault="004D4FD7">
      <w:pPr>
        <w:spacing w:after="200" w:line="276" w:lineRule="auto"/>
        <w:jc w:val="left"/>
        <w:rPr>
          <w:sz w:val="24"/>
          <w:szCs w:val="24"/>
        </w:rPr>
      </w:pPr>
    </w:p>
    <w:p w:rsidR="004D4FD7" w:rsidRDefault="004D4FD7">
      <w:pPr>
        <w:spacing w:after="200" w:line="276" w:lineRule="auto"/>
        <w:jc w:val="left"/>
        <w:rPr>
          <w:sz w:val="24"/>
          <w:szCs w:val="24"/>
        </w:rPr>
      </w:pPr>
    </w:p>
    <w:p w:rsidR="00570C4F" w:rsidRDefault="00570C4F">
      <w:pPr>
        <w:spacing w:after="200" w:line="276" w:lineRule="auto"/>
        <w:jc w:val="left"/>
        <w:rPr>
          <w:rFonts w:cs="Times New Roman"/>
          <w:b/>
          <w:bCs w:val="0"/>
          <w:sz w:val="24"/>
          <w:szCs w:val="24"/>
        </w:rPr>
      </w:pPr>
      <w:r>
        <w:rPr>
          <w:sz w:val="24"/>
          <w:szCs w:val="24"/>
        </w:rPr>
        <w:br w:type="page"/>
      </w:r>
    </w:p>
    <w:p w:rsidR="00B55654" w:rsidRPr="00B22856" w:rsidRDefault="00B55654" w:rsidP="00B55654">
      <w:pPr>
        <w:pStyle w:val="Heading2"/>
        <w:numPr>
          <w:ilvl w:val="0"/>
          <w:numId w:val="0"/>
        </w:numPr>
        <w:shd w:val="clear" w:color="auto" w:fill="BFBFBF"/>
        <w:spacing w:after="0"/>
        <w:rPr>
          <w:sz w:val="24"/>
          <w:szCs w:val="24"/>
        </w:rPr>
      </w:pPr>
      <w:bookmarkStart w:id="135" w:name="_Toc451431115"/>
      <w:r w:rsidRPr="00B22856">
        <w:rPr>
          <w:sz w:val="24"/>
          <w:szCs w:val="24"/>
        </w:rPr>
        <w:lastRenderedPageBreak/>
        <w:t xml:space="preserve">ANNEXE </w:t>
      </w:r>
      <w:r>
        <w:rPr>
          <w:sz w:val="24"/>
          <w:szCs w:val="24"/>
        </w:rPr>
        <w:t>3</w:t>
      </w:r>
      <w:r w:rsidRPr="00B22856">
        <w:rPr>
          <w:sz w:val="24"/>
          <w:szCs w:val="24"/>
        </w:rPr>
        <w:t xml:space="preserve"> </w:t>
      </w:r>
      <w:proofErr w:type="gramStart"/>
      <w:r w:rsidRPr="00B22856">
        <w:rPr>
          <w:sz w:val="24"/>
          <w:szCs w:val="24"/>
        </w:rPr>
        <w:t xml:space="preserve">: </w:t>
      </w:r>
      <w:r>
        <w:rPr>
          <w:sz w:val="24"/>
          <w:szCs w:val="24"/>
        </w:rPr>
        <w:t xml:space="preserve"> Blocs</w:t>
      </w:r>
      <w:proofErr w:type="gramEnd"/>
      <w:r>
        <w:rPr>
          <w:sz w:val="24"/>
          <w:szCs w:val="24"/>
        </w:rPr>
        <w:t xml:space="preserve"> pétroliers</w:t>
      </w:r>
      <w:bookmarkEnd w:id="135"/>
    </w:p>
    <w:p w:rsidR="00B55654" w:rsidRPr="00B55654" w:rsidRDefault="00B55654" w:rsidP="00D039E6">
      <w:pPr>
        <w:rPr>
          <w:b/>
          <w:sz w:val="2"/>
          <w:u w:val="single"/>
        </w:rPr>
      </w:pPr>
    </w:p>
    <w:p w:rsidR="00D039E6" w:rsidRPr="00D039E6" w:rsidRDefault="00D039E6" w:rsidP="00D039E6">
      <w:pPr>
        <w:rPr>
          <w:b/>
          <w:sz w:val="24"/>
          <w:u w:val="single"/>
        </w:rPr>
      </w:pPr>
      <w:r w:rsidRPr="00D039E6">
        <w:rPr>
          <w:b/>
          <w:sz w:val="24"/>
          <w:u w:val="single"/>
        </w:rPr>
        <w:t>Phase de exploration</w:t>
      </w:r>
    </w:p>
    <w:tbl>
      <w:tblPr>
        <w:tblStyle w:val="Tramemoyenne1-Accent12"/>
        <w:tblW w:w="14567" w:type="dxa"/>
        <w:tblBorders>
          <w:top w:val="single" w:sz="4" w:space="0" w:color="7BA0CD" w:themeColor="accent1" w:themeTint="BF"/>
          <w:left w:val="single" w:sz="4" w:space="0" w:color="7BA0CD" w:themeColor="accent1" w:themeTint="BF"/>
          <w:bottom w:val="single" w:sz="4" w:space="0" w:color="7BA0CD" w:themeColor="accent1" w:themeTint="BF"/>
          <w:right w:val="single" w:sz="4" w:space="0" w:color="7BA0CD" w:themeColor="accent1" w:themeTint="BF"/>
          <w:insideH w:val="single" w:sz="4" w:space="0" w:color="7BA0CD" w:themeColor="accent1" w:themeTint="BF"/>
          <w:insideV w:val="single" w:sz="4" w:space="0" w:color="7BA0CD" w:themeColor="accent1" w:themeTint="BF"/>
        </w:tblBorders>
        <w:tblLook w:val="04A0" w:firstRow="1" w:lastRow="0" w:firstColumn="1" w:lastColumn="0" w:noHBand="0" w:noVBand="1"/>
      </w:tblPr>
      <w:tblGrid>
        <w:gridCol w:w="441"/>
        <w:gridCol w:w="1510"/>
        <w:gridCol w:w="2773"/>
        <w:gridCol w:w="1480"/>
        <w:gridCol w:w="1559"/>
        <w:gridCol w:w="1701"/>
        <w:gridCol w:w="1457"/>
        <w:gridCol w:w="1947"/>
        <w:gridCol w:w="1699"/>
      </w:tblGrid>
      <w:tr w:rsidR="004D4FD7" w:rsidRPr="00A15ECD" w:rsidTr="00D039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 w:type="dxa"/>
            <w:tcBorders>
              <w:top w:val="none" w:sz="0" w:space="0" w:color="auto"/>
              <w:left w:val="none" w:sz="0" w:space="0" w:color="auto"/>
              <w:bottom w:val="none" w:sz="0" w:space="0" w:color="auto"/>
              <w:right w:val="none" w:sz="0" w:space="0" w:color="auto"/>
            </w:tcBorders>
            <w:vAlign w:val="center"/>
          </w:tcPr>
          <w:p w:rsidR="004D4FD7" w:rsidRPr="00A15ECD" w:rsidRDefault="004D4FD7" w:rsidP="00D039E6">
            <w:pPr>
              <w:jc w:val="left"/>
            </w:pPr>
            <w:r w:rsidRPr="00A15ECD">
              <w:t>N°</w:t>
            </w:r>
          </w:p>
        </w:tc>
        <w:tc>
          <w:tcPr>
            <w:tcW w:w="1510" w:type="dxa"/>
            <w:tcBorders>
              <w:top w:val="none" w:sz="0" w:space="0" w:color="auto"/>
              <w:left w:val="none" w:sz="0" w:space="0" w:color="auto"/>
              <w:bottom w:val="none" w:sz="0" w:space="0" w:color="auto"/>
              <w:right w:val="none" w:sz="0" w:space="0" w:color="auto"/>
            </w:tcBorders>
            <w:vAlign w:val="center"/>
          </w:tcPr>
          <w:p w:rsidR="004D4FD7" w:rsidRPr="00A15ECD" w:rsidRDefault="004D4FD7" w:rsidP="00D039E6">
            <w:pPr>
              <w:jc w:val="left"/>
              <w:cnfStyle w:val="100000000000" w:firstRow="1" w:lastRow="0" w:firstColumn="0" w:lastColumn="0" w:oddVBand="0" w:evenVBand="0" w:oddHBand="0" w:evenHBand="0" w:firstRowFirstColumn="0" w:firstRowLastColumn="0" w:lastRowFirstColumn="0" w:lastRowLastColumn="0"/>
            </w:pPr>
            <w:r w:rsidRPr="00A15ECD">
              <w:t>Bloc</w:t>
            </w:r>
          </w:p>
        </w:tc>
        <w:tc>
          <w:tcPr>
            <w:tcW w:w="2773" w:type="dxa"/>
            <w:tcBorders>
              <w:top w:val="none" w:sz="0" w:space="0" w:color="auto"/>
              <w:left w:val="none" w:sz="0" w:space="0" w:color="auto"/>
              <w:bottom w:val="none" w:sz="0" w:space="0" w:color="auto"/>
              <w:right w:val="none" w:sz="0" w:space="0" w:color="auto"/>
            </w:tcBorders>
            <w:vAlign w:val="center"/>
          </w:tcPr>
          <w:p w:rsidR="004D4FD7" w:rsidRPr="00A15ECD" w:rsidRDefault="004D4FD7" w:rsidP="00D039E6">
            <w:pPr>
              <w:jc w:val="left"/>
              <w:cnfStyle w:val="100000000000" w:firstRow="1" w:lastRow="0" w:firstColumn="0" w:lastColumn="0" w:oddVBand="0" w:evenVBand="0" w:oddHBand="0" w:evenHBand="0" w:firstRowFirstColumn="0" w:firstRowLastColumn="0" w:lastRowFirstColumn="0" w:lastRowLastColumn="0"/>
            </w:pPr>
            <w:r w:rsidRPr="00A15ECD">
              <w:t>Association</w:t>
            </w:r>
          </w:p>
        </w:tc>
        <w:tc>
          <w:tcPr>
            <w:tcW w:w="1480" w:type="dxa"/>
            <w:tcBorders>
              <w:top w:val="none" w:sz="0" w:space="0" w:color="auto"/>
              <w:left w:val="none" w:sz="0" w:space="0" w:color="auto"/>
              <w:bottom w:val="none" w:sz="0" w:space="0" w:color="auto"/>
              <w:right w:val="none" w:sz="0" w:space="0" w:color="auto"/>
            </w:tcBorders>
            <w:vAlign w:val="center"/>
          </w:tcPr>
          <w:p w:rsidR="004D4FD7" w:rsidRPr="00A15ECD" w:rsidRDefault="004D4FD7" w:rsidP="00D039E6">
            <w:pPr>
              <w:jc w:val="center"/>
              <w:cnfStyle w:val="100000000000" w:firstRow="1" w:lastRow="0" w:firstColumn="0" w:lastColumn="0" w:oddVBand="0" w:evenVBand="0" w:oddHBand="0" w:evenHBand="0" w:firstRowFirstColumn="0" w:firstRowLastColumn="0" w:lastRowFirstColumn="0" w:lastRowLastColumn="0"/>
            </w:pPr>
            <w:r w:rsidRPr="00A15ECD">
              <w:t>Parts%</w:t>
            </w:r>
          </w:p>
        </w:tc>
        <w:tc>
          <w:tcPr>
            <w:tcW w:w="1559" w:type="dxa"/>
            <w:tcBorders>
              <w:top w:val="none" w:sz="0" w:space="0" w:color="auto"/>
              <w:left w:val="none" w:sz="0" w:space="0" w:color="auto"/>
              <w:bottom w:val="none" w:sz="0" w:space="0" w:color="auto"/>
              <w:right w:val="none" w:sz="0" w:space="0" w:color="auto"/>
            </w:tcBorders>
            <w:vAlign w:val="center"/>
          </w:tcPr>
          <w:p w:rsidR="004D4FD7" w:rsidRPr="00A15ECD" w:rsidRDefault="004D4FD7" w:rsidP="00D039E6">
            <w:pPr>
              <w:jc w:val="left"/>
              <w:cnfStyle w:val="100000000000" w:firstRow="1" w:lastRow="0" w:firstColumn="0" w:lastColumn="0" w:oddVBand="0" w:evenVBand="0" w:oddHBand="0" w:evenHBand="0" w:firstRowFirstColumn="0" w:firstRowLastColumn="0" w:lastRowFirstColumn="0" w:lastRowLastColumn="0"/>
            </w:pPr>
            <w:r w:rsidRPr="00A15ECD">
              <w:t>Opérateur</w:t>
            </w:r>
          </w:p>
        </w:tc>
        <w:tc>
          <w:tcPr>
            <w:tcW w:w="1701" w:type="dxa"/>
            <w:tcBorders>
              <w:top w:val="none" w:sz="0" w:space="0" w:color="auto"/>
              <w:left w:val="none" w:sz="0" w:space="0" w:color="auto"/>
              <w:bottom w:val="none" w:sz="0" w:space="0" w:color="auto"/>
              <w:right w:val="none" w:sz="0" w:space="0" w:color="auto"/>
            </w:tcBorders>
            <w:vAlign w:val="center"/>
          </w:tcPr>
          <w:p w:rsidR="004D4FD7" w:rsidRPr="00A15ECD" w:rsidRDefault="004D4FD7" w:rsidP="000B24AA">
            <w:pPr>
              <w:jc w:val="center"/>
              <w:cnfStyle w:val="100000000000" w:firstRow="1" w:lastRow="0" w:firstColumn="0" w:lastColumn="0" w:oddVBand="0" w:evenVBand="0" w:oddHBand="0" w:evenHBand="0" w:firstRowFirstColumn="0" w:firstRowLastColumn="0" w:lastRowFirstColumn="0" w:lastRowLastColumn="0"/>
            </w:pPr>
            <w:r w:rsidRPr="00A15ECD">
              <w:t>Type d'activité</w:t>
            </w:r>
          </w:p>
        </w:tc>
        <w:tc>
          <w:tcPr>
            <w:tcW w:w="1457" w:type="dxa"/>
            <w:tcBorders>
              <w:top w:val="none" w:sz="0" w:space="0" w:color="auto"/>
              <w:left w:val="none" w:sz="0" w:space="0" w:color="auto"/>
              <w:bottom w:val="none" w:sz="0" w:space="0" w:color="auto"/>
              <w:right w:val="none" w:sz="0" w:space="0" w:color="auto"/>
            </w:tcBorders>
            <w:vAlign w:val="center"/>
          </w:tcPr>
          <w:p w:rsidR="004D4FD7" w:rsidRPr="00A15ECD" w:rsidRDefault="004D4FD7" w:rsidP="00E340CE">
            <w:pPr>
              <w:jc w:val="center"/>
              <w:cnfStyle w:val="100000000000" w:firstRow="1" w:lastRow="0" w:firstColumn="0" w:lastColumn="0" w:oddVBand="0" w:evenVBand="0" w:oddHBand="0" w:evenHBand="0" w:firstRowFirstColumn="0" w:firstRowLastColumn="0" w:lastRowFirstColumn="0" w:lastRowLastColumn="0"/>
            </w:pPr>
            <w:r w:rsidRPr="00A15ECD">
              <w:t>Nature du Contrat</w:t>
            </w:r>
          </w:p>
        </w:tc>
        <w:tc>
          <w:tcPr>
            <w:tcW w:w="1947" w:type="dxa"/>
            <w:tcBorders>
              <w:top w:val="none" w:sz="0" w:space="0" w:color="auto"/>
              <w:left w:val="none" w:sz="0" w:space="0" w:color="auto"/>
              <w:bottom w:val="none" w:sz="0" w:space="0" w:color="auto"/>
              <w:right w:val="none" w:sz="0" w:space="0" w:color="auto"/>
            </w:tcBorders>
            <w:vAlign w:val="center"/>
          </w:tcPr>
          <w:p w:rsidR="004D4FD7" w:rsidRPr="00A15ECD" w:rsidRDefault="004D4FD7" w:rsidP="00D039E6">
            <w:pPr>
              <w:jc w:val="center"/>
              <w:cnfStyle w:val="100000000000" w:firstRow="1" w:lastRow="0" w:firstColumn="0" w:lastColumn="0" w:oddVBand="0" w:evenVBand="0" w:oddHBand="0" w:evenHBand="0" w:firstRowFirstColumn="0" w:firstRowLastColumn="0" w:lastRowFirstColumn="0" w:lastRowLastColumn="0"/>
            </w:pPr>
            <w:r w:rsidRPr="00A15ECD">
              <w:t>Date de signature</w:t>
            </w:r>
          </w:p>
        </w:tc>
        <w:tc>
          <w:tcPr>
            <w:tcW w:w="1699" w:type="dxa"/>
            <w:tcBorders>
              <w:top w:val="none" w:sz="0" w:space="0" w:color="auto"/>
              <w:left w:val="none" w:sz="0" w:space="0" w:color="auto"/>
              <w:bottom w:val="none" w:sz="0" w:space="0" w:color="auto"/>
              <w:right w:val="none" w:sz="0" w:space="0" w:color="auto"/>
            </w:tcBorders>
            <w:vAlign w:val="center"/>
          </w:tcPr>
          <w:p w:rsidR="004D4FD7" w:rsidRPr="00A15ECD" w:rsidRDefault="004D4FD7" w:rsidP="00D039E6">
            <w:pPr>
              <w:jc w:val="left"/>
              <w:cnfStyle w:val="100000000000" w:firstRow="1" w:lastRow="0" w:firstColumn="0" w:lastColumn="0" w:oddVBand="0" w:evenVBand="0" w:oddHBand="0" w:evenHBand="0" w:firstRowFirstColumn="0" w:firstRowLastColumn="0" w:lastRowFirstColumn="0" w:lastRowLastColumn="0"/>
            </w:pPr>
            <w:r w:rsidRPr="00A15ECD">
              <w:t>Bassin sédimentaire</w:t>
            </w:r>
          </w:p>
        </w:tc>
      </w:tr>
      <w:tr w:rsidR="004D4FD7" w:rsidRPr="00A15ECD" w:rsidTr="00D039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 w:type="dxa"/>
            <w:tcBorders>
              <w:right w:val="none" w:sz="0" w:space="0" w:color="auto"/>
            </w:tcBorders>
            <w:vAlign w:val="center"/>
          </w:tcPr>
          <w:p w:rsidR="004D4FD7" w:rsidRPr="00A15ECD" w:rsidRDefault="004D4FD7" w:rsidP="00C623F9">
            <w:pPr>
              <w:spacing w:after="0"/>
              <w:jc w:val="left"/>
            </w:pPr>
            <w:r w:rsidRPr="00A15ECD">
              <w:t>1</w:t>
            </w:r>
          </w:p>
        </w:tc>
        <w:tc>
          <w:tcPr>
            <w:tcW w:w="1510" w:type="dxa"/>
            <w:tcBorders>
              <w:left w:val="none" w:sz="0" w:space="0" w:color="auto"/>
              <w:right w:val="none" w:sz="0" w:space="0" w:color="auto"/>
            </w:tcBorders>
            <w:vAlign w:val="center"/>
          </w:tcPr>
          <w:p w:rsidR="004D4FD7" w:rsidRPr="00A15ECD" w:rsidRDefault="004D4FD7" w:rsidP="00C623F9">
            <w:pPr>
              <w:spacing w:after="0"/>
              <w:jc w:val="left"/>
              <w:cnfStyle w:val="000000100000" w:firstRow="0" w:lastRow="0" w:firstColumn="0" w:lastColumn="0" w:oddVBand="0" w:evenVBand="0" w:oddHBand="1" w:evenHBand="0" w:firstRowFirstColumn="0" w:firstRowLastColumn="0" w:lastRowFirstColumn="0" w:lastRowLastColumn="0"/>
            </w:pPr>
            <w:proofErr w:type="spellStart"/>
            <w:r w:rsidRPr="00A15ECD">
              <w:t>Yema-Matamba</w:t>
            </w:r>
            <w:proofErr w:type="spellEnd"/>
            <w:r w:rsidRPr="00A15ECD">
              <w:t xml:space="preserve"> </w:t>
            </w:r>
            <w:proofErr w:type="spellStart"/>
            <w:r w:rsidRPr="00A15ECD">
              <w:t>Makanzi</w:t>
            </w:r>
            <w:proofErr w:type="spellEnd"/>
          </w:p>
        </w:tc>
        <w:tc>
          <w:tcPr>
            <w:tcW w:w="2773" w:type="dxa"/>
            <w:tcBorders>
              <w:left w:val="none" w:sz="0" w:space="0" w:color="auto"/>
              <w:right w:val="none" w:sz="0" w:space="0" w:color="auto"/>
            </w:tcBorders>
            <w:vAlign w:val="center"/>
          </w:tcPr>
          <w:p w:rsidR="004D4FD7" w:rsidRPr="00A15ECD" w:rsidRDefault="004D4FD7" w:rsidP="00C623F9">
            <w:pPr>
              <w:spacing w:after="0"/>
              <w:jc w:val="left"/>
              <w:cnfStyle w:val="000000100000" w:firstRow="0" w:lastRow="0" w:firstColumn="0" w:lastColumn="0" w:oddVBand="0" w:evenVBand="0" w:oddHBand="1" w:evenHBand="0" w:firstRowFirstColumn="0" w:firstRowLastColumn="0" w:lastRowFirstColumn="0" w:lastRowLastColumn="0"/>
            </w:pPr>
            <w:proofErr w:type="spellStart"/>
            <w:r w:rsidRPr="00A15ECD">
              <w:t>Surestream</w:t>
            </w:r>
            <w:proofErr w:type="spellEnd"/>
          </w:p>
          <w:p w:rsidR="004D4FD7" w:rsidRPr="00A15ECD" w:rsidRDefault="004D4FD7" w:rsidP="00C623F9">
            <w:pPr>
              <w:spacing w:after="0"/>
              <w:jc w:val="left"/>
              <w:cnfStyle w:val="000000100000" w:firstRow="0" w:lastRow="0" w:firstColumn="0" w:lastColumn="0" w:oddVBand="0" w:evenVBand="0" w:oddHBand="1" w:evenHBand="0" w:firstRowFirstColumn="0" w:firstRowLastColumn="0" w:lastRowFirstColumn="0" w:lastRowLastColumn="0"/>
            </w:pPr>
            <w:proofErr w:type="spellStart"/>
            <w:r w:rsidRPr="00A15ECD">
              <w:t>Sogemip</w:t>
            </w:r>
            <w:proofErr w:type="spellEnd"/>
          </w:p>
          <w:p w:rsidR="004D4FD7" w:rsidRPr="00A15ECD" w:rsidRDefault="004D4FD7" w:rsidP="00C623F9">
            <w:pPr>
              <w:spacing w:after="0"/>
              <w:jc w:val="left"/>
              <w:cnfStyle w:val="000000100000" w:firstRow="0" w:lastRow="0" w:firstColumn="0" w:lastColumn="0" w:oddVBand="0" w:evenVBand="0" w:oddHBand="1" w:evenHBand="0" w:firstRowFirstColumn="0" w:firstRowLastColumn="0" w:lastRowFirstColumn="0" w:lastRowLastColumn="0"/>
            </w:pPr>
            <w:proofErr w:type="spellStart"/>
            <w:r w:rsidRPr="00A15ECD">
              <w:t>Cohydro</w:t>
            </w:r>
            <w:proofErr w:type="spellEnd"/>
          </w:p>
        </w:tc>
        <w:tc>
          <w:tcPr>
            <w:tcW w:w="1480" w:type="dxa"/>
            <w:tcBorders>
              <w:left w:val="none" w:sz="0" w:space="0" w:color="auto"/>
              <w:right w:val="none" w:sz="0" w:space="0" w:color="auto"/>
            </w:tcBorders>
            <w:vAlign w:val="center"/>
          </w:tcPr>
          <w:p w:rsidR="004D4FD7" w:rsidRPr="00A15ECD" w:rsidRDefault="004D4FD7" w:rsidP="00C623F9">
            <w:pPr>
              <w:spacing w:after="0"/>
              <w:jc w:val="center"/>
              <w:cnfStyle w:val="000000100000" w:firstRow="0" w:lastRow="0" w:firstColumn="0" w:lastColumn="0" w:oddVBand="0" w:evenVBand="0" w:oddHBand="1" w:evenHBand="0" w:firstRowFirstColumn="0" w:firstRowLastColumn="0" w:lastRowFirstColumn="0" w:lastRowLastColumn="0"/>
            </w:pPr>
            <w:r w:rsidRPr="00A15ECD">
              <w:t>85</w:t>
            </w:r>
          </w:p>
          <w:p w:rsidR="004D4FD7" w:rsidRPr="00A15ECD" w:rsidRDefault="004D4FD7" w:rsidP="00C623F9">
            <w:pPr>
              <w:spacing w:after="0"/>
              <w:jc w:val="center"/>
              <w:cnfStyle w:val="000000100000" w:firstRow="0" w:lastRow="0" w:firstColumn="0" w:lastColumn="0" w:oddVBand="0" w:evenVBand="0" w:oddHBand="1" w:evenHBand="0" w:firstRowFirstColumn="0" w:firstRowLastColumn="0" w:lastRowFirstColumn="0" w:lastRowLastColumn="0"/>
            </w:pPr>
            <w:r w:rsidRPr="00A15ECD">
              <w:t>7</w:t>
            </w:r>
          </w:p>
          <w:p w:rsidR="004D4FD7" w:rsidRPr="00A15ECD" w:rsidRDefault="004D4FD7" w:rsidP="00C623F9">
            <w:pPr>
              <w:spacing w:after="0"/>
              <w:jc w:val="center"/>
              <w:cnfStyle w:val="000000100000" w:firstRow="0" w:lastRow="0" w:firstColumn="0" w:lastColumn="0" w:oddVBand="0" w:evenVBand="0" w:oddHBand="1" w:evenHBand="0" w:firstRowFirstColumn="0" w:firstRowLastColumn="0" w:lastRowFirstColumn="0" w:lastRowLastColumn="0"/>
            </w:pPr>
            <w:r w:rsidRPr="00A15ECD">
              <w:t>8</w:t>
            </w:r>
          </w:p>
        </w:tc>
        <w:tc>
          <w:tcPr>
            <w:tcW w:w="1559" w:type="dxa"/>
            <w:tcBorders>
              <w:left w:val="none" w:sz="0" w:space="0" w:color="auto"/>
              <w:right w:val="none" w:sz="0" w:space="0" w:color="auto"/>
            </w:tcBorders>
            <w:vAlign w:val="center"/>
          </w:tcPr>
          <w:p w:rsidR="004D4FD7" w:rsidRPr="00A15ECD" w:rsidRDefault="004D4FD7" w:rsidP="00C623F9">
            <w:pPr>
              <w:spacing w:after="0"/>
              <w:jc w:val="left"/>
              <w:cnfStyle w:val="000000100000" w:firstRow="0" w:lastRow="0" w:firstColumn="0" w:lastColumn="0" w:oddVBand="0" w:evenVBand="0" w:oddHBand="1" w:evenHBand="0" w:firstRowFirstColumn="0" w:firstRowLastColumn="0" w:lastRowFirstColumn="0" w:lastRowLastColumn="0"/>
            </w:pPr>
            <w:proofErr w:type="spellStart"/>
            <w:r w:rsidRPr="00A15ECD">
              <w:t>Surestream</w:t>
            </w:r>
            <w:proofErr w:type="spellEnd"/>
          </w:p>
        </w:tc>
        <w:tc>
          <w:tcPr>
            <w:tcW w:w="1701" w:type="dxa"/>
            <w:tcBorders>
              <w:left w:val="none" w:sz="0" w:space="0" w:color="auto"/>
              <w:right w:val="none" w:sz="0" w:space="0" w:color="auto"/>
            </w:tcBorders>
            <w:vAlign w:val="center"/>
          </w:tcPr>
          <w:p w:rsidR="004D4FD7" w:rsidRPr="00A15ECD" w:rsidRDefault="004D4FD7" w:rsidP="000B24AA">
            <w:pPr>
              <w:spacing w:after="0"/>
              <w:jc w:val="center"/>
              <w:cnfStyle w:val="000000100000" w:firstRow="0" w:lastRow="0" w:firstColumn="0" w:lastColumn="0" w:oddVBand="0" w:evenVBand="0" w:oddHBand="1" w:evenHBand="0" w:firstRowFirstColumn="0" w:firstRowLastColumn="0" w:lastRowFirstColumn="0" w:lastRowLastColumn="0"/>
            </w:pPr>
            <w:r w:rsidRPr="00A15ECD">
              <w:t>One shore</w:t>
            </w:r>
          </w:p>
        </w:tc>
        <w:tc>
          <w:tcPr>
            <w:tcW w:w="1457" w:type="dxa"/>
            <w:tcBorders>
              <w:left w:val="none" w:sz="0" w:space="0" w:color="auto"/>
              <w:right w:val="none" w:sz="0" w:space="0" w:color="auto"/>
            </w:tcBorders>
            <w:vAlign w:val="center"/>
          </w:tcPr>
          <w:p w:rsidR="004D4FD7" w:rsidRPr="00A15ECD" w:rsidRDefault="004D4FD7" w:rsidP="00E340CE">
            <w:pPr>
              <w:spacing w:after="0"/>
              <w:jc w:val="center"/>
              <w:cnfStyle w:val="000000100000" w:firstRow="0" w:lastRow="0" w:firstColumn="0" w:lastColumn="0" w:oddVBand="0" w:evenVBand="0" w:oddHBand="1" w:evenHBand="0" w:firstRowFirstColumn="0" w:firstRowLastColumn="0" w:lastRowFirstColumn="0" w:lastRowLastColumn="0"/>
            </w:pPr>
            <w:r w:rsidRPr="00A15ECD">
              <w:t>CPP</w:t>
            </w:r>
          </w:p>
        </w:tc>
        <w:tc>
          <w:tcPr>
            <w:tcW w:w="1947" w:type="dxa"/>
            <w:tcBorders>
              <w:left w:val="none" w:sz="0" w:space="0" w:color="auto"/>
              <w:right w:val="none" w:sz="0" w:space="0" w:color="auto"/>
            </w:tcBorders>
            <w:vAlign w:val="center"/>
          </w:tcPr>
          <w:p w:rsidR="004D4FD7" w:rsidRPr="00A15ECD" w:rsidRDefault="004D4FD7" w:rsidP="00C623F9">
            <w:pPr>
              <w:spacing w:after="0"/>
              <w:jc w:val="center"/>
              <w:cnfStyle w:val="000000100000" w:firstRow="0" w:lastRow="0" w:firstColumn="0" w:lastColumn="0" w:oddVBand="0" w:evenVBand="0" w:oddHBand="1" w:evenHBand="0" w:firstRowFirstColumn="0" w:firstRowLastColumn="0" w:lastRowFirstColumn="0" w:lastRowLastColumn="0"/>
            </w:pPr>
            <w:r w:rsidRPr="00A15ECD">
              <w:t>16/11/2005</w:t>
            </w:r>
          </w:p>
        </w:tc>
        <w:tc>
          <w:tcPr>
            <w:tcW w:w="1699" w:type="dxa"/>
            <w:tcBorders>
              <w:left w:val="none" w:sz="0" w:space="0" w:color="auto"/>
            </w:tcBorders>
            <w:vAlign w:val="center"/>
          </w:tcPr>
          <w:p w:rsidR="004D4FD7" w:rsidRPr="00A15ECD" w:rsidRDefault="004D4FD7" w:rsidP="00C623F9">
            <w:pPr>
              <w:spacing w:after="0"/>
              <w:jc w:val="left"/>
              <w:cnfStyle w:val="000000100000" w:firstRow="0" w:lastRow="0" w:firstColumn="0" w:lastColumn="0" w:oddVBand="0" w:evenVBand="0" w:oddHBand="1" w:evenHBand="0" w:firstRowFirstColumn="0" w:firstRowLastColumn="0" w:lastRowFirstColumn="0" w:lastRowLastColumn="0"/>
            </w:pPr>
            <w:r w:rsidRPr="00A15ECD">
              <w:t xml:space="preserve">Bassin côtier </w:t>
            </w:r>
          </w:p>
        </w:tc>
      </w:tr>
      <w:tr w:rsidR="004D4FD7" w:rsidRPr="00A15ECD" w:rsidTr="00D039E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 w:type="dxa"/>
            <w:tcBorders>
              <w:right w:val="none" w:sz="0" w:space="0" w:color="auto"/>
            </w:tcBorders>
            <w:vAlign w:val="center"/>
          </w:tcPr>
          <w:p w:rsidR="004D4FD7" w:rsidRPr="00A15ECD" w:rsidRDefault="004D4FD7" w:rsidP="00C623F9">
            <w:pPr>
              <w:spacing w:after="0"/>
              <w:jc w:val="left"/>
            </w:pPr>
            <w:r w:rsidRPr="00A15ECD">
              <w:t>2</w:t>
            </w:r>
          </w:p>
        </w:tc>
        <w:tc>
          <w:tcPr>
            <w:tcW w:w="1510" w:type="dxa"/>
            <w:tcBorders>
              <w:left w:val="none" w:sz="0" w:space="0" w:color="auto"/>
              <w:right w:val="none" w:sz="0" w:space="0" w:color="auto"/>
            </w:tcBorders>
            <w:vAlign w:val="center"/>
          </w:tcPr>
          <w:p w:rsidR="004D4FD7" w:rsidRPr="00A15ECD" w:rsidRDefault="004D4FD7" w:rsidP="00C623F9">
            <w:pPr>
              <w:spacing w:after="0"/>
              <w:jc w:val="left"/>
              <w:cnfStyle w:val="000000010000" w:firstRow="0" w:lastRow="0" w:firstColumn="0" w:lastColumn="0" w:oddVBand="0" w:evenVBand="0" w:oddHBand="0" w:evenHBand="1" w:firstRowFirstColumn="0" w:firstRowLastColumn="0" w:lastRowFirstColumn="0" w:lastRowLastColumn="0"/>
            </w:pPr>
            <w:proofErr w:type="spellStart"/>
            <w:r w:rsidRPr="00A15ECD">
              <w:t>Ndunda</w:t>
            </w:r>
            <w:proofErr w:type="spellEnd"/>
          </w:p>
        </w:tc>
        <w:tc>
          <w:tcPr>
            <w:tcW w:w="2773" w:type="dxa"/>
            <w:tcBorders>
              <w:left w:val="none" w:sz="0" w:space="0" w:color="auto"/>
              <w:right w:val="none" w:sz="0" w:space="0" w:color="auto"/>
            </w:tcBorders>
            <w:vAlign w:val="center"/>
          </w:tcPr>
          <w:p w:rsidR="004D4FD7" w:rsidRPr="00A15ECD" w:rsidRDefault="004D4FD7" w:rsidP="00C623F9">
            <w:pPr>
              <w:spacing w:after="0"/>
              <w:jc w:val="left"/>
              <w:cnfStyle w:val="000000010000" w:firstRow="0" w:lastRow="0" w:firstColumn="0" w:lastColumn="0" w:oddVBand="0" w:evenVBand="0" w:oddHBand="0" w:evenHBand="1" w:firstRowFirstColumn="0" w:firstRowLastColumn="0" w:lastRowFirstColumn="0" w:lastRowLastColumn="0"/>
            </w:pPr>
            <w:proofErr w:type="spellStart"/>
            <w:r w:rsidRPr="00A15ECD">
              <w:t>Eni</w:t>
            </w:r>
            <w:proofErr w:type="spellEnd"/>
            <w:r w:rsidRPr="00A15ECD">
              <w:t xml:space="preserve"> </w:t>
            </w:r>
          </w:p>
          <w:p w:rsidR="004D4FD7" w:rsidRPr="00A15ECD" w:rsidRDefault="004D4FD7" w:rsidP="00C623F9">
            <w:pPr>
              <w:spacing w:after="0"/>
              <w:jc w:val="left"/>
              <w:cnfStyle w:val="000000010000" w:firstRow="0" w:lastRow="0" w:firstColumn="0" w:lastColumn="0" w:oddVBand="0" w:evenVBand="0" w:oddHBand="0" w:evenHBand="1" w:firstRowFirstColumn="0" w:firstRowLastColumn="0" w:lastRowFirstColumn="0" w:lastRowLastColumn="0"/>
            </w:pPr>
            <w:proofErr w:type="spellStart"/>
            <w:r w:rsidRPr="00A15ECD">
              <w:t>Suretream</w:t>
            </w:r>
            <w:proofErr w:type="spellEnd"/>
          </w:p>
          <w:p w:rsidR="004D4FD7" w:rsidRPr="00A15ECD" w:rsidRDefault="004D4FD7" w:rsidP="00C623F9">
            <w:pPr>
              <w:spacing w:after="0"/>
              <w:jc w:val="left"/>
              <w:cnfStyle w:val="000000010000" w:firstRow="0" w:lastRow="0" w:firstColumn="0" w:lastColumn="0" w:oddVBand="0" w:evenVBand="0" w:oddHBand="0" w:evenHBand="1" w:firstRowFirstColumn="0" w:firstRowLastColumn="0" w:lastRowFirstColumn="0" w:lastRowLastColumn="0"/>
            </w:pPr>
            <w:proofErr w:type="spellStart"/>
            <w:r w:rsidRPr="00A15ECD">
              <w:t>Cohydro</w:t>
            </w:r>
            <w:proofErr w:type="spellEnd"/>
          </w:p>
        </w:tc>
        <w:tc>
          <w:tcPr>
            <w:tcW w:w="1480" w:type="dxa"/>
            <w:tcBorders>
              <w:left w:val="none" w:sz="0" w:space="0" w:color="auto"/>
              <w:right w:val="none" w:sz="0" w:space="0" w:color="auto"/>
            </w:tcBorders>
            <w:vAlign w:val="center"/>
          </w:tcPr>
          <w:p w:rsidR="004D4FD7" w:rsidRPr="00A15ECD" w:rsidRDefault="004D4FD7" w:rsidP="00C623F9">
            <w:pPr>
              <w:spacing w:after="0"/>
              <w:jc w:val="center"/>
              <w:cnfStyle w:val="000000010000" w:firstRow="0" w:lastRow="0" w:firstColumn="0" w:lastColumn="0" w:oddVBand="0" w:evenVBand="0" w:oddHBand="0" w:evenHBand="1" w:firstRowFirstColumn="0" w:firstRowLastColumn="0" w:lastRowFirstColumn="0" w:lastRowLastColumn="0"/>
            </w:pPr>
            <w:proofErr w:type="spellStart"/>
            <w:r w:rsidRPr="00A15ECD">
              <w:t>nc</w:t>
            </w:r>
            <w:proofErr w:type="spellEnd"/>
          </w:p>
          <w:p w:rsidR="004D4FD7" w:rsidRPr="00A15ECD" w:rsidRDefault="004D4FD7" w:rsidP="00C623F9">
            <w:pPr>
              <w:spacing w:after="0"/>
              <w:jc w:val="center"/>
              <w:cnfStyle w:val="000000010000" w:firstRow="0" w:lastRow="0" w:firstColumn="0" w:lastColumn="0" w:oddVBand="0" w:evenVBand="0" w:oddHBand="0" w:evenHBand="1" w:firstRowFirstColumn="0" w:firstRowLastColumn="0" w:lastRowFirstColumn="0" w:lastRowLastColumn="0"/>
            </w:pPr>
            <w:proofErr w:type="spellStart"/>
            <w:r w:rsidRPr="00A15ECD">
              <w:t>nc</w:t>
            </w:r>
            <w:proofErr w:type="spellEnd"/>
          </w:p>
          <w:p w:rsidR="004D4FD7" w:rsidRPr="00A15ECD" w:rsidRDefault="004D4FD7" w:rsidP="00C623F9">
            <w:pPr>
              <w:spacing w:after="0"/>
              <w:jc w:val="center"/>
              <w:cnfStyle w:val="000000010000" w:firstRow="0" w:lastRow="0" w:firstColumn="0" w:lastColumn="0" w:oddVBand="0" w:evenVBand="0" w:oddHBand="0" w:evenHBand="1" w:firstRowFirstColumn="0" w:firstRowLastColumn="0" w:lastRowFirstColumn="0" w:lastRowLastColumn="0"/>
            </w:pPr>
            <w:r w:rsidRPr="00A15ECD">
              <w:t>8</w:t>
            </w:r>
          </w:p>
        </w:tc>
        <w:tc>
          <w:tcPr>
            <w:tcW w:w="1559" w:type="dxa"/>
            <w:tcBorders>
              <w:left w:val="none" w:sz="0" w:space="0" w:color="auto"/>
              <w:right w:val="none" w:sz="0" w:space="0" w:color="auto"/>
            </w:tcBorders>
            <w:vAlign w:val="center"/>
          </w:tcPr>
          <w:p w:rsidR="004D4FD7" w:rsidRPr="00A15ECD" w:rsidRDefault="004D4FD7" w:rsidP="00C623F9">
            <w:pPr>
              <w:spacing w:after="0"/>
              <w:jc w:val="left"/>
              <w:cnfStyle w:val="000000010000" w:firstRow="0" w:lastRow="0" w:firstColumn="0" w:lastColumn="0" w:oddVBand="0" w:evenVBand="0" w:oddHBand="0" w:evenHBand="1" w:firstRowFirstColumn="0" w:firstRowLastColumn="0" w:lastRowFirstColumn="0" w:lastRowLastColumn="0"/>
            </w:pPr>
            <w:proofErr w:type="spellStart"/>
            <w:r w:rsidRPr="00A15ECD">
              <w:t>Eni</w:t>
            </w:r>
            <w:proofErr w:type="spellEnd"/>
          </w:p>
        </w:tc>
        <w:tc>
          <w:tcPr>
            <w:tcW w:w="1701" w:type="dxa"/>
            <w:tcBorders>
              <w:left w:val="none" w:sz="0" w:space="0" w:color="auto"/>
              <w:right w:val="none" w:sz="0" w:space="0" w:color="auto"/>
            </w:tcBorders>
            <w:vAlign w:val="center"/>
          </w:tcPr>
          <w:p w:rsidR="004D4FD7" w:rsidRPr="00A15ECD" w:rsidRDefault="004D4FD7" w:rsidP="000B24AA">
            <w:pPr>
              <w:spacing w:after="0"/>
              <w:jc w:val="center"/>
              <w:cnfStyle w:val="000000010000" w:firstRow="0" w:lastRow="0" w:firstColumn="0" w:lastColumn="0" w:oddVBand="0" w:evenVBand="0" w:oddHBand="0" w:evenHBand="1" w:firstRowFirstColumn="0" w:firstRowLastColumn="0" w:lastRowFirstColumn="0" w:lastRowLastColumn="0"/>
            </w:pPr>
            <w:r w:rsidRPr="00A15ECD">
              <w:t>One shore</w:t>
            </w:r>
          </w:p>
        </w:tc>
        <w:tc>
          <w:tcPr>
            <w:tcW w:w="1457" w:type="dxa"/>
            <w:tcBorders>
              <w:left w:val="none" w:sz="0" w:space="0" w:color="auto"/>
              <w:right w:val="none" w:sz="0" w:space="0" w:color="auto"/>
            </w:tcBorders>
            <w:vAlign w:val="center"/>
          </w:tcPr>
          <w:p w:rsidR="004D4FD7" w:rsidRPr="00A15ECD" w:rsidRDefault="004D4FD7" w:rsidP="00E340CE">
            <w:pPr>
              <w:spacing w:after="0"/>
              <w:jc w:val="center"/>
              <w:cnfStyle w:val="000000010000" w:firstRow="0" w:lastRow="0" w:firstColumn="0" w:lastColumn="0" w:oddVBand="0" w:evenVBand="0" w:oddHBand="0" w:evenHBand="1" w:firstRowFirstColumn="0" w:firstRowLastColumn="0" w:lastRowFirstColumn="0" w:lastRowLastColumn="0"/>
            </w:pPr>
            <w:r w:rsidRPr="00A15ECD">
              <w:t>CPP</w:t>
            </w:r>
          </w:p>
        </w:tc>
        <w:tc>
          <w:tcPr>
            <w:tcW w:w="1947" w:type="dxa"/>
            <w:tcBorders>
              <w:left w:val="none" w:sz="0" w:space="0" w:color="auto"/>
              <w:right w:val="none" w:sz="0" w:space="0" w:color="auto"/>
            </w:tcBorders>
            <w:vAlign w:val="center"/>
          </w:tcPr>
          <w:p w:rsidR="004D4FD7" w:rsidRPr="00A15ECD" w:rsidRDefault="004D4FD7" w:rsidP="00C623F9">
            <w:pPr>
              <w:spacing w:after="0"/>
              <w:jc w:val="center"/>
              <w:cnfStyle w:val="000000010000" w:firstRow="0" w:lastRow="0" w:firstColumn="0" w:lastColumn="0" w:oddVBand="0" w:evenVBand="0" w:oddHBand="0" w:evenHBand="1" w:firstRowFirstColumn="0" w:firstRowLastColumn="0" w:lastRowFirstColumn="0" w:lastRowLastColumn="0"/>
            </w:pPr>
            <w:r w:rsidRPr="00A15ECD">
              <w:t>16/11/2005</w:t>
            </w:r>
          </w:p>
        </w:tc>
        <w:tc>
          <w:tcPr>
            <w:tcW w:w="1699" w:type="dxa"/>
            <w:tcBorders>
              <w:left w:val="none" w:sz="0" w:space="0" w:color="auto"/>
            </w:tcBorders>
            <w:vAlign w:val="center"/>
          </w:tcPr>
          <w:p w:rsidR="004D4FD7" w:rsidRPr="00A15ECD" w:rsidRDefault="004D4FD7" w:rsidP="00C623F9">
            <w:pPr>
              <w:spacing w:after="0"/>
              <w:jc w:val="left"/>
              <w:cnfStyle w:val="000000010000" w:firstRow="0" w:lastRow="0" w:firstColumn="0" w:lastColumn="0" w:oddVBand="0" w:evenVBand="0" w:oddHBand="0" w:evenHBand="1" w:firstRowFirstColumn="0" w:firstRowLastColumn="0" w:lastRowFirstColumn="0" w:lastRowLastColumn="0"/>
            </w:pPr>
            <w:r w:rsidRPr="00A15ECD">
              <w:t>Bassin côtier</w:t>
            </w:r>
          </w:p>
        </w:tc>
      </w:tr>
      <w:tr w:rsidR="004D4FD7" w:rsidRPr="00A15ECD" w:rsidTr="00D039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 w:type="dxa"/>
            <w:tcBorders>
              <w:right w:val="none" w:sz="0" w:space="0" w:color="auto"/>
            </w:tcBorders>
            <w:vAlign w:val="center"/>
          </w:tcPr>
          <w:p w:rsidR="004D4FD7" w:rsidRPr="00A15ECD" w:rsidRDefault="004D4FD7" w:rsidP="00C623F9">
            <w:pPr>
              <w:spacing w:after="0"/>
              <w:jc w:val="left"/>
            </w:pPr>
            <w:r w:rsidRPr="00A15ECD">
              <w:t>3</w:t>
            </w:r>
          </w:p>
        </w:tc>
        <w:tc>
          <w:tcPr>
            <w:tcW w:w="1510" w:type="dxa"/>
            <w:tcBorders>
              <w:left w:val="none" w:sz="0" w:space="0" w:color="auto"/>
              <w:right w:val="none" w:sz="0" w:space="0" w:color="auto"/>
            </w:tcBorders>
            <w:vAlign w:val="center"/>
          </w:tcPr>
          <w:p w:rsidR="004D4FD7" w:rsidRPr="00A15ECD" w:rsidRDefault="004D4FD7" w:rsidP="00C623F9">
            <w:pPr>
              <w:spacing w:after="0"/>
              <w:jc w:val="left"/>
              <w:cnfStyle w:val="000000100000" w:firstRow="0" w:lastRow="0" w:firstColumn="0" w:lastColumn="0" w:oddVBand="0" w:evenVBand="0" w:oddHBand="1" w:evenHBand="0" w:firstRowFirstColumn="0" w:firstRowLastColumn="0" w:lastRowFirstColumn="0" w:lastRowLastColumn="0"/>
            </w:pPr>
            <w:proofErr w:type="spellStart"/>
            <w:r w:rsidRPr="00A15ECD">
              <w:t>Lotshi</w:t>
            </w:r>
            <w:proofErr w:type="spellEnd"/>
          </w:p>
        </w:tc>
        <w:tc>
          <w:tcPr>
            <w:tcW w:w="2773" w:type="dxa"/>
            <w:tcBorders>
              <w:left w:val="none" w:sz="0" w:space="0" w:color="auto"/>
              <w:right w:val="none" w:sz="0" w:space="0" w:color="auto"/>
            </w:tcBorders>
            <w:vAlign w:val="center"/>
          </w:tcPr>
          <w:p w:rsidR="004D4FD7" w:rsidRPr="00A15ECD" w:rsidRDefault="004D4FD7" w:rsidP="00C623F9">
            <w:pPr>
              <w:spacing w:after="0"/>
              <w:jc w:val="left"/>
              <w:cnfStyle w:val="000000100000" w:firstRow="0" w:lastRow="0" w:firstColumn="0" w:lastColumn="0" w:oddVBand="0" w:evenVBand="0" w:oddHBand="1" w:evenHBand="0" w:firstRowFirstColumn="0" w:firstRowLastColumn="0" w:lastRowFirstColumn="0" w:lastRowLastColumn="0"/>
            </w:pPr>
            <w:proofErr w:type="spellStart"/>
            <w:r w:rsidRPr="00A15ECD">
              <w:t>Energulf</w:t>
            </w:r>
            <w:proofErr w:type="spellEnd"/>
          </w:p>
          <w:p w:rsidR="004D4FD7" w:rsidRPr="00A15ECD" w:rsidRDefault="004D4FD7" w:rsidP="00C623F9">
            <w:pPr>
              <w:spacing w:after="0"/>
              <w:jc w:val="left"/>
              <w:cnfStyle w:val="000000100000" w:firstRow="0" w:lastRow="0" w:firstColumn="0" w:lastColumn="0" w:oddVBand="0" w:evenVBand="0" w:oddHBand="1" w:evenHBand="0" w:firstRowFirstColumn="0" w:firstRowLastColumn="0" w:lastRowFirstColumn="0" w:lastRowLastColumn="0"/>
            </w:pPr>
            <w:proofErr w:type="spellStart"/>
            <w:r w:rsidRPr="00A15ECD">
              <w:t>Cohydro</w:t>
            </w:r>
            <w:proofErr w:type="spellEnd"/>
          </w:p>
        </w:tc>
        <w:tc>
          <w:tcPr>
            <w:tcW w:w="1480" w:type="dxa"/>
            <w:tcBorders>
              <w:left w:val="none" w:sz="0" w:space="0" w:color="auto"/>
              <w:right w:val="none" w:sz="0" w:space="0" w:color="auto"/>
            </w:tcBorders>
            <w:vAlign w:val="center"/>
          </w:tcPr>
          <w:p w:rsidR="004D4FD7" w:rsidRPr="00A15ECD" w:rsidRDefault="004D4FD7" w:rsidP="00C623F9">
            <w:pPr>
              <w:spacing w:after="0"/>
              <w:jc w:val="center"/>
              <w:cnfStyle w:val="000000100000" w:firstRow="0" w:lastRow="0" w:firstColumn="0" w:lastColumn="0" w:oddVBand="0" w:evenVBand="0" w:oddHBand="1" w:evenHBand="0" w:firstRowFirstColumn="0" w:firstRowLastColumn="0" w:lastRowFirstColumn="0" w:lastRowLastColumn="0"/>
            </w:pPr>
            <w:r w:rsidRPr="00A15ECD">
              <w:t>90</w:t>
            </w:r>
          </w:p>
          <w:p w:rsidR="004D4FD7" w:rsidRPr="00A15ECD" w:rsidRDefault="004D4FD7" w:rsidP="00C623F9">
            <w:pPr>
              <w:spacing w:after="0"/>
              <w:jc w:val="center"/>
              <w:cnfStyle w:val="000000100000" w:firstRow="0" w:lastRow="0" w:firstColumn="0" w:lastColumn="0" w:oddVBand="0" w:evenVBand="0" w:oddHBand="1" w:evenHBand="0" w:firstRowFirstColumn="0" w:firstRowLastColumn="0" w:lastRowFirstColumn="0" w:lastRowLastColumn="0"/>
            </w:pPr>
            <w:r w:rsidRPr="00A15ECD">
              <w:t>10</w:t>
            </w:r>
          </w:p>
        </w:tc>
        <w:tc>
          <w:tcPr>
            <w:tcW w:w="1559" w:type="dxa"/>
            <w:tcBorders>
              <w:left w:val="none" w:sz="0" w:space="0" w:color="auto"/>
              <w:right w:val="none" w:sz="0" w:space="0" w:color="auto"/>
            </w:tcBorders>
            <w:vAlign w:val="center"/>
          </w:tcPr>
          <w:p w:rsidR="004D4FD7" w:rsidRPr="00A15ECD" w:rsidRDefault="004D4FD7" w:rsidP="00C623F9">
            <w:pPr>
              <w:spacing w:after="0"/>
              <w:jc w:val="left"/>
              <w:cnfStyle w:val="000000100000" w:firstRow="0" w:lastRow="0" w:firstColumn="0" w:lastColumn="0" w:oddVBand="0" w:evenVBand="0" w:oddHBand="1" w:evenHBand="0" w:firstRowFirstColumn="0" w:firstRowLastColumn="0" w:lastRowFirstColumn="0" w:lastRowLastColumn="0"/>
            </w:pPr>
            <w:proofErr w:type="spellStart"/>
            <w:r w:rsidRPr="00A15ECD">
              <w:t>Energulf</w:t>
            </w:r>
            <w:proofErr w:type="spellEnd"/>
          </w:p>
        </w:tc>
        <w:tc>
          <w:tcPr>
            <w:tcW w:w="1701" w:type="dxa"/>
            <w:tcBorders>
              <w:left w:val="none" w:sz="0" w:space="0" w:color="auto"/>
              <w:right w:val="none" w:sz="0" w:space="0" w:color="auto"/>
            </w:tcBorders>
            <w:vAlign w:val="center"/>
          </w:tcPr>
          <w:p w:rsidR="004D4FD7" w:rsidRPr="00A15ECD" w:rsidRDefault="004D4FD7" w:rsidP="000B24AA">
            <w:pPr>
              <w:spacing w:after="0"/>
              <w:jc w:val="center"/>
              <w:cnfStyle w:val="000000100000" w:firstRow="0" w:lastRow="0" w:firstColumn="0" w:lastColumn="0" w:oddVBand="0" w:evenVBand="0" w:oddHBand="1" w:evenHBand="0" w:firstRowFirstColumn="0" w:firstRowLastColumn="0" w:lastRowFirstColumn="0" w:lastRowLastColumn="0"/>
            </w:pPr>
            <w:r w:rsidRPr="00A15ECD">
              <w:t>One shore</w:t>
            </w:r>
          </w:p>
        </w:tc>
        <w:tc>
          <w:tcPr>
            <w:tcW w:w="1457" w:type="dxa"/>
            <w:tcBorders>
              <w:left w:val="none" w:sz="0" w:space="0" w:color="auto"/>
              <w:right w:val="none" w:sz="0" w:space="0" w:color="auto"/>
            </w:tcBorders>
            <w:vAlign w:val="center"/>
          </w:tcPr>
          <w:p w:rsidR="004D4FD7" w:rsidRPr="00A15ECD" w:rsidRDefault="004D4FD7" w:rsidP="00E340CE">
            <w:pPr>
              <w:spacing w:after="0"/>
              <w:jc w:val="center"/>
              <w:cnfStyle w:val="000000100000" w:firstRow="0" w:lastRow="0" w:firstColumn="0" w:lastColumn="0" w:oddVBand="0" w:evenVBand="0" w:oddHBand="1" w:evenHBand="0" w:firstRowFirstColumn="0" w:firstRowLastColumn="0" w:lastRowFirstColumn="0" w:lastRowLastColumn="0"/>
            </w:pPr>
            <w:r w:rsidRPr="00A15ECD">
              <w:t>CPP</w:t>
            </w:r>
          </w:p>
        </w:tc>
        <w:tc>
          <w:tcPr>
            <w:tcW w:w="1947" w:type="dxa"/>
            <w:tcBorders>
              <w:left w:val="none" w:sz="0" w:space="0" w:color="auto"/>
              <w:right w:val="none" w:sz="0" w:space="0" w:color="auto"/>
            </w:tcBorders>
            <w:vAlign w:val="center"/>
          </w:tcPr>
          <w:p w:rsidR="004D4FD7" w:rsidRPr="00A15ECD" w:rsidRDefault="004D4FD7" w:rsidP="00C623F9">
            <w:pPr>
              <w:spacing w:after="0"/>
              <w:jc w:val="center"/>
              <w:cnfStyle w:val="000000100000" w:firstRow="0" w:lastRow="0" w:firstColumn="0" w:lastColumn="0" w:oddVBand="0" w:evenVBand="0" w:oddHBand="1" w:evenHBand="0" w:firstRowFirstColumn="0" w:firstRowLastColumn="0" w:lastRowFirstColumn="0" w:lastRowLastColumn="0"/>
            </w:pPr>
            <w:proofErr w:type="spellStart"/>
            <w:r w:rsidRPr="00A15ECD">
              <w:t>nc</w:t>
            </w:r>
            <w:proofErr w:type="spellEnd"/>
          </w:p>
        </w:tc>
        <w:tc>
          <w:tcPr>
            <w:tcW w:w="1699" w:type="dxa"/>
            <w:tcBorders>
              <w:left w:val="none" w:sz="0" w:space="0" w:color="auto"/>
            </w:tcBorders>
            <w:vAlign w:val="center"/>
          </w:tcPr>
          <w:p w:rsidR="004D4FD7" w:rsidRPr="00A15ECD" w:rsidRDefault="004D4FD7" w:rsidP="00C623F9">
            <w:pPr>
              <w:spacing w:after="0"/>
              <w:jc w:val="left"/>
              <w:cnfStyle w:val="000000100000" w:firstRow="0" w:lastRow="0" w:firstColumn="0" w:lastColumn="0" w:oddVBand="0" w:evenVBand="0" w:oddHBand="1" w:evenHBand="0" w:firstRowFirstColumn="0" w:firstRowLastColumn="0" w:lastRowFirstColumn="0" w:lastRowLastColumn="0"/>
            </w:pPr>
            <w:r w:rsidRPr="00A15ECD">
              <w:t>Bassin côtier</w:t>
            </w:r>
          </w:p>
        </w:tc>
      </w:tr>
      <w:tr w:rsidR="004D4FD7" w:rsidRPr="00A15ECD" w:rsidTr="00D039E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 w:type="dxa"/>
            <w:tcBorders>
              <w:right w:val="none" w:sz="0" w:space="0" w:color="auto"/>
            </w:tcBorders>
            <w:vAlign w:val="center"/>
          </w:tcPr>
          <w:p w:rsidR="004D4FD7" w:rsidRPr="00A15ECD" w:rsidRDefault="004D4FD7" w:rsidP="00C623F9">
            <w:pPr>
              <w:spacing w:after="0"/>
              <w:jc w:val="left"/>
            </w:pPr>
            <w:r w:rsidRPr="00A15ECD">
              <w:t>4</w:t>
            </w:r>
          </w:p>
        </w:tc>
        <w:tc>
          <w:tcPr>
            <w:tcW w:w="1510" w:type="dxa"/>
            <w:tcBorders>
              <w:left w:val="none" w:sz="0" w:space="0" w:color="auto"/>
              <w:right w:val="none" w:sz="0" w:space="0" w:color="auto"/>
            </w:tcBorders>
            <w:vAlign w:val="center"/>
          </w:tcPr>
          <w:p w:rsidR="004D4FD7" w:rsidRPr="00A15ECD" w:rsidRDefault="004D4FD7" w:rsidP="00C623F9">
            <w:pPr>
              <w:spacing w:after="0"/>
              <w:jc w:val="left"/>
              <w:cnfStyle w:val="000000010000" w:firstRow="0" w:lastRow="0" w:firstColumn="0" w:lastColumn="0" w:oddVBand="0" w:evenVBand="0" w:oddHBand="0" w:evenHBand="1" w:firstRowFirstColumn="0" w:firstRowLastColumn="0" w:lastRowFirstColumn="0" w:lastRowLastColumn="0"/>
            </w:pPr>
            <w:r w:rsidRPr="00A15ECD">
              <w:t>I&amp;II</w:t>
            </w:r>
          </w:p>
        </w:tc>
        <w:tc>
          <w:tcPr>
            <w:tcW w:w="2773" w:type="dxa"/>
            <w:tcBorders>
              <w:left w:val="none" w:sz="0" w:space="0" w:color="auto"/>
              <w:right w:val="none" w:sz="0" w:space="0" w:color="auto"/>
            </w:tcBorders>
            <w:vAlign w:val="center"/>
          </w:tcPr>
          <w:p w:rsidR="004D4FD7" w:rsidRPr="00A15ECD" w:rsidRDefault="004D4FD7" w:rsidP="00C623F9">
            <w:pPr>
              <w:spacing w:after="0"/>
              <w:jc w:val="left"/>
              <w:cnfStyle w:val="000000010000" w:firstRow="0" w:lastRow="0" w:firstColumn="0" w:lastColumn="0" w:oddVBand="0" w:evenVBand="0" w:oddHBand="0" w:evenHBand="1" w:firstRowFirstColumn="0" w:firstRowLastColumn="0" w:lastRowFirstColumn="0" w:lastRowLastColumn="0"/>
            </w:pPr>
            <w:proofErr w:type="spellStart"/>
            <w:r w:rsidRPr="00A15ECD">
              <w:t>Caprikat</w:t>
            </w:r>
            <w:proofErr w:type="spellEnd"/>
            <w:r w:rsidRPr="00A15ECD">
              <w:t xml:space="preserve">&amp; </w:t>
            </w:r>
            <w:proofErr w:type="spellStart"/>
            <w:r w:rsidRPr="00A15ECD">
              <w:t>Foxwelp</w:t>
            </w:r>
            <w:proofErr w:type="spellEnd"/>
          </w:p>
          <w:p w:rsidR="004D4FD7" w:rsidRPr="00A15ECD" w:rsidRDefault="004D4FD7" w:rsidP="00C623F9">
            <w:pPr>
              <w:spacing w:after="0"/>
              <w:jc w:val="left"/>
              <w:cnfStyle w:val="000000010000" w:firstRow="0" w:lastRow="0" w:firstColumn="0" w:lastColumn="0" w:oddVBand="0" w:evenVBand="0" w:oddHBand="0" w:evenHBand="1" w:firstRowFirstColumn="0" w:firstRowLastColumn="0" w:lastRowFirstColumn="0" w:lastRowLastColumn="0"/>
            </w:pPr>
            <w:r w:rsidRPr="00A15ECD">
              <w:t>Etat</w:t>
            </w:r>
          </w:p>
        </w:tc>
        <w:tc>
          <w:tcPr>
            <w:tcW w:w="1480" w:type="dxa"/>
            <w:tcBorders>
              <w:left w:val="none" w:sz="0" w:space="0" w:color="auto"/>
              <w:right w:val="none" w:sz="0" w:space="0" w:color="auto"/>
            </w:tcBorders>
            <w:vAlign w:val="center"/>
          </w:tcPr>
          <w:p w:rsidR="004D4FD7" w:rsidRPr="00A15ECD" w:rsidRDefault="004D4FD7" w:rsidP="00C623F9">
            <w:pPr>
              <w:spacing w:after="0"/>
              <w:jc w:val="center"/>
              <w:cnfStyle w:val="000000010000" w:firstRow="0" w:lastRow="0" w:firstColumn="0" w:lastColumn="0" w:oddVBand="0" w:evenVBand="0" w:oddHBand="0" w:evenHBand="1" w:firstRowFirstColumn="0" w:firstRowLastColumn="0" w:lastRowFirstColumn="0" w:lastRowLastColumn="0"/>
            </w:pPr>
            <w:r w:rsidRPr="00A15ECD">
              <w:t>85</w:t>
            </w:r>
          </w:p>
          <w:p w:rsidR="004D4FD7" w:rsidRPr="00A15ECD" w:rsidRDefault="004D4FD7" w:rsidP="00C623F9">
            <w:pPr>
              <w:spacing w:after="0"/>
              <w:jc w:val="center"/>
              <w:cnfStyle w:val="000000010000" w:firstRow="0" w:lastRow="0" w:firstColumn="0" w:lastColumn="0" w:oddVBand="0" w:evenVBand="0" w:oddHBand="0" w:evenHBand="1" w:firstRowFirstColumn="0" w:firstRowLastColumn="0" w:lastRowFirstColumn="0" w:lastRowLastColumn="0"/>
            </w:pPr>
            <w:r w:rsidRPr="00A15ECD">
              <w:t>15</w:t>
            </w:r>
          </w:p>
        </w:tc>
        <w:tc>
          <w:tcPr>
            <w:tcW w:w="1559" w:type="dxa"/>
            <w:tcBorders>
              <w:left w:val="none" w:sz="0" w:space="0" w:color="auto"/>
              <w:right w:val="none" w:sz="0" w:space="0" w:color="auto"/>
            </w:tcBorders>
            <w:vAlign w:val="center"/>
          </w:tcPr>
          <w:p w:rsidR="004D4FD7" w:rsidRPr="00A15ECD" w:rsidRDefault="004D4FD7" w:rsidP="00C623F9">
            <w:pPr>
              <w:spacing w:after="0"/>
              <w:jc w:val="left"/>
              <w:cnfStyle w:val="000000010000" w:firstRow="0" w:lastRow="0" w:firstColumn="0" w:lastColumn="0" w:oddVBand="0" w:evenVBand="0" w:oddHBand="0" w:evenHBand="1" w:firstRowFirstColumn="0" w:firstRowLastColumn="0" w:lastRowFirstColumn="0" w:lastRowLastColumn="0"/>
            </w:pPr>
            <w:proofErr w:type="spellStart"/>
            <w:r w:rsidRPr="00A15ECD">
              <w:t>Oil</w:t>
            </w:r>
            <w:proofErr w:type="spellEnd"/>
            <w:r w:rsidRPr="00A15ECD">
              <w:t xml:space="preserve"> of DRC</w:t>
            </w:r>
          </w:p>
        </w:tc>
        <w:tc>
          <w:tcPr>
            <w:tcW w:w="1701" w:type="dxa"/>
            <w:tcBorders>
              <w:left w:val="none" w:sz="0" w:space="0" w:color="auto"/>
              <w:right w:val="none" w:sz="0" w:space="0" w:color="auto"/>
            </w:tcBorders>
            <w:vAlign w:val="center"/>
          </w:tcPr>
          <w:p w:rsidR="004D4FD7" w:rsidRPr="00A15ECD" w:rsidRDefault="004D4FD7" w:rsidP="000B24AA">
            <w:pPr>
              <w:spacing w:after="0"/>
              <w:jc w:val="center"/>
              <w:cnfStyle w:val="000000010000" w:firstRow="0" w:lastRow="0" w:firstColumn="0" w:lastColumn="0" w:oddVBand="0" w:evenVBand="0" w:oddHBand="0" w:evenHBand="1" w:firstRowFirstColumn="0" w:firstRowLastColumn="0" w:lastRowFirstColumn="0" w:lastRowLastColumn="0"/>
            </w:pPr>
            <w:r w:rsidRPr="00A15ECD">
              <w:t>One shore</w:t>
            </w:r>
          </w:p>
        </w:tc>
        <w:tc>
          <w:tcPr>
            <w:tcW w:w="1457" w:type="dxa"/>
            <w:tcBorders>
              <w:left w:val="none" w:sz="0" w:space="0" w:color="auto"/>
              <w:right w:val="none" w:sz="0" w:space="0" w:color="auto"/>
            </w:tcBorders>
            <w:vAlign w:val="center"/>
          </w:tcPr>
          <w:p w:rsidR="004D4FD7" w:rsidRPr="00A15ECD" w:rsidRDefault="004D4FD7" w:rsidP="00E340CE">
            <w:pPr>
              <w:spacing w:after="0"/>
              <w:jc w:val="center"/>
              <w:cnfStyle w:val="000000010000" w:firstRow="0" w:lastRow="0" w:firstColumn="0" w:lastColumn="0" w:oddVBand="0" w:evenVBand="0" w:oddHBand="0" w:evenHBand="1" w:firstRowFirstColumn="0" w:firstRowLastColumn="0" w:lastRowFirstColumn="0" w:lastRowLastColumn="0"/>
            </w:pPr>
            <w:r w:rsidRPr="00A15ECD">
              <w:t>CPP</w:t>
            </w:r>
          </w:p>
        </w:tc>
        <w:tc>
          <w:tcPr>
            <w:tcW w:w="1947" w:type="dxa"/>
            <w:tcBorders>
              <w:left w:val="none" w:sz="0" w:space="0" w:color="auto"/>
              <w:right w:val="none" w:sz="0" w:space="0" w:color="auto"/>
            </w:tcBorders>
            <w:vAlign w:val="center"/>
          </w:tcPr>
          <w:p w:rsidR="004D4FD7" w:rsidRPr="00A15ECD" w:rsidRDefault="004D4FD7" w:rsidP="00C623F9">
            <w:pPr>
              <w:spacing w:after="0"/>
              <w:jc w:val="center"/>
              <w:cnfStyle w:val="000000010000" w:firstRow="0" w:lastRow="0" w:firstColumn="0" w:lastColumn="0" w:oddVBand="0" w:evenVBand="0" w:oddHBand="0" w:evenHBand="1" w:firstRowFirstColumn="0" w:firstRowLastColumn="0" w:lastRowFirstColumn="0" w:lastRowLastColumn="0"/>
            </w:pPr>
            <w:r w:rsidRPr="00A15ECD">
              <w:t>05/05/2010</w:t>
            </w:r>
          </w:p>
        </w:tc>
        <w:tc>
          <w:tcPr>
            <w:tcW w:w="1699" w:type="dxa"/>
            <w:tcBorders>
              <w:left w:val="none" w:sz="0" w:space="0" w:color="auto"/>
            </w:tcBorders>
            <w:vAlign w:val="center"/>
          </w:tcPr>
          <w:p w:rsidR="004D4FD7" w:rsidRPr="00A15ECD" w:rsidRDefault="004D4FD7" w:rsidP="00C623F9">
            <w:pPr>
              <w:spacing w:after="0"/>
              <w:jc w:val="left"/>
              <w:cnfStyle w:val="000000010000" w:firstRow="0" w:lastRow="0" w:firstColumn="0" w:lastColumn="0" w:oddVBand="0" w:evenVBand="0" w:oddHBand="0" w:evenHBand="1" w:firstRowFirstColumn="0" w:firstRowLastColumn="0" w:lastRowFirstColumn="0" w:lastRowLastColumn="0"/>
            </w:pPr>
            <w:r w:rsidRPr="00A15ECD">
              <w:t>Graben Albertine</w:t>
            </w:r>
          </w:p>
        </w:tc>
      </w:tr>
      <w:tr w:rsidR="004D4FD7" w:rsidRPr="00A15ECD" w:rsidTr="00D039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 w:type="dxa"/>
            <w:tcBorders>
              <w:right w:val="none" w:sz="0" w:space="0" w:color="auto"/>
            </w:tcBorders>
            <w:vAlign w:val="center"/>
          </w:tcPr>
          <w:p w:rsidR="004D4FD7" w:rsidRPr="00A15ECD" w:rsidRDefault="004D4FD7" w:rsidP="00C623F9">
            <w:pPr>
              <w:spacing w:after="0"/>
              <w:jc w:val="left"/>
            </w:pPr>
            <w:r w:rsidRPr="00A15ECD">
              <w:t>5</w:t>
            </w:r>
          </w:p>
        </w:tc>
        <w:tc>
          <w:tcPr>
            <w:tcW w:w="1510" w:type="dxa"/>
            <w:tcBorders>
              <w:left w:val="none" w:sz="0" w:space="0" w:color="auto"/>
              <w:right w:val="none" w:sz="0" w:space="0" w:color="auto"/>
            </w:tcBorders>
            <w:vAlign w:val="center"/>
          </w:tcPr>
          <w:p w:rsidR="004D4FD7" w:rsidRPr="00A15ECD" w:rsidRDefault="004D4FD7" w:rsidP="00C623F9">
            <w:pPr>
              <w:spacing w:after="0"/>
              <w:jc w:val="left"/>
              <w:cnfStyle w:val="000000100000" w:firstRow="0" w:lastRow="0" w:firstColumn="0" w:lastColumn="0" w:oddVBand="0" w:evenVBand="0" w:oddHBand="1" w:evenHBand="0" w:firstRowFirstColumn="0" w:firstRowLastColumn="0" w:lastRowFirstColumn="0" w:lastRowLastColumn="0"/>
            </w:pPr>
            <w:r w:rsidRPr="00A15ECD">
              <w:t>III</w:t>
            </w:r>
          </w:p>
        </w:tc>
        <w:tc>
          <w:tcPr>
            <w:tcW w:w="2773" w:type="dxa"/>
            <w:tcBorders>
              <w:left w:val="none" w:sz="0" w:space="0" w:color="auto"/>
              <w:right w:val="none" w:sz="0" w:space="0" w:color="auto"/>
            </w:tcBorders>
            <w:vAlign w:val="center"/>
          </w:tcPr>
          <w:p w:rsidR="004D4FD7" w:rsidRPr="00A15ECD" w:rsidRDefault="004D4FD7" w:rsidP="00C623F9">
            <w:pPr>
              <w:spacing w:after="0"/>
              <w:jc w:val="left"/>
              <w:cnfStyle w:val="000000100000" w:firstRow="0" w:lastRow="0" w:firstColumn="0" w:lastColumn="0" w:oddVBand="0" w:evenVBand="0" w:oddHBand="1" w:evenHBand="0" w:firstRowFirstColumn="0" w:firstRowLastColumn="0" w:lastRowFirstColumn="0" w:lastRowLastColumn="0"/>
            </w:pPr>
            <w:r w:rsidRPr="00A15ECD">
              <w:t>Total E&amp;P</w:t>
            </w:r>
          </w:p>
          <w:p w:rsidR="004D4FD7" w:rsidRPr="00A15ECD" w:rsidRDefault="004D4FD7" w:rsidP="00C623F9">
            <w:pPr>
              <w:spacing w:after="0"/>
              <w:jc w:val="left"/>
              <w:cnfStyle w:val="000000100000" w:firstRow="0" w:lastRow="0" w:firstColumn="0" w:lastColumn="0" w:oddVBand="0" w:evenVBand="0" w:oddHBand="1" w:evenHBand="0" w:firstRowFirstColumn="0" w:firstRowLastColumn="0" w:lastRowFirstColumn="0" w:lastRowLastColumn="0"/>
            </w:pPr>
            <w:proofErr w:type="spellStart"/>
            <w:r w:rsidRPr="00A15ECD">
              <w:t>Semliki</w:t>
            </w:r>
            <w:proofErr w:type="spellEnd"/>
          </w:p>
          <w:p w:rsidR="004D4FD7" w:rsidRPr="00A15ECD" w:rsidRDefault="004D4FD7" w:rsidP="00C623F9">
            <w:pPr>
              <w:spacing w:after="0"/>
              <w:jc w:val="left"/>
              <w:cnfStyle w:val="000000100000" w:firstRow="0" w:lastRow="0" w:firstColumn="0" w:lastColumn="0" w:oddVBand="0" w:evenVBand="0" w:oddHBand="1" w:evenHBand="0" w:firstRowFirstColumn="0" w:firstRowLastColumn="0" w:lastRowFirstColumn="0" w:lastRowLastColumn="0"/>
            </w:pPr>
            <w:r w:rsidRPr="00A15ECD">
              <w:t>Etat</w:t>
            </w:r>
          </w:p>
        </w:tc>
        <w:tc>
          <w:tcPr>
            <w:tcW w:w="1480" w:type="dxa"/>
            <w:tcBorders>
              <w:left w:val="none" w:sz="0" w:space="0" w:color="auto"/>
              <w:right w:val="none" w:sz="0" w:space="0" w:color="auto"/>
            </w:tcBorders>
            <w:vAlign w:val="center"/>
          </w:tcPr>
          <w:p w:rsidR="004D4FD7" w:rsidRPr="00A15ECD" w:rsidRDefault="004D4FD7" w:rsidP="00C623F9">
            <w:pPr>
              <w:spacing w:after="0"/>
              <w:jc w:val="center"/>
              <w:cnfStyle w:val="000000100000" w:firstRow="0" w:lastRow="0" w:firstColumn="0" w:lastColumn="0" w:oddVBand="0" w:evenVBand="0" w:oddHBand="1" w:evenHBand="0" w:firstRowFirstColumn="0" w:firstRowLastColumn="0" w:lastRowFirstColumn="0" w:lastRowLastColumn="0"/>
            </w:pPr>
            <w:r w:rsidRPr="00A15ECD">
              <w:t>66</w:t>
            </w:r>
          </w:p>
          <w:p w:rsidR="004D4FD7" w:rsidRPr="00A15ECD" w:rsidRDefault="004D4FD7" w:rsidP="00C623F9">
            <w:pPr>
              <w:spacing w:after="0"/>
              <w:jc w:val="center"/>
              <w:cnfStyle w:val="000000100000" w:firstRow="0" w:lastRow="0" w:firstColumn="0" w:lastColumn="0" w:oddVBand="0" w:evenVBand="0" w:oddHBand="1" w:evenHBand="0" w:firstRowFirstColumn="0" w:firstRowLastColumn="0" w:lastRowFirstColumn="0" w:lastRowLastColumn="0"/>
            </w:pPr>
            <w:r w:rsidRPr="00A15ECD">
              <w:t>18</w:t>
            </w:r>
          </w:p>
          <w:p w:rsidR="004D4FD7" w:rsidRPr="00A15ECD" w:rsidRDefault="004D4FD7" w:rsidP="00C623F9">
            <w:pPr>
              <w:spacing w:after="0"/>
              <w:jc w:val="center"/>
              <w:cnfStyle w:val="000000100000" w:firstRow="0" w:lastRow="0" w:firstColumn="0" w:lastColumn="0" w:oddVBand="0" w:evenVBand="0" w:oddHBand="1" w:evenHBand="0" w:firstRowFirstColumn="0" w:firstRowLastColumn="0" w:lastRowFirstColumn="0" w:lastRowLastColumn="0"/>
            </w:pPr>
            <w:r w:rsidRPr="00A15ECD">
              <w:t>16</w:t>
            </w:r>
          </w:p>
        </w:tc>
        <w:tc>
          <w:tcPr>
            <w:tcW w:w="1559" w:type="dxa"/>
            <w:tcBorders>
              <w:left w:val="none" w:sz="0" w:space="0" w:color="auto"/>
              <w:right w:val="none" w:sz="0" w:space="0" w:color="auto"/>
            </w:tcBorders>
            <w:vAlign w:val="center"/>
          </w:tcPr>
          <w:p w:rsidR="004D4FD7" w:rsidRPr="00A15ECD" w:rsidRDefault="004D4FD7" w:rsidP="00C623F9">
            <w:pPr>
              <w:spacing w:after="0"/>
              <w:jc w:val="left"/>
              <w:cnfStyle w:val="000000100000" w:firstRow="0" w:lastRow="0" w:firstColumn="0" w:lastColumn="0" w:oddVBand="0" w:evenVBand="0" w:oddHBand="1" w:evenHBand="0" w:firstRowFirstColumn="0" w:firstRowLastColumn="0" w:lastRowFirstColumn="0" w:lastRowLastColumn="0"/>
            </w:pPr>
            <w:r w:rsidRPr="00A15ECD">
              <w:t>Total</w:t>
            </w:r>
          </w:p>
        </w:tc>
        <w:tc>
          <w:tcPr>
            <w:tcW w:w="1701" w:type="dxa"/>
            <w:tcBorders>
              <w:left w:val="none" w:sz="0" w:space="0" w:color="auto"/>
              <w:right w:val="none" w:sz="0" w:space="0" w:color="auto"/>
            </w:tcBorders>
            <w:vAlign w:val="center"/>
          </w:tcPr>
          <w:p w:rsidR="004D4FD7" w:rsidRPr="00A15ECD" w:rsidRDefault="004D4FD7" w:rsidP="000B24AA">
            <w:pPr>
              <w:spacing w:after="0"/>
              <w:jc w:val="center"/>
              <w:cnfStyle w:val="000000100000" w:firstRow="0" w:lastRow="0" w:firstColumn="0" w:lastColumn="0" w:oddVBand="0" w:evenVBand="0" w:oddHBand="1" w:evenHBand="0" w:firstRowFirstColumn="0" w:firstRowLastColumn="0" w:lastRowFirstColumn="0" w:lastRowLastColumn="0"/>
            </w:pPr>
            <w:r w:rsidRPr="00A15ECD">
              <w:t>One shore</w:t>
            </w:r>
          </w:p>
        </w:tc>
        <w:tc>
          <w:tcPr>
            <w:tcW w:w="1457" w:type="dxa"/>
            <w:tcBorders>
              <w:left w:val="none" w:sz="0" w:space="0" w:color="auto"/>
              <w:right w:val="none" w:sz="0" w:space="0" w:color="auto"/>
            </w:tcBorders>
            <w:vAlign w:val="center"/>
          </w:tcPr>
          <w:p w:rsidR="004D4FD7" w:rsidRPr="00A15ECD" w:rsidRDefault="004D4FD7" w:rsidP="00E340CE">
            <w:pPr>
              <w:spacing w:after="0"/>
              <w:jc w:val="center"/>
              <w:cnfStyle w:val="000000100000" w:firstRow="0" w:lastRow="0" w:firstColumn="0" w:lastColumn="0" w:oddVBand="0" w:evenVBand="0" w:oddHBand="1" w:evenHBand="0" w:firstRowFirstColumn="0" w:firstRowLastColumn="0" w:lastRowFirstColumn="0" w:lastRowLastColumn="0"/>
            </w:pPr>
            <w:r w:rsidRPr="00A15ECD">
              <w:t>CPP</w:t>
            </w:r>
          </w:p>
        </w:tc>
        <w:tc>
          <w:tcPr>
            <w:tcW w:w="1947" w:type="dxa"/>
            <w:tcBorders>
              <w:left w:val="none" w:sz="0" w:space="0" w:color="auto"/>
              <w:right w:val="none" w:sz="0" w:space="0" w:color="auto"/>
            </w:tcBorders>
            <w:vAlign w:val="center"/>
          </w:tcPr>
          <w:p w:rsidR="004D4FD7" w:rsidRPr="00A15ECD" w:rsidRDefault="004D4FD7" w:rsidP="00C623F9">
            <w:pPr>
              <w:spacing w:after="0"/>
              <w:jc w:val="center"/>
              <w:cnfStyle w:val="000000100000" w:firstRow="0" w:lastRow="0" w:firstColumn="0" w:lastColumn="0" w:oddVBand="0" w:evenVBand="0" w:oddHBand="1" w:evenHBand="0" w:firstRowFirstColumn="0" w:firstRowLastColumn="0" w:lastRowFirstColumn="0" w:lastRowLastColumn="0"/>
            </w:pPr>
            <w:r w:rsidRPr="00A15ECD">
              <w:t>04/12/2007</w:t>
            </w:r>
          </w:p>
        </w:tc>
        <w:tc>
          <w:tcPr>
            <w:tcW w:w="1699" w:type="dxa"/>
            <w:tcBorders>
              <w:left w:val="none" w:sz="0" w:space="0" w:color="auto"/>
            </w:tcBorders>
            <w:vAlign w:val="center"/>
          </w:tcPr>
          <w:p w:rsidR="004D4FD7" w:rsidRPr="00A15ECD" w:rsidRDefault="004D4FD7" w:rsidP="00C623F9">
            <w:pPr>
              <w:spacing w:after="0"/>
              <w:jc w:val="left"/>
              <w:cnfStyle w:val="000000100000" w:firstRow="0" w:lastRow="0" w:firstColumn="0" w:lastColumn="0" w:oddVBand="0" w:evenVBand="0" w:oddHBand="1" w:evenHBand="0" w:firstRowFirstColumn="0" w:firstRowLastColumn="0" w:lastRowFirstColumn="0" w:lastRowLastColumn="0"/>
            </w:pPr>
            <w:r w:rsidRPr="00A15ECD">
              <w:t>Graben Albertine</w:t>
            </w:r>
          </w:p>
        </w:tc>
      </w:tr>
      <w:tr w:rsidR="004D4FD7" w:rsidRPr="00A15ECD" w:rsidTr="00D039E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 w:type="dxa"/>
            <w:tcBorders>
              <w:right w:val="none" w:sz="0" w:space="0" w:color="auto"/>
            </w:tcBorders>
            <w:vAlign w:val="center"/>
          </w:tcPr>
          <w:p w:rsidR="004D4FD7" w:rsidRPr="00A15ECD" w:rsidRDefault="004D4FD7" w:rsidP="00C623F9">
            <w:pPr>
              <w:spacing w:after="0"/>
              <w:jc w:val="left"/>
            </w:pPr>
            <w:r w:rsidRPr="00A15ECD">
              <w:t>6</w:t>
            </w:r>
          </w:p>
        </w:tc>
        <w:tc>
          <w:tcPr>
            <w:tcW w:w="1510" w:type="dxa"/>
            <w:tcBorders>
              <w:left w:val="none" w:sz="0" w:space="0" w:color="auto"/>
              <w:right w:val="none" w:sz="0" w:space="0" w:color="auto"/>
            </w:tcBorders>
            <w:vAlign w:val="center"/>
          </w:tcPr>
          <w:p w:rsidR="004D4FD7" w:rsidRPr="00A15ECD" w:rsidRDefault="004D4FD7" w:rsidP="00C623F9">
            <w:pPr>
              <w:spacing w:after="0"/>
              <w:jc w:val="left"/>
              <w:cnfStyle w:val="000000010000" w:firstRow="0" w:lastRow="0" w:firstColumn="0" w:lastColumn="0" w:oddVBand="0" w:evenVBand="0" w:oddHBand="0" w:evenHBand="1" w:firstRowFirstColumn="0" w:firstRowLastColumn="0" w:lastRowFirstColumn="0" w:lastRowLastColumn="0"/>
            </w:pPr>
            <w:r w:rsidRPr="00A15ECD">
              <w:t>V</w:t>
            </w:r>
          </w:p>
        </w:tc>
        <w:tc>
          <w:tcPr>
            <w:tcW w:w="2773" w:type="dxa"/>
            <w:tcBorders>
              <w:left w:val="none" w:sz="0" w:space="0" w:color="auto"/>
              <w:right w:val="none" w:sz="0" w:space="0" w:color="auto"/>
            </w:tcBorders>
            <w:vAlign w:val="center"/>
          </w:tcPr>
          <w:p w:rsidR="004D4FD7" w:rsidRPr="00A15ECD" w:rsidRDefault="004D4FD7" w:rsidP="00C623F9">
            <w:pPr>
              <w:spacing w:after="0"/>
              <w:jc w:val="left"/>
              <w:cnfStyle w:val="000000010000" w:firstRow="0" w:lastRow="0" w:firstColumn="0" w:lastColumn="0" w:oddVBand="0" w:evenVBand="0" w:oddHBand="0" w:evenHBand="1" w:firstRowFirstColumn="0" w:firstRowLastColumn="0" w:lastRowFirstColumn="0" w:lastRowLastColumn="0"/>
            </w:pPr>
            <w:proofErr w:type="spellStart"/>
            <w:r w:rsidRPr="00A15ECD">
              <w:t>Soco</w:t>
            </w:r>
            <w:proofErr w:type="spellEnd"/>
            <w:r w:rsidRPr="00A15ECD">
              <w:t xml:space="preserve"> </w:t>
            </w:r>
          </w:p>
          <w:p w:rsidR="004D4FD7" w:rsidRPr="00A15ECD" w:rsidRDefault="004D4FD7" w:rsidP="00C623F9">
            <w:pPr>
              <w:spacing w:after="0"/>
              <w:jc w:val="left"/>
              <w:cnfStyle w:val="000000010000" w:firstRow="0" w:lastRow="0" w:firstColumn="0" w:lastColumn="0" w:oddVBand="0" w:evenVBand="0" w:oddHBand="0" w:evenHBand="1" w:firstRowFirstColumn="0" w:firstRowLastColumn="0" w:lastRowFirstColumn="0" w:lastRowLastColumn="0"/>
            </w:pPr>
            <w:r w:rsidRPr="00A15ECD">
              <w:t>Etat</w:t>
            </w:r>
          </w:p>
        </w:tc>
        <w:tc>
          <w:tcPr>
            <w:tcW w:w="1480" w:type="dxa"/>
            <w:tcBorders>
              <w:left w:val="none" w:sz="0" w:space="0" w:color="auto"/>
              <w:right w:val="none" w:sz="0" w:space="0" w:color="auto"/>
            </w:tcBorders>
            <w:vAlign w:val="center"/>
          </w:tcPr>
          <w:p w:rsidR="004D4FD7" w:rsidRPr="00A15ECD" w:rsidRDefault="004D4FD7" w:rsidP="00C623F9">
            <w:pPr>
              <w:spacing w:after="0"/>
              <w:jc w:val="center"/>
              <w:cnfStyle w:val="000000010000" w:firstRow="0" w:lastRow="0" w:firstColumn="0" w:lastColumn="0" w:oddVBand="0" w:evenVBand="0" w:oddHBand="0" w:evenHBand="1" w:firstRowFirstColumn="0" w:firstRowLastColumn="0" w:lastRowFirstColumn="0" w:lastRowLastColumn="0"/>
            </w:pPr>
            <w:r w:rsidRPr="00A15ECD">
              <w:t>85</w:t>
            </w:r>
          </w:p>
          <w:p w:rsidR="004D4FD7" w:rsidRPr="00A15ECD" w:rsidRDefault="004D4FD7" w:rsidP="00C623F9">
            <w:pPr>
              <w:spacing w:after="0"/>
              <w:jc w:val="center"/>
              <w:cnfStyle w:val="000000010000" w:firstRow="0" w:lastRow="0" w:firstColumn="0" w:lastColumn="0" w:oddVBand="0" w:evenVBand="0" w:oddHBand="0" w:evenHBand="1" w:firstRowFirstColumn="0" w:firstRowLastColumn="0" w:lastRowFirstColumn="0" w:lastRowLastColumn="0"/>
            </w:pPr>
            <w:r w:rsidRPr="00A15ECD">
              <w:t>15</w:t>
            </w:r>
          </w:p>
        </w:tc>
        <w:tc>
          <w:tcPr>
            <w:tcW w:w="1559" w:type="dxa"/>
            <w:tcBorders>
              <w:left w:val="none" w:sz="0" w:space="0" w:color="auto"/>
              <w:right w:val="none" w:sz="0" w:space="0" w:color="auto"/>
            </w:tcBorders>
            <w:vAlign w:val="center"/>
          </w:tcPr>
          <w:p w:rsidR="004D4FD7" w:rsidRPr="00A15ECD" w:rsidRDefault="004D4FD7" w:rsidP="00C623F9">
            <w:pPr>
              <w:spacing w:after="0"/>
              <w:jc w:val="left"/>
              <w:cnfStyle w:val="000000010000" w:firstRow="0" w:lastRow="0" w:firstColumn="0" w:lastColumn="0" w:oddVBand="0" w:evenVBand="0" w:oddHBand="0" w:evenHBand="1" w:firstRowFirstColumn="0" w:firstRowLastColumn="0" w:lastRowFirstColumn="0" w:lastRowLastColumn="0"/>
            </w:pPr>
            <w:proofErr w:type="spellStart"/>
            <w:r w:rsidRPr="00A15ECD">
              <w:t>Soco</w:t>
            </w:r>
            <w:proofErr w:type="spellEnd"/>
          </w:p>
        </w:tc>
        <w:tc>
          <w:tcPr>
            <w:tcW w:w="1701" w:type="dxa"/>
            <w:tcBorders>
              <w:left w:val="none" w:sz="0" w:space="0" w:color="auto"/>
              <w:right w:val="none" w:sz="0" w:space="0" w:color="auto"/>
            </w:tcBorders>
            <w:vAlign w:val="center"/>
          </w:tcPr>
          <w:p w:rsidR="004D4FD7" w:rsidRPr="00A15ECD" w:rsidRDefault="004D4FD7" w:rsidP="000B24AA">
            <w:pPr>
              <w:spacing w:after="0"/>
              <w:jc w:val="center"/>
              <w:cnfStyle w:val="000000010000" w:firstRow="0" w:lastRow="0" w:firstColumn="0" w:lastColumn="0" w:oddVBand="0" w:evenVBand="0" w:oddHBand="0" w:evenHBand="1" w:firstRowFirstColumn="0" w:firstRowLastColumn="0" w:lastRowFirstColumn="0" w:lastRowLastColumn="0"/>
            </w:pPr>
            <w:r w:rsidRPr="00A15ECD">
              <w:t>One shore</w:t>
            </w:r>
          </w:p>
        </w:tc>
        <w:tc>
          <w:tcPr>
            <w:tcW w:w="1457" w:type="dxa"/>
            <w:tcBorders>
              <w:left w:val="none" w:sz="0" w:space="0" w:color="auto"/>
              <w:right w:val="none" w:sz="0" w:space="0" w:color="auto"/>
            </w:tcBorders>
            <w:vAlign w:val="center"/>
          </w:tcPr>
          <w:p w:rsidR="004D4FD7" w:rsidRPr="00A15ECD" w:rsidRDefault="004D4FD7" w:rsidP="00E340CE">
            <w:pPr>
              <w:spacing w:after="0"/>
              <w:jc w:val="center"/>
              <w:cnfStyle w:val="000000010000" w:firstRow="0" w:lastRow="0" w:firstColumn="0" w:lastColumn="0" w:oddVBand="0" w:evenVBand="0" w:oddHBand="0" w:evenHBand="1" w:firstRowFirstColumn="0" w:firstRowLastColumn="0" w:lastRowFirstColumn="0" w:lastRowLastColumn="0"/>
            </w:pPr>
            <w:r w:rsidRPr="00A15ECD">
              <w:t>CPP</w:t>
            </w:r>
          </w:p>
        </w:tc>
        <w:tc>
          <w:tcPr>
            <w:tcW w:w="1947" w:type="dxa"/>
            <w:tcBorders>
              <w:left w:val="none" w:sz="0" w:space="0" w:color="auto"/>
              <w:right w:val="none" w:sz="0" w:space="0" w:color="auto"/>
            </w:tcBorders>
            <w:vAlign w:val="center"/>
          </w:tcPr>
          <w:p w:rsidR="004D4FD7" w:rsidRPr="00A15ECD" w:rsidRDefault="004D4FD7" w:rsidP="00C623F9">
            <w:pPr>
              <w:spacing w:after="0"/>
              <w:jc w:val="center"/>
              <w:cnfStyle w:val="000000010000" w:firstRow="0" w:lastRow="0" w:firstColumn="0" w:lastColumn="0" w:oddVBand="0" w:evenVBand="0" w:oddHBand="0" w:evenHBand="1" w:firstRowFirstColumn="0" w:firstRowLastColumn="0" w:lastRowFirstColumn="0" w:lastRowLastColumn="0"/>
            </w:pPr>
            <w:r w:rsidRPr="00A15ECD">
              <w:t>06/12/2007</w:t>
            </w:r>
          </w:p>
        </w:tc>
        <w:tc>
          <w:tcPr>
            <w:tcW w:w="1699" w:type="dxa"/>
            <w:tcBorders>
              <w:left w:val="none" w:sz="0" w:space="0" w:color="auto"/>
            </w:tcBorders>
            <w:vAlign w:val="center"/>
          </w:tcPr>
          <w:p w:rsidR="004D4FD7" w:rsidRPr="00A15ECD" w:rsidRDefault="004D4FD7" w:rsidP="00C623F9">
            <w:pPr>
              <w:spacing w:after="0"/>
              <w:jc w:val="left"/>
              <w:cnfStyle w:val="000000010000" w:firstRow="0" w:lastRow="0" w:firstColumn="0" w:lastColumn="0" w:oddVBand="0" w:evenVBand="0" w:oddHBand="0" w:evenHBand="1" w:firstRowFirstColumn="0" w:firstRowLastColumn="0" w:lastRowFirstColumn="0" w:lastRowLastColumn="0"/>
            </w:pPr>
            <w:r w:rsidRPr="00A15ECD">
              <w:t>Graben Albertine</w:t>
            </w:r>
          </w:p>
        </w:tc>
      </w:tr>
    </w:tbl>
    <w:p w:rsidR="004D4FD7" w:rsidRDefault="004D4FD7" w:rsidP="00C623F9">
      <w:pPr>
        <w:spacing w:after="0"/>
      </w:pPr>
    </w:p>
    <w:p w:rsidR="004D4FD7" w:rsidRPr="00D039E6" w:rsidRDefault="004D4FD7" w:rsidP="004D4FD7">
      <w:pPr>
        <w:rPr>
          <w:b/>
          <w:sz w:val="24"/>
          <w:u w:val="single"/>
        </w:rPr>
      </w:pPr>
      <w:r w:rsidRPr="00D039E6">
        <w:rPr>
          <w:b/>
          <w:sz w:val="24"/>
          <w:u w:val="single"/>
        </w:rPr>
        <w:t>Phase de production</w:t>
      </w:r>
    </w:p>
    <w:tbl>
      <w:tblPr>
        <w:tblStyle w:val="Tramemoyenne1-Accent12"/>
        <w:tblW w:w="14582" w:type="dxa"/>
        <w:tblBorders>
          <w:top w:val="single" w:sz="4" w:space="0" w:color="7BA0CD" w:themeColor="accent1" w:themeTint="BF"/>
          <w:left w:val="single" w:sz="4" w:space="0" w:color="7BA0CD" w:themeColor="accent1" w:themeTint="BF"/>
          <w:bottom w:val="single" w:sz="4" w:space="0" w:color="7BA0CD" w:themeColor="accent1" w:themeTint="BF"/>
          <w:right w:val="single" w:sz="4" w:space="0" w:color="7BA0CD" w:themeColor="accent1" w:themeTint="BF"/>
          <w:insideH w:val="single" w:sz="4" w:space="0" w:color="7BA0CD" w:themeColor="accent1" w:themeTint="BF"/>
          <w:insideV w:val="single" w:sz="4" w:space="0" w:color="7BA0CD" w:themeColor="accent1" w:themeTint="BF"/>
        </w:tblBorders>
        <w:tblLook w:val="04A0" w:firstRow="1" w:lastRow="0" w:firstColumn="1" w:lastColumn="0" w:noHBand="0" w:noVBand="1"/>
      </w:tblPr>
      <w:tblGrid>
        <w:gridCol w:w="441"/>
        <w:gridCol w:w="1510"/>
        <w:gridCol w:w="2791"/>
        <w:gridCol w:w="1469"/>
        <w:gridCol w:w="1554"/>
        <w:gridCol w:w="1722"/>
        <w:gridCol w:w="1414"/>
        <w:gridCol w:w="1987"/>
        <w:gridCol w:w="1694"/>
      </w:tblGrid>
      <w:tr w:rsidR="004D4FD7" w:rsidRPr="00A15ECD" w:rsidTr="002677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 w:type="dxa"/>
            <w:tcBorders>
              <w:top w:val="none" w:sz="0" w:space="0" w:color="auto"/>
              <w:left w:val="none" w:sz="0" w:space="0" w:color="auto"/>
              <w:bottom w:val="none" w:sz="0" w:space="0" w:color="auto"/>
              <w:right w:val="none" w:sz="0" w:space="0" w:color="auto"/>
            </w:tcBorders>
            <w:vAlign w:val="center"/>
          </w:tcPr>
          <w:p w:rsidR="004D4FD7" w:rsidRPr="00A15ECD" w:rsidRDefault="004D4FD7" w:rsidP="00C623F9">
            <w:pPr>
              <w:spacing w:after="0"/>
              <w:jc w:val="left"/>
            </w:pPr>
            <w:r w:rsidRPr="00A15ECD">
              <w:t>N°</w:t>
            </w:r>
          </w:p>
        </w:tc>
        <w:tc>
          <w:tcPr>
            <w:tcW w:w="1510" w:type="dxa"/>
            <w:tcBorders>
              <w:top w:val="none" w:sz="0" w:space="0" w:color="auto"/>
              <w:left w:val="none" w:sz="0" w:space="0" w:color="auto"/>
              <w:bottom w:val="none" w:sz="0" w:space="0" w:color="auto"/>
              <w:right w:val="none" w:sz="0" w:space="0" w:color="auto"/>
            </w:tcBorders>
            <w:vAlign w:val="center"/>
          </w:tcPr>
          <w:p w:rsidR="004D4FD7" w:rsidRPr="00A15ECD" w:rsidRDefault="004D4FD7" w:rsidP="00C623F9">
            <w:pPr>
              <w:spacing w:after="0"/>
              <w:jc w:val="left"/>
              <w:cnfStyle w:val="100000000000" w:firstRow="1" w:lastRow="0" w:firstColumn="0" w:lastColumn="0" w:oddVBand="0" w:evenVBand="0" w:oddHBand="0" w:evenHBand="0" w:firstRowFirstColumn="0" w:firstRowLastColumn="0" w:lastRowFirstColumn="0" w:lastRowLastColumn="0"/>
            </w:pPr>
            <w:r w:rsidRPr="00A15ECD">
              <w:t>Bloc</w:t>
            </w:r>
          </w:p>
        </w:tc>
        <w:tc>
          <w:tcPr>
            <w:tcW w:w="2791" w:type="dxa"/>
            <w:tcBorders>
              <w:top w:val="none" w:sz="0" w:space="0" w:color="auto"/>
              <w:left w:val="none" w:sz="0" w:space="0" w:color="auto"/>
              <w:bottom w:val="none" w:sz="0" w:space="0" w:color="auto"/>
              <w:right w:val="none" w:sz="0" w:space="0" w:color="auto"/>
            </w:tcBorders>
            <w:vAlign w:val="center"/>
          </w:tcPr>
          <w:p w:rsidR="004D4FD7" w:rsidRPr="00A15ECD" w:rsidRDefault="004D4FD7" w:rsidP="00C623F9">
            <w:pPr>
              <w:spacing w:after="0"/>
              <w:jc w:val="left"/>
              <w:cnfStyle w:val="100000000000" w:firstRow="1" w:lastRow="0" w:firstColumn="0" w:lastColumn="0" w:oddVBand="0" w:evenVBand="0" w:oddHBand="0" w:evenHBand="0" w:firstRowFirstColumn="0" w:firstRowLastColumn="0" w:lastRowFirstColumn="0" w:lastRowLastColumn="0"/>
            </w:pPr>
            <w:r w:rsidRPr="00A15ECD">
              <w:t>Association</w:t>
            </w:r>
          </w:p>
        </w:tc>
        <w:tc>
          <w:tcPr>
            <w:tcW w:w="1469" w:type="dxa"/>
            <w:tcBorders>
              <w:top w:val="none" w:sz="0" w:space="0" w:color="auto"/>
              <w:left w:val="none" w:sz="0" w:space="0" w:color="auto"/>
              <w:bottom w:val="none" w:sz="0" w:space="0" w:color="auto"/>
              <w:right w:val="none" w:sz="0" w:space="0" w:color="auto"/>
            </w:tcBorders>
            <w:vAlign w:val="center"/>
          </w:tcPr>
          <w:p w:rsidR="004D4FD7" w:rsidRPr="00A15ECD" w:rsidRDefault="004D4FD7" w:rsidP="000B24AA">
            <w:pPr>
              <w:spacing w:after="0"/>
              <w:jc w:val="center"/>
              <w:cnfStyle w:val="100000000000" w:firstRow="1" w:lastRow="0" w:firstColumn="0" w:lastColumn="0" w:oddVBand="0" w:evenVBand="0" w:oddHBand="0" w:evenHBand="0" w:firstRowFirstColumn="0" w:firstRowLastColumn="0" w:lastRowFirstColumn="0" w:lastRowLastColumn="0"/>
            </w:pPr>
            <w:r w:rsidRPr="00A15ECD">
              <w:t>Parts%</w:t>
            </w:r>
          </w:p>
        </w:tc>
        <w:tc>
          <w:tcPr>
            <w:tcW w:w="1554" w:type="dxa"/>
            <w:tcBorders>
              <w:top w:val="none" w:sz="0" w:space="0" w:color="auto"/>
              <w:left w:val="none" w:sz="0" w:space="0" w:color="auto"/>
              <w:bottom w:val="none" w:sz="0" w:space="0" w:color="auto"/>
              <w:right w:val="none" w:sz="0" w:space="0" w:color="auto"/>
            </w:tcBorders>
            <w:vAlign w:val="center"/>
          </w:tcPr>
          <w:p w:rsidR="004D4FD7" w:rsidRPr="00A15ECD" w:rsidRDefault="004D4FD7" w:rsidP="00C623F9">
            <w:pPr>
              <w:spacing w:after="0"/>
              <w:jc w:val="left"/>
              <w:cnfStyle w:val="100000000000" w:firstRow="1" w:lastRow="0" w:firstColumn="0" w:lastColumn="0" w:oddVBand="0" w:evenVBand="0" w:oddHBand="0" w:evenHBand="0" w:firstRowFirstColumn="0" w:firstRowLastColumn="0" w:lastRowFirstColumn="0" w:lastRowLastColumn="0"/>
            </w:pPr>
            <w:r w:rsidRPr="00A15ECD">
              <w:t>Opérateur</w:t>
            </w:r>
          </w:p>
        </w:tc>
        <w:tc>
          <w:tcPr>
            <w:tcW w:w="1722" w:type="dxa"/>
            <w:tcBorders>
              <w:top w:val="none" w:sz="0" w:space="0" w:color="auto"/>
              <w:left w:val="none" w:sz="0" w:space="0" w:color="auto"/>
              <w:bottom w:val="none" w:sz="0" w:space="0" w:color="auto"/>
              <w:right w:val="none" w:sz="0" w:space="0" w:color="auto"/>
            </w:tcBorders>
            <w:vAlign w:val="center"/>
          </w:tcPr>
          <w:p w:rsidR="004D4FD7" w:rsidRPr="00A15ECD" w:rsidRDefault="004D4FD7" w:rsidP="000B24AA">
            <w:pPr>
              <w:spacing w:after="0"/>
              <w:jc w:val="center"/>
              <w:cnfStyle w:val="100000000000" w:firstRow="1" w:lastRow="0" w:firstColumn="0" w:lastColumn="0" w:oddVBand="0" w:evenVBand="0" w:oddHBand="0" w:evenHBand="0" w:firstRowFirstColumn="0" w:firstRowLastColumn="0" w:lastRowFirstColumn="0" w:lastRowLastColumn="0"/>
            </w:pPr>
            <w:r w:rsidRPr="00A15ECD">
              <w:t>Type d'activité</w:t>
            </w:r>
          </w:p>
        </w:tc>
        <w:tc>
          <w:tcPr>
            <w:tcW w:w="1414" w:type="dxa"/>
            <w:tcBorders>
              <w:top w:val="none" w:sz="0" w:space="0" w:color="auto"/>
              <w:left w:val="none" w:sz="0" w:space="0" w:color="auto"/>
              <w:bottom w:val="none" w:sz="0" w:space="0" w:color="auto"/>
              <w:right w:val="none" w:sz="0" w:space="0" w:color="auto"/>
            </w:tcBorders>
            <w:vAlign w:val="center"/>
          </w:tcPr>
          <w:p w:rsidR="004D4FD7" w:rsidRPr="00A15ECD" w:rsidRDefault="004D4FD7" w:rsidP="00E340CE">
            <w:pPr>
              <w:spacing w:after="0"/>
              <w:jc w:val="center"/>
              <w:cnfStyle w:val="100000000000" w:firstRow="1" w:lastRow="0" w:firstColumn="0" w:lastColumn="0" w:oddVBand="0" w:evenVBand="0" w:oddHBand="0" w:evenHBand="0" w:firstRowFirstColumn="0" w:firstRowLastColumn="0" w:lastRowFirstColumn="0" w:lastRowLastColumn="0"/>
            </w:pPr>
            <w:r w:rsidRPr="00A15ECD">
              <w:t>Nature du Contrat</w:t>
            </w:r>
          </w:p>
        </w:tc>
        <w:tc>
          <w:tcPr>
            <w:tcW w:w="1987" w:type="dxa"/>
            <w:tcBorders>
              <w:top w:val="none" w:sz="0" w:space="0" w:color="auto"/>
              <w:left w:val="none" w:sz="0" w:space="0" w:color="auto"/>
              <w:bottom w:val="none" w:sz="0" w:space="0" w:color="auto"/>
              <w:right w:val="none" w:sz="0" w:space="0" w:color="auto"/>
            </w:tcBorders>
            <w:vAlign w:val="center"/>
          </w:tcPr>
          <w:p w:rsidR="004D4FD7" w:rsidRPr="00A15ECD" w:rsidRDefault="004D4FD7" w:rsidP="005D6654">
            <w:pPr>
              <w:spacing w:after="0"/>
              <w:jc w:val="center"/>
              <w:cnfStyle w:val="100000000000" w:firstRow="1" w:lastRow="0" w:firstColumn="0" w:lastColumn="0" w:oddVBand="0" w:evenVBand="0" w:oddHBand="0" w:evenHBand="0" w:firstRowFirstColumn="0" w:firstRowLastColumn="0" w:lastRowFirstColumn="0" w:lastRowLastColumn="0"/>
            </w:pPr>
            <w:r w:rsidRPr="00A15ECD">
              <w:t>Date de signature</w:t>
            </w:r>
          </w:p>
        </w:tc>
        <w:tc>
          <w:tcPr>
            <w:tcW w:w="1694" w:type="dxa"/>
            <w:tcBorders>
              <w:top w:val="none" w:sz="0" w:space="0" w:color="auto"/>
              <w:left w:val="none" w:sz="0" w:space="0" w:color="auto"/>
              <w:bottom w:val="none" w:sz="0" w:space="0" w:color="auto"/>
              <w:right w:val="none" w:sz="0" w:space="0" w:color="auto"/>
            </w:tcBorders>
            <w:vAlign w:val="center"/>
          </w:tcPr>
          <w:p w:rsidR="004D4FD7" w:rsidRPr="00A15ECD" w:rsidRDefault="004D4FD7" w:rsidP="00C623F9">
            <w:pPr>
              <w:spacing w:after="0"/>
              <w:jc w:val="left"/>
              <w:cnfStyle w:val="100000000000" w:firstRow="1" w:lastRow="0" w:firstColumn="0" w:lastColumn="0" w:oddVBand="0" w:evenVBand="0" w:oddHBand="0" w:evenHBand="0" w:firstRowFirstColumn="0" w:firstRowLastColumn="0" w:lastRowFirstColumn="0" w:lastRowLastColumn="0"/>
            </w:pPr>
            <w:r w:rsidRPr="00A15ECD">
              <w:t>Bassin sédimentaire</w:t>
            </w:r>
          </w:p>
        </w:tc>
      </w:tr>
      <w:tr w:rsidR="004D4FD7" w:rsidRPr="00A15ECD" w:rsidTr="002677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 w:type="dxa"/>
            <w:tcBorders>
              <w:right w:val="none" w:sz="0" w:space="0" w:color="auto"/>
            </w:tcBorders>
            <w:vAlign w:val="center"/>
          </w:tcPr>
          <w:p w:rsidR="004D4FD7" w:rsidRPr="00A15ECD" w:rsidRDefault="004D4FD7" w:rsidP="00C623F9">
            <w:pPr>
              <w:spacing w:after="0"/>
              <w:jc w:val="left"/>
            </w:pPr>
            <w:r w:rsidRPr="00A15ECD">
              <w:t>1</w:t>
            </w:r>
          </w:p>
        </w:tc>
        <w:tc>
          <w:tcPr>
            <w:tcW w:w="1510" w:type="dxa"/>
            <w:tcBorders>
              <w:left w:val="none" w:sz="0" w:space="0" w:color="auto"/>
              <w:right w:val="none" w:sz="0" w:space="0" w:color="auto"/>
            </w:tcBorders>
            <w:vAlign w:val="center"/>
          </w:tcPr>
          <w:p w:rsidR="004D4FD7" w:rsidRPr="00A15ECD" w:rsidRDefault="004D4FD7" w:rsidP="00C623F9">
            <w:pPr>
              <w:spacing w:after="0"/>
              <w:jc w:val="left"/>
              <w:cnfStyle w:val="000000100000" w:firstRow="0" w:lastRow="0" w:firstColumn="0" w:lastColumn="0" w:oddVBand="0" w:evenVBand="0" w:oddHBand="1" w:evenHBand="0" w:firstRowFirstColumn="0" w:firstRowLastColumn="0" w:lastRowFirstColumn="0" w:lastRowLastColumn="0"/>
            </w:pPr>
            <w:r w:rsidRPr="00A15ECD">
              <w:t>Concession 180</w:t>
            </w:r>
          </w:p>
        </w:tc>
        <w:tc>
          <w:tcPr>
            <w:tcW w:w="2791" w:type="dxa"/>
            <w:tcBorders>
              <w:left w:val="none" w:sz="0" w:space="0" w:color="auto"/>
              <w:right w:val="none" w:sz="0" w:space="0" w:color="auto"/>
            </w:tcBorders>
            <w:vAlign w:val="center"/>
          </w:tcPr>
          <w:p w:rsidR="004D4FD7" w:rsidRPr="00A15ECD" w:rsidRDefault="004D4FD7" w:rsidP="00C623F9">
            <w:pPr>
              <w:spacing w:after="0"/>
              <w:jc w:val="left"/>
              <w:cnfStyle w:val="000000100000" w:firstRow="0" w:lastRow="0" w:firstColumn="0" w:lastColumn="0" w:oddVBand="0" w:evenVBand="0" w:oddHBand="1" w:evenHBand="0" w:firstRowFirstColumn="0" w:firstRowLastColumn="0" w:lastRowFirstColumn="0" w:lastRowLastColumn="0"/>
            </w:pPr>
            <w:proofErr w:type="spellStart"/>
            <w:r w:rsidRPr="00A15ECD">
              <w:t>Perenco-Rep</w:t>
            </w:r>
            <w:proofErr w:type="spellEnd"/>
            <w:r w:rsidRPr="00A15ECD">
              <w:t xml:space="preserve"> </w:t>
            </w:r>
            <w:proofErr w:type="spellStart"/>
            <w:r w:rsidRPr="00A15ECD">
              <w:t>Lirex</w:t>
            </w:r>
            <w:proofErr w:type="spellEnd"/>
            <w:r w:rsidRPr="00A15ECD">
              <w:t xml:space="preserve"> </w:t>
            </w:r>
            <w:proofErr w:type="spellStart"/>
            <w:r w:rsidRPr="00A15ECD">
              <w:t>Cohydro</w:t>
            </w:r>
            <w:proofErr w:type="spellEnd"/>
          </w:p>
        </w:tc>
        <w:tc>
          <w:tcPr>
            <w:tcW w:w="1469" w:type="dxa"/>
            <w:tcBorders>
              <w:left w:val="none" w:sz="0" w:space="0" w:color="auto"/>
              <w:right w:val="none" w:sz="0" w:space="0" w:color="auto"/>
            </w:tcBorders>
            <w:vAlign w:val="center"/>
          </w:tcPr>
          <w:p w:rsidR="004D4FD7" w:rsidRPr="00A15ECD" w:rsidRDefault="004D4FD7" w:rsidP="000B24AA">
            <w:pPr>
              <w:spacing w:after="0"/>
              <w:jc w:val="center"/>
              <w:cnfStyle w:val="000000100000" w:firstRow="0" w:lastRow="0" w:firstColumn="0" w:lastColumn="0" w:oddVBand="0" w:evenVBand="0" w:oddHBand="1" w:evenHBand="0" w:firstRowFirstColumn="0" w:firstRowLastColumn="0" w:lastRowFirstColumn="0" w:lastRowLastColumn="0"/>
            </w:pPr>
            <w:r w:rsidRPr="00A15ECD">
              <w:t>55</w:t>
            </w:r>
          </w:p>
          <w:p w:rsidR="004D4FD7" w:rsidRPr="00A15ECD" w:rsidRDefault="004D4FD7" w:rsidP="000B24AA">
            <w:pPr>
              <w:spacing w:after="0"/>
              <w:jc w:val="center"/>
              <w:cnfStyle w:val="000000100000" w:firstRow="0" w:lastRow="0" w:firstColumn="0" w:lastColumn="0" w:oddVBand="0" w:evenVBand="0" w:oddHBand="1" w:evenHBand="0" w:firstRowFirstColumn="0" w:firstRowLastColumn="0" w:lastRowFirstColumn="0" w:lastRowLastColumn="0"/>
            </w:pPr>
            <w:r w:rsidRPr="00A15ECD">
              <w:t>45</w:t>
            </w:r>
          </w:p>
        </w:tc>
        <w:tc>
          <w:tcPr>
            <w:tcW w:w="1554" w:type="dxa"/>
            <w:tcBorders>
              <w:left w:val="none" w:sz="0" w:space="0" w:color="auto"/>
              <w:right w:val="none" w:sz="0" w:space="0" w:color="auto"/>
            </w:tcBorders>
            <w:vAlign w:val="center"/>
          </w:tcPr>
          <w:p w:rsidR="004D4FD7" w:rsidRPr="00A15ECD" w:rsidRDefault="004D4FD7" w:rsidP="00C623F9">
            <w:pPr>
              <w:spacing w:after="0"/>
              <w:jc w:val="left"/>
              <w:cnfStyle w:val="000000100000" w:firstRow="0" w:lastRow="0" w:firstColumn="0" w:lastColumn="0" w:oddVBand="0" w:evenVBand="0" w:oddHBand="1" w:evenHBand="0" w:firstRowFirstColumn="0" w:firstRowLastColumn="0" w:lastRowFirstColumn="0" w:lastRowLastColumn="0"/>
            </w:pPr>
            <w:proofErr w:type="spellStart"/>
            <w:r w:rsidRPr="00A15ECD">
              <w:t>Perenco-Rep</w:t>
            </w:r>
            <w:proofErr w:type="spellEnd"/>
            <w:r w:rsidRPr="00A15ECD">
              <w:t xml:space="preserve"> </w:t>
            </w:r>
            <w:proofErr w:type="spellStart"/>
            <w:r w:rsidRPr="00A15ECD">
              <w:t>Lirex</w:t>
            </w:r>
            <w:proofErr w:type="spellEnd"/>
            <w:r w:rsidRPr="00A15ECD">
              <w:t xml:space="preserve"> </w:t>
            </w:r>
            <w:proofErr w:type="spellStart"/>
            <w:r w:rsidRPr="00A15ECD">
              <w:t>Cohydro</w:t>
            </w:r>
            <w:proofErr w:type="spellEnd"/>
          </w:p>
        </w:tc>
        <w:tc>
          <w:tcPr>
            <w:tcW w:w="1722" w:type="dxa"/>
            <w:tcBorders>
              <w:left w:val="none" w:sz="0" w:space="0" w:color="auto"/>
              <w:right w:val="none" w:sz="0" w:space="0" w:color="auto"/>
            </w:tcBorders>
            <w:vAlign w:val="center"/>
          </w:tcPr>
          <w:p w:rsidR="004D4FD7" w:rsidRPr="00A15ECD" w:rsidRDefault="004D4FD7" w:rsidP="000B24AA">
            <w:pPr>
              <w:spacing w:after="0"/>
              <w:jc w:val="center"/>
              <w:cnfStyle w:val="000000100000" w:firstRow="0" w:lastRow="0" w:firstColumn="0" w:lastColumn="0" w:oddVBand="0" w:evenVBand="0" w:oddHBand="1" w:evenHBand="0" w:firstRowFirstColumn="0" w:firstRowLastColumn="0" w:lastRowFirstColumn="0" w:lastRowLastColumn="0"/>
            </w:pPr>
            <w:r w:rsidRPr="00A15ECD">
              <w:t>One shore</w:t>
            </w:r>
          </w:p>
        </w:tc>
        <w:tc>
          <w:tcPr>
            <w:tcW w:w="1414" w:type="dxa"/>
            <w:tcBorders>
              <w:left w:val="none" w:sz="0" w:space="0" w:color="auto"/>
              <w:right w:val="none" w:sz="0" w:space="0" w:color="auto"/>
            </w:tcBorders>
            <w:vAlign w:val="center"/>
          </w:tcPr>
          <w:p w:rsidR="004D4FD7" w:rsidRPr="00A15ECD" w:rsidRDefault="004D4FD7" w:rsidP="00E340CE">
            <w:pPr>
              <w:spacing w:after="0"/>
              <w:jc w:val="center"/>
              <w:cnfStyle w:val="000000100000" w:firstRow="0" w:lastRow="0" w:firstColumn="0" w:lastColumn="0" w:oddVBand="0" w:evenVBand="0" w:oddHBand="1" w:evenHBand="0" w:firstRowFirstColumn="0" w:firstRowLastColumn="0" w:lastRowFirstColumn="0" w:lastRowLastColumn="0"/>
            </w:pPr>
            <w:r w:rsidRPr="00A15ECD">
              <w:t>Convention</w:t>
            </w:r>
          </w:p>
        </w:tc>
        <w:tc>
          <w:tcPr>
            <w:tcW w:w="1987" w:type="dxa"/>
            <w:tcBorders>
              <w:left w:val="none" w:sz="0" w:space="0" w:color="auto"/>
              <w:right w:val="none" w:sz="0" w:space="0" w:color="auto"/>
            </w:tcBorders>
            <w:vAlign w:val="center"/>
          </w:tcPr>
          <w:p w:rsidR="004D4FD7" w:rsidRPr="00A15ECD" w:rsidRDefault="004D4FD7" w:rsidP="005D6654">
            <w:pPr>
              <w:spacing w:after="0"/>
              <w:jc w:val="center"/>
              <w:cnfStyle w:val="000000100000" w:firstRow="0" w:lastRow="0" w:firstColumn="0" w:lastColumn="0" w:oddVBand="0" w:evenVBand="0" w:oddHBand="1" w:evenHBand="0" w:firstRowFirstColumn="0" w:firstRowLastColumn="0" w:lastRowFirstColumn="0" w:lastRowLastColumn="0"/>
            </w:pPr>
            <w:r w:rsidRPr="00A15ECD">
              <w:t>11/08/1969</w:t>
            </w:r>
          </w:p>
        </w:tc>
        <w:tc>
          <w:tcPr>
            <w:tcW w:w="1694" w:type="dxa"/>
            <w:tcBorders>
              <w:left w:val="none" w:sz="0" w:space="0" w:color="auto"/>
            </w:tcBorders>
            <w:vAlign w:val="center"/>
          </w:tcPr>
          <w:p w:rsidR="004D4FD7" w:rsidRPr="00A15ECD" w:rsidRDefault="004D4FD7" w:rsidP="00C623F9">
            <w:pPr>
              <w:spacing w:after="0"/>
              <w:jc w:val="left"/>
              <w:cnfStyle w:val="000000100000" w:firstRow="0" w:lastRow="0" w:firstColumn="0" w:lastColumn="0" w:oddVBand="0" w:evenVBand="0" w:oddHBand="1" w:evenHBand="0" w:firstRowFirstColumn="0" w:firstRowLastColumn="0" w:lastRowFirstColumn="0" w:lastRowLastColumn="0"/>
            </w:pPr>
            <w:r w:rsidRPr="00A15ECD">
              <w:t>Bassin côtier</w:t>
            </w:r>
          </w:p>
        </w:tc>
      </w:tr>
      <w:tr w:rsidR="004D4FD7" w:rsidRPr="00A15ECD" w:rsidTr="0026770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 w:type="dxa"/>
            <w:tcBorders>
              <w:right w:val="none" w:sz="0" w:space="0" w:color="auto"/>
            </w:tcBorders>
            <w:vAlign w:val="center"/>
          </w:tcPr>
          <w:p w:rsidR="004D4FD7" w:rsidRPr="00A15ECD" w:rsidRDefault="004D4FD7" w:rsidP="00C623F9">
            <w:pPr>
              <w:spacing w:after="0"/>
              <w:jc w:val="left"/>
            </w:pPr>
            <w:r w:rsidRPr="00A15ECD">
              <w:t>2</w:t>
            </w:r>
          </w:p>
        </w:tc>
        <w:tc>
          <w:tcPr>
            <w:tcW w:w="1510" w:type="dxa"/>
            <w:tcBorders>
              <w:left w:val="none" w:sz="0" w:space="0" w:color="auto"/>
              <w:right w:val="none" w:sz="0" w:space="0" w:color="auto"/>
            </w:tcBorders>
            <w:vAlign w:val="center"/>
          </w:tcPr>
          <w:p w:rsidR="004D4FD7" w:rsidRPr="00A15ECD" w:rsidRDefault="004D4FD7" w:rsidP="00C623F9">
            <w:pPr>
              <w:spacing w:after="0"/>
              <w:jc w:val="left"/>
              <w:cnfStyle w:val="000000010000" w:firstRow="0" w:lastRow="0" w:firstColumn="0" w:lastColumn="0" w:oddVBand="0" w:evenVBand="0" w:oddHBand="0" w:evenHBand="1" w:firstRowFirstColumn="0" w:firstRowLastColumn="0" w:lastRowFirstColumn="0" w:lastRowLastColumn="0"/>
            </w:pPr>
            <w:r w:rsidRPr="00A15ECD">
              <w:t>Concession 117</w:t>
            </w:r>
          </w:p>
        </w:tc>
        <w:tc>
          <w:tcPr>
            <w:tcW w:w="2791" w:type="dxa"/>
            <w:tcBorders>
              <w:left w:val="none" w:sz="0" w:space="0" w:color="auto"/>
              <w:right w:val="none" w:sz="0" w:space="0" w:color="auto"/>
            </w:tcBorders>
            <w:vAlign w:val="center"/>
          </w:tcPr>
          <w:p w:rsidR="004D4FD7" w:rsidRPr="00A15ECD" w:rsidRDefault="004D4FD7" w:rsidP="00C623F9">
            <w:pPr>
              <w:spacing w:after="0"/>
              <w:jc w:val="left"/>
              <w:cnfStyle w:val="000000010000" w:firstRow="0" w:lastRow="0" w:firstColumn="0" w:lastColumn="0" w:oddVBand="0" w:evenVBand="0" w:oddHBand="0" w:evenHBand="1" w:firstRowFirstColumn="0" w:firstRowLastColumn="0" w:lastRowFirstColumn="0" w:lastRowLastColumn="0"/>
            </w:pPr>
            <w:proofErr w:type="spellStart"/>
            <w:r w:rsidRPr="00A15ECD">
              <w:t>Mioc</w:t>
            </w:r>
            <w:proofErr w:type="spellEnd"/>
          </w:p>
          <w:p w:rsidR="004D4FD7" w:rsidRPr="00A15ECD" w:rsidRDefault="004D4FD7" w:rsidP="00C623F9">
            <w:pPr>
              <w:spacing w:after="0"/>
              <w:jc w:val="left"/>
              <w:cnfStyle w:val="000000010000" w:firstRow="0" w:lastRow="0" w:firstColumn="0" w:lastColumn="0" w:oddVBand="0" w:evenVBand="0" w:oddHBand="0" w:evenHBand="1" w:firstRowFirstColumn="0" w:firstRowLastColumn="0" w:lastRowFirstColumn="0" w:lastRowLastColumn="0"/>
            </w:pPr>
            <w:proofErr w:type="spellStart"/>
            <w:r w:rsidRPr="00A15ECD">
              <w:t>Ods</w:t>
            </w:r>
            <w:proofErr w:type="spellEnd"/>
          </w:p>
          <w:p w:rsidR="004D4FD7" w:rsidRPr="00A15ECD" w:rsidRDefault="004D4FD7" w:rsidP="00C623F9">
            <w:pPr>
              <w:spacing w:after="0"/>
              <w:jc w:val="left"/>
              <w:cnfStyle w:val="000000010000" w:firstRow="0" w:lastRow="0" w:firstColumn="0" w:lastColumn="0" w:oddVBand="0" w:evenVBand="0" w:oddHBand="0" w:evenHBand="1" w:firstRowFirstColumn="0" w:firstRowLastColumn="0" w:lastRowFirstColumn="0" w:lastRowLastColumn="0"/>
            </w:pPr>
            <w:proofErr w:type="spellStart"/>
            <w:r w:rsidRPr="00A15ECD">
              <w:t>Teikoku</w:t>
            </w:r>
            <w:proofErr w:type="spellEnd"/>
          </w:p>
        </w:tc>
        <w:tc>
          <w:tcPr>
            <w:tcW w:w="1469" w:type="dxa"/>
            <w:tcBorders>
              <w:left w:val="none" w:sz="0" w:space="0" w:color="auto"/>
              <w:right w:val="none" w:sz="0" w:space="0" w:color="auto"/>
            </w:tcBorders>
            <w:vAlign w:val="center"/>
          </w:tcPr>
          <w:p w:rsidR="004D4FD7" w:rsidRPr="00A15ECD" w:rsidRDefault="004D4FD7" w:rsidP="000B24AA">
            <w:pPr>
              <w:spacing w:after="0"/>
              <w:jc w:val="center"/>
              <w:cnfStyle w:val="000000010000" w:firstRow="0" w:lastRow="0" w:firstColumn="0" w:lastColumn="0" w:oddVBand="0" w:evenVBand="0" w:oddHBand="0" w:evenHBand="1" w:firstRowFirstColumn="0" w:firstRowLastColumn="0" w:lastRowFirstColumn="0" w:lastRowLastColumn="0"/>
            </w:pPr>
            <w:r w:rsidRPr="00A15ECD">
              <w:t>50</w:t>
            </w:r>
          </w:p>
          <w:p w:rsidR="004D4FD7" w:rsidRPr="00A15ECD" w:rsidRDefault="004D4FD7" w:rsidP="000B24AA">
            <w:pPr>
              <w:spacing w:after="0"/>
              <w:jc w:val="center"/>
              <w:cnfStyle w:val="000000010000" w:firstRow="0" w:lastRow="0" w:firstColumn="0" w:lastColumn="0" w:oddVBand="0" w:evenVBand="0" w:oddHBand="0" w:evenHBand="1" w:firstRowFirstColumn="0" w:firstRowLastColumn="0" w:lastRowFirstColumn="0" w:lastRowLastColumn="0"/>
            </w:pPr>
            <w:r w:rsidRPr="00A15ECD">
              <w:t>17</w:t>
            </w:r>
          </w:p>
          <w:p w:rsidR="004D4FD7" w:rsidRPr="00A15ECD" w:rsidRDefault="004D4FD7" w:rsidP="000B24AA">
            <w:pPr>
              <w:spacing w:after="0"/>
              <w:jc w:val="center"/>
              <w:cnfStyle w:val="000000010000" w:firstRow="0" w:lastRow="0" w:firstColumn="0" w:lastColumn="0" w:oddVBand="0" w:evenVBand="0" w:oddHBand="0" w:evenHBand="1" w:firstRowFirstColumn="0" w:firstRowLastColumn="0" w:lastRowFirstColumn="0" w:lastRowLastColumn="0"/>
            </w:pPr>
            <w:r w:rsidRPr="00A15ECD">
              <w:t>33</w:t>
            </w:r>
          </w:p>
        </w:tc>
        <w:tc>
          <w:tcPr>
            <w:tcW w:w="1554" w:type="dxa"/>
            <w:tcBorders>
              <w:left w:val="none" w:sz="0" w:space="0" w:color="auto"/>
              <w:right w:val="none" w:sz="0" w:space="0" w:color="auto"/>
            </w:tcBorders>
            <w:vAlign w:val="center"/>
          </w:tcPr>
          <w:p w:rsidR="004D4FD7" w:rsidRPr="00A15ECD" w:rsidRDefault="004D4FD7" w:rsidP="00C623F9">
            <w:pPr>
              <w:spacing w:after="0"/>
              <w:jc w:val="left"/>
              <w:cnfStyle w:val="000000010000" w:firstRow="0" w:lastRow="0" w:firstColumn="0" w:lastColumn="0" w:oddVBand="0" w:evenVBand="0" w:oddHBand="0" w:evenHBand="1" w:firstRowFirstColumn="0" w:firstRowLastColumn="0" w:lastRowFirstColumn="0" w:lastRowLastColumn="0"/>
            </w:pPr>
            <w:proofErr w:type="spellStart"/>
            <w:r w:rsidRPr="00A15ECD">
              <w:t>Mioc</w:t>
            </w:r>
            <w:proofErr w:type="spellEnd"/>
          </w:p>
          <w:p w:rsidR="004D4FD7" w:rsidRPr="00A15ECD" w:rsidRDefault="004D4FD7" w:rsidP="00C623F9">
            <w:pPr>
              <w:spacing w:after="0"/>
              <w:jc w:val="left"/>
              <w:cnfStyle w:val="000000010000" w:firstRow="0" w:lastRow="0" w:firstColumn="0" w:lastColumn="0" w:oddVBand="0" w:evenVBand="0" w:oddHBand="0" w:evenHBand="1" w:firstRowFirstColumn="0" w:firstRowLastColumn="0" w:lastRowFirstColumn="0" w:lastRowLastColumn="0"/>
            </w:pPr>
            <w:proofErr w:type="spellStart"/>
            <w:r w:rsidRPr="00A15ECD">
              <w:t>Ods</w:t>
            </w:r>
            <w:proofErr w:type="spellEnd"/>
          </w:p>
          <w:p w:rsidR="004D4FD7" w:rsidRPr="00A15ECD" w:rsidRDefault="004D4FD7" w:rsidP="00C623F9">
            <w:pPr>
              <w:spacing w:after="0"/>
              <w:jc w:val="left"/>
              <w:cnfStyle w:val="000000010000" w:firstRow="0" w:lastRow="0" w:firstColumn="0" w:lastColumn="0" w:oddVBand="0" w:evenVBand="0" w:oddHBand="0" w:evenHBand="1" w:firstRowFirstColumn="0" w:firstRowLastColumn="0" w:lastRowFirstColumn="0" w:lastRowLastColumn="0"/>
            </w:pPr>
            <w:proofErr w:type="spellStart"/>
            <w:r w:rsidRPr="00A15ECD">
              <w:t>Teikoku</w:t>
            </w:r>
            <w:proofErr w:type="spellEnd"/>
          </w:p>
        </w:tc>
        <w:tc>
          <w:tcPr>
            <w:tcW w:w="1722" w:type="dxa"/>
            <w:tcBorders>
              <w:left w:val="none" w:sz="0" w:space="0" w:color="auto"/>
              <w:right w:val="none" w:sz="0" w:space="0" w:color="auto"/>
            </w:tcBorders>
            <w:vAlign w:val="center"/>
          </w:tcPr>
          <w:p w:rsidR="004D4FD7" w:rsidRPr="00A15ECD" w:rsidRDefault="004D4FD7" w:rsidP="000B24AA">
            <w:pPr>
              <w:spacing w:after="0"/>
              <w:jc w:val="center"/>
              <w:cnfStyle w:val="000000010000" w:firstRow="0" w:lastRow="0" w:firstColumn="0" w:lastColumn="0" w:oddVBand="0" w:evenVBand="0" w:oddHBand="0" w:evenHBand="1" w:firstRowFirstColumn="0" w:firstRowLastColumn="0" w:lastRowFirstColumn="0" w:lastRowLastColumn="0"/>
            </w:pPr>
            <w:r w:rsidRPr="00A15ECD">
              <w:t>Off shore</w:t>
            </w:r>
          </w:p>
        </w:tc>
        <w:tc>
          <w:tcPr>
            <w:tcW w:w="1414" w:type="dxa"/>
            <w:tcBorders>
              <w:left w:val="none" w:sz="0" w:space="0" w:color="auto"/>
              <w:right w:val="none" w:sz="0" w:space="0" w:color="auto"/>
            </w:tcBorders>
            <w:vAlign w:val="center"/>
          </w:tcPr>
          <w:p w:rsidR="004D4FD7" w:rsidRPr="00A15ECD" w:rsidRDefault="004D4FD7" w:rsidP="00E340CE">
            <w:pPr>
              <w:spacing w:after="0"/>
              <w:jc w:val="center"/>
              <w:cnfStyle w:val="000000010000" w:firstRow="0" w:lastRow="0" w:firstColumn="0" w:lastColumn="0" w:oddVBand="0" w:evenVBand="0" w:oddHBand="0" w:evenHBand="1" w:firstRowFirstColumn="0" w:firstRowLastColumn="0" w:lastRowFirstColumn="0" w:lastRowLastColumn="0"/>
            </w:pPr>
            <w:r w:rsidRPr="00A15ECD">
              <w:t>Convention</w:t>
            </w:r>
          </w:p>
        </w:tc>
        <w:tc>
          <w:tcPr>
            <w:tcW w:w="1987" w:type="dxa"/>
            <w:tcBorders>
              <w:left w:val="none" w:sz="0" w:space="0" w:color="auto"/>
              <w:right w:val="none" w:sz="0" w:space="0" w:color="auto"/>
            </w:tcBorders>
            <w:vAlign w:val="center"/>
          </w:tcPr>
          <w:p w:rsidR="004D4FD7" w:rsidRPr="00A15ECD" w:rsidRDefault="004D4FD7" w:rsidP="005D6654">
            <w:pPr>
              <w:spacing w:after="0"/>
              <w:jc w:val="center"/>
              <w:cnfStyle w:val="000000010000" w:firstRow="0" w:lastRow="0" w:firstColumn="0" w:lastColumn="0" w:oddVBand="0" w:evenVBand="0" w:oddHBand="0" w:evenHBand="1" w:firstRowFirstColumn="0" w:firstRowLastColumn="0" w:lastRowFirstColumn="0" w:lastRowLastColumn="0"/>
            </w:pPr>
            <w:r w:rsidRPr="00A15ECD">
              <w:t>09/08/1969</w:t>
            </w:r>
          </w:p>
        </w:tc>
        <w:tc>
          <w:tcPr>
            <w:tcW w:w="1694" w:type="dxa"/>
            <w:tcBorders>
              <w:left w:val="none" w:sz="0" w:space="0" w:color="auto"/>
            </w:tcBorders>
            <w:vAlign w:val="center"/>
          </w:tcPr>
          <w:p w:rsidR="004D4FD7" w:rsidRPr="00A15ECD" w:rsidRDefault="004D4FD7" w:rsidP="00C623F9">
            <w:pPr>
              <w:spacing w:after="0"/>
              <w:jc w:val="left"/>
              <w:cnfStyle w:val="000000010000" w:firstRow="0" w:lastRow="0" w:firstColumn="0" w:lastColumn="0" w:oddVBand="0" w:evenVBand="0" w:oddHBand="0" w:evenHBand="1" w:firstRowFirstColumn="0" w:firstRowLastColumn="0" w:lastRowFirstColumn="0" w:lastRowLastColumn="0"/>
            </w:pPr>
            <w:r w:rsidRPr="00A15ECD">
              <w:t>Bassin côtier</w:t>
            </w:r>
          </w:p>
        </w:tc>
      </w:tr>
    </w:tbl>
    <w:p w:rsidR="004D4FD7" w:rsidRDefault="004D4FD7">
      <w:pPr>
        <w:spacing w:after="200" w:line="276" w:lineRule="auto"/>
        <w:jc w:val="left"/>
        <w:rPr>
          <w:sz w:val="24"/>
          <w:szCs w:val="24"/>
        </w:rPr>
        <w:sectPr w:rsidR="004D4FD7" w:rsidSect="00CD450A">
          <w:pgSz w:w="16838" w:h="11906" w:orient="landscape"/>
          <w:pgMar w:top="1418" w:right="1418" w:bottom="1418" w:left="1418" w:header="709" w:footer="709" w:gutter="0"/>
          <w:cols w:space="708"/>
          <w:docGrid w:linePitch="360"/>
        </w:sectPr>
      </w:pPr>
    </w:p>
    <w:p w:rsidR="00B22856" w:rsidRDefault="00B22856" w:rsidP="004122CF">
      <w:pPr>
        <w:rPr>
          <w:lang w:bidi="ar-TN"/>
        </w:rPr>
      </w:pPr>
    </w:p>
    <w:p w:rsidR="00B22856" w:rsidRDefault="00417E60" w:rsidP="004122CF">
      <w:pPr>
        <w:rPr>
          <w:lang w:bidi="ar-TN"/>
        </w:rPr>
      </w:pPr>
      <w:r w:rsidRPr="00417E60">
        <w:rPr>
          <w:noProof/>
          <w:lang w:val="en-US"/>
        </w:rPr>
        <w:drawing>
          <wp:inline distT="0" distB="0" distL="0" distR="0">
            <wp:extent cx="5866130" cy="6964589"/>
            <wp:effectExtent l="19050" t="0" r="1270" b="0"/>
            <wp:docPr id="10" name="Image 10" descr="C:\Users\Meher Ben Mbarek\Desktop\2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her Ben Mbarek\Desktop\222.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66130" cy="6964589"/>
                    </a:xfrm>
                    <a:prstGeom prst="rect">
                      <a:avLst/>
                    </a:prstGeom>
                    <a:noFill/>
                    <a:ln>
                      <a:noFill/>
                    </a:ln>
                  </pic:spPr>
                </pic:pic>
              </a:graphicData>
            </a:graphic>
          </wp:inline>
        </w:drawing>
      </w:r>
    </w:p>
    <w:p w:rsidR="00B22856" w:rsidRDefault="00B22856" w:rsidP="004122CF">
      <w:pPr>
        <w:rPr>
          <w:lang w:bidi="ar-TN"/>
        </w:rPr>
      </w:pPr>
    </w:p>
    <w:p w:rsidR="00CD450A" w:rsidRDefault="00CD450A">
      <w:pPr>
        <w:spacing w:after="200" w:line="276" w:lineRule="auto"/>
        <w:jc w:val="left"/>
        <w:rPr>
          <w:sz w:val="24"/>
          <w:szCs w:val="24"/>
        </w:rPr>
      </w:pPr>
    </w:p>
    <w:p w:rsidR="00CD450A" w:rsidRDefault="00CD450A">
      <w:pPr>
        <w:spacing w:after="200" w:line="276" w:lineRule="auto"/>
        <w:jc w:val="left"/>
        <w:rPr>
          <w:sz w:val="24"/>
          <w:szCs w:val="24"/>
        </w:rPr>
      </w:pPr>
    </w:p>
    <w:p w:rsidR="00CD450A" w:rsidRDefault="00CD450A">
      <w:pPr>
        <w:spacing w:after="200" w:line="276" w:lineRule="auto"/>
        <w:jc w:val="left"/>
        <w:rPr>
          <w:sz w:val="24"/>
          <w:szCs w:val="24"/>
        </w:rPr>
      </w:pPr>
    </w:p>
    <w:p w:rsidR="00CD450A" w:rsidRDefault="00CD450A">
      <w:pPr>
        <w:spacing w:after="200" w:line="276" w:lineRule="auto"/>
        <w:jc w:val="left"/>
        <w:rPr>
          <w:sz w:val="24"/>
          <w:szCs w:val="24"/>
        </w:rPr>
      </w:pPr>
    </w:p>
    <w:p w:rsidR="00CD450A" w:rsidRDefault="00CD450A">
      <w:pPr>
        <w:spacing w:after="200" w:line="276" w:lineRule="auto"/>
        <w:jc w:val="left"/>
        <w:rPr>
          <w:sz w:val="24"/>
          <w:szCs w:val="24"/>
        </w:rPr>
        <w:sectPr w:rsidR="00CD450A" w:rsidSect="00CD450A">
          <w:pgSz w:w="11906" w:h="16838"/>
          <w:pgMar w:top="1418" w:right="1418" w:bottom="1418" w:left="1418" w:header="709" w:footer="709" w:gutter="0"/>
          <w:cols w:space="708"/>
          <w:docGrid w:linePitch="360"/>
        </w:sectPr>
      </w:pPr>
    </w:p>
    <w:p w:rsidR="00B22856" w:rsidRPr="00B22856" w:rsidRDefault="00B22856" w:rsidP="00B22856">
      <w:pPr>
        <w:pStyle w:val="Heading2"/>
        <w:numPr>
          <w:ilvl w:val="0"/>
          <w:numId w:val="0"/>
        </w:numPr>
        <w:shd w:val="clear" w:color="auto" w:fill="BFBFBF"/>
        <w:spacing w:after="0"/>
        <w:rPr>
          <w:sz w:val="24"/>
          <w:szCs w:val="24"/>
        </w:rPr>
      </w:pPr>
      <w:bookmarkStart w:id="136" w:name="_Toc451431116"/>
      <w:r w:rsidRPr="00B22856">
        <w:rPr>
          <w:sz w:val="24"/>
          <w:szCs w:val="24"/>
        </w:rPr>
        <w:lastRenderedPageBreak/>
        <w:t xml:space="preserve">ANNEXE </w:t>
      </w:r>
      <w:r w:rsidR="006A3ED2">
        <w:rPr>
          <w:sz w:val="24"/>
          <w:szCs w:val="24"/>
        </w:rPr>
        <w:t>4</w:t>
      </w:r>
      <w:r w:rsidRPr="00B22856">
        <w:rPr>
          <w:sz w:val="24"/>
          <w:szCs w:val="24"/>
        </w:rPr>
        <w:t xml:space="preserve"> : </w:t>
      </w:r>
      <w:r w:rsidR="00112558">
        <w:rPr>
          <w:sz w:val="24"/>
          <w:szCs w:val="24"/>
        </w:rPr>
        <w:t xml:space="preserve">Cadre référentiel </w:t>
      </w:r>
      <w:r w:rsidR="00B45C7E">
        <w:rPr>
          <w:sz w:val="24"/>
          <w:szCs w:val="24"/>
        </w:rPr>
        <w:t>des flux de paiement</w:t>
      </w:r>
      <w:bookmarkEnd w:id="136"/>
    </w:p>
    <w:p w:rsidR="00B22856" w:rsidRDefault="00B22856" w:rsidP="004122CF">
      <w:pPr>
        <w:rPr>
          <w:lang w:bidi="ar-TN"/>
        </w:rPr>
      </w:pPr>
    </w:p>
    <w:tbl>
      <w:tblPr>
        <w:tblW w:w="5094" w:type="pct"/>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CellMar>
          <w:left w:w="70" w:type="dxa"/>
          <w:right w:w="70" w:type="dxa"/>
        </w:tblCellMar>
        <w:tblLook w:val="04A0" w:firstRow="1" w:lastRow="0" w:firstColumn="1" w:lastColumn="0" w:noHBand="0" w:noVBand="1"/>
      </w:tblPr>
      <w:tblGrid>
        <w:gridCol w:w="3615"/>
        <w:gridCol w:w="1418"/>
        <w:gridCol w:w="594"/>
        <w:gridCol w:w="594"/>
        <w:gridCol w:w="594"/>
        <w:gridCol w:w="7593"/>
      </w:tblGrid>
      <w:tr w:rsidR="00CD450A" w:rsidRPr="00743378" w:rsidTr="00155613">
        <w:trPr>
          <w:trHeight w:val="390"/>
          <w:tblHeader/>
          <w:jc w:val="center"/>
        </w:trPr>
        <w:tc>
          <w:tcPr>
            <w:tcW w:w="1255" w:type="pct"/>
            <w:vMerge w:val="restart"/>
            <w:shd w:val="clear" w:color="auto" w:fill="17365D" w:themeFill="text2" w:themeFillShade="BF"/>
            <w:vAlign w:val="center"/>
            <w:hideMark/>
          </w:tcPr>
          <w:p w:rsidR="00034CEB" w:rsidRPr="00743378" w:rsidRDefault="00034CEB" w:rsidP="004D4FD7">
            <w:pPr>
              <w:jc w:val="center"/>
              <w:rPr>
                <w:b/>
                <w:color w:val="FFFFFF" w:themeColor="background1"/>
                <w:sz w:val="18"/>
                <w:szCs w:val="18"/>
                <w:lang w:eastAsia="fr-FR"/>
              </w:rPr>
            </w:pPr>
            <w:r w:rsidRPr="00743378">
              <w:rPr>
                <w:b/>
                <w:color w:val="FFFFFF" w:themeColor="background1"/>
                <w:sz w:val="18"/>
                <w:szCs w:val="18"/>
                <w:lang w:eastAsia="fr-FR"/>
              </w:rPr>
              <w:t>Type de flux financiers</w:t>
            </w:r>
          </w:p>
        </w:tc>
        <w:tc>
          <w:tcPr>
            <w:tcW w:w="492" w:type="pct"/>
            <w:vMerge w:val="restart"/>
            <w:shd w:val="clear" w:color="auto" w:fill="17365D" w:themeFill="text2" w:themeFillShade="BF"/>
            <w:textDirection w:val="btLr"/>
            <w:vAlign w:val="center"/>
            <w:hideMark/>
          </w:tcPr>
          <w:p w:rsidR="00034CEB" w:rsidRPr="00743378" w:rsidRDefault="00034CEB" w:rsidP="004D4FD7">
            <w:pPr>
              <w:ind w:left="113" w:right="113"/>
              <w:jc w:val="center"/>
              <w:rPr>
                <w:b/>
                <w:color w:val="FFFFFF" w:themeColor="background1"/>
                <w:sz w:val="18"/>
                <w:szCs w:val="18"/>
                <w:lang w:eastAsia="fr-FR"/>
              </w:rPr>
            </w:pPr>
            <w:r w:rsidRPr="00743378">
              <w:rPr>
                <w:b/>
                <w:color w:val="FFFFFF" w:themeColor="background1"/>
                <w:sz w:val="18"/>
                <w:szCs w:val="18"/>
                <w:lang w:eastAsia="fr-FR"/>
              </w:rPr>
              <w:t>Percepteur</w:t>
            </w:r>
          </w:p>
        </w:tc>
        <w:tc>
          <w:tcPr>
            <w:tcW w:w="618" w:type="pct"/>
            <w:gridSpan w:val="3"/>
            <w:shd w:val="clear" w:color="auto" w:fill="17365D" w:themeFill="text2" w:themeFillShade="BF"/>
            <w:vAlign w:val="center"/>
            <w:hideMark/>
          </w:tcPr>
          <w:p w:rsidR="00034CEB" w:rsidRPr="00743378" w:rsidRDefault="00034CEB" w:rsidP="004D4FD7">
            <w:pPr>
              <w:jc w:val="center"/>
              <w:rPr>
                <w:b/>
                <w:color w:val="FFFFFF" w:themeColor="background1"/>
                <w:sz w:val="18"/>
                <w:szCs w:val="18"/>
                <w:lang w:eastAsia="fr-FR"/>
              </w:rPr>
            </w:pPr>
            <w:r w:rsidRPr="00743378">
              <w:rPr>
                <w:b/>
                <w:color w:val="FFFFFF" w:themeColor="background1"/>
                <w:sz w:val="18"/>
                <w:szCs w:val="18"/>
                <w:lang w:eastAsia="fr-FR"/>
              </w:rPr>
              <w:t>Opérateurs assujettis</w:t>
            </w:r>
          </w:p>
        </w:tc>
        <w:tc>
          <w:tcPr>
            <w:tcW w:w="2635" w:type="pct"/>
            <w:vMerge w:val="restart"/>
            <w:shd w:val="clear" w:color="auto" w:fill="17365D" w:themeFill="text2" w:themeFillShade="BF"/>
          </w:tcPr>
          <w:p w:rsidR="00034CEB" w:rsidRPr="00743378" w:rsidRDefault="00034CEB" w:rsidP="004D4FD7">
            <w:pPr>
              <w:jc w:val="center"/>
              <w:rPr>
                <w:b/>
                <w:color w:val="FFFFFF" w:themeColor="background1"/>
                <w:sz w:val="18"/>
                <w:szCs w:val="18"/>
                <w:lang w:eastAsia="fr-FR"/>
              </w:rPr>
            </w:pPr>
          </w:p>
          <w:p w:rsidR="00034CEB" w:rsidRPr="00743378" w:rsidRDefault="00034CEB" w:rsidP="004D4FD7">
            <w:pPr>
              <w:jc w:val="center"/>
              <w:rPr>
                <w:b/>
                <w:color w:val="FFFFFF" w:themeColor="background1"/>
                <w:sz w:val="18"/>
                <w:szCs w:val="18"/>
                <w:lang w:eastAsia="fr-FR"/>
              </w:rPr>
            </w:pPr>
          </w:p>
          <w:p w:rsidR="00034CEB" w:rsidRPr="00743378" w:rsidRDefault="00034CEB" w:rsidP="004D4FD7">
            <w:pPr>
              <w:jc w:val="center"/>
              <w:rPr>
                <w:b/>
                <w:color w:val="FFFFFF" w:themeColor="background1"/>
                <w:sz w:val="18"/>
                <w:szCs w:val="18"/>
                <w:lang w:eastAsia="fr-FR"/>
              </w:rPr>
            </w:pPr>
            <w:r w:rsidRPr="00743378">
              <w:rPr>
                <w:b/>
                <w:color w:val="FFFFFF" w:themeColor="background1"/>
                <w:sz w:val="18"/>
                <w:szCs w:val="18"/>
                <w:lang w:eastAsia="fr-FR"/>
              </w:rPr>
              <w:t>Définitions</w:t>
            </w:r>
          </w:p>
        </w:tc>
      </w:tr>
      <w:tr w:rsidR="00CD450A" w:rsidRPr="00743378" w:rsidTr="00155613">
        <w:trPr>
          <w:cantSplit/>
          <w:trHeight w:val="1443"/>
          <w:tblHeader/>
          <w:jc w:val="center"/>
        </w:trPr>
        <w:tc>
          <w:tcPr>
            <w:tcW w:w="1255" w:type="pct"/>
            <w:vMerge/>
            <w:vAlign w:val="center"/>
            <w:hideMark/>
          </w:tcPr>
          <w:p w:rsidR="00034CEB" w:rsidRPr="00743378" w:rsidRDefault="00034CEB" w:rsidP="004D4FD7">
            <w:pPr>
              <w:spacing w:after="0"/>
              <w:jc w:val="left"/>
              <w:rPr>
                <w:b/>
                <w:color w:val="FFFFFF" w:themeColor="background1"/>
                <w:sz w:val="18"/>
                <w:szCs w:val="18"/>
                <w:lang w:eastAsia="fr-FR"/>
              </w:rPr>
            </w:pPr>
          </w:p>
        </w:tc>
        <w:tc>
          <w:tcPr>
            <w:tcW w:w="492" w:type="pct"/>
            <w:vMerge/>
            <w:vAlign w:val="center"/>
            <w:hideMark/>
          </w:tcPr>
          <w:p w:rsidR="00034CEB" w:rsidRPr="00743378" w:rsidRDefault="00034CEB" w:rsidP="004D4FD7">
            <w:pPr>
              <w:spacing w:after="0"/>
              <w:jc w:val="left"/>
              <w:rPr>
                <w:b/>
                <w:color w:val="FFFFFF" w:themeColor="background1"/>
                <w:sz w:val="18"/>
                <w:szCs w:val="18"/>
                <w:lang w:eastAsia="fr-FR"/>
              </w:rPr>
            </w:pPr>
          </w:p>
        </w:tc>
        <w:tc>
          <w:tcPr>
            <w:tcW w:w="206" w:type="pct"/>
            <w:shd w:val="clear" w:color="auto" w:fill="17365D" w:themeFill="text2" w:themeFillShade="BF"/>
            <w:textDirection w:val="btLr"/>
            <w:hideMark/>
          </w:tcPr>
          <w:p w:rsidR="00034CEB" w:rsidRPr="00743378" w:rsidRDefault="00034CEB" w:rsidP="004D4FD7">
            <w:pPr>
              <w:ind w:left="113" w:right="113"/>
              <w:jc w:val="center"/>
              <w:rPr>
                <w:b/>
                <w:color w:val="FFFFFF" w:themeColor="background1"/>
                <w:sz w:val="18"/>
                <w:szCs w:val="18"/>
                <w:lang w:eastAsia="fr-FR"/>
              </w:rPr>
            </w:pPr>
            <w:r w:rsidRPr="00743378">
              <w:rPr>
                <w:b/>
                <w:color w:val="FFFFFF" w:themeColor="background1"/>
                <w:sz w:val="18"/>
                <w:szCs w:val="18"/>
                <w:lang w:eastAsia="fr-FR"/>
              </w:rPr>
              <w:t>Pétroliers</w:t>
            </w:r>
          </w:p>
        </w:tc>
        <w:tc>
          <w:tcPr>
            <w:tcW w:w="206" w:type="pct"/>
            <w:shd w:val="clear" w:color="auto" w:fill="17365D" w:themeFill="text2" w:themeFillShade="BF"/>
            <w:textDirection w:val="btLr"/>
            <w:hideMark/>
          </w:tcPr>
          <w:p w:rsidR="00034CEB" w:rsidRPr="00743378" w:rsidRDefault="00034CEB" w:rsidP="004D4FD7">
            <w:pPr>
              <w:ind w:left="113" w:right="113"/>
              <w:jc w:val="center"/>
              <w:rPr>
                <w:b/>
                <w:color w:val="FFFFFF" w:themeColor="background1"/>
                <w:sz w:val="18"/>
                <w:szCs w:val="18"/>
                <w:lang w:eastAsia="fr-FR"/>
              </w:rPr>
            </w:pPr>
            <w:r w:rsidRPr="00743378">
              <w:rPr>
                <w:b/>
                <w:color w:val="FFFFFF" w:themeColor="background1"/>
                <w:sz w:val="18"/>
                <w:szCs w:val="18"/>
                <w:lang w:eastAsia="fr-FR"/>
              </w:rPr>
              <w:t>Miniers en production</w:t>
            </w:r>
          </w:p>
        </w:tc>
        <w:tc>
          <w:tcPr>
            <w:tcW w:w="206" w:type="pct"/>
            <w:shd w:val="clear" w:color="auto" w:fill="17365D" w:themeFill="text2" w:themeFillShade="BF"/>
            <w:textDirection w:val="btLr"/>
            <w:hideMark/>
          </w:tcPr>
          <w:p w:rsidR="00034CEB" w:rsidRPr="00743378" w:rsidRDefault="00034CEB" w:rsidP="004D4FD7">
            <w:pPr>
              <w:ind w:left="113" w:right="113"/>
              <w:jc w:val="center"/>
              <w:rPr>
                <w:b/>
                <w:color w:val="FFFFFF" w:themeColor="background1"/>
                <w:sz w:val="18"/>
                <w:szCs w:val="18"/>
                <w:lang w:eastAsia="fr-FR"/>
              </w:rPr>
            </w:pPr>
            <w:r w:rsidRPr="00743378">
              <w:rPr>
                <w:b/>
                <w:color w:val="FFFFFF" w:themeColor="background1"/>
                <w:sz w:val="18"/>
                <w:szCs w:val="18"/>
                <w:lang w:eastAsia="fr-FR"/>
              </w:rPr>
              <w:t>Miniers en exploration</w:t>
            </w:r>
          </w:p>
        </w:tc>
        <w:tc>
          <w:tcPr>
            <w:tcW w:w="2635" w:type="pct"/>
            <w:vMerge/>
            <w:vAlign w:val="center"/>
            <w:hideMark/>
          </w:tcPr>
          <w:p w:rsidR="00034CEB" w:rsidRPr="00743378" w:rsidRDefault="00034CEB" w:rsidP="004D4FD7">
            <w:pPr>
              <w:spacing w:after="0"/>
              <w:jc w:val="left"/>
              <w:rPr>
                <w:b/>
                <w:color w:val="FFFFFF" w:themeColor="background1"/>
                <w:sz w:val="18"/>
                <w:szCs w:val="18"/>
                <w:lang w:eastAsia="fr-FR"/>
              </w:rPr>
            </w:pPr>
          </w:p>
        </w:tc>
      </w:tr>
      <w:tr w:rsidR="00CD450A" w:rsidRPr="00743378" w:rsidTr="00155613">
        <w:trPr>
          <w:trHeight w:val="360"/>
          <w:jc w:val="center"/>
        </w:trPr>
        <w:tc>
          <w:tcPr>
            <w:tcW w:w="1255" w:type="pct"/>
            <w:vAlign w:val="center"/>
            <w:hideMark/>
          </w:tcPr>
          <w:p w:rsidR="00034CEB" w:rsidRPr="00743378" w:rsidRDefault="00034CEB" w:rsidP="004D4FD7">
            <w:pPr>
              <w:rPr>
                <w:color w:val="000000"/>
                <w:sz w:val="18"/>
                <w:szCs w:val="18"/>
                <w:lang w:eastAsia="fr-FR"/>
              </w:rPr>
            </w:pPr>
            <w:r w:rsidRPr="00743378">
              <w:rPr>
                <w:color w:val="000000"/>
                <w:sz w:val="18"/>
                <w:szCs w:val="18"/>
                <w:lang w:eastAsia="fr-FR"/>
              </w:rPr>
              <w:t>Avis de Mise en Recouvrement (AMR) (A et B)</w:t>
            </w:r>
          </w:p>
        </w:tc>
        <w:tc>
          <w:tcPr>
            <w:tcW w:w="492" w:type="pct"/>
            <w:vAlign w:val="center"/>
            <w:hideMark/>
          </w:tcPr>
          <w:p w:rsidR="00034CEB" w:rsidRPr="00743378" w:rsidRDefault="00034CEB" w:rsidP="004D4FD7">
            <w:pPr>
              <w:jc w:val="center"/>
              <w:rPr>
                <w:color w:val="000000"/>
                <w:sz w:val="18"/>
                <w:szCs w:val="18"/>
                <w:lang w:eastAsia="fr-FR"/>
              </w:rPr>
            </w:pPr>
            <w:r w:rsidRPr="00743378">
              <w:rPr>
                <w:color w:val="000000"/>
                <w:sz w:val="18"/>
                <w:szCs w:val="18"/>
                <w:lang w:eastAsia="fr-FR"/>
              </w:rPr>
              <w:t>DGI</w:t>
            </w:r>
          </w:p>
        </w:tc>
        <w:tc>
          <w:tcPr>
            <w:tcW w:w="206" w:type="pct"/>
            <w:shd w:val="clear" w:color="auto" w:fill="8DB3E2" w:themeFill="text2" w:themeFillTint="66"/>
            <w:vAlign w:val="center"/>
            <w:hideMark/>
          </w:tcPr>
          <w:p w:rsidR="00034CEB" w:rsidRPr="00743378" w:rsidRDefault="00034CEB" w:rsidP="004D4FD7">
            <w:pPr>
              <w:ind w:firstLineChars="100" w:firstLine="180"/>
              <w:rPr>
                <w:color w:val="000000"/>
                <w:sz w:val="18"/>
                <w:szCs w:val="18"/>
                <w:lang w:eastAsia="fr-FR"/>
              </w:rPr>
            </w:pPr>
            <w:r w:rsidRPr="00743378">
              <w:rPr>
                <w:color w:val="000000"/>
                <w:sz w:val="18"/>
                <w:szCs w:val="18"/>
                <w:lang w:eastAsia="fr-FR"/>
              </w:rPr>
              <w:t> </w:t>
            </w:r>
          </w:p>
        </w:tc>
        <w:tc>
          <w:tcPr>
            <w:tcW w:w="206" w:type="pct"/>
            <w:shd w:val="clear" w:color="auto" w:fill="8DB3E2" w:themeFill="text2" w:themeFillTint="66"/>
            <w:vAlign w:val="center"/>
            <w:hideMark/>
          </w:tcPr>
          <w:p w:rsidR="00034CEB" w:rsidRPr="00743378" w:rsidRDefault="00034CEB" w:rsidP="004D4FD7">
            <w:pPr>
              <w:ind w:firstLineChars="100" w:firstLine="180"/>
              <w:rPr>
                <w:color w:val="000000"/>
                <w:sz w:val="18"/>
                <w:szCs w:val="18"/>
                <w:lang w:eastAsia="fr-FR"/>
              </w:rPr>
            </w:pPr>
            <w:r w:rsidRPr="00743378">
              <w:rPr>
                <w:color w:val="000000"/>
                <w:sz w:val="18"/>
                <w:szCs w:val="18"/>
                <w:lang w:eastAsia="fr-FR"/>
              </w:rPr>
              <w:t> </w:t>
            </w:r>
          </w:p>
        </w:tc>
        <w:tc>
          <w:tcPr>
            <w:tcW w:w="206" w:type="pct"/>
            <w:shd w:val="clear" w:color="auto" w:fill="8DB3E2" w:themeFill="text2" w:themeFillTint="66"/>
            <w:vAlign w:val="center"/>
            <w:hideMark/>
          </w:tcPr>
          <w:p w:rsidR="00034CEB" w:rsidRPr="00743378" w:rsidRDefault="00034CEB" w:rsidP="004D4FD7">
            <w:pPr>
              <w:ind w:firstLineChars="100" w:firstLine="180"/>
              <w:rPr>
                <w:color w:val="000000"/>
                <w:sz w:val="18"/>
                <w:szCs w:val="18"/>
                <w:lang w:eastAsia="fr-FR"/>
              </w:rPr>
            </w:pPr>
            <w:r w:rsidRPr="00743378">
              <w:rPr>
                <w:color w:val="000000"/>
                <w:sz w:val="18"/>
                <w:szCs w:val="18"/>
                <w:lang w:eastAsia="fr-FR"/>
              </w:rPr>
              <w:t> </w:t>
            </w:r>
          </w:p>
        </w:tc>
        <w:tc>
          <w:tcPr>
            <w:tcW w:w="2635" w:type="pct"/>
            <w:hideMark/>
          </w:tcPr>
          <w:p w:rsidR="00034CEB" w:rsidRPr="00743378" w:rsidRDefault="00034CEB" w:rsidP="004D4FD7">
            <w:pPr>
              <w:spacing w:before="120" w:after="120"/>
              <w:rPr>
                <w:color w:val="000000"/>
                <w:sz w:val="18"/>
                <w:szCs w:val="18"/>
              </w:rPr>
            </w:pPr>
            <w:r w:rsidRPr="00743378">
              <w:rPr>
                <w:color w:val="000000"/>
                <w:sz w:val="18"/>
                <w:szCs w:val="18"/>
              </w:rPr>
              <w:t>L’Article 58 du code de l’impôt stipule que les impôts, suppléments d’impôts, et autres droits établis par l’Administration des impôts sont recouvrés par l’émission d’un Avis de Mise en Recouvrement.</w:t>
            </w:r>
          </w:p>
          <w:p w:rsidR="00034CEB" w:rsidRPr="00743378" w:rsidRDefault="00034CEB" w:rsidP="004D4FD7">
            <w:pPr>
              <w:spacing w:after="120"/>
              <w:rPr>
                <w:color w:val="000000"/>
                <w:sz w:val="18"/>
                <w:szCs w:val="18"/>
              </w:rPr>
            </w:pPr>
            <w:r w:rsidRPr="00743378">
              <w:rPr>
                <w:color w:val="000000"/>
                <w:sz w:val="18"/>
                <w:szCs w:val="18"/>
              </w:rPr>
              <w:t>Le régime en RDC est déclaratif : Les entreprises déclarent les impôts à payer. Des pénalités et les amendes sont imposées si des erreurs sont constatées dans les déclarations, ou en cas de retard de paiement. Les documents afférents à ces amendes sont nommés Avis de Mise en Recouvrement (AMR).</w:t>
            </w:r>
          </w:p>
          <w:p w:rsidR="00034CEB" w:rsidRPr="00743378" w:rsidRDefault="00034CEB" w:rsidP="004D4FD7">
            <w:pPr>
              <w:spacing w:after="120"/>
              <w:rPr>
                <w:color w:val="000000"/>
                <w:sz w:val="18"/>
                <w:szCs w:val="18"/>
              </w:rPr>
            </w:pPr>
            <w:r w:rsidRPr="00743378">
              <w:rPr>
                <w:color w:val="000000"/>
                <w:sz w:val="18"/>
                <w:szCs w:val="18"/>
              </w:rPr>
              <w:t>Dans le cas de la DGI, 50% de la valeur des amendes/ pénalités (AMR A) est payable au Trésor et 50 % est payable dans un compte de la DGI (AMR B).</w:t>
            </w:r>
          </w:p>
          <w:p w:rsidR="00034CEB" w:rsidRPr="00743378" w:rsidRDefault="00034CEB" w:rsidP="00F77566">
            <w:pPr>
              <w:pStyle w:val="ListParagraph"/>
              <w:numPr>
                <w:ilvl w:val="0"/>
                <w:numId w:val="50"/>
              </w:numPr>
              <w:spacing w:after="200"/>
              <w:contextualSpacing/>
              <w:rPr>
                <w:color w:val="000000"/>
                <w:sz w:val="18"/>
                <w:szCs w:val="18"/>
              </w:rPr>
            </w:pPr>
            <w:r w:rsidRPr="00743378">
              <w:rPr>
                <w:color w:val="000000"/>
                <w:sz w:val="18"/>
                <w:szCs w:val="18"/>
              </w:rPr>
              <w:t>L’AMR A inclut le principal de l’impôt rectifié et la part des pénalités/amendes (50%) revenant au Trésor.</w:t>
            </w:r>
          </w:p>
          <w:p w:rsidR="00034CEB" w:rsidRPr="00743378" w:rsidRDefault="00034CEB" w:rsidP="00F77566">
            <w:pPr>
              <w:pStyle w:val="ListParagraph"/>
              <w:numPr>
                <w:ilvl w:val="0"/>
                <w:numId w:val="50"/>
              </w:numPr>
              <w:spacing w:after="120"/>
              <w:contextualSpacing/>
              <w:rPr>
                <w:color w:val="000000"/>
                <w:sz w:val="18"/>
                <w:szCs w:val="18"/>
                <w:lang w:eastAsia="fr-FR"/>
              </w:rPr>
            </w:pPr>
            <w:r w:rsidRPr="00743378">
              <w:rPr>
                <w:color w:val="000000"/>
                <w:sz w:val="18"/>
                <w:szCs w:val="18"/>
              </w:rPr>
              <w:t>L’AMR B comprend seulement des éléments des amendes ou pénalités (50% autres) revenant en totalité à la DGI.</w:t>
            </w:r>
          </w:p>
        </w:tc>
      </w:tr>
      <w:tr w:rsidR="00034CEB" w:rsidRPr="00743378" w:rsidTr="00155613">
        <w:trPr>
          <w:trHeight w:val="360"/>
          <w:jc w:val="center"/>
        </w:trPr>
        <w:tc>
          <w:tcPr>
            <w:tcW w:w="1255" w:type="pct"/>
            <w:vAlign w:val="center"/>
            <w:hideMark/>
          </w:tcPr>
          <w:p w:rsidR="00034CEB" w:rsidRPr="00743378" w:rsidRDefault="00034CEB" w:rsidP="004D4FD7">
            <w:pPr>
              <w:rPr>
                <w:color w:val="000000"/>
                <w:sz w:val="18"/>
                <w:szCs w:val="18"/>
                <w:lang w:eastAsia="fr-FR"/>
              </w:rPr>
            </w:pPr>
            <w:r w:rsidRPr="00743378">
              <w:rPr>
                <w:color w:val="000000"/>
                <w:sz w:val="18"/>
                <w:szCs w:val="18"/>
                <w:lang w:eastAsia="fr-FR"/>
              </w:rPr>
              <w:t>Impôt sur les bénéfices et profits (IBP)</w:t>
            </w:r>
          </w:p>
        </w:tc>
        <w:tc>
          <w:tcPr>
            <w:tcW w:w="492" w:type="pct"/>
            <w:vAlign w:val="center"/>
            <w:hideMark/>
          </w:tcPr>
          <w:p w:rsidR="00034CEB" w:rsidRPr="00743378" w:rsidRDefault="00034CEB" w:rsidP="004D4FD7">
            <w:pPr>
              <w:jc w:val="center"/>
              <w:rPr>
                <w:color w:val="000000"/>
                <w:sz w:val="18"/>
                <w:szCs w:val="18"/>
                <w:lang w:eastAsia="fr-FR"/>
              </w:rPr>
            </w:pPr>
            <w:r w:rsidRPr="00743378">
              <w:rPr>
                <w:color w:val="000000"/>
                <w:sz w:val="18"/>
                <w:szCs w:val="18"/>
                <w:lang w:eastAsia="fr-FR"/>
              </w:rPr>
              <w:t>DGI</w:t>
            </w:r>
          </w:p>
        </w:tc>
        <w:tc>
          <w:tcPr>
            <w:tcW w:w="206" w:type="pct"/>
            <w:shd w:val="clear" w:color="auto" w:fill="8DB3E2" w:themeFill="text2" w:themeFillTint="66"/>
            <w:vAlign w:val="center"/>
            <w:hideMark/>
          </w:tcPr>
          <w:p w:rsidR="00034CEB" w:rsidRPr="00743378" w:rsidRDefault="00034CEB" w:rsidP="004D4FD7">
            <w:pPr>
              <w:ind w:firstLineChars="100" w:firstLine="180"/>
              <w:rPr>
                <w:color w:val="000000"/>
                <w:sz w:val="18"/>
                <w:szCs w:val="18"/>
                <w:lang w:eastAsia="fr-FR"/>
              </w:rPr>
            </w:pPr>
            <w:r w:rsidRPr="00743378">
              <w:rPr>
                <w:color w:val="000000"/>
                <w:sz w:val="18"/>
                <w:szCs w:val="18"/>
                <w:lang w:eastAsia="fr-FR"/>
              </w:rPr>
              <w:t> </w:t>
            </w:r>
          </w:p>
        </w:tc>
        <w:tc>
          <w:tcPr>
            <w:tcW w:w="206" w:type="pct"/>
            <w:shd w:val="clear" w:color="auto" w:fill="8DB3E2" w:themeFill="text2" w:themeFillTint="66"/>
            <w:vAlign w:val="center"/>
            <w:hideMark/>
          </w:tcPr>
          <w:p w:rsidR="00034CEB" w:rsidRPr="00743378" w:rsidRDefault="00034CEB" w:rsidP="004D4FD7">
            <w:pPr>
              <w:ind w:firstLineChars="100" w:firstLine="180"/>
              <w:rPr>
                <w:color w:val="000000"/>
                <w:sz w:val="18"/>
                <w:szCs w:val="18"/>
                <w:lang w:eastAsia="fr-FR"/>
              </w:rPr>
            </w:pPr>
            <w:r w:rsidRPr="00743378">
              <w:rPr>
                <w:color w:val="000000"/>
                <w:sz w:val="18"/>
                <w:szCs w:val="18"/>
                <w:lang w:eastAsia="fr-FR"/>
              </w:rPr>
              <w:t> </w:t>
            </w:r>
          </w:p>
        </w:tc>
        <w:tc>
          <w:tcPr>
            <w:tcW w:w="206" w:type="pct"/>
            <w:vAlign w:val="center"/>
            <w:hideMark/>
          </w:tcPr>
          <w:p w:rsidR="00034CEB" w:rsidRPr="00743378" w:rsidRDefault="00034CEB" w:rsidP="004D4FD7">
            <w:pPr>
              <w:ind w:firstLineChars="100" w:firstLine="180"/>
              <w:rPr>
                <w:color w:val="000000"/>
                <w:sz w:val="18"/>
                <w:szCs w:val="18"/>
                <w:lang w:eastAsia="fr-FR"/>
              </w:rPr>
            </w:pPr>
            <w:r w:rsidRPr="00743378">
              <w:rPr>
                <w:color w:val="000000"/>
                <w:sz w:val="18"/>
                <w:szCs w:val="18"/>
                <w:lang w:eastAsia="fr-FR"/>
              </w:rPr>
              <w:t> </w:t>
            </w:r>
          </w:p>
        </w:tc>
        <w:tc>
          <w:tcPr>
            <w:tcW w:w="2635" w:type="pct"/>
            <w:hideMark/>
          </w:tcPr>
          <w:p w:rsidR="00034CEB" w:rsidRPr="00743378" w:rsidRDefault="00034CEB" w:rsidP="004D4FD7">
            <w:pPr>
              <w:spacing w:before="120" w:after="120"/>
              <w:rPr>
                <w:color w:val="000000"/>
                <w:sz w:val="18"/>
                <w:szCs w:val="18"/>
              </w:rPr>
            </w:pPr>
            <w:r w:rsidRPr="00743378">
              <w:rPr>
                <w:color w:val="000000"/>
                <w:sz w:val="18"/>
                <w:szCs w:val="18"/>
              </w:rPr>
              <w:t xml:space="preserve">L’impôt sur le bénéfice et profit atteint les revenus professionnels des entreprises  commerciales, industrielles, agricoles, artisanales et immobilières ainsi que les profits quelle que soit leur dénomination et leur nature réalisée par les professions libérales ou charges ou offices. L’Impôt sur les bénéfices et profits est payé au titre des bénéfices réalisés lors de l’exercice écoulé (y compris les libéralités et avantages quelconques accordés aux associés non actifs dans les sociétés autres que par actions). </w:t>
            </w:r>
          </w:p>
          <w:p w:rsidR="00034CEB" w:rsidRPr="00743378" w:rsidRDefault="00034CEB" w:rsidP="004D4FD7">
            <w:pPr>
              <w:spacing w:before="120" w:after="120"/>
              <w:rPr>
                <w:color w:val="000000"/>
                <w:sz w:val="18"/>
                <w:szCs w:val="18"/>
              </w:rPr>
            </w:pPr>
            <w:r w:rsidRPr="00743378">
              <w:rPr>
                <w:color w:val="000000"/>
                <w:sz w:val="18"/>
                <w:szCs w:val="18"/>
              </w:rPr>
              <w:t>Le taux de l’IBP est comme suit :</w:t>
            </w:r>
          </w:p>
          <w:p w:rsidR="00034CEB" w:rsidRPr="00743378" w:rsidRDefault="00034CEB" w:rsidP="004D4FD7">
            <w:pPr>
              <w:spacing w:before="120" w:after="120"/>
              <w:rPr>
                <w:color w:val="000000"/>
                <w:sz w:val="18"/>
                <w:szCs w:val="18"/>
              </w:rPr>
            </w:pPr>
            <w:r w:rsidRPr="00743378">
              <w:rPr>
                <w:color w:val="000000"/>
                <w:sz w:val="18"/>
                <w:szCs w:val="18"/>
              </w:rPr>
              <w:t xml:space="preserve">- Droit Commun : 40% du bénéfice déclaré pour toutes les entreprises ; </w:t>
            </w:r>
          </w:p>
          <w:p w:rsidR="00034CEB" w:rsidRPr="00743378" w:rsidRDefault="00034CEB" w:rsidP="004D4FD7">
            <w:pPr>
              <w:spacing w:before="120" w:after="120"/>
              <w:rPr>
                <w:color w:val="000000"/>
                <w:sz w:val="18"/>
                <w:szCs w:val="18"/>
              </w:rPr>
            </w:pPr>
            <w:r w:rsidRPr="00743378">
              <w:rPr>
                <w:color w:val="000000"/>
                <w:sz w:val="18"/>
                <w:szCs w:val="18"/>
              </w:rPr>
              <w:t xml:space="preserve"> - Sociétés minières : 30% du bénéfice déclaré pour les entreprises minières (Article 247 du Code Minier) ;</w:t>
            </w:r>
          </w:p>
          <w:p w:rsidR="00034CEB" w:rsidRPr="00743378" w:rsidRDefault="00034CEB" w:rsidP="004D4FD7">
            <w:pPr>
              <w:spacing w:before="120" w:after="120"/>
              <w:rPr>
                <w:color w:val="000000"/>
                <w:sz w:val="18"/>
                <w:szCs w:val="18"/>
              </w:rPr>
            </w:pPr>
            <w:r w:rsidRPr="00743378">
              <w:rPr>
                <w:color w:val="000000"/>
                <w:sz w:val="18"/>
                <w:szCs w:val="18"/>
              </w:rPr>
              <w:t xml:space="preserve"> - 1/100 du chiffre d’affaires déclaré lorsque le résultat est déficitaire ou susceptible de </w:t>
            </w:r>
            <w:r w:rsidRPr="00743378">
              <w:rPr>
                <w:color w:val="000000"/>
                <w:sz w:val="18"/>
                <w:szCs w:val="18"/>
              </w:rPr>
              <w:lastRenderedPageBreak/>
              <w:t>donner lieu à une imposition inférieure à ce montant.</w:t>
            </w:r>
          </w:p>
          <w:p w:rsidR="00034CEB" w:rsidRPr="00743378" w:rsidRDefault="00034CEB" w:rsidP="004D4FD7">
            <w:pPr>
              <w:spacing w:before="120" w:after="120"/>
              <w:rPr>
                <w:color w:val="000000"/>
                <w:sz w:val="18"/>
                <w:szCs w:val="18"/>
              </w:rPr>
            </w:pPr>
            <w:r w:rsidRPr="00743378">
              <w:rPr>
                <w:color w:val="000000"/>
                <w:sz w:val="18"/>
                <w:szCs w:val="18"/>
              </w:rPr>
              <w:t>Le recouvrement de l’impôt sur les bénéfices et profits est effectué par voie d’acomptes provisionnels ou de précompte.</w:t>
            </w:r>
          </w:p>
          <w:p w:rsidR="00034CEB" w:rsidRPr="00743378" w:rsidRDefault="00034CEB" w:rsidP="004D4FD7">
            <w:pPr>
              <w:spacing w:before="120" w:after="120"/>
              <w:rPr>
                <w:color w:val="000000"/>
                <w:sz w:val="18"/>
                <w:szCs w:val="18"/>
              </w:rPr>
            </w:pPr>
            <w:r w:rsidRPr="00743378">
              <w:rPr>
                <w:color w:val="000000"/>
                <w:sz w:val="18"/>
                <w:szCs w:val="18"/>
              </w:rPr>
              <w:t>En vertu de l’Article 247 du Code Minier et de l’Article 2 de la Loi N°006/03 du 13 mars 2003, les sociétés minières sont redevables de deux Acomptes Provisionnels représentent, chacun, 40% de l’impôt déclaré au titre de l’exercice précédent. Ces deux versements sont déductibles de l’impôt dû par le contribuable pour l’exercice fiscal considéré, le solde de cet impôt devant être versé au moment du dépôt de la déclaration d’IBP y afférente.</w:t>
            </w:r>
          </w:p>
          <w:p w:rsidR="00034CEB" w:rsidRPr="00743378" w:rsidRDefault="00034CEB" w:rsidP="004D4FD7">
            <w:pPr>
              <w:spacing w:before="120" w:after="120"/>
              <w:rPr>
                <w:color w:val="000000"/>
                <w:sz w:val="18"/>
                <w:szCs w:val="18"/>
              </w:rPr>
            </w:pPr>
            <w:r w:rsidRPr="00743378">
              <w:rPr>
                <w:color w:val="000000"/>
                <w:sz w:val="18"/>
                <w:szCs w:val="18"/>
              </w:rPr>
              <w:t>Par contre, le régime fiscal de paiement anticipé de la contribution professionnelle sur les BIC n’est pas applicable au titulaire d’un titre minier. Néanmoins, ce dernier a l’obligation de collecter le précompte BIC et de le reverser à la DGI. (voir n° 3 ci-dessous).</w:t>
            </w:r>
          </w:p>
          <w:p w:rsidR="00034CEB" w:rsidRPr="00743378" w:rsidRDefault="00034CEB" w:rsidP="004D4FD7">
            <w:pPr>
              <w:spacing w:before="120" w:after="120"/>
              <w:rPr>
                <w:color w:val="000000"/>
                <w:sz w:val="18"/>
                <w:szCs w:val="18"/>
              </w:rPr>
            </w:pPr>
            <w:r w:rsidRPr="00743378">
              <w:rPr>
                <w:color w:val="000000"/>
                <w:sz w:val="18"/>
                <w:szCs w:val="18"/>
              </w:rPr>
              <w:t>Le Secteur Pétrolier est régi par le Régime Conventionnel. Dans ce cadre, les sociétés pétrolières ayant des exploitations off-shore (Convention du 9 août 1969) payent à l'Etat 40% au titre de l’IBP, après déduction de la participation (20%) et des autres dépenses professionnelles déductibles selon le droit commun.</w:t>
            </w:r>
          </w:p>
        </w:tc>
      </w:tr>
      <w:tr w:rsidR="00CD450A" w:rsidRPr="00743378" w:rsidTr="00155613">
        <w:trPr>
          <w:trHeight w:val="689"/>
          <w:jc w:val="center"/>
        </w:trPr>
        <w:tc>
          <w:tcPr>
            <w:tcW w:w="1255" w:type="pct"/>
            <w:vAlign w:val="center"/>
          </w:tcPr>
          <w:p w:rsidR="00034CEB" w:rsidRPr="00743378" w:rsidRDefault="00034CEB" w:rsidP="004D4FD7">
            <w:pPr>
              <w:rPr>
                <w:color w:val="000000"/>
                <w:sz w:val="18"/>
                <w:szCs w:val="18"/>
                <w:lang w:eastAsia="fr-FR"/>
              </w:rPr>
            </w:pPr>
            <w:r w:rsidRPr="00743378">
              <w:rPr>
                <w:color w:val="000000"/>
                <w:sz w:val="18"/>
                <w:szCs w:val="18"/>
                <w:lang w:eastAsia="fr-FR"/>
              </w:rPr>
              <w:lastRenderedPageBreak/>
              <w:t>IBP sur prestations des personnes non résidentes en RDC</w:t>
            </w:r>
          </w:p>
        </w:tc>
        <w:tc>
          <w:tcPr>
            <w:tcW w:w="492" w:type="pct"/>
            <w:vAlign w:val="center"/>
          </w:tcPr>
          <w:p w:rsidR="00034CEB" w:rsidRPr="00743378" w:rsidRDefault="00034CEB" w:rsidP="004D4FD7">
            <w:pPr>
              <w:jc w:val="center"/>
              <w:rPr>
                <w:color w:val="000000"/>
                <w:sz w:val="18"/>
                <w:szCs w:val="18"/>
                <w:lang w:eastAsia="fr-FR"/>
              </w:rPr>
            </w:pPr>
            <w:r w:rsidRPr="00743378">
              <w:rPr>
                <w:color w:val="000000"/>
                <w:sz w:val="18"/>
                <w:szCs w:val="18"/>
                <w:lang w:eastAsia="fr-FR"/>
              </w:rPr>
              <w:t>DGI</w:t>
            </w:r>
          </w:p>
        </w:tc>
        <w:tc>
          <w:tcPr>
            <w:tcW w:w="206" w:type="pct"/>
            <w:shd w:val="clear" w:color="auto" w:fill="8DB3E2" w:themeFill="text2" w:themeFillTint="66"/>
            <w:vAlign w:val="center"/>
          </w:tcPr>
          <w:p w:rsidR="00034CEB" w:rsidRPr="00743378" w:rsidRDefault="00034CEB" w:rsidP="004D4FD7">
            <w:pPr>
              <w:ind w:firstLineChars="100" w:firstLine="180"/>
              <w:rPr>
                <w:color w:val="000000"/>
                <w:sz w:val="18"/>
                <w:szCs w:val="18"/>
                <w:lang w:eastAsia="fr-FR"/>
              </w:rPr>
            </w:pPr>
          </w:p>
        </w:tc>
        <w:tc>
          <w:tcPr>
            <w:tcW w:w="206" w:type="pct"/>
            <w:shd w:val="clear" w:color="auto" w:fill="8DB3E2" w:themeFill="text2" w:themeFillTint="66"/>
            <w:vAlign w:val="center"/>
          </w:tcPr>
          <w:p w:rsidR="00034CEB" w:rsidRPr="00743378" w:rsidRDefault="00034CEB" w:rsidP="004D4FD7">
            <w:pPr>
              <w:ind w:firstLineChars="100" w:firstLine="180"/>
              <w:rPr>
                <w:color w:val="000000"/>
                <w:sz w:val="18"/>
                <w:szCs w:val="18"/>
                <w:lang w:eastAsia="fr-FR"/>
              </w:rPr>
            </w:pPr>
          </w:p>
        </w:tc>
        <w:tc>
          <w:tcPr>
            <w:tcW w:w="206" w:type="pct"/>
            <w:shd w:val="clear" w:color="auto" w:fill="95B3D7" w:themeFill="accent1" w:themeFillTint="99"/>
            <w:vAlign w:val="center"/>
          </w:tcPr>
          <w:p w:rsidR="00034CEB" w:rsidRPr="00743378" w:rsidRDefault="00034CEB" w:rsidP="004D4FD7">
            <w:pPr>
              <w:ind w:firstLineChars="100" w:firstLine="180"/>
              <w:rPr>
                <w:color w:val="000000"/>
                <w:sz w:val="18"/>
                <w:szCs w:val="18"/>
                <w:lang w:eastAsia="fr-FR"/>
              </w:rPr>
            </w:pPr>
          </w:p>
        </w:tc>
        <w:tc>
          <w:tcPr>
            <w:tcW w:w="2635" w:type="pct"/>
          </w:tcPr>
          <w:p w:rsidR="00034CEB" w:rsidRPr="00743378" w:rsidRDefault="00034CEB" w:rsidP="004D4FD7">
            <w:pPr>
              <w:spacing w:before="120" w:after="120"/>
              <w:rPr>
                <w:color w:val="000000"/>
                <w:sz w:val="18"/>
                <w:szCs w:val="18"/>
              </w:rPr>
            </w:pPr>
            <w:r w:rsidRPr="00743378">
              <w:rPr>
                <w:color w:val="000000"/>
                <w:sz w:val="18"/>
                <w:szCs w:val="18"/>
              </w:rPr>
              <w:t>C’est impôt a été institué par la loi de Finances n°13/009 du 01 février 2013, elle frappe les sommes payés en rémunération  des prestations de toute nature fournies par les personnes physiques ou morales non établies en RDC. Le taux de cet impôt professionnel est fixé à 14%</w:t>
            </w:r>
          </w:p>
        </w:tc>
      </w:tr>
      <w:tr w:rsidR="00CD450A" w:rsidRPr="00743378" w:rsidTr="00155613">
        <w:trPr>
          <w:trHeight w:val="360"/>
          <w:jc w:val="center"/>
        </w:trPr>
        <w:tc>
          <w:tcPr>
            <w:tcW w:w="1255" w:type="pct"/>
            <w:vAlign w:val="center"/>
            <w:hideMark/>
          </w:tcPr>
          <w:p w:rsidR="00034CEB" w:rsidRPr="00743378" w:rsidRDefault="00034CEB" w:rsidP="004D4FD7">
            <w:pPr>
              <w:rPr>
                <w:color w:val="000000"/>
                <w:sz w:val="18"/>
                <w:szCs w:val="18"/>
                <w:lang w:eastAsia="fr-FR"/>
              </w:rPr>
            </w:pPr>
            <w:r w:rsidRPr="00743378">
              <w:rPr>
                <w:color w:val="000000"/>
                <w:sz w:val="18"/>
                <w:szCs w:val="18"/>
                <w:lang w:eastAsia="fr-FR"/>
              </w:rPr>
              <w:t>Précompte BIC</w:t>
            </w:r>
          </w:p>
        </w:tc>
        <w:tc>
          <w:tcPr>
            <w:tcW w:w="492" w:type="pct"/>
            <w:vAlign w:val="center"/>
            <w:hideMark/>
          </w:tcPr>
          <w:p w:rsidR="00034CEB" w:rsidRPr="00743378" w:rsidRDefault="00034CEB" w:rsidP="004D4FD7">
            <w:pPr>
              <w:jc w:val="center"/>
              <w:rPr>
                <w:color w:val="000000"/>
                <w:sz w:val="18"/>
                <w:szCs w:val="18"/>
                <w:lang w:eastAsia="fr-FR"/>
              </w:rPr>
            </w:pPr>
            <w:r w:rsidRPr="00743378">
              <w:rPr>
                <w:color w:val="000000"/>
                <w:sz w:val="18"/>
                <w:szCs w:val="18"/>
                <w:lang w:eastAsia="fr-FR"/>
              </w:rPr>
              <w:t>DGI</w:t>
            </w:r>
          </w:p>
        </w:tc>
        <w:tc>
          <w:tcPr>
            <w:tcW w:w="206" w:type="pct"/>
            <w:shd w:val="clear" w:color="auto" w:fill="8DB3E2" w:themeFill="text2" w:themeFillTint="66"/>
            <w:vAlign w:val="center"/>
            <w:hideMark/>
          </w:tcPr>
          <w:p w:rsidR="00034CEB" w:rsidRPr="00743378" w:rsidRDefault="00034CEB" w:rsidP="004D4FD7">
            <w:pPr>
              <w:spacing w:after="0"/>
              <w:jc w:val="left"/>
              <w:rPr>
                <w:bCs w:val="0"/>
                <w:sz w:val="18"/>
                <w:szCs w:val="18"/>
                <w:lang w:eastAsia="fr-FR"/>
              </w:rPr>
            </w:pPr>
          </w:p>
        </w:tc>
        <w:tc>
          <w:tcPr>
            <w:tcW w:w="206" w:type="pct"/>
            <w:shd w:val="clear" w:color="auto" w:fill="8DB3E2" w:themeFill="text2" w:themeFillTint="66"/>
            <w:vAlign w:val="center"/>
            <w:hideMark/>
          </w:tcPr>
          <w:p w:rsidR="00034CEB" w:rsidRPr="00743378" w:rsidRDefault="00034CEB" w:rsidP="004D4FD7">
            <w:pPr>
              <w:spacing w:after="0"/>
              <w:jc w:val="left"/>
              <w:rPr>
                <w:bCs w:val="0"/>
                <w:sz w:val="18"/>
                <w:szCs w:val="18"/>
                <w:lang w:eastAsia="fr-FR"/>
              </w:rPr>
            </w:pPr>
          </w:p>
        </w:tc>
        <w:tc>
          <w:tcPr>
            <w:tcW w:w="206" w:type="pct"/>
            <w:shd w:val="clear" w:color="auto" w:fill="8DB3E2" w:themeFill="text2" w:themeFillTint="66"/>
            <w:vAlign w:val="center"/>
            <w:hideMark/>
          </w:tcPr>
          <w:p w:rsidR="00034CEB" w:rsidRPr="00743378" w:rsidRDefault="00034CEB" w:rsidP="004D4FD7">
            <w:pPr>
              <w:spacing w:after="0"/>
              <w:jc w:val="left"/>
              <w:rPr>
                <w:bCs w:val="0"/>
                <w:sz w:val="18"/>
                <w:szCs w:val="18"/>
                <w:lang w:eastAsia="fr-FR"/>
              </w:rPr>
            </w:pPr>
          </w:p>
        </w:tc>
        <w:tc>
          <w:tcPr>
            <w:tcW w:w="2635" w:type="pct"/>
            <w:vAlign w:val="center"/>
            <w:hideMark/>
          </w:tcPr>
          <w:p w:rsidR="00034CEB" w:rsidRPr="00743378" w:rsidRDefault="00034CEB" w:rsidP="004D4FD7">
            <w:pPr>
              <w:spacing w:before="120" w:after="120"/>
              <w:rPr>
                <w:color w:val="000000"/>
                <w:sz w:val="18"/>
                <w:szCs w:val="18"/>
              </w:rPr>
            </w:pPr>
            <w:r w:rsidRPr="00743378">
              <w:rPr>
                <w:color w:val="000000"/>
                <w:sz w:val="18"/>
                <w:szCs w:val="18"/>
              </w:rPr>
              <w:t xml:space="preserve">Le Précompte BIC est régi par la Loi N°006/03 DU 13 mars 2003. Il s’agit d’une Modalité de recouvrement de l’impôt sur le bénéfice dû par les petites et les micro-entreprises. </w:t>
            </w:r>
          </w:p>
          <w:p w:rsidR="00034CEB" w:rsidRPr="00743378" w:rsidRDefault="00034CEB" w:rsidP="004D4FD7">
            <w:pPr>
              <w:spacing w:before="120" w:after="120"/>
              <w:rPr>
                <w:color w:val="000000"/>
                <w:sz w:val="18"/>
                <w:szCs w:val="18"/>
              </w:rPr>
            </w:pPr>
            <w:r w:rsidRPr="00743378">
              <w:rPr>
                <w:color w:val="000000"/>
                <w:sz w:val="18"/>
                <w:szCs w:val="18"/>
              </w:rPr>
              <w:t>Le précompte de l’impôt sur les bénéfices et profits est dû par les contribuables autres que ceux redevables des Acomptes Provisionnels, lors de l’importation et de l’exportation, à l’occasion des ventes effectuées par les grossistes ainsi qu’au moment du paiement des factures en ce qui concerne les prestations de service et les travaux immobiliers.</w:t>
            </w:r>
          </w:p>
          <w:p w:rsidR="00034CEB" w:rsidRPr="00743378" w:rsidRDefault="00034CEB" w:rsidP="004D4FD7">
            <w:pPr>
              <w:spacing w:before="120" w:after="120"/>
              <w:rPr>
                <w:color w:val="000000"/>
                <w:sz w:val="18"/>
                <w:szCs w:val="18"/>
              </w:rPr>
            </w:pPr>
            <w:r w:rsidRPr="00743378">
              <w:rPr>
                <w:color w:val="000000"/>
                <w:sz w:val="18"/>
                <w:szCs w:val="18"/>
              </w:rPr>
              <w:t>Le précompte est retenu ou perçu par :</w:t>
            </w:r>
          </w:p>
          <w:p w:rsidR="00034CEB" w:rsidRPr="00743378" w:rsidRDefault="00034CEB" w:rsidP="004D4FD7">
            <w:pPr>
              <w:spacing w:before="120" w:after="120"/>
              <w:rPr>
                <w:color w:val="000000"/>
                <w:sz w:val="18"/>
                <w:szCs w:val="18"/>
              </w:rPr>
            </w:pPr>
            <w:r w:rsidRPr="00743378">
              <w:rPr>
                <w:color w:val="000000"/>
                <w:sz w:val="18"/>
                <w:szCs w:val="18"/>
              </w:rPr>
              <w:lastRenderedPageBreak/>
              <w:t>- l'Office des Douanes et Accises, à l'importation et à l'exportation ;</w:t>
            </w:r>
          </w:p>
          <w:p w:rsidR="00034CEB" w:rsidRPr="00743378" w:rsidRDefault="00034CEB" w:rsidP="004D4FD7">
            <w:pPr>
              <w:spacing w:before="120" w:after="120"/>
              <w:rPr>
                <w:color w:val="000000"/>
                <w:sz w:val="18"/>
                <w:szCs w:val="18"/>
              </w:rPr>
            </w:pPr>
            <w:r w:rsidRPr="00743378">
              <w:rPr>
                <w:color w:val="000000"/>
                <w:sz w:val="18"/>
                <w:szCs w:val="18"/>
              </w:rPr>
              <w:t>- les fabricants et les commerçants grossistes, pour les opérations de vente ;</w:t>
            </w:r>
          </w:p>
          <w:p w:rsidR="00034CEB" w:rsidRPr="00743378" w:rsidRDefault="00034CEB" w:rsidP="004D4FD7">
            <w:pPr>
              <w:spacing w:before="120" w:after="120"/>
              <w:rPr>
                <w:color w:val="000000"/>
                <w:sz w:val="18"/>
                <w:szCs w:val="18"/>
              </w:rPr>
            </w:pPr>
            <w:r w:rsidRPr="00743378">
              <w:rPr>
                <w:color w:val="000000"/>
                <w:sz w:val="18"/>
                <w:szCs w:val="18"/>
              </w:rPr>
              <w:t>- les personnes morales bénéficiaires des services, pour les prestations de services ; et</w:t>
            </w:r>
          </w:p>
          <w:p w:rsidR="00034CEB" w:rsidRPr="00743378" w:rsidRDefault="00034CEB" w:rsidP="004D4FD7">
            <w:pPr>
              <w:spacing w:before="120" w:after="120"/>
              <w:rPr>
                <w:color w:val="000000"/>
                <w:sz w:val="18"/>
                <w:szCs w:val="18"/>
              </w:rPr>
            </w:pPr>
            <w:r w:rsidRPr="00743378">
              <w:rPr>
                <w:color w:val="000000"/>
                <w:sz w:val="18"/>
                <w:szCs w:val="18"/>
              </w:rPr>
              <w:t>- les maîtres d'ouvrage, pour les travaux immobiliers.</w:t>
            </w:r>
          </w:p>
          <w:p w:rsidR="00034CEB" w:rsidRPr="00743378" w:rsidRDefault="00034CEB" w:rsidP="004D4FD7">
            <w:pPr>
              <w:spacing w:before="120" w:after="120"/>
              <w:rPr>
                <w:color w:val="000000"/>
                <w:sz w:val="18"/>
                <w:szCs w:val="18"/>
              </w:rPr>
            </w:pPr>
            <w:r w:rsidRPr="00743378">
              <w:rPr>
                <w:color w:val="000000"/>
                <w:sz w:val="18"/>
                <w:szCs w:val="18"/>
              </w:rPr>
              <w:t>Le taux de Précompte BIC est de 2%.</w:t>
            </w:r>
          </w:p>
          <w:p w:rsidR="00034CEB" w:rsidRPr="00743378" w:rsidRDefault="00034CEB" w:rsidP="004D4FD7">
            <w:pPr>
              <w:spacing w:before="120" w:after="120"/>
              <w:rPr>
                <w:color w:val="000000"/>
                <w:sz w:val="18"/>
                <w:szCs w:val="18"/>
              </w:rPr>
            </w:pPr>
            <w:r w:rsidRPr="00743378">
              <w:rPr>
                <w:color w:val="000000"/>
                <w:sz w:val="18"/>
                <w:szCs w:val="18"/>
              </w:rPr>
              <w:t>Les Sociétés minières et pétrolières ont l’obligation de collecter les précomptes au titre des opérations assujetties et ont à ce titre l’obligation de les reverser à la DGI.</w:t>
            </w:r>
          </w:p>
        </w:tc>
      </w:tr>
      <w:tr w:rsidR="00034CEB" w:rsidRPr="00743378" w:rsidTr="00155613">
        <w:trPr>
          <w:trHeight w:val="658"/>
          <w:jc w:val="center"/>
        </w:trPr>
        <w:tc>
          <w:tcPr>
            <w:tcW w:w="1255" w:type="pct"/>
            <w:vAlign w:val="center"/>
            <w:hideMark/>
          </w:tcPr>
          <w:p w:rsidR="00034CEB" w:rsidRPr="00743378" w:rsidRDefault="00034CEB" w:rsidP="004D4FD7">
            <w:pPr>
              <w:rPr>
                <w:color w:val="000000"/>
                <w:sz w:val="18"/>
                <w:szCs w:val="18"/>
                <w:lang w:eastAsia="fr-FR"/>
              </w:rPr>
            </w:pPr>
            <w:r w:rsidRPr="00743378">
              <w:rPr>
                <w:color w:val="000000"/>
                <w:sz w:val="18"/>
                <w:szCs w:val="18"/>
                <w:lang w:eastAsia="fr-FR"/>
              </w:rPr>
              <w:lastRenderedPageBreak/>
              <w:t>Avances à valoir sur divers impôts</w:t>
            </w:r>
          </w:p>
        </w:tc>
        <w:tc>
          <w:tcPr>
            <w:tcW w:w="492" w:type="pct"/>
            <w:vAlign w:val="center"/>
            <w:hideMark/>
          </w:tcPr>
          <w:p w:rsidR="00034CEB" w:rsidRPr="00743378" w:rsidRDefault="00034CEB" w:rsidP="004D4FD7">
            <w:pPr>
              <w:jc w:val="center"/>
              <w:rPr>
                <w:color w:val="000000"/>
                <w:sz w:val="18"/>
                <w:szCs w:val="18"/>
                <w:lang w:eastAsia="fr-FR"/>
              </w:rPr>
            </w:pPr>
            <w:r w:rsidRPr="00743378">
              <w:rPr>
                <w:color w:val="000000"/>
                <w:sz w:val="18"/>
                <w:szCs w:val="18"/>
                <w:lang w:eastAsia="fr-FR"/>
              </w:rPr>
              <w:t>DGI</w:t>
            </w:r>
          </w:p>
        </w:tc>
        <w:tc>
          <w:tcPr>
            <w:tcW w:w="206" w:type="pct"/>
            <w:vAlign w:val="center"/>
            <w:hideMark/>
          </w:tcPr>
          <w:p w:rsidR="00034CEB" w:rsidRPr="00743378" w:rsidRDefault="00034CEB" w:rsidP="004D4FD7">
            <w:pPr>
              <w:spacing w:after="0"/>
              <w:jc w:val="left"/>
              <w:rPr>
                <w:bCs w:val="0"/>
                <w:sz w:val="18"/>
                <w:szCs w:val="18"/>
                <w:lang w:eastAsia="fr-FR"/>
              </w:rPr>
            </w:pPr>
          </w:p>
        </w:tc>
        <w:tc>
          <w:tcPr>
            <w:tcW w:w="206" w:type="pct"/>
            <w:shd w:val="clear" w:color="auto" w:fill="8DB3E2" w:themeFill="text2" w:themeFillTint="66"/>
            <w:vAlign w:val="center"/>
            <w:hideMark/>
          </w:tcPr>
          <w:p w:rsidR="00034CEB" w:rsidRPr="00743378" w:rsidRDefault="00034CEB" w:rsidP="004D4FD7">
            <w:pPr>
              <w:spacing w:after="0"/>
              <w:jc w:val="left"/>
              <w:rPr>
                <w:bCs w:val="0"/>
                <w:sz w:val="18"/>
                <w:szCs w:val="18"/>
                <w:lang w:eastAsia="fr-FR"/>
              </w:rPr>
            </w:pPr>
          </w:p>
        </w:tc>
        <w:tc>
          <w:tcPr>
            <w:tcW w:w="206" w:type="pct"/>
            <w:vAlign w:val="center"/>
            <w:hideMark/>
          </w:tcPr>
          <w:p w:rsidR="00034CEB" w:rsidRPr="00743378" w:rsidRDefault="00034CEB" w:rsidP="004D4FD7">
            <w:pPr>
              <w:spacing w:after="0"/>
              <w:jc w:val="left"/>
              <w:rPr>
                <w:bCs w:val="0"/>
                <w:sz w:val="18"/>
                <w:szCs w:val="18"/>
                <w:lang w:eastAsia="fr-FR"/>
              </w:rPr>
            </w:pPr>
          </w:p>
        </w:tc>
        <w:tc>
          <w:tcPr>
            <w:tcW w:w="2635" w:type="pct"/>
            <w:hideMark/>
          </w:tcPr>
          <w:p w:rsidR="00034CEB" w:rsidRPr="00743378" w:rsidRDefault="00034CEB" w:rsidP="004D4FD7">
            <w:pPr>
              <w:spacing w:before="120" w:after="120"/>
              <w:rPr>
                <w:color w:val="000000"/>
                <w:sz w:val="18"/>
                <w:szCs w:val="18"/>
              </w:rPr>
            </w:pPr>
            <w:r w:rsidRPr="00743378">
              <w:rPr>
                <w:color w:val="000000"/>
                <w:sz w:val="18"/>
                <w:szCs w:val="18"/>
              </w:rPr>
              <w:t xml:space="preserve">Ce sont les avances payées anticipativement par certaines entreprises minières en 2011 qui seront imputées sur le paiement des impôts futurs. Ces avances, n’entrant pas dans les flux traditionnels encadrés par la DGI vu qu’ils ont été perçus à titre exceptionnel. </w:t>
            </w:r>
          </w:p>
          <w:p w:rsidR="00034CEB" w:rsidRPr="00743378" w:rsidRDefault="00034CEB" w:rsidP="004D4FD7">
            <w:pPr>
              <w:spacing w:before="120" w:after="120"/>
              <w:rPr>
                <w:color w:val="000000"/>
                <w:sz w:val="18"/>
                <w:szCs w:val="18"/>
              </w:rPr>
            </w:pPr>
            <w:r w:rsidRPr="00743378">
              <w:rPr>
                <w:color w:val="000000"/>
                <w:sz w:val="18"/>
                <w:szCs w:val="18"/>
              </w:rPr>
              <w:t>Lors de nos travaux de cadrage, nous n’avons pas identifié le paiement de ces avances au cours de l’exercice 2014 et par conséquent ce flux ne sera pas retenu dans le périmètre 2014. Les paiements éventuels non identifiés seront déclarés par les sociétés minières dans la catégorie des «Autres flux de paiements significatifs ».</w:t>
            </w:r>
          </w:p>
        </w:tc>
      </w:tr>
      <w:tr w:rsidR="00034CEB" w:rsidRPr="00743378" w:rsidTr="00155613">
        <w:trPr>
          <w:trHeight w:val="360"/>
          <w:jc w:val="center"/>
        </w:trPr>
        <w:tc>
          <w:tcPr>
            <w:tcW w:w="1255" w:type="pct"/>
            <w:vAlign w:val="center"/>
            <w:hideMark/>
          </w:tcPr>
          <w:p w:rsidR="00034CEB" w:rsidRPr="00743378" w:rsidRDefault="00034CEB" w:rsidP="004D4FD7">
            <w:pPr>
              <w:ind w:firstLineChars="6" w:firstLine="11"/>
              <w:rPr>
                <w:color w:val="000000"/>
                <w:sz w:val="18"/>
                <w:szCs w:val="18"/>
                <w:lang w:eastAsia="fr-FR"/>
              </w:rPr>
            </w:pPr>
            <w:r w:rsidRPr="00743378">
              <w:rPr>
                <w:color w:val="000000"/>
                <w:sz w:val="18"/>
                <w:szCs w:val="18"/>
                <w:lang w:eastAsia="fr-FR"/>
              </w:rPr>
              <w:t>Impôt spécial forfaitaire</w:t>
            </w:r>
          </w:p>
        </w:tc>
        <w:tc>
          <w:tcPr>
            <w:tcW w:w="492" w:type="pct"/>
            <w:vAlign w:val="center"/>
            <w:hideMark/>
          </w:tcPr>
          <w:p w:rsidR="00034CEB" w:rsidRPr="00743378" w:rsidRDefault="00034CEB" w:rsidP="004D4FD7">
            <w:pPr>
              <w:jc w:val="center"/>
              <w:rPr>
                <w:color w:val="000000"/>
                <w:sz w:val="18"/>
                <w:szCs w:val="18"/>
                <w:lang w:eastAsia="fr-FR"/>
              </w:rPr>
            </w:pPr>
            <w:r w:rsidRPr="00743378">
              <w:rPr>
                <w:color w:val="000000"/>
                <w:sz w:val="18"/>
                <w:szCs w:val="18"/>
                <w:lang w:eastAsia="fr-FR"/>
              </w:rPr>
              <w:t>DGI</w:t>
            </w:r>
          </w:p>
        </w:tc>
        <w:tc>
          <w:tcPr>
            <w:tcW w:w="206" w:type="pct"/>
            <w:shd w:val="clear" w:color="auto" w:fill="8DB3E2" w:themeFill="text2" w:themeFillTint="66"/>
            <w:vAlign w:val="center"/>
            <w:hideMark/>
          </w:tcPr>
          <w:p w:rsidR="00034CEB" w:rsidRPr="00743378" w:rsidRDefault="00034CEB" w:rsidP="004D4FD7">
            <w:pPr>
              <w:ind w:firstLineChars="100" w:firstLine="180"/>
              <w:rPr>
                <w:color w:val="000000"/>
                <w:sz w:val="18"/>
                <w:szCs w:val="18"/>
                <w:lang w:eastAsia="fr-FR"/>
              </w:rPr>
            </w:pPr>
            <w:r w:rsidRPr="00743378">
              <w:rPr>
                <w:color w:val="000000"/>
                <w:sz w:val="18"/>
                <w:szCs w:val="18"/>
                <w:lang w:eastAsia="fr-FR"/>
              </w:rPr>
              <w:t> </w:t>
            </w:r>
          </w:p>
        </w:tc>
        <w:tc>
          <w:tcPr>
            <w:tcW w:w="206" w:type="pct"/>
            <w:vAlign w:val="center"/>
            <w:hideMark/>
          </w:tcPr>
          <w:p w:rsidR="00034CEB" w:rsidRPr="00743378" w:rsidRDefault="00034CEB" w:rsidP="004D4FD7">
            <w:pPr>
              <w:ind w:firstLineChars="100" w:firstLine="180"/>
              <w:rPr>
                <w:color w:val="000000"/>
                <w:sz w:val="18"/>
                <w:szCs w:val="18"/>
                <w:lang w:eastAsia="fr-FR"/>
              </w:rPr>
            </w:pPr>
            <w:r w:rsidRPr="00743378">
              <w:rPr>
                <w:color w:val="000000"/>
                <w:sz w:val="18"/>
                <w:szCs w:val="18"/>
                <w:lang w:eastAsia="fr-FR"/>
              </w:rPr>
              <w:t> </w:t>
            </w:r>
          </w:p>
        </w:tc>
        <w:tc>
          <w:tcPr>
            <w:tcW w:w="206" w:type="pct"/>
            <w:vAlign w:val="center"/>
            <w:hideMark/>
          </w:tcPr>
          <w:p w:rsidR="00034CEB" w:rsidRPr="00743378" w:rsidRDefault="00034CEB" w:rsidP="004D4FD7">
            <w:pPr>
              <w:ind w:firstLineChars="100" w:firstLine="180"/>
              <w:rPr>
                <w:color w:val="000000"/>
                <w:sz w:val="18"/>
                <w:szCs w:val="18"/>
                <w:lang w:eastAsia="fr-FR"/>
              </w:rPr>
            </w:pPr>
            <w:r w:rsidRPr="00743378">
              <w:rPr>
                <w:color w:val="000000"/>
                <w:sz w:val="18"/>
                <w:szCs w:val="18"/>
                <w:lang w:eastAsia="fr-FR"/>
              </w:rPr>
              <w:t> </w:t>
            </w:r>
          </w:p>
        </w:tc>
        <w:tc>
          <w:tcPr>
            <w:tcW w:w="2635" w:type="pct"/>
          </w:tcPr>
          <w:p w:rsidR="00034CEB" w:rsidRPr="00743378" w:rsidRDefault="00034CEB" w:rsidP="004D4FD7">
            <w:pPr>
              <w:spacing w:before="120" w:after="120"/>
              <w:rPr>
                <w:color w:val="000000"/>
                <w:sz w:val="18"/>
                <w:szCs w:val="18"/>
              </w:rPr>
            </w:pPr>
            <w:r w:rsidRPr="00743378">
              <w:rPr>
                <w:color w:val="000000"/>
                <w:sz w:val="18"/>
                <w:szCs w:val="18"/>
              </w:rPr>
              <w:t>Cet impôt est régi par le régime conventionnel dans le Secteur des Hydrocarbures institué par la Convention du 11 août 1969. Ce régime concerne l'exploitation on shore.</w:t>
            </w:r>
          </w:p>
          <w:p w:rsidR="00034CEB" w:rsidRPr="00743378" w:rsidRDefault="00034CEB" w:rsidP="004D4FD7">
            <w:pPr>
              <w:spacing w:after="120"/>
              <w:rPr>
                <w:color w:val="000000"/>
                <w:sz w:val="18"/>
                <w:szCs w:val="18"/>
              </w:rPr>
            </w:pPr>
            <w:r w:rsidRPr="00743378">
              <w:rPr>
                <w:color w:val="000000"/>
                <w:sz w:val="18"/>
                <w:szCs w:val="18"/>
              </w:rPr>
              <w:t>En vertu de ce régime, les sociétés pétrolières versent à l'Etat un impôt spécial forfaitaire de 40% sur le bénéfice net, obtenu après déduction des coûts d'opérations évalués par les sociétés pétrolières ; il est payé par avances mensuelles de 20% du produit de vente réalisé chaque mois au point d'exportation.</w:t>
            </w:r>
          </w:p>
          <w:p w:rsidR="00034CEB" w:rsidRPr="00743378" w:rsidRDefault="00034CEB" w:rsidP="004D4FD7">
            <w:pPr>
              <w:spacing w:after="120"/>
              <w:rPr>
                <w:color w:val="000000"/>
                <w:sz w:val="18"/>
                <w:szCs w:val="18"/>
              </w:rPr>
            </w:pPr>
            <w:r w:rsidRPr="00743378">
              <w:rPr>
                <w:color w:val="000000"/>
                <w:sz w:val="18"/>
                <w:szCs w:val="18"/>
              </w:rPr>
              <w:t>Ce flux est une modalité de paiement de l’impôt sur le bénéfice des entreprises pétrolières en on shore. En pratique, ce flux est à comprendre dans l’IBP.</w:t>
            </w:r>
          </w:p>
        </w:tc>
      </w:tr>
      <w:tr w:rsidR="00CD450A" w:rsidRPr="00743378" w:rsidTr="00155613">
        <w:trPr>
          <w:trHeight w:val="360"/>
          <w:jc w:val="center"/>
        </w:trPr>
        <w:tc>
          <w:tcPr>
            <w:tcW w:w="1255" w:type="pct"/>
            <w:vAlign w:val="center"/>
            <w:hideMark/>
          </w:tcPr>
          <w:p w:rsidR="00034CEB" w:rsidRPr="00743378" w:rsidRDefault="00034CEB" w:rsidP="004D4FD7">
            <w:pPr>
              <w:rPr>
                <w:color w:val="000000"/>
                <w:sz w:val="18"/>
                <w:szCs w:val="18"/>
                <w:lang w:eastAsia="fr-FR"/>
              </w:rPr>
            </w:pPr>
            <w:r w:rsidRPr="00743378">
              <w:rPr>
                <w:color w:val="000000"/>
                <w:sz w:val="18"/>
                <w:szCs w:val="18"/>
                <w:lang w:eastAsia="fr-FR"/>
              </w:rPr>
              <w:t>Impôt Professionnel sur les Rémunérations (IPR)</w:t>
            </w:r>
          </w:p>
        </w:tc>
        <w:tc>
          <w:tcPr>
            <w:tcW w:w="492" w:type="pct"/>
            <w:vAlign w:val="center"/>
            <w:hideMark/>
          </w:tcPr>
          <w:p w:rsidR="00034CEB" w:rsidRPr="00743378" w:rsidRDefault="00034CEB" w:rsidP="004D4FD7">
            <w:pPr>
              <w:jc w:val="center"/>
              <w:rPr>
                <w:color w:val="000000"/>
                <w:sz w:val="18"/>
                <w:szCs w:val="18"/>
                <w:lang w:eastAsia="fr-FR"/>
              </w:rPr>
            </w:pPr>
            <w:r w:rsidRPr="00743378">
              <w:rPr>
                <w:color w:val="000000"/>
                <w:sz w:val="18"/>
                <w:szCs w:val="18"/>
                <w:lang w:eastAsia="fr-FR"/>
              </w:rPr>
              <w:t>DGI</w:t>
            </w:r>
          </w:p>
        </w:tc>
        <w:tc>
          <w:tcPr>
            <w:tcW w:w="206" w:type="pct"/>
            <w:shd w:val="clear" w:color="auto" w:fill="8DB3E2" w:themeFill="text2" w:themeFillTint="66"/>
            <w:vAlign w:val="center"/>
            <w:hideMark/>
          </w:tcPr>
          <w:p w:rsidR="00034CEB" w:rsidRPr="00743378" w:rsidRDefault="00034CEB" w:rsidP="004D4FD7">
            <w:pPr>
              <w:ind w:firstLineChars="100" w:firstLine="180"/>
              <w:rPr>
                <w:color w:val="000000"/>
                <w:sz w:val="18"/>
                <w:szCs w:val="18"/>
                <w:lang w:eastAsia="fr-FR"/>
              </w:rPr>
            </w:pPr>
            <w:r w:rsidRPr="00743378">
              <w:rPr>
                <w:color w:val="000000"/>
                <w:sz w:val="18"/>
                <w:szCs w:val="18"/>
                <w:lang w:eastAsia="fr-FR"/>
              </w:rPr>
              <w:t> </w:t>
            </w:r>
          </w:p>
        </w:tc>
        <w:tc>
          <w:tcPr>
            <w:tcW w:w="206" w:type="pct"/>
            <w:shd w:val="clear" w:color="auto" w:fill="8DB3E2" w:themeFill="text2" w:themeFillTint="66"/>
            <w:vAlign w:val="center"/>
            <w:hideMark/>
          </w:tcPr>
          <w:p w:rsidR="00034CEB" w:rsidRPr="00743378" w:rsidRDefault="00034CEB" w:rsidP="004D4FD7">
            <w:pPr>
              <w:ind w:firstLineChars="100" w:firstLine="180"/>
              <w:rPr>
                <w:color w:val="000000"/>
                <w:sz w:val="18"/>
                <w:szCs w:val="18"/>
                <w:lang w:eastAsia="fr-FR"/>
              </w:rPr>
            </w:pPr>
            <w:r w:rsidRPr="00743378">
              <w:rPr>
                <w:color w:val="000000"/>
                <w:sz w:val="18"/>
                <w:szCs w:val="18"/>
                <w:lang w:eastAsia="fr-FR"/>
              </w:rPr>
              <w:t> </w:t>
            </w:r>
          </w:p>
        </w:tc>
        <w:tc>
          <w:tcPr>
            <w:tcW w:w="206" w:type="pct"/>
            <w:shd w:val="clear" w:color="auto" w:fill="8DB3E2" w:themeFill="text2" w:themeFillTint="66"/>
            <w:vAlign w:val="center"/>
            <w:hideMark/>
          </w:tcPr>
          <w:p w:rsidR="00034CEB" w:rsidRPr="00743378" w:rsidRDefault="00034CEB" w:rsidP="004D4FD7">
            <w:pPr>
              <w:ind w:firstLineChars="100" w:firstLine="180"/>
              <w:rPr>
                <w:color w:val="000000"/>
                <w:sz w:val="18"/>
                <w:szCs w:val="18"/>
                <w:lang w:eastAsia="fr-FR"/>
              </w:rPr>
            </w:pPr>
            <w:r w:rsidRPr="00743378">
              <w:rPr>
                <w:color w:val="000000"/>
                <w:sz w:val="18"/>
                <w:szCs w:val="18"/>
                <w:lang w:eastAsia="fr-FR"/>
              </w:rPr>
              <w:t> </w:t>
            </w:r>
          </w:p>
        </w:tc>
        <w:tc>
          <w:tcPr>
            <w:tcW w:w="2635" w:type="pct"/>
          </w:tcPr>
          <w:p w:rsidR="00034CEB" w:rsidRPr="00743378" w:rsidRDefault="00034CEB" w:rsidP="004D4FD7">
            <w:pPr>
              <w:spacing w:before="120" w:after="120"/>
              <w:rPr>
                <w:color w:val="000000"/>
                <w:sz w:val="18"/>
                <w:szCs w:val="18"/>
              </w:rPr>
            </w:pPr>
            <w:r w:rsidRPr="00743378">
              <w:rPr>
                <w:color w:val="000000"/>
                <w:sz w:val="18"/>
                <w:szCs w:val="18"/>
              </w:rPr>
              <w:t xml:space="preserve">L’Impôt Professionnel sur les rémunérations (IPR) est prévu par l’Article 27 du code de l’impôt. Il concerne les rémunérations de toutes les personnes rétribuées par un tiers, sans être liées par un contrat d’entreprises, y compris les bénéficiaires des pensions, les </w:t>
            </w:r>
            <w:r w:rsidRPr="00743378">
              <w:rPr>
                <w:color w:val="000000"/>
                <w:sz w:val="18"/>
                <w:szCs w:val="18"/>
              </w:rPr>
              <w:lastRenderedPageBreak/>
              <w:t>rémunérations des associés actifs dans les sociétés autres que par action et celles des mandataires dans les entreprises publiques. Ces personnes souscrivent les déclarations et paient chaque mois, même si ces rémunérations ne sont pas versées alors qu’elles sont retenues à la source par l’employeur.</w:t>
            </w:r>
          </w:p>
          <w:p w:rsidR="00034CEB" w:rsidRPr="00743378" w:rsidRDefault="00034CEB" w:rsidP="004D4FD7">
            <w:pPr>
              <w:spacing w:before="120" w:after="120"/>
              <w:rPr>
                <w:color w:val="000000"/>
                <w:sz w:val="18"/>
                <w:szCs w:val="18"/>
              </w:rPr>
            </w:pPr>
            <w:r w:rsidRPr="00743378">
              <w:rPr>
                <w:color w:val="000000"/>
                <w:sz w:val="18"/>
                <w:szCs w:val="18"/>
              </w:rPr>
              <w:t>Au niveau du Secteur Minier les dispositions de droit commun ont été consacrées par l’Article 244 du Code Minier qui prévoit que « le titulaire est le redevable légal de la contribution professionnelle sur les rémunérations à charge des employés au taux de droit commun. »</w:t>
            </w:r>
          </w:p>
          <w:p w:rsidR="00034CEB" w:rsidRPr="00743378" w:rsidRDefault="00034CEB" w:rsidP="004D4FD7">
            <w:pPr>
              <w:spacing w:before="120" w:after="120"/>
              <w:rPr>
                <w:color w:val="000000"/>
                <w:sz w:val="18"/>
                <w:szCs w:val="18"/>
              </w:rPr>
            </w:pPr>
            <w:r w:rsidRPr="00743378">
              <w:rPr>
                <w:color w:val="000000"/>
                <w:sz w:val="18"/>
                <w:szCs w:val="18"/>
              </w:rPr>
              <w:t>Au niveau du Secteur des Hydrocarbures, les dispositions de droit commun sont applicables sauf cas d’exonérations prévues par les Conventions ou les Contrats de Partage de Production.</w:t>
            </w:r>
          </w:p>
          <w:p w:rsidR="00034CEB" w:rsidRPr="00743378" w:rsidRDefault="00034CEB" w:rsidP="004D4FD7">
            <w:pPr>
              <w:spacing w:before="120" w:after="120"/>
              <w:rPr>
                <w:color w:val="000000"/>
                <w:sz w:val="18"/>
                <w:szCs w:val="18"/>
              </w:rPr>
            </w:pPr>
            <w:r w:rsidRPr="00743378">
              <w:rPr>
                <w:color w:val="000000"/>
                <w:sz w:val="18"/>
                <w:szCs w:val="18"/>
              </w:rPr>
              <w:t>L’IPR est acquitté mensuellement au plus tard le 15 du mois suivant celui de paiement.</w:t>
            </w:r>
          </w:p>
        </w:tc>
      </w:tr>
      <w:tr w:rsidR="00CD450A" w:rsidRPr="00743378" w:rsidTr="00155613">
        <w:trPr>
          <w:trHeight w:val="360"/>
          <w:jc w:val="center"/>
        </w:trPr>
        <w:tc>
          <w:tcPr>
            <w:tcW w:w="1255" w:type="pct"/>
            <w:vAlign w:val="center"/>
            <w:hideMark/>
          </w:tcPr>
          <w:p w:rsidR="00034CEB" w:rsidRPr="00743378" w:rsidRDefault="00034CEB" w:rsidP="004D4FD7">
            <w:pPr>
              <w:rPr>
                <w:color w:val="000000"/>
                <w:sz w:val="18"/>
                <w:szCs w:val="18"/>
                <w:lang w:eastAsia="fr-FR"/>
              </w:rPr>
            </w:pPr>
            <w:r w:rsidRPr="00743378">
              <w:rPr>
                <w:color w:val="000000"/>
                <w:sz w:val="18"/>
                <w:szCs w:val="18"/>
                <w:lang w:eastAsia="fr-FR"/>
              </w:rPr>
              <w:lastRenderedPageBreak/>
              <w:t>Impôt Exceptionnel sur la Rémunération des Expatriés (IER)</w:t>
            </w:r>
          </w:p>
        </w:tc>
        <w:tc>
          <w:tcPr>
            <w:tcW w:w="492" w:type="pct"/>
            <w:vAlign w:val="center"/>
            <w:hideMark/>
          </w:tcPr>
          <w:p w:rsidR="00034CEB" w:rsidRPr="00743378" w:rsidRDefault="00034CEB" w:rsidP="004D4FD7">
            <w:pPr>
              <w:jc w:val="center"/>
              <w:rPr>
                <w:color w:val="000000"/>
                <w:sz w:val="18"/>
                <w:szCs w:val="18"/>
                <w:lang w:eastAsia="fr-FR"/>
              </w:rPr>
            </w:pPr>
            <w:r w:rsidRPr="00743378">
              <w:rPr>
                <w:color w:val="000000"/>
                <w:sz w:val="18"/>
                <w:szCs w:val="18"/>
                <w:lang w:eastAsia="fr-FR"/>
              </w:rPr>
              <w:t>DGI</w:t>
            </w:r>
          </w:p>
        </w:tc>
        <w:tc>
          <w:tcPr>
            <w:tcW w:w="206" w:type="pct"/>
            <w:shd w:val="clear" w:color="auto" w:fill="8DB3E2" w:themeFill="text2" w:themeFillTint="66"/>
            <w:vAlign w:val="center"/>
            <w:hideMark/>
          </w:tcPr>
          <w:p w:rsidR="00034CEB" w:rsidRPr="00743378" w:rsidRDefault="00034CEB" w:rsidP="004D4FD7">
            <w:pPr>
              <w:ind w:firstLineChars="100" w:firstLine="180"/>
              <w:rPr>
                <w:color w:val="000000"/>
                <w:sz w:val="18"/>
                <w:szCs w:val="18"/>
                <w:lang w:eastAsia="fr-FR"/>
              </w:rPr>
            </w:pPr>
            <w:r w:rsidRPr="00743378">
              <w:rPr>
                <w:color w:val="000000"/>
                <w:sz w:val="18"/>
                <w:szCs w:val="18"/>
                <w:lang w:eastAsia="fr-FR"/>
              </w:rPr>
              <w:t> </w:t>
            </w:r>
          </w:p>
        </w:tc>
        <w:tc>
          <w:tcPr>
            <w:tcW w:w="206" w:type="pct"/>
            <w:shd w:val="clear" w:color="auto" w:fill="8DB3E2" w:themeFill="text2" w:themeFillTint="66"/>
            <w:vAlign w:val="center"/>
            <w:hideMark/>
          </w:tcPr>
          <w:p w:rsidR="00034CEB" w:rsidRPr="00743378" w:rsidRDefault="00034CEB" w:rsidP="004D4FD7">
            <w:pPr>
              <w:ind w:firstLineChars="100" w:firstLine="180"/>
              <w:rPr>
                <w:color w:val="000000"/>
                <w:sz w:val="18"/>
                <w:szCs w:val="18"/>
                <w:lang w:eastAsia="fr-FR"/>
              </w:rPr>
            </w:pPr>
            <w:r w:rsidRPr="00743378">
              <w:rPr>
                <w:color w:val="000000"/>
                <w:sz w:val="18"/>
                <w:szCs w:val="18"/>
                <w:lang w:eastAsia="fr-FR"/>
              </w:rPr>
              <w:t> </w:t>
            </w:r>
          </w:p>
        </w:tc>
        <w:tc>
          <w:tcPr>
            <w:tcW w:w="206" w:type="pct"/>
            <w:shd w:val="clear" w:color="auto" w:fill="8DB3E2" w:themeFill="text2" w:themeFillTint="66"/>
            <w:vAlign w:val="center"/>
            <w:hideMark/>
          </w:tcPr>
          <w:p w:rsidR="00034CEB" w:rsidRPr="00743378" w:rsidRDefault="00034CEB" w:rsidP="004D4FD7">
            <w:pPr>
              <w:ind w:firstLineChars="100" w:firstLine="180"/>
              <w:rPr>
                <w:color w:val="000000"/>
                <w:sz w:val="18"/>
                <w:szCs w:val="18"/>
                <w:lang w:eastAsia="fr-FR"/>
              </w:rPr>
            </w:pPr>
            <w:r w:rsidRPr="00743378">
              <w:rPr>
                <w:color w:val="000000"/>
                <w:sz w:val="18"/>
                <w:szCs w:val="18"/>
                <w:lang w:eastAsia="fr-FR"/>
              </w:rPr>
              <w:t> </w:t>
            </w:r>
          </w:p>
        </w:tc>
        <w:tc>
          <w:tcPr>
            <w:tcW w:w="2635" w:type="pct"/>
          </w:tcPr>
          <w:p w:rsidR="00034CEB" w:rsidRPr="00743378" w:rsidRDefault="00034CEB" w:rsidP="004D4FD7">
            <w:pPr>
              <w:spacing w:before="120" w:after="120"/>
              <w:rPr>
                <w:color w:val="000000"/>
                <w:sz w:val="18"/>
                <w:szCs w:val="18"/>
              </w:rPr>
            </w:pPr>
            <w:r w:rsidRPr="00743378">
              <w:rPr>
                <w:color w:val="000000"/>
                <w:sz w:val="18"/>
                <w:szCs w:val="18"/>
              </w:rPr>
              <w:t>L’Impôt Exceptionnel sur la Rémunération des Expatriés (IER) est prévu par le droit commun dans :</w:t>
            </w:r>
          </w:p>
          <w:p w:rsidR="00034CEB" w:rsidRPr="00743378" w:rsidRDefault="00034CEB" w:rsidP="004D4FD7">
            <w:pPr>
              <w:spacing w:before="120" w:after="120"/>
              <w:rPr>
                <w:color w:val="000000"/>
                <w:sz w:val="18"/>
                <w:szCs w:val="18"/>
              </w:rPr>
            </w:pPr>
            <w:r w:rsidRPr="00743378">
              <w:rPr>
                <w:color w:val="000000"/>
                <w:sz w:val="18"/>
                <w:szCs w:val="18"/>
              </w:rPr>
              <w:t>L’Ordonnance-Loi n°69-007 du 10 février 1969 telle que modifiée par :</w:t>
            </w:r>
          </w:p>
          <w:p w:rsidR="00034CEB" w:rsidRPr="00743378" w:rsidRDefault="00034CEB" w:rsidP="004D4FD7">
            <w:pPr>
              <w:spacing w:before="120" w:after="120"/>
              <w:rPr>
                <w:color w:val="000000"/>
                <w:sz w:val="18"/>
                <w:szCs w:val="18"/>
              </w:rPr>
            </w:pPr>
            <w:r w:rsidRPr="00743378">
              <w:rPr>
                <w:color w:val="000000"/>
                <w:sz w:val="18"/>
                <w:szCs w:val="18"/>
              </w:rPr>
              <w:tab/>
              <w:t>- l'Ordonnance n°76/072 du 26 mars 1976 ;</w:t>
            </w:r>
          </w:p>
          <w:p w:rsidR="00034CEB" w:rsidRPr="00743378" w:rsidRDefault="00034CEB" w:rsidP="004D4FD7">
            <w:pPr>
              <w:spacing w:before="120" w:after="120"/>
              <w:rPr>
                <w:color w:val="000000"/>
                <w:sz w:val="18"/>
                <w:szCs w:val="18"/>
              </w:rPr>
            </w:pPr>
            <w:r w:rsidRPr="00743378">
              <w:rPr>
                <w:color w:val="000000"/>
                <w:sz w:val="18"/>
                <w:szCs w:val="18"/>
              </w:rPr>
              <w:tab/>
              <w:t>- l’Ordonnance-Loi n°81-009 du 27 mars 1981 ; et</w:t>
            </w:r>
          </w:p>
          <w:p w:rsidR="00034CEB" w:rsidRPr="00743378" w:rsidRDefault="00034CEB" w:rsidP="004D4FD7">
            <w:pPr>
              <w:spacing w:before="120" w:after="120"/>
              <w:rPr>
                <w:color w:val="000000"/>
                <w:sz w:val="18"/>
                <w:szCs w:val="18"/>
              </w:rPr>
            </w:pPr>
            <w:r w:rsidRPr="00743378">
              <w:rPr>
                <w:color w:val="000000"/>
                <w:sz w:val="18"/>
                <w:szCs w:val="18"/>
              </w:rPr>
              <w:tab/>
              <w:t>- la Loi n°005/2003 du 13 mars 2003.</w:t>
            </w:r>
          </w:p>
          <w:p w:rsidR="00034CEB" w:rsidRPr="00743378" w:rsidRDefault="00034CEB" w:rsidP="004D4FD7">
            <w:pPr>
              <w:spacing w:before="120" w:after="120"/>
              <w:rPr>
                <w:color w:val="000000"/>
                <w:sz w:val="18"/>
                <w:szCs w:val="18"/>
              </w:rPr>
            </w:pPr>
            <w:r w:rsidRPr="00743378">
              <w:rPr>
                <w:color w:val="000000"/>
                <w:sz w:val="18"/>
                <w:szCs w:val="18"/>
              </w:rPr>
              <w:t>L’IER est assis sur le montant des rémunérations payées par chaque employeur à son personnel expatrié. Le taux de droit commun est de 25%.</w:t>
            </w:r>
          </w:p>
          <w:p w:rsidR="00034CEB" w:rsidRPr="00743378" w:rsidRDefault="00034CEB" w:rsidP="004D4FD7">
            <w:pPr>
              <w:spacing w:before="120" w:after="120"/>
              <w:rPr>
                <w:color w:val="000000"/>
                <w:sz w:val="18"/>
                <w:szCs w:val="18"/>
              </w:rPr>
            </w:pPr>
            <w:r w:rsidRPr="00743378">
              <w:rPr>
                <w:color w:val="000000"/>
                <w:sz w:val="18"/>
                <w:szCs w:val="18"/>
              </w:rPr>
              <w:t>L’article 260 du Code minier a instauré un régime préférentiel pour les sociétés minières qui consiste en :</w:t>
            </w:r>
          </w:p>
          <w:p w:rsidR="00034CEB" w:rsidRPr="00743378" w:rsidRDefault="00034CEB" w:rsidP="00034CEB">
            <w:pPr>
              <w:pStyle w:val="ListParagraph"/>
              <w:numPr>
                <w:ilvl w:val="0"/>
                <w:numId w:val="28"/>
              </w:numPr>
              <w:spacing w:before="120" w:after="120"/>
              <w:rPr>
                <w:color w:val="000000"/>
                <w:sz w:val="18"/>
                <w:szCs w:val="18"/>
              </w:rPr>
            </w:pPr>
            <w:r w:rsidRPr="00743378">
              <w:rPr>
                <w:color w:val="000000"/>
                <w:sz w:val="18"/>
                <w:szCs w:val="18"/>
              </w:rPr>
              <w:t xml:space="preserve">La réduction du taux de l’IER à 10% ; et </w:t>
            </w:r>
          </w:p>
          <w:p w:rsidR="00034CEB" w:rsidRPr="00743378" w:rsidRDefault="00034CEB" w:rsidP="00034CEB">
            <w:pPr>
              <w:pStyle w:val="ListParagraph"/>
              <w:numPr>
                <w:ilvl w:val="0"/>
                <w:numId w:val="28"/>
              </w:numPr>
              <w:spacing w:before="120" w:after="120"/>
              <w:rPr>
                <w:color w:val="000000"/>
                <w:sz w:val="18"/>
                <w:szCs w:val="18"/>
              </w:rPr>
            </w:pPr>
            <w:r w:rsidRPr="00743378">
              <w:rPr>
                <w:color w:val="000000"/>
                <w:sz w:val="18"/>
                <w:szCs w:val="18"/>
              </w:rPr>
              <w:t>La déductibilité de l’IER de la base imposable à l’impôt sur les bénéfices</w:t>
            </w:r>
          </w:p>
          <w:p w:rsidR="00034CEB" w:rsidRPr="00743378" w:rsidRDefault="00034CEB" w:rsidP="004D4FD7">
            <w:pPr>
              <w:spacing w:before="120" w:after="120"/>
              <w:rPr>
                <w:color w:val="000000"/>
                <w:sz w:val="18"/>
                <w:szCs w:val="18"/>
              </w:rPr>
            </w:pPr>
            <w:r w:rsidRPr="00743378">
              <w:rPr>
                <w:color w:val="000000"/>
                <w:sz w:val="18"/>
                <w:szCs w:val="18"/>
              </w:rPr>
              <w:t xml:space="preserve">Au niveau du Secteur des Hydrocarbures, les dispositions de droit commun sont applicables sauf dispositions contraires prévues par les Conventions ou les Contrats de Partage de </w:t>
            </w:r>
            <w:r w:rsidRPr="00743378">
              <w:rPr>
                <w:color w:val="000000"/>
                <w:sz w:val="18"/>
                <w:szCs w:val="18"/>
              </w:rPr>
              <w:lastRenderedPageBreak/>
              <w:t>Production.</w:t>
            </w:r>
          </w:p>
          <w:p w:rsidR="00034CEB" w:rsidRPr="00743378" w:rsidRDefault="00034CEB" w:rsidP="004D4FD7">
            <w:pPr>
              <w:spacing w:before="120" w:after="120"/>
              <w:rPr>
                <w:color w:val="000000"/>
                <w:sz w:val="18"/>
                <w:szCs w:val="18"/>
              </w:rPr>
            </w:pPr>
            <w:r w:rsidRPr="00743378">
              <w:rPr>
                <w:color w:val="000000"/>
                <w:sz w:val="18"/>
                <w:szCs w:val="18"/>
              </w:rPr>
              <w:t>L’IER est acquitté mensuellement dans les mêmes conditions et délais que l’IPR.</w:t>
            </w:r>
          </w:p>
        </w:tc>
      </w:tr>
      <w:tr w:rsidR="00CD450A" w:rsidRPr="00743378" w:rsidTr="00155613">
        <w:trPr>
          <w:trHeight w:val="360"/>
          <w:jc w:val="center"/>
        </w:trPr>
        <w:tc>
          <w:tcPr>
            <w:tcW w:w="1255" w:type="pct"/>
            <w:vAlign w:val="center"/>
            <w:hideMark/>
          </w:tcPr>
          <w:p w:rsidR="00034CEB" w:rsidRPr="00743378" w:rsidRDefault="00034CEB" w:rsidP="004D4FD7">
            <w:pPr>
              <w:rPr>
                <w:color w:val="000000"/>
                <w:sz w:val="18"/>
                <w:szCs w:val="18"/>
                <w:lang w:eastAsia="fr-FR"/>
              </w:rPr>
            </w:pPr>
            <w:r w:rsidRPr="00743378">
              <w:rPr>
                <w:color w:val="000000"/>
                <w:sz w:val="18"/>
                <w:szCs w:val="18"/>
                <w:lang w:eastAsia="fr-FR"/>
              </w:rPr>
              <w:lastRenderedPageBreak/>
              <w:t>Impôt mobilier (IM)</w:t>
            </w:r>
          </w:p>
        </w:tc>
        <w:tc>
          <w:tcPr>
            <w:tcW w:w="492" w:type="pct"/>
            <w:vAlign w:val="center"/>
            <w:hideMark/>
          </w:tcPr>
          <w:p w:rsidR="00034CEB" w:rsidRPr="00743378" w:rsidRDefault="00034CEB" w:rsidP="004D4FD7">
            <w:pPr>
              <w:jc w:val="center"/>
              <w:rPr>
                <w:color w:val="000000"/>
                <w:sz w:val="18"/>
                <w:szCs w:val="18"/>
                <w:lang w:eastAsia="fr-FR"/>
              </w:rPr>
            </w:pPr>
            <w:r w:rsidRPr="00743378">
              <w:rPr>
                <w:color w:val="000000"/>
                <w:sz w:val="18"/>
                <w:szCs w:val="18"/>
                <w:lang w:eastAsia="fr-FR"/>
              </w:rPr>
              <w:t>DGI</w:t>
            </w:r>
          </w:p>
        </w:tc>
        <w:tc>
          <w:tcPr>
            <w:tcW w:w="206" w:type="pct"/>
            <w:shd w:val="clear" w:color="auto" w:fill="8DB3E2" w:themeFill="text2" w:themeFillTint="66"/>
            <w:vAlign w:val="center"/>
            <w:hideMark/>
          </w:tcPr>
          <w:p w:rsidR="00034CEB" w:rsidRPr="00743378" w:rsidRDefault="00034CEB" w:rsidP="004D4FD7">
            <w:pPr>
              <w:ind w:firstLineChars="100" w:firstLine="180"/>
              <w:rPr>
                <w:color w:val="000000"/>
                <w:sz w:val="18"/>
                <w:szCs w:val="18"/>
                <w:lang w:eastAsia="fr-FR"/>
              </w:rPr>
            </w:pPr>
            <w:r w:rsidRPr="00743378">
              <w:rPr>
                <w:color w:val="000000"/>
                <w:sz w:val="18"/>
                <w:szCs w:val="18"/>
                <w:lang w:eastAsia="fr-FR"/>
              </w:rPr>
              <w:t> </w:t>
            </w:r>
          </w:p>
        </w:tc>
        <w:tc>
          <w:tcPr>
            <w:tcW w:w="206" w:type="pct"/>
            <w:shd w:val="clear" w:color="auto" w:fill="8DB3E2" w:themeFill="text2" w:themeFillTint="66"/>
            <w:vAlign w:val="center"/>
            <w:hideMark/>
          </w:tcPr>
          <w:p w:rsidR="00034CEB" w:rsidRPr="00743378" w:rsidRDefault="00034CEB" w:rsidP="004D4FD7">
            <w:pPr>
              <w:ind w:firstLineChars="100" w:firstLine="180"/>
              <w:rPr>
                <w:color w:val="000000"/>
                <w:sz w:val="18"/>
                <w:szCs w:val="18"/>
                <w:lang w:eastAsia="fr-FR"/>
              </w:rPr>
            </w:pPr>
            <w:r w:rsidRPr="00743378">
              <w:rPr>
                <w:color w:val="000000"/>
                <w:sz w:val="18"/>
                <w:szCs w:val="18"/>
                <w:lang w:eastAsia="fr-FR"/>
              </w:rPr>
              <w:t> </w:t>
            </w:r>
          </w:p>
        </w:tc>
        <w:tc>
          <w:tcPr>
            <w:tcW w:w="206" w:type="pct"/>
            <w:shd w:val="clear" w:color="auto" w:fill="8DB3E2" w:themeFill="text2" w:themeFillTint="66"/>
            <w:vAlign w:val="center"/>
            <w:hideMark/>
          </w:tcPr>
          <w:p w:rsidR="00034CEB" w:rsidRPr="00743378" w:rsidRDefault="00034CEB" w:rsidP="004D4FD7">
            <w:pPr>
              <w:ind w:firstLineChars="100" w:firstLine="180"/>
              <w:rPr>
                <w:color w:val="000000"/>
                <w:sz w:val="18"/>
                <w:szCs w:val="18"/>
                <w:lang w:eastAsia="fr-FR"/>
              </w:rPr>
            </w:pPr>
            <w:r w:rsidRPr="00743378">
              <w:rPr>
                <w:color w:val="000000"/>
                <w:sz w:val="18"/>
                <w:szCs w:val="18"/>
                <w:lang w:eastAsia="fr-FR"/>
              </w:rPr>
              <w:t> </w:t>
            </w:r>
          </w:p>
        </w:tc>
        <w:tc>
          <w:tcPr>
            <w:tcW w:w="2635" w:type="pct"/>
          </w:tcPr>
          <w:p w:rsidR="00034CEB" w:rsidRPr="00743378" w:rsidRDefault="00034CEB" w:rsidP="004D4FD7">
            <w:pPr>
              <w:spacing w:before="120" w:after="120"/>
              <w:rPr>
                <w:color w:val="000000"/>
                <w:sz w:val="18"/>
                <w:szCs w:val="18"/>
              </w:rPr>
            </w:pPr>
            <w:r w:rsidRPr="00743378">
              <w:rPr>
                <w:color w:val="000000"/>
                <w:sz w:val="18"/>
                <w:szCs w:val="18"/>
              </w:rPr>
              <w:t>L’impôt Mobilier est prévu par l’Article 13 du Code de l’Impôt et frappe les revenus des capitaux mobiliers investis en République Démocratique du Congo (d’origine nationale ou étrangère mais investis au Congo). La Loi énumère de manière limitative les revenus passibles de l’impôt mobilier :</w:t>
            </w:r>
          </w:p>
          <w:p w:rsidR="00034CEB" w:rsidRPr="00743378" w:rsidRDefault="00034CEB" w:rsidP="00F77566">
            <w:pPr>
              <w:pStyle w:val="ListParagraph"/>
              <w:numPr>
                <w:ilvl w:val="0"/>
                <w:numId w:val="48"/>
              </w:numPr>
              <w:spacing w:after="0"/>
              <w:contextualSpacing/>
              <w:rPr>
                <w:color w:val="000000"/>
                <w:sz w:val="18"/>
                <w:szCs w:val="18"/>
              </w:rPr>
            </w:pPr>
            <w:r w:rsidRPr="00743378">
              <w:rPr>
                <w:color w:val="000000"/>
                <w:sz w:val="18"/>
                <w:szCs w:val="18"/>
              </w:rPr>
              <w:t>Les dividendes et les revenus des parts des associés non actifs dans les Sociétés autres que par action ; Dividendes et autres distributions (pour les miniers) ;</w:t>
            </w:r>
          </w:p>
          <w:p w:rsidR="00034CEB" w:rsidRPr="00743378" w:rsidRDefault="00034CEB" w:rsidP="00F77566">
            <w:pPr>
              <w:pStyle w:val="ListParagraph"/>
              <w:numPr>
                <w:ilvl w:val="0"/>
                <w:numId w:val="48"/>
              </w:numPr>
              <w:spacing w:after="0"/>
              <w:contextualSpacing/>
              <w:rPr>
                <w:color w:val="000000"/>
                <w:sz w:val="18"/>
                <w:szCs w:val="18"/>
              </w:rPr>
            </w:pPr>
            <w:r w:rsidRPr="00743378">
              <w:rPr>
                <w:color w:val="000000"/>
                <w:sz w:val="18"/>
                <w:szCs w:val="18"/>
              </w:rPr>
              <w:t>Les intérêts d’obligations et les intérêts des capitaux empruntés à des fins professionnelles (Pour les miniers, exonération  de cet impôt  sur les intérêts issus des capitaux en devises de source étrangère)</w:t>
            </w:r>
          </w:p>
          <w:p w:rsidR="00034CEB" w:rsidRPr="00743378" w:rsidRDefault="00034CEB" w:rsidP="00F77566">
            <w:pPr>
              <w:pStyle w:val="ListParagraph"/>
              <w:numPr>
                <w:ilvl w:val="0"/>
                <w:numId w:val="48"/>
              </w:numPr>
              <w:spacing w:after="0"/>
              <w:contextualSpacing/>
              <w:rPr>
                <w:color w:val="000000"/>
                <w:sz w:val="18"/>
                <w:szCs w:val="18"/>
              </w:rPr>
            </w:pPr>
            <w:r w:rsidRPr="00743378">
              <w:rPr>
                <w:color w:val="000000"/>
                <w:sz w:val="18"/>
                <w:szCs w:val="18"/>
              </w:rPr>
              <w:t>Les tantièmes ; et</w:t>
            </w:r>
          </w:p>
          <w:p w:rsidR="00034CEB" w:rsidRPr="00743378" w:rsidRDefault="00034CEB" w:rsidP="00F77566">
            <w:pPr>
              <w:pStyle w:val="ListParagraph"/>
              <w:numPr>
                <w:ilvl w:val="0"/>
                <w:numId w:val="48"/>
              </w:numPr>
              <w:spacing w:after="0"/>
              <w:contextualSpacing/>
              <w:rPr>
                <w:color w:val="000000"/>
                <w:sz w:val="18"/>
                <w:szCs w:val="18"/>
              </w:rPr>
            </w:pPr>
            <w:r w:rsidRPr="00743378">
              <w:rPr>
                <w:color w:val="000000"/>
                <w:sz w:val="18"/>
                <w:szCs w:val="18"/>
              </w:rPr>
              <w:t>Les redevances nettes.</w:t>
            </w:r>
          </w:p>
          <w:p w:rsidR="00034CEB" w:rsidRPr="00743378" w:rsidRDefault="00034CEB" w:rsidP="004D4FD7">
            <w:pPr>
              <w:spacing w:before="120" w:after="120"/>
              <w:rPr>
                <w:color w:val="000000"/>
                <w:sz w:val="18"/>
                <w:szCs w:val="18"/>
              </w:rPr>
            </w:pPr>
            <w:r w:rsidRPr="00743378">
              <w:rPr>
                <w:color w:val="000000"/>
                <w:sz w:val="18"/>
                <w:szCs w:val="18"/>
              </w:rPr>
              <w:t>Le taux de l’impôt mobilier a été fixé, par l’Article 26 du Code de l’Impôt, à 20%.</w:t>
            </w:r>
          </w:p>
          <w:p w:rsidR="00034CEB" w:rsidRPr="00743378" w:rsidRDefault="00034CEB" w:rsidP="004D4FD7">
            <w:pPr>
              <w:spacing w:before="120" w:after="120"/>
              <w:rPr>
                <w:color w:val="000000"/>
                <w:sz w:val="18"/>
                <w:szCs w:val="18"/>
              </w:rPr>
            </w:pPr>
            <w:r w:rsidRPr="00743378">
              <w:rPr>
                <w:color w:val="000000"/>
                <w:sz w:val="18"/>
                <w:szCs w:val="18"/>
              </w:rPr>
              <w:t>L’Article 216 du Code Minier prévoit, pour les sociétés minières :</w:t>
            </w:r>
          </w:p>
          <w:p w:rsidR="00034CEB" w:rsidRPr="00743378" w:rsidRDefault="00034CEB" w:rsidP="00034CEB">
            <w:pPr>
              <w:pStyle w:val="ListParagraph"/>
              <w:widowControl w:val="0"/>
              <w:numPr>
                <w:ilvl w:val="0"/>
                <w:numId w:val="28"/>
              </w:numPr>
              <w:kinsoku w:val="0"/>
              <w:autoSpaceDE w:val="0"/>
              <w:autoSpaceDN w:val="0"/>
              <w:adjustRightInd w:val="0"/>
              <w:spacing w:after="0"/>
              <w:contextualSpacing/>
              <w:rPr>
                <w:color w:val="000000"/>
                <w:sz w:val="18"/>
                <w:szCs w:val="18"/>
              </w:rPr>
            </w:pPr>
            <w:r w:rsidRPr="00743378">
              <w:rPr>
                <w:color w:val="000000"/>
                <w:sz w:val="18"/>
                <w:szCs w:val="18"/>
              </w:rPr>
              <w:t>une exonération de l’IM pour les intérêts payés par le titulaire en vertu des emprunts contractés en devises à l’étranger ; et</w:t>
            </w:r>
          </w:p>
          <w:p w:rsidR="00034CEB" w:rsidRPr="00743378" w:rsidRDefault="00034CEB" w:rsidP="00034CEB">
            <w:pPr>
              <w:pStyle w:val="ListParagraph"/>
              <w:widowControl w:val="0"/>
              <w:numPr>
                <w:ilvl w:val="0"/>
                <w:numId w:val="28"/>
              </w:numPr>
              <w:kinsoku w:val="0"/>
              <w:autoSpaceDE w:val="0"/>
              <w:autoSpaceDN w:val="0"/>
              <w:adjustRightInd w:val="0"/>
              <w:spacing w:after="0"/>
              <w:contextualSpacing/>
              <w:rPr>
                <w:color w:val="000000"/>
                <w:sz w:val="18"/>
                <w:szCs w:val="18"/>
              </w:rPr>
            </w:pPr>
            <w:r w:rsidRPr="00743378">
              <w:rPr>
                <w:color w:val="000000"/>
                <w:sz w:val="18"/>
                <w:szCs w:val="18"/>
              </w:rPr>
              <w:t>Une réduction du taux de l’IM à 10% sur les dividendes et autres distributions versés par le titulaire à ses actionnaires.</w:t>
            </w:r>
          </w:p>
          <w:p w:rsidR="00034CEB" w:rsidRPr="00743378" w:rsidRDefault="00034CEB" w:rsidP="004D4FD7">
            <w:pPr>
              <w:spacing w:before="120" w:after="120"/>
              <w:rPr>
                <w:color w:val="000000"/>
                <w:sz w:val="18"/>
                <w:szCs w:val="18"/>
              </w:rPr>
            </w:pPr>
            <w:r w:rsidRPr="00743378">
              <w:rPr>
                <w:color w:val="000000"/>
                <w:sz w:val="18"/>
                <w:szCs w:val="18"/>
              </w:rPr>
              <w:t>Au niveau du Secteur des Hydrocarbures, les dispositions de droit commun sont applicables sauf exonérations expresses prévues par les Conventions ou les Contrats de Partage de Production.</w:t>
            </w:r>
          </w:p>
        </w:tc>
      </w:tr>
      <w:tr w:rsidR="00034CEB" w:rsidRPr="00743378" w:rsidTr="00155613">
        <w:trPr>
          <w:trHeight w:val="360"/>
          <w:jc w:val="center"/>
        </w:trPr>
        <w:tc>
          <w:tcPr>
            <w:tcW w:w="1255" w:type="pct"/>
            <w:vAlign w:val="center"/>
            <w:hideMark/>
          </w:tcPr>
          <w:p w:rsidR="00034CEB" w:rsidRPr="00743378" w:rsidRDefault="00034CEB" w:rsidP="004D4FD7">
            <w:pPr>
              <w:ind w:firstLineChars="6" w:firstLine="11"/>
              <w:rPr>
                <w:color w:val="000000"/>
                <w:sz w:val="18"/>
                <w:szCs w:val="18"/>
                <w:lang w:eastAsia="fr-FR"/>
              </w:rPr>
            </w:pPr>
            <w:r w:rsidRPr="00743378">
              <w:rPr>
                <w:color w:val="000000"/>
                <w:sz w:val="18"/>
                <w:szCs w:val="18"/>
                <w:lang w:eastAsia="fr-FR"/>
              </w:rPr>
              <w:t>Impôt sur le Chiffre d’affaires à l’intérieur (ICAI)</w:t>
            </w:r>
          </w:p>
        </w:tc>
        <w:tc>
          <w:tcPr>
            <w:tcW w:w="492" w:type="pct"/>
            <w:vAlign w:val="center"/>
            <w:hideMark/>
          </w:tcPr>
          <w:p w:rsidR="00034CEB" w:rsidRPr="00743378" w:rsidRDefault="00034CEB" w:rsidP="004D4FD7">
            <w:pPr>
              <w:jc w:val="center"/>
              <w:rPr>
                <w:color w:val="000000"/>
                <w:sz w:val="18"/>
                <w:szCs w:val="18"/>
                <w:lang w:eastAsia="fr-FR"/>
              </w:rPr>
            </w:pPr>
            <w:r w:rsidRPr="00743378">
              <w:rPr>
                <w:color w:val="000000"/>
                <w:sz w:val="18"/>
                <w:szCs w:val="18"/>
                <w:lang w:eastAsia="fr-FR"/>
              </w:rPr>
              <w:t>DGI</w:t>
            </w:r>
          </w:p>
        </w:tc>
        <w:tc>
          <w:tcPr>
            <w:tcW w:w="206" w:type="pct"/>
            <w:vAlign w:val="center"/>
            <w:hideMark/>
          </w:tcPr>
          <w:p w:rsidR="00034CEB" w:rsidRPr="00743378" w:rsidRDefault="00034CEB" w:rsidP="004D4FD7">
            <w:pPr>
              <w:ind w:firstLineChars="100" w:firstLine="180"/>
              <w:rPr>
                <w:color w:val="000000"/>
                <w:sz w:val="18"/>
                <w:szCs w:val="18"/>
                <w:lang w:eastAsia="fr-FR"/>
              </w:rPr>
            </w:pPr>
            <w:r w:rsidRPr="00743378">
              <w:rPr>
                <w:color w:val="000000"/>
                <w:sz w:val="18"/>
                <w:szCs w:val="18"/>
                <w:lang w:eastAsia="fr-FR"/>
              </w:rPr>
              <w:t> </w:t>
            </w:r>
          </w:p>
        </w:tc>
        <w:tc>
          <w:tcPr>
            <w:tcW w:w="206" w:type="pct"/>
            <w:shd w:val="clear" w:color="auto" w:fill="8DB3E2" w:themeFill="text2" w:themeFillTint="66"/>
            <w:vAlign w:val="center"/>
            <w:hideMark/>
          </w:tcPr>
          <w:p w:rsidR="00034CEB" w:rsidRPr="00743378" w:rsidRDefault="00034CEB" w:rsidP="004D4FD7">
            <w:pPr>
              <w:ind w:firstLineChars="100" w:firstLine="180"/>
              <w:rPr>
                <w:color w:val="000000"/>
                <w:sz w:val="18"/>
                <w:szCs w:val="18"/>
                <w:lang w:eastAsia="fr-FR"/>
              </w:rPr>
            </w:pPr>
            <w:r w:rsidRPr="00743378">
              <w:rPr>
                <w:color w:val="000000"/>
                <w:sz w:val="18"/>
                <w:szCs w:val="18"/>
                <w:lang w:eastAsia="fr-FR"/>
              </w:rPr>
              <w:t> </w:t>
            </w:r>
          </w:p>
        </w:tc>
        <w:tc>
          <w:tcPr>
            <w:tcW w:w="206" w:type="pct"/>
            <w:vAlign w:val="center"/>
            <w:hideMark/>
          </w:tcPr>
          <w:p w:rsidR="00034CEB" w:rsidRPr="00743378" w:rsidRDefault="00034CEB" w:rsidP="004D4FD7">
            <w:pPr>
              <w:spacing w:after="0"/>
              <w:jc w:val="left"/>
              <w:rPr>
                <w:bCs w:val="0"/>
                <w:sz w:val="18"/>
                <w:szCs w:val="18"/>
                <w:lang w:eastAsia="fr-FR"/>
              </w:rPr>
            </w:pPr>
          </w:p>
        </w:tc>
        <w:tc>
          <w:tcPr>
            <w:tcW w:w="2635" w:type="pct"/>
          </w:tcPr>
          <w:p w:rsidR="00034CEB" w:rsidRPr="00743378" w:rsidRDefault="00034CEB" w:rsidP="004D4FD7">
            <w:pPr>
              <w:spacing w:before="120" w:after="120"/>
              <w:rPr>
                <w:color w:val="000000"/>
                <w:sz w:val="18"/>
                <w:szCs w:val="18"/>
              </w:rPr>
            </w:pPr>
            <w:r w:rsidRPr="00743378">
              <w:rPr>
                <w:color w:val="000000"/>
                <w:sz w:val="18"/>
                <w:szCs w:val="18"/>
              </w:rPr>
              <w:t xml:space="preserve">C’est un impôt sur la consommation frappant la vente des produits fabriqués et mis sur le marché local (ou pour l’auto-livraison), les prestations de services de tous genres et les travaux immobiliers. Le titulaire d’un droit minier est redevable de l’impôt sur le chiffre d’affaires à l’intérieur sur les ventes réalisées et les services rendus sur le territoire national. Les ventes de produits à une entité de transformation située sur le territoire national sont </w:t>
            </w:r>
            <w:r w:rsidRPr="00743378">
              <w:rPr>
                <w:color w:val="000000"/>
                <w:sz w:val="18"/>
                <w:szCs w:val="18"/>
              </w:rPr>
              <w:lastRenderedPageBreak/>
              <w:t xml:space="preserve">expressément exemptées. </w:t>
            </w:r>
          </w:p>
          <w:p w:rsidR="00034CEB" w:rsidRPr="00743378" w:rsidRDefault="00034CEB" w:rsidP="004D4FD7">
            <w:pPr>
              <w:spacing w:before="120" w:after="120"/>
              <w:rPr>
                <w:color w:val="000000"/>
                <w:sz w:val="18"/>
                <w:szCs w:val="18"/>
              </w:rPr>
            </w:pPr>
            <w:r w:rsidRPr="00743378">
              <w:rPr>
                <w:color w:val="000000"/>
                <w:sz w:val="18"/>
                <w:szCs w:val="18"/>
              </w:rPr>
              <w:t>Base imposable et taux d’imposition.</w:t>
            </w:r>
          </w:p>
          <w:p w:rsidR="00034CEB" w:rsidRPr="00743378" w:rsidRDefault="00034CEB" w:rsidP="004D4FD7">
            <w:pPr>
              <w:spacing w:before="120" w:after="120"/>
              <w:rPr>
                <w:color w:val="000000"/>
                <w:sz w:val="18"/>
                <w:szCs w:val="18"/>
              </w:rPr>
            </w:pPr>
            <w:r w:rsidRPr="00743378">
              <w:rPr>
                <w:color w:val="000000"/>
                <w:sz w:val="18"/>
                <w:szCs w:val="18"/>
              </w:rPr>
              <w:t>Taux d’imposition (Pour les Miniers) :</w:t>
            </w:r>
          </w:p>
          <w:p w:rsidR="00034CEB" w:rsidRPr="00743378" w:rsidRDefault="00034CEB" w:rsidP="00F77566">
            <w:pPr>
              <w:pStyle w:val="ListParagraph"/>
              <w:numPr>
                <w:ilvl w:val="0"/>
                <w:numId w:val="49"/>
              </w:numPr>
              <w:spacing w:after="0"/>
              <w:contextualSpacing/>
              <w:rPr>
                <w:color w:val="000000"/>
                <w:sz w:val="18"/>
                <w:szCs w:val="18"/>
              </w:rPr>
            </w:pPr>
            <w:r w:rsidRPr="00743378">
              <w:rPr>
                <w:color w:val="000000"/>
                <w:sz w:val="18"/>
                <w:szCs w:val="18"/>
              </w:rPr>
              <w:t>ICA/Prestation : 18% quand le titulaire du droit est bénéficiaire de la prestation. 5% quand le titulaire est redevable réel.</w:t>
            </w:r>
          </w:p>
          <w:p w:rsidR="00034CEB" w:rsidRPr="00743378" w:rsidRDefault="00034CEB" w:rsidP="00F77566">
            <w:pPr>
              <w:pStyle w:val="ListParagraph"/>
              <w:numPr>
                <w:ilvl w:val="0"/>
                <w:numId w:val="49"/>
              </w:numPr>
              <w:spacing w:after="0"/>
              <w:contextualSpacing/>
              <w:rPr>
                <w:color w:val="000000"/>
                <w:sz w:val="18"/>
                <w:szCs w:val="18"/>
              </w:rPr>
            </w:pPr>
            <w:r w:rsidRPr="00743378">
              <w:rPr>
                <w:color w:val="000000"/>
                <w:sz w:val="18"/>
                <w:szCs w:val="18"/>
              </w:rPr>
              <w:t>ICA/Ventes : 3% quand le titulaire acquiert des biens ayant un lien direct avec la mine ; 10% quand le titulaire vend à une entité transformatrice.</w:t>
            </w:r>
          </w:p>
          <w:p w:rsidR="00034CEB" w:rsidRPr="00743378" w:rsidRDefault="00034CEB" w:rsidP="004D4FD7">
            <w:pPr>
              <w:spacing w:before="120" w:after="120"/>
              <w:rPr>
                <w:color w:val="000000"/>
                <w:sz w:val="18"/>
                <w:szCs w:val="18"/>
              </w:rPr>
            </w:pPr>
            <w:r w:rsidRPr="00743378">
              <w:rPr>
                <w:color w:val="000000"/>
                <w:sz w:val="18"/>
                <w:szCs w:val="18"/>
              </w:rPr>
              <w:t>Pour le Secteur pétrolier, le régime conventionnel a prévu une exonération de l’ICAI. Pour les Contrats de Partage de Production, le régime de droit commun est applicable sauf exonération expresse par le CPP.</w:t>
            </w:r>
          </w:p>
          <w:p w:rsidR="00034CEB" w:rsidRPr="00743378" w:rsidRDefault="00034CEB" w:rsidP="004D4FD7">
            <w:pPr>
              <w:spacing w:before="120" w:after="120"/>
              <w:rPr>
                <w:sz w:val="18"/>
                <w:szCs w:val="18"/>
                <w:lang w:eastAsia="fr-FR"/>
              </w:rPr>
            </w:pPr>
            <w:r w:rsidRPr="00743378">
              <w:rPr>
                <w:color w:val="000000"/>
                <w:sz w:val="18"/>
                <w:szCs w:val="18"/>
              </w:rPr>
              <w:t>Depuis le 1er janvier 2012, l’ICA a été remplacée par la Taxe sur la Valeur Ajoutée.</w:t>
            </w:r>
          </w:p>
        </w:tc>
      </w:tr>
      <w:tr w:rsidR="00034CEB" w:rsidRPr="00743378" w:rsidTr="00155613">
        <w:trPr>
          <w:trHeight w:val="448"/>
          <w:jc w:val="center"/>
        </w:trPr>
        <w:tc>
          <w:tcPr>
            <w:tcW w:w="1255" w:type="pct"/>
            <w:vAlign w:val="center"/>
            <w:hideMark/>
          </w:tcPr>
          <w:p w:rsidR="00034CEB" w:rsidRPr="00743378" w:rsidRDefault="00034CEB" w:rsidP="004D4FD7">
            <w:pPr>
              <w:rPr>
                <w:color w:val="000000"/>
                <w:sz w:val="18"/>
                <w:szCs w:val="18"/>
                <w:lang w:eastAsia="fr-FR"/>
              </w:rPr>
            </w:pPr>
            <w:r w:rsidRPr="00743378">
              <w:rPr>
                <w:color w:val="000000"/>
                <w:sz w:val="18"/>
                <w:szCs w:val="18"/>
                <w:lang w:eastAsia="fr-FR"/>
              </w:rPr>
              <w:lastRenderedPageBreak/>
              <w:t>Taxe sur la Valeur Ajoutée (TVA)</w:t>
            </w:r>
          </w:p>
        </w:tc>
        <w:tc>
          <w:tcPr>
            <w:tcW w:w="492" w:type="pct"/>
            <w:vAlign w:val="center"/>
            <w:hideMark/>
          </w:tcPr>
          <w:p w:rsidR="00034CEB" w:rsidRPr="00743378" w:rsidRDefault="00034CEB" w:rsidP="004D4FD7">
            <w:pPr>
              <w:rPr>
                <w:color w:val="000000"/>
                <w:sz w:val="18"/>
                <w:szCs w:val="18"/>
                <w:lang w:eastAsia="fr-FR"/>
              </w:rPr>
            </w:pPr>
            <w:r w:rsidRPr="00743378">
              <w:rPr>
                <w:color w:val="000000"/>
                <w:sz w:val="18"/>
                <w:szCs w:val="18"/>
                <w:lang w:eastAsia="fr-FR"/>
              </w:rPr>
              <w:t>DGI/DGDA</w:t>
            </w:r>
          </w:p>
        </w:tc>
        <w:tc>
          <w:tcPr>
            <w:tcW w:w="206" w:type="pct"/>
          </w:tcPr>
          <w:p w:rsidR="00034CEB" w:rsidRPr="00743378" w:rsidRDefault="00034CEB" w:rsidP="004D4FD7">
            <w:pPr>
              <w:rPr>
                <w:sz w:val="18"/>
                <w:szCs w:val="18"/>
              </w:rPr>
            </w:pPr>
          </w:p>
        </w:tc>
        <w:tc>
          <w:tcPr>
            <w:tcW w:w="206" w:type="pct"/>
            <w:shd w:val="clear" w:color="auto" w:fill="8DB3E2" w:themeFill="text2" w:themeFillTint="66"/>
          </w:tcPr>
          <w:p w:rsidR="00034CEB" w:rsidRPr="00743378" w:rsidRDefault="00034CEB" w:rsidP="004D4FD7">
            <w:pPr>
              <w:ind w:firstLineChars="100" w:firstLine="180"/>
              <w:rPr>
                <w:color w:val="000000"/>
                <w:sz w:val="18"/>
                <w:szCs w:val="18"/>
                <w:lang w:eastAsia="fr-FR"/>
              </w:rPr>
            </w:pPr>
          </w:p>
        </w:tc>
        <w:tc>
          <w:tcPr>
            <w:tcW w:w="206" w:type="pct"/>
            <w:shd w:val="clear" w:color="auto" w:fill="8DB3E2" w:themeFill="text2" w:themeFillTint="66"/>
          </w:tcPr>
          <w:p w:rsidR="00034CEB" w:rsidRPr="00743378" w:rsidRDefault="00034CEB" w:rsidP="004D4FD7">
            <w:pPr>
              <w:ind w:firstLineChars="100" w:firstLine="180"/>
              <w:rPr>
                <w:color w:val="000000"/>
                <w:sz w:val="18"/>
                <w:szCs w:val="18"/>
                <w:lang w:eastAsia="fr-FR"/>
              </w:rPr>
            </w:pPr>
          </w:p>
        </w:tc>
        <w:tc>
          <w:tcPr>
            <w:tcW w:w="2635" w:type="pct"/>
            <w:hideMark/>
          </w:tcPr>
          <w:p w:rsidR="00034CEB" w:rsidRPr="00743378" w:rsidRDefault="00034CEB" w:rsidP="004D4FD7">
            <w:pPr>
              <w:spacing w:before="120" w:after="120"/>
              <w:rPr>
                <w:color w:val="000000"/>
                <w:sz w:val="18"/>
                <w:szCs w:val="18"/>
              </w:rPr>
            </w:pPr>
            <w:r w:rsidRPr="00743378">
              <w:rPr>
                <w:color w:val="000000"/>
                <w:sz w:val="18"/>
                <w:szCs w:val="18"/>
              </w:rPr>
              <w:t>La TVA a été introduite par l’Ordonnance-Loi n° 10/001 du 20 août 2010 portant institution de la Taxe sur la Valeur Ajoutée et son application a commencé le 1er janvier 2012.</w:t>
            </w:r>
          </w:p>
          <w:p w:rsidR="00034CEB" w:rsidRPr="00743378" w:rsidRDefault="00034CEB" w:rsidP="004D4FD7">
            <w:pPr>
              <w:spacing w:before="120" w:after="120"/>
              <w:rPr>
                <w:color w:val="000000"/>
                <w:sz w:val="18"/>
                <w:szCs w:val="18"/>
              </w:rPr>
            </w:pPr>
            <w:r w:rsidRPr="00743378">
              <w:rPr>
                <w:color w:val="000000"/>
                <w:sz w:val="18"/>
                <w:szCs w:val="18"/>
              </w:rPr>
              <w:t xml:space="preserve">La TVA est un Impôt général sur la consommation calculé sur le chiffre d’affaires et collecté pour le compte de l’Etat par les intermédiaires appelés assujettis. Il est supporté par le consommateur final. </w:t>
            </w:r>
          </w:p>
          <w:p w:rsidR="00034CEB" w:rsidRPr="00743378" w:rsidRDefault="00034CEB" w:rsidP="004D4FD7">
            <w:pPr>
              <w:spacing w:before="120" w:after="120"/>
              <w:rPr>
                <w:color w:val="000000"/>
                <w:sz w:val="18"/>
                <w:szCs w:val="18"/>
              </w:rPr>
            </w:pPr>
            <w:r w:rsidRPr="00743378">
              <w:rPr>
                <w:color w:val="000000"/>
                <w:sz w:val="18"/>
                <w:szCs w:val="18"/>
              </w:rPr>
              <w:t xml:space="preserve">La TVA est payée par les assujettis à l’occasion </w:t>
            </w:r>
          </w:p>
          <w:p w:rsidR="00034CEB" w:rsidRPr="00743378" w:rsidRDefault="00034CEB" w:rsidP="00034CEB">
            <w:pPr>
              <w:pStyle w:val="ListParagraph"/>
              <w:numPr>
                <w:ilvl w:val="0"/>
                <w:numId w:val="28"/>
              </w:numPr>
              <w:spacing w:before="120" w:after="0"/>
              <w:contextualSpacing/>
              <w:rPr>
                <w:color w:val="000000"/>
                <w:sz w:val="18"/>
                <w:szCs w:val="18"/>
              </w:rPr>
            </w:pPr>
            <w:r w:rsidRPr="00743378">
              <w:rPr>
                <w:color w:val="000000"/>
                <w:sz w:val="18"/>
                <w:szCs w:val="18"/>
              </w:rPr>
              <w:t>de leurs achats sur le marché local : dans ce cas elle est payée à d’autres assujettis ; et</w:t>
            </w:r>
          </w:p>
          <w:p w:rsidR="00034CEB" w:rsidRPr="00743378" w:rsidRDefault="00034CEB" w:rsidP="00034CEB">
            <w:pPr>
              <w:pStyle w:val="ListParagraph"/>
              <w:numPr>
                <w:ilvl w:val="0"/>
                <w:numId w:val="28"/>
              </w:numPr>
              <w:spacing w:before="120" w:after="0"/>
              <w:contextualSpacing/>
              <w:rPr>
                <w:color w:val="000000"/>
                <w:sz w:val="18"/>
                <w:szCs w:val="18"/>
              </w:rPr>
            </w:pPr>
            <w:r w:rsidRPr="00743378">
              <w:rPr>
                <w:color w:val="000000"/>
                <w:sz w:val="18"/>
                <w:szCs w:val="18"/>
              </w:rPr>
              <w:t>de leurs importations : dans ce cas elle est payée directement à la Direction Générale des Douanes.</w:t>
            </w:r>
          </w:p>
          <w:p w:rsidR="00034CEB" w:rsidRPr="00743378" w:rsidRDefault="00034CEB" w:rsidP="004D4FD7">
            <w:pPr>
              <w:spacing w:before="120" w:after="120"/>
              <w:rPr>
                <w:color w:val="000000"/>
                <w:sz w:val="18"/>
                <w:szCs w:val="18"/>
              </w:rPr>
            </w:pPr>
            <w:r w:rsidRPr="00743378">
              <w:rPr>
                <w:color w:val="000000"/>
                <w:sz w:val="18"/>
                <w:szCs w:val="18"/>
              </w:rPr>
              <w:t xml:space="preserve">La TVA payée est récupérable sous certaines conditions. De ce fait, elle pourrait être ultérieurement déduite de la TVA collectée sur les ventes ou remboursée sur demande selon certaines conditions. </w:t>
            </w:r>
          </w:p>
          <w:p w:rsidR="00034CEB" w:rsidRPr="00743378" w:rsidRDefault="00034CEB" w:rsidP="004D4FD7">
            <w:pPr>
              <w:spacing w:before="120" w:after="120"/>
              <w:rPr>
                <w:color w:val="000000"/>
                <w:sz w:val="18"/>
                <w:szCs w:val="18"/>
              </w:rPr>
            </w:pPr>
            <w:r w:rsidRPr="00743378">
              <w:rPr>
                <w:color w:val="000000"/>
                <w:sz w:val="18"/>
                <w:szCs w:val="18"/>
              </w:rPr>
              <w:t xml:space="preserve">Le taux de la TVA est de 16% à l’exception des exportations et opérations assimilées qui ne </w:t>
            </w:r>
            <w:r w:rsidRPr="00743378">
              <w:rPr>
                <w:color w:val="000000"/>
                <w:sz w:val="18"/>
                <w:szCs w:val="18"/>
              </w:rPr>
              <w:lastRenderedPageBreak/>
              <w:t>sont pas taxés.</w:t>
            </w:r>
          </w:p>
          <w:p w:rsidR="00034CEB" w:rsidRPr="00743378" w:rsidRDefault="00034CEB" w:rsidP="004D4FD7">
            <w:pPr>
              <w:spacing w:before="120" w:after="120"/>
              <w:rPr>
                <w:color w:val="000000"/>
                <w:sz w:val="18"/>
                <w:szCs w:val="18"/>
              </w:rPr>
            </w:pPr>
            <w:r w:rsidRPr="00743378">
              <w:rPr>
                <w:color w:val="000000"/>
                <w:sz w:val="18"/>
                <w:szCs w:val="18"/>
              </w:rPr>
              <w:t>En vertu de l’Article 15 de l’Ordonnance-Loi n° 10/001, l'importation et l'acquisition des équipements, des matériels, des réactifs et autres produits chimiques destinés exclusivement à la prospection, à l'exploration et à la recherche minière et pétrolière sont exonérées de la taxe sur la valeur ajoutée.</w:t>
            </w:r>
          </w:p>
          <w:p w:rsidR="00034CEB" w:rsidRPr="00743378" w:rsidRDefault="00034CEB" w:rsidP="004D4FD7">
            <w:pPr>
              <w:spacing w:before="120" w:after="120"/>
              <w:rPr>
                <w:color w:val="000000"/>
                <w:sz w:val="18"/>
                <w:szCs w:val="18"/>
              </w:rPr>
            </w:pPr>
            <w:r w:rsidRPr="00743378">
              <w:rPr>
                <w:color w:val="000000"/>
                <w:sz w:val="18"/>
                <w:szCs w:val="18"/>
              </w:rPr>
              <w:t>Pour le Secteur Pétrolier, l’imposition à la TVA suit le sort réservé à l’ICAI.</w:t>
            </w:r>
          </w:p>
          <w:p w:rsidR="00034CEB" w:rsidRPr="00743378" w:rsidRDefault="00034CEB" w:rsidP="004D4FD7">
            <w:pPr>
              <w:spacing w:before="120" w:after="120"/>
              <w:rPr>
                <w:color w:val="000000"/>
                <w:sz w:val="18"/>
                <w:szCs w:val="18"/>
              </w:rPr>
            </w:pPr>
            <w:r w:rsidRPr="00743378">
              <w:rPr>
                <w:color w:val="000000"/>
                <w:sz w:val="18"/>
                <w:szCs w:val="18"/>
              </w:rPr>
              <w:t>L’examen approfondi des mécanismes de déduction et de remboursement de la TVA en RDC fait ressortir les commentaires suivants :</w:t>
            </w:r>
          </w:p>
          <w:p w:rsidR="00034CEB" w:rsidRPr="00743378" w:rsidRDefault="00034CEB" w:rsidP="00034CEB">
            <w:pPr>
              <w:pStyle w:val="ListParagraph"/>
              <w:numPr>
                <w:ilvl w:val="0"/>
                <w:numId w:val="28"/>
              </w:numPr>
              <w:spacing w:before="120" w:after="120"/>
              <w:ind w:left="497" w:hanging="284"/>
              <w:rPr>
                <w:color w:val="000000"/>
                <w:sz w:val="18"/>
                <w:szCs w:val="18"/>
                <w:lang w:eastAsia="fr-FR"/>
              </w:rPr>
            </w:pPr>
            <w:r w:rsidRPr="00743378">
              <w:rPr>
                <w:color w:val="000000"/>
                <w:sz w:val="18"/>
                <w:szCs w:val="18"/>
                <w:lang w:eastAsia="fr-FR"/>
              </w:rPr>
              <w:t>La TVA peut être acquittée au niveau de plusieurs points :</w:t>
            </w:r>
          </w:p>
          <w:p w:rsidR="00034CEB" w:rsidRPr="00743378" w:rsidRDefault="00034CEB" w:rsidP="002309A2">
            <w:pPr>
              <w:pStyle w:val="ListParagraph"/>
              <w:numPr>
                <w:ilvl w:val="0"/>
                <w:numId w:val="51"/>
              </w:numPr>
              <w:spacing w:after="0"/>
              <w:rPr>
                <w:color w:val="000000"/>
                <w:sz w:val="18"/>
                <w:szCs w:val="18"/>
                <w:lang w:eastAsia="fr-FR"/>
              </w:rPr>
            </w:pPr>
            <w:r w:rsidRPr="00743378">
              <w:rPr>
                <w:color w:val="000000"/>
                <w:sz w:val="18"/>
                <w:szCs w:val="18"/>
                <w:lang w:eastAsia="fr-FR"/>
              </w:rPr>
              <w:t>Au niveau de la DGDA lors des importations ;</w:t>
            </w:r>
          </w:p>
          <w:p w:rsidR="00034CEB" w:rsidRPr="00743378" w:rsidRDefault="00034CEB" w:rsidP="002309A2">
            <w:pPr>
              <w:pStyle w:val="ListParagraph"/>
              <w:numPr>
                <w:ilvl w:val="0"/>
                <w:numId w:val="51"/>
              </w:numPr>
              <w:spacing w:after="0"/>
              <w:rPr>
                <w:color w:val="000000"/>
                <w:sz w:val="18"/>
                <w:szCs w:val="18"/>
                <w:lang w:eastAsia="fr-FR"/>
              </w:rPr>
            </w:pPr>
            <w:r w:rsidRPr="00743378">
              <w:rPr>
                <w:color w:val="000000"/>
                <w:sz w:val="18"/>
                <w:szCs w:val="18"/>
                <w:lang w:eastAsia="fr-FR"/>
              </w:rPr>
              <w:t>Aux fournisseurs locaux lors des achats sur le marché local </w:t>
            </w:r>
          </w:p>
          <w:p w:rsidR="00034CEB" w:rsidRPr="00743378" w:rsidRDefault="00034CEB" w:rsidP="002309A2">
            <w:pPr>
              <w:pStyle w:val="ListParagraph"/>
              <w:numPr>
                <w:ilvl w:val="0"/>
                <w:numId w:val="51"/>
              </w:numPr>
              <w:spacing w:after="0"/>
              <w:rPr>
                <w:color w:val="000000"/>
                <w:sz w:val="18"/>
                <w:szCs w:val="18"/>
                <w:lang w:eastAsia="fr-FR"/>
              </w:rPr>
            </w:pPr>
            <w:r w:rsidRPr="00743378">
              <w:rPr>
                <w:color w:val="000000"/>
                <w:sz w:val="18"/>
                <w:szCs w:val="18"/>
                <w:lang w:eastAsia="fr-FR"/>
              </w:rPr>
              <w:t>Au niveau de la DGI et de façon mensuelle lorsque la TVA collectée est supérieure à la TVA déduite en (i) et (ii).</w:t>
            </w:r>
          </w:p>
          <w:p w:rsidR="00034CEB" w:rsidRPr="00743378" w:rsidRDefault="00034CEB" w:rsidP="002309A2">
            <w:pPr>
              <w:pStyle w:val="ListParagraph"/>
              <w:numPr>
                <w:ilvl w:val="0"/>
                <w:numId w:val="28"/>
              </w:numPr>
              <w:spacing w:after="0"/>
              <w:ind w:left="497" w:hanging="284"/>
              <w:rPr>
                <w:color w:val="000000"/>
                <w:sz w:val="18"/>
                <w:szCs w:val="18"/>
                <w:lang w:eastAsia="fr-FR"/>
              </w:rPr>
            </w:pPr>
            <w:r w:rsidRPr="00743378">
              <w:rPr>
                <w:color w:val="000000"/>
                <w:sz w:val="18"/>
                <w:szCs w:val="18"/>
                <w:lang w:eastAsia="fr-FR"/>
              </w:rPr>
              <w:t>La TVA déduite en (i) et (ii) peut également être remboursée.</w:t>
            </w:r>
          </w:p>
          <w:p w:rsidR="00034CEB" w:rsidRPr="00743378" w:rsidRDefault="00034CEB" w:rsidP="004D4FD7">
            <w:pPr>
              <w:spacing w:before="120" w:after="120"/>
              <w:rPr>
                <w:color w:val="000000"/>
                <w:sz w:val="18"/>
                <w:szCs w:val="18"/>
                <w:lang w:eastAsia="fr-FR"/>
              </w:rPr>
            </w:pPr>
            <w:r w:rsidRPr="00743378">
              <w:rPr>
                <w:color w:val="000000"/>
                <w:sz w:val="18"/>
                <w:szCs w:val="18"/>
                <w:lang w:eastAsia="fr-FR"/>
              </w:rPr>
              <w:t>La conciliation de la TVA ne pourra être effectuée que lorsqu’elle est directement reçue par une Régie Financière ; or la TVA payée en (ii) est payée à plusieurs fournisseurs locaux que l’exercice de conciliation ne peut pas recenser.</w:t>
            </w:r>
          </w:p>
          <w:p w:rsidR="00034CEB" w:rsidRPr="00743378" w:rsidRDefault="00034CEB" w:rsidP="004D4FD7">
            <w:pPr>
              <w:spacing w:before="120" w:after="120"/>
              <w:rPr>
                <w:color w:val="000000"/>
                <w:sz w:val="18"/>
                <w:szCs w:val="18"/>
                <w:lang w:eastAsia="fr-FR"/>
              </w:rPr>
            </w:pPr>
            <w:r w:rsidRPr="00743378">
              <w:rPr>
                <w:color w:val="000000"/>
                <w:sz w:val="18"/>
                <w:szCs w:val="18"/>
                <w:lang w:eastAsia="fr-FR"/>
              </w:rPr>
              <w:t>Nous avons également examiné une option consistant à obtenir uniquement la TVA:</w:t>
            </w:r>
          </w:p>
          <w:p w:rsidR="00034CEB" w:rsidRPr="00743378" w:rsidRDefault="00034CEB" w:rsidP="00034CEB">
            <w:pPr>
              <w:pStyle w:val="ListParagraph"/>
              <w:numPr>
                <w:ilvl w:val="0"/>
                <w:numId w:val="28"/>
              </w:numPr>
              <w:spacing w:before="120" w:after="120"/>
              <w:rPr>
                <w:color w:val="000000"/>
                <w:sz w:val="18"/>
                <w:szCs w:val="18"/>
                <w:lang w:eastAsia="fr-FR"/>
              </w:rPr>
            </w:pPr>
            <w:r w:rsidRPr="00743378">
              <w:rPr>
                <w:color w:val="000000"/>
                <w:sz w:val="18"/>
                <w:szCs w:val="18"/>
                <w:lang w:eastAsia="fr-FR"/>
              </w:rPr>
              <w:t>payée à la DGDA ;</w:t>
            </w:r>
          </w:p>
          <w:p w:rsidR="00034CEB" w:rsidRPr="00743378" w:rsidRDefault="00034CEB" w:rsidP="00034CEB">
            <w:pPr>
              <w:pStyle w:val="ListParagraph"/>
              <w:numPr>
                <w:ilvl w:val="0"/>
                <w:numId w:val="28"/>
              </w:numPr>
              <w:spacing w:before="120" w:after="120"/>
              <w:rPr>
                <w:color w:val="000000"/>
                <w:sz w:val="18"/>
                <w:szCs w:val="18"/>
                <w:lang w:eastAsia="fr-FR"/>
              </w:rPr>
            </w:pPr>
            <w:r w:rsidRPr="00743378">
              <w:rPr>
                <w:color w:val="000000"/>
                <w:sz w:val="18"/>
                <w:szCs w:val="18"/>
                <w:lang w:eastAsia="fr-FR"/>
              </w:rPr>
              <w:t>payée à la DGI ; et</w:t>
            </w:r>
          </w:p>
          <w:p w:rsidR="00034CEB" w:rsidRPr="00743378" w:rsidRDefault="00034CEB" w:rsidP="00034CEB">
            <w:pPr>
              <w:pStyle w:val="ListParagraph"/>
              <w:numPr>
                <w:ilvl w:val="0"/>
                <w:numId w:val="28"/>
              </w:numPr>
              <w:spacing w:before="120" w:after="120"/>
              <w:rPr>
                <w:color w:val="000000"/>
                <w:sz w:val="18"/>
                <w:szCs w:val="18"/>
                <w:lang w:eastAsia="fr-FR"/>
              </w:rPr>
            </w:pPr>
            <w:r w:rsidRPr="00743378">
              <w:rPr>
                <w:color w:val="000000"/>
                <w:sz w:val="18"/>
                <w:szCs w:val="18"/>
                <w:lang w:eastAsia="fr-FR"/>
              </w:rPr>
              <w:t>remboursée par la DGI.</w:t>
            </w:r>
          </w:p>
          <w:p w:rsidR="00034CEB" w:rsidRPr="00743378" w:rsidRDefault="00034CEB" w:rsidP="004D4FD7">
            <w:pPr>
              <w:spacing w:before="120" w:after="120"/>
              <w:rPr>
                <w:color w:val="000000"/>
                <w:sz w:val="18"/>
                <w:szCs w:val="18"/>
                <w:lang w:eastAsia="fr-FR"/>
              </w:rPr>
            </w:pPr>
            <w:r w:rsidRPr="00743378">
              <w:rPr>
                <w:color w:val="000000"/>
                <w:sz w:val="18"/>
                <w:szCs w:val="18"/>
                <w:lang w:eastAsia="fr-FR"/>
              </w:rPr>
              <w:t xml:space="preserve">Cette option a l’avantage de permettre la conciliation des impôts payés directement aux régies financières mais omet celle payée sur le marché local (payée aux fournisseurs locaux). Cette méthode s’avère biaisée. En effet, si une entreprise minière ne fait que des achats sur le marché local et pour lesquels elle obtient remboursement, la conciliation ne fera ressortir que les remboursements, soit des flux négatifs, ce qui fausse de façon considérable </w:t>
            </w:r>
            <w:r w:rsidRPr="00743378">
              <w:rPr>
                <w:color w:val="000000"/>
                <w:sz w:val="18"/>
                <w:szCs w:val="18"/>
                <w:lang w:eastAsia="fr-FR"/>
              </w:rPr>
              <w:lastRenderedPageBreak/>
              <w:t>les flux financiers et ne permet pas de refléter pas leur réalité.</w:t>
            </w:r>
          </w:p>
          <w:p w:rsidR="00034CEB" w:rsidRPr="00743378" w:rsidRDefault="00034CEB" w:rsidP="004D4FD7">
            <w:pPr>
              <w:spacing w:before="120" w:after="120"/>
              <w:rPr>
                <w:color w:val="000000"/>
                <w:sz w:val="18"/>
                <w:szCs w:val="18"/>
                <w:lang w:eastAsia="fr-FR"/>
              </w:rPr>
            </w:pPr>
            <w:r w:rsidRPr="00743378">
              <w:rPr>
                <w:color w:val="000000"/>
                <w:sz w:val="18"/>
                <w:szCs w:val="18"/>
                <w:lang w:eastAsia="fr-FR"/>
              </w:rPr>
              <w:t>En vue de cet obstacle, que nous considérons comme significatif, la conciliation de la Taxe sur la Valeur Ajoutée ne pourra pas être effectuée. Nous suggérons donc de l’exclure du périmètre.</w:t>
            </w:r>
          </w:p>
          <w:p w:rsidR="00034CEB" w:rsidRPr="00743378" w:rsidRDefault="00034CEB" w:rsidP="004D4FD7">
            <w:pPr>
              <w:spacing w:before="120" w:after="120"/>
              <w:rPr>
                <w:bCs w:val="0"/>
                <w:sz w:val="18"/>
                <w:szCs w:val="18"/>
                <w:lang w:eastAsia="fr-FR"/>
              </w:rPr>
            </w:pPr>
            <w:r w:rsidRPr="00743378">
              <w:rPr>
                <w:color w:val="000000"/>
                <w:sz w:val="18"/>
                <w:szCs w:val="18"/>
                <w:lang w:eastAsia="fr-FR"/>
              </w:rPr>
              <w:t>Nous notons à ce niveau que le Livre Source de l’ITIE (</w:t>
            </w:r>
            <w:proofErr w:type="spellStart"/>
            <w:r w:rsidRPr="00743378">
              <w:rPr>
                <w:color w:val="000000"/>
                <w:sz w:val="18"/>
                <w:szCs w:val="18"/>
                <w:lang w:eastAsia="fr-FR"/>
              </w:rPr>
              <w:t>cf</w:t>
            </w:r>
            <w:proofErr w:type="spellEnd"/>
            <w:r w:rsidRPr="00743378">
              <w:rPr>
                <w:color w:val="000000"/>
                <w:sz w:val="18"/>
                <w:szCs w:val="18"/>
                <w:lang w:eastAsia="fr-FR"/>
              </w:rPr>
              <w:t xml:space="preserve"> page 32) prévoit l’exclusion au niveau des flux d’avantages des taxes prélevées sur la consommation et énonce explicitement la taxe sur la valeur ajoutée comme exemple.</w:t>
            </w:r>
          </w:p>
        </w:tc>
      </w:tr>
      <w:tr w:rsidR="00034CEB" w:rsidRPr="00743378" w:rsidTr="00155613">
        <w:trPr>
          <w:trHeight w:val="360"/>
          <w:jc w:val="center"/>
        </w:trPr>
        <w:tc>
          <w:tcPr>
            <w:tcW w:w="1255" w:type="pct"/>
            <w:vAlign w:val="center"/>
            <w:hideMark/>
          </w:tcPr>
          <w:p w:rsidR="00034CEB" w:rsidRPr="00743378" w:rsidRDefault="00034CEB" w:rsidP="004D4FD7">
            <w:pPr>
              <w:rPr>
                <w:color w:val="000000"/>
                <w:sz w:val="18"/>
                <w:szCs w:val="18"/>
                <w:lang w:eastAsia="fr-FR"/>
              </w:rPr>
            </w:pPr>
            <w:r w:rsidRPr="00743378">
              <w:rPr>
                <w:color w:val="000000"/>
                <w:sz w:val="18"/>
                <w:szCs w:val="18"/>
                <w:lang w:eastAsia="fr-FR"/>
              </w:rPr>
              <w:lastRenderedPageBreak/>
              <w:t xml:space="preserve">Droits et taxes à l’importation </w:t>
            </w:r>
          </w:p>
        </w:tc>
        <w:tc>
          <w:tcPr>
            <w:tcW w:w="492" w:type="pct"/>
            <w:vAlign w:val="center"/>
            <w:hideMark/>
          </w:tcPr>
          <w:p w:rsidR="00034CEB" w:rsidRPr="00743378" w:rsidRDefault="00034CEB" w:rsidP="004D4FD7">
            <w:pPr>
              <w:jc w:val="center"/>
              <w:rPr>
                <w:color w:val="000000"/>
                <w:sz w:val="18"/>
                <w:szCs w:val="18"/>
                <w:lang w:eastAsia="fr-FR"/>
              </w:rPr>
            </w:pPr>
            <w:r w:rsidRPr="00743378">
              <w:rPr>
                <w:color w:val="000000"/>
                <w:sz w:val="18"/>
                <w:szCs w:val="18"/>
                <w:lang w:eastAsia="fr-FR"/>
              </w:rPr>
              <w:t>DGDA</w:t>
            </w:r>
          </w:p>
        </w:tc>
        <w:tc>
          <w:tcPr>
            <w:tcW w:w="206" w:type="pct"/>
            <w:vAlign w:val="center"/>
            <w:hideMark/>
          </w:tcPr>
          <w:p w:rsidR="00034CEB" w:rsidRPr="00743378" w:rsidRDefault="00034CEB" w:rsidP="004D4FD7">
            <w:pPr>
              <w:ind w:firstLineChars="100" w:firstLine="180"/>
              <w:rPr>
                <w:color w:val="000000"/>
                <w:sz w:val="18"/>
                <w:szCs w:val="18"/>
                <w:lang w:eastAsia="fr-FR"/>
              </w:rPr>
            </w:pPr>
            <w:r w:rsidRPr="00743378">
              <w:rPr>
                <w:color w:val="000000"/>
                <w:sz w:val="18"/>
                <w:szCs w:val="18"/>
                <w:lang w:eastAsia="fr-FR"/>
              </w:rPr>
              <w:t> </w:t>
            </w:r>
          </w:p>
        </w:tc>
        <w:tc>
          <w:tcPr>
            <w:tcW w:w="206" w:type="pct"/>
            <w:shd w:val="clear" w:color="auto" w:fill="8DB3E2" w:themeFill="text2" w:themeFillTint="66"/>
            <w:vAlign w:val="center"/>
            <w:hideMark/>
          </w:tcPr>
          <w:p w:rsidR="00034CEB" w:rsidRPr="00743378" w:rsidRDefault="00034CEB" w:rsidP="004D4FD7">
            <w:pPr>
              <w:ind w:firstLineChars="100" w:firstLine="180"/>
              <w:rPr>
                <w:color w:val="000000"/>
                <w:sz w:val="18"/>
                <w:szCs w:val="18"/>
                <w:lang w:eastAsia="fr-FR"/>
              </w:rPr>
            </w:pPr>
            <w:r w:rsidRPr="00743378">
              <w:rPr>
                <w:color w:val="000000"/>
                <w:sz w:val="18"/>
                <w:szCs w:val="18"/>
                <w:lang w:eastAsia="fr-FR"/>
              </w:rPr>
              <w:t> </w:t>
            </w:r>
          </w:p>
        </w:tc>
        <w:tc>
          <w:tcPr>
            <w:tcW w:w="206" w:type="pct"/>
            <w:shd w:val="clear" w:color="auto" w:fill="8DB3E2" w:themeFill="text2" w:themeFillTint="66"/>
            <w:vAlign w:val="center"/>
            <w:hideMark/>
          </w:tcPr>
          <w:p w:rsidR="00034CEB" w:rsidRPr="00743378" w:rsidRDefault="00034CEB" w:rsidP="004D4FD7">
            <w:pPr>
              <w:ind w:firstLineChars="100" w:firstLine="180"/>
              <w:rPr>
                <w:color w:val="000000"/>
                <w:sz w:val="18"/>
                <w:szCs w:val="18"/>
                <w:lang w:eastAsia="fr-FR"/>
              </w:rPr>
            </w:pPr>
            <w:r w:rsidRPr="00743378">
              <w:rPr>
                <w:color w:val="000000"/>
                <w:sz w:val="18"/>
                <w:szCs w:val="18"/>
                <w:lang w:eastAsia="fr-FR"/>
              </w:rPr>
              <w:t> </w:t>
            </w:r>
          </w:p>
        </w:tc>
        <w:tc>
          <w:tcPr>
            <w:tcW w:w="2635" w:type="pct"/>
          </w:tcPr>
          <w:p w:rsidR="00034CEB" w:rsidRPr="00743378" w:rsidRDefault="00034CEB" w:rsidP="002309A2">
            <w:pPr>
              <w:spacing w:before="120" w:after="0"/>
              <w:rPr>
                <w:color w:val="000000"/>
                <w:sz w:val="18"/>
                <w:szCs w:val="18"/>
              </w:rPr>
            </w:pPr>
            <w:r w:rsidRPr="00743378">
              <w:rPr>
                <w:color w:val="000000"/>
                <w:sz w:val="18"/>
                <w:szCs w:val="18"/>
              </w:rPr>
              <w:t xml:space="preserve">Les droits </w:t>
            </w:r>
            <w:r w:rsidRPr="00743378">
              <w:rPr>
                <w:color w:val="000000"/>
                <w:sz w:val="18"/>
                <w:szCs w:val="18"/>
                <w:lang w:eastAsia="fr-FR"/>
              </w:rPr>
              <w:t>et taxes à l’importation</w:t>
            </w:r>
            <w:r w:rsidRPr="00743378">
              <w:rPr>
                <w:color w:val="000000"/>
                <w:sz w:val="18"/>
                <w:szCs w:val="18"/>
              </w:rPr>
              <w:t xml:space="preserve"> applicables au Secteur Minier sont régis par l’Article 232 du code Minier.</w:t>
            </w:r>
          </w:p>
          <w:p w:rsidR="00034CEB" w:rsidRPr="00743378" w:rsidRDefault="00034CEB" w:rsidP="002309A2">
            <w:pPr>
              <w:spacing w:before="120" w:after="0"/>
              <w:rPr>
                <w:color w:val="000000"/>
                <w:sz w:val="18"/>
                <w:szCs w:val="18"/>
              </w:rPr>
            </w:pPr>
            <w:r w:rsidRPr="00743378">
              <w:rPr>
                <w:color w:val="000000"/>
                <w:sz w:val="18"/>
                <w:szCs w:val="18"/>
              </w:rPr>
              <w:t xml:space="preserve">Il s’agit des Droits payés pour tous les biens et produits à vocation strictement minière importés par les titulaires d’un permis d’exploitation minière, ses affiliés et ses sous-traitants. </w:t>
            </w:r>
          </w:p>
          <w:p w:rsidR="00034CEB" w:rsidRPr="00743378" w:rsidRDefault="00034CEB" w:rsidP="002309A2">
            <w:pPr>
              <w:spacing w:before="120" w:after="0"/>
              <w:rPr>
                <w:color w:val="000000"/>
                <w:sz w:val="18"/>
                <w:szCs w:val="18"/>
              </w:rPr>
            </w:pPr>
            <w:r w:rsidRPr="00743378">
              <w:rPr>
                <w:color w:val="000000"/>
                <w:sz w:val="18"/>
                <w:szCs w:val="18"/>
              </w:rPr>
              <w:t>La base d’imposition est la valeur CIF.</w:t>
            </w:r>
          </w:p>
          <w:p w:rsidR="00034CEB" w:rsidRPr="00743378" w:rsidRDefault="00034CEB" w:rsidP="002309A2">
            <w:pPr>
              <w:spacing w:before="120" w:after="0"/>
              <w:rPr>
                <w:color w:val="000000"/>
                <w:sz w:val="18"/>
                <w:szCs w:val="18"/>
              </w:rPr>
            </w:pPr>
            <w:r w:rsidRPr="00743378">
              <w:rPr>
                <w:color w:val="000000"/>
                <w:sz w:val="18"/>
                <w:szCs w:val="18"/>
              </w:rPr>
              <w:t xml:space="preserve">Les taux des droits d’entrée sont variables suivant la phase minière : Lorsque le titulaire des droits est en phase de recherche ou de prospection, il paie 2 % ; lorsqu'il passe en phase d'exploitation, tous les biens sont soumis au taux 5 %. </w:t>
            </w:r>
          </w:p>
          <w:p w:rsidR="00034CEB" w:rsidRPr="00743378" w:rsidRDefault="00034CEB" w:rsidP="002309A2">
            <w:pPr>
              <w:spacing w:before="120" w:after="0"/>
              <w:rPr>
                <w:color w:val="000000"/>
                <w:sz w:val="18"/>
                <w:szCs w:val="18"/>
              </w:rPr>
            </w:pPr>
            <w:r w:rsidRPr="00743378">
              <w:rPr>
                <w:color w:val="000000"/>
                <w:sz w:val="18"/>
                <w:szCs w:val="18"/>
              </w:rPr>
              <w:t>En ce qui concerne les consommables et les intrants y compris les produits pétroliers, le taux est de 3 % pour les deux phases.</w:t>
            </w:r>
          </w:p>
          <w:p w:rsidR="00034CEB" w:rsidRPr="00743378" w:rsidRDefault="00034CEB" w:rsidP="002309A2">
            <w:pPr>
              <w:widowControl w:val="0"/>
              <w:kinsoku w:val="0"/>
              <w:spacing w:after="0"/>
              <w:contextualSpacing/>
              <w:rPr>
                <w:color w:val="000000"/>
                <w:sz w:val="18"/>
                <w:szCs w:val="18"/>
                <w:lang w:eastAsia="fr-FR"/>
              </w:rPr>
            </w:pPr>
            <w:r w:rsidRPr="00743378">
              <w:rPr>
                <w:b/>
                <w:color w:val="000000"/>
                <w:sz w:val="18"/>
                <w:szCs w:val="18"/>
                <w:lang w:eastAsia="fr-FR"/>
              </w:rPr>
              <w:t>Les entreprises minières sont invitées à déclarer le montant total de la quittance qui fera l’objet de conciliation avec celui à déclarer par la DGDA.</w:t>
            </w:r>
            <w:r w:rsidRPr="00743378">
              <w:rPr>
                <w:color w:val="000000"/>
                <w:sz w:val="18"/>
                <w:szCs w:val="18"/>
                <w:lang w:eastAsia="fr-FR"/>
              </w:rPr>
              <w:t xml:space="preserve"> </w:t>
            </w:r>
          </w:p>
        </w:tc>
      </w:tr>
      <w:tr w:rsidR="00034CEB" w:rsidRPr="00743378" w:rsidTr="00155613">
        <w:trPr>
          <w:trHeight w:val="793"/>
          <w:jc w:val="center"/>
        </w:trPr>
        <w:tc>
          <w:tcPr>
            <w:tcW w:w="1255" w:type="pct"/>
            <w:vAlign w:val="center"/>
            <w:hideMark/>
          </w:tcPr>
          <w:p w:rsidR="00034CEB" w:rsidRPr="00743378" w:rsidRDefault="00034CEB" w:rsidP="004D4FD7">
            <w:pPr>
              <w:rPr>
                <w:color w:val="000000"/>
                <w:sz w:val="18"/>
                <w:szCs w:val="18"/>
                <w:lang w:eastAsia="fr-FR"/>
              </w:rPr>
            </w:pPr>
            <w:r w:rsidRPr="00743378">
              <w:rPr>
                <w:color w:val="000000"/>
                <w:sz w:val="18"/>
                <w:szCs w:val="18"/>
                <w:lang w:eastAsia="fr-FR"/>
              </w:rPr>
              <w:t>Autres perceptions à l'exportation (FSR, RIM, VIM et autres)</w:t>
            </w:r>
          </w:p>
        </w:tc>
        <w:tc>
          <w:tcPr>
            <w:tcW w:w="492" w:type="pct"/>
            <w:vAlign w:val="center"/>
            <w:hideMark/>
          </w:tcPr>
          <w:p w:rsidR="00034CEB" w:rsidRPr="00743378" w:rsidRDefault="00034CEB" w:rsidP="004D4FD7">
            <w:pPr>
              <w:jc w:val="center"/>
              <w:rPr>
                <w:color w:val="000000"/>
                <w:sz w:val="18"/>
                <w:szCs w:val="18"/>
                <w:lang w:eastAsia="fr-FR"/>
              </w:rPr>
            </w:pPr>
            <w:r w:rsidRPr="00743378">
              <w:rPr>
                <w:color w:val="000000"/>
                <w:sz w:val="18"/>
                <w:szCs w:val="18"/>
                <w:lang w:eastAsia="fr-FR"/>
              </w:rPr>
              <w:t>DGDA</w:t>
            </w:r>
          </w:p>
        </w:tc>
        <w:tc>
          <w:tcPr>
            <w:tcW w:w="206" w:type="pct"/>
            <w:vAlign w:val="center"/>
            <w:hideMark/>
          </w:tcPr>
          <w:p w:rsidR="00034CEB" w:rsidRPr="00743378" w:rsidRDefault="00034CEB" w:rsidP="004D4FD7">
            <w:pPr>
              <w:spacing w:after="0"/>
              <w:jc w:val="left"/>
              <w:rPr>
                <w:bCs w:val="0"/>
                <w:sz w:val="18"/>
                <w:szCs w:val="18"/>
                <w:lang w:eastAsia="fr-FR"/>
              </w:rPr>
            </w:pPr>
          </w:p>
        </w:tc>
        <w:tc>
          <w:tcPr>
            <w:tcW w:w="206" w:type="pct"/>
            <w:shd w:val="clear" w:color="auto" w:fill="8DB3E2" w:themeFill="text2" w:themeFillTint="66"/>
            <w:vAlign w:val="center"/>
            <w:hideMark/>
          </w:tcPr>
          <w:p w:rsidR="00034CEB" w:rsidRPr="00743378" w:rsidRDefault="00034CEB" w:rsidP="004D4FD7">
            <w:pPr>
              <w:spacing w:after="0"/>
              <w:jc w:val="left"/>
              <w:rPr>
                <w:bCs w:val="0"/>
                <w:sz w:val="18"/>
                <w:szCs w:val="18"/>
                <w:lang w:eastAsia="fr-FR"/>
              </w:rPr>
            </w:pPr>
          </w:p>
        </w:tc>
        <w:tc>
          <w:tcPr>
            <w:tcW w:w="206" w:type="pct"/>
            <w:vAlign w:val="center"/>
            <w:hideMark/>
          </w:tcPr>
          <w:p w:rsidR="00034CEB" w:rsidRPr="00743378" w:rsidRDefault="00034CEB" w:rsidP="004D4FD7">
            <w:pPr>
              <w:spacing w:after="0"/>
              <w:jc w:val="left"/>
              <w:rPr>
                <w:bCs w:val="0"/>
                <w:sz w:val="18"/>
                <w:szCs w:val="18"/>
                <w:lang w:eastAsia="fr-FR"/>
              </w:rPr>
            </w:pPr>
          </w:p>
        </w:tc>
        <w:tc>
          <w:tcPr>
            <w:tcW w:w="2635" w:type="pct"/>
            <w:vAlign w:val="center"/>
            <w:hideMark/>
          </w:tcPr>
          <w:p w:rsidR="00034CEB" w:rsidRPr="00743378" w:rsidRDefault="00034CEB" w:rsidP="004D4FD7">
            <w:pPr>
              <w:spacing w:before="120" w:after="120"/>
              <w:rPr>
                <w:color w:val="000000"/>
                <w:sz w:val="18"/>
                <w:szCs w:val="18"/>
              </w:rPr>
            </w:pPr>
            <w:r w:rsidRPr="00743378">
              <w:rPr>
                <w:color w:val="000000"/>
                <w:sz w:val="18"/>
                <w:szCs w:val="18"/>
              </w:rPr>
              <w:t>Ce sont les frais payés par les entreprises minières à l’occasion de l’exportation qui sont établis à 1% de leur valeur marchande nette. Suivant une clé, ils sont répartis entre les services nommément spécifiés par la loi.</w:t>
            </w:r>
          </w:p>
          <w:p w:rsidR="00034CEB" w:rsidRPr="00743378" w:rsidRDefault="00034CEB" w:rsidP="004D4FD7">
            <w:pPr>
              <w:spacing w:before="120" w:after="120"/>
              <w:rPr>
                <w:color w:val="000000"/>
                <w:sz w:val="18"/>
                <w:szCs w:val="18"/>
              </w:rPr>
            </w:pPr>
            <w:r w:rsidRPr="00743378">
              <w:rPr>
                <w:b/>
                <w:color w:val="000000"/>
                <w:sz w:val="18"/>
                <w:szCs w:val="18"/>
                <w:lang w:eastAsia="fr-FR"/>
              </w:rPr>
              <w:t>Les entreprises minières sont invitées à déclarer le montant total de la quittance qui fera l’objet de conciliation avec celui à déclarer par la DGDA.</w:t>
            </w:r>
          </w:p>
        </w:tc>
      </w:tr>
      <w:tr w:rsidR="00034CEB" w:rsidRPr="00743378" w:rsidTr="00155613">
        <w:trPr>
          <w:trHeight w:val="360"/>
          <w:jc w:val="center"/>
        </w:trPr>
        <w:tc>
          <w:tcPr>
            <w:tcW w:w="1255" w:type="pct"/>
            <w:vAlign w:val="center"/>
            <w:hideMark/>
          </w:tcPr>
          <w:p w:rsidR="00034CEB" w:rsidRPr="00743378" w:rsidRDefault="00034CEB" w:rsidP="004D4FD7">
            <w:pPr>
              <w:rPr>
                <w:color w:val="000000"/>
                <w:sz w:val="18"/>
                <w:szCs w:val="18"/>
                <w:lang w:eastAsia="fr-FR"/>
              </w:rPr>
            </w:pPr>
            <w:r w:rsidRPr="00743378">
              <w:rPr>
                <w:color w:val="000000"/>
                <w:sz w:val="18"/>
                <w:szCs w:val="18"/>
                <w:lang w:eastAsia="fr-FR"/>
              </w:rPr>
              <w:t xml:space="preserve">Pénalités et amendes transactionnelles </w:t>
            </w:r>
            <w:r w:rsidRPr="00743378">
              <w:rPr>
                <w:color w:val="000000"/>
                <w:sz w:val="18"/>
                <w:szCs w:val="18"/>
                <w:lang w:eastAsia="fr-FR"/>
              </w:rPr>
              <w:lastRenderedPageBreak/>
              <w:t>pour le Trésor</w:t>
            </w:r>
          </w:p>
        </w:tc>
        <w:tc>
          <w:tcPr>
            <w:tcW w:w="492" w:type="pct"/>
            <w:vAlign w:val="center"/>
            <w:hideMark/>
          </w:tcPr>
          <w:p w:rsidR="00034CEB" w:rsidRPr="00743378" w:rsidRDefault="00034CEB" w:rsidP="004D4FD7">
            <w:pPr>
              <w:jc w:val="center"/>
              <w:rPr>
                <w:color w:val="000000"/>
                <w:sz w:val="18"/>
                <w:szCs w:val="18"/>
                <w:lang w:eastAsia="fr-FR"/>
              </w:rPr>
            </w:pPr>
            <w:r w:rsidRPr="00743378">
              <w:rPr>
                <w:color w:val="000000"/>
                <w:sz w:val="18"/>
                <w:szCs w:val="18"/>
                <w:lang w:eastAsia="fr-FR"/>
              </w:rPr>
              <w:lastRenderedPageBreak/>
              <w:t>DGDA</w:t>
            </w:r>
          </w:p>
        </w:tc>
        <w:tc>
          <w:tcPr>
            <w:tcW w:w="206" w:type="pct"/>
            <w:vAlign w:val="center"/>
            <w:hideMark/>
          </w:tcPr>
          <w:p w:rsidR="00034CEB" w:rsidRPr="00743378" w:rsidRDefault="00034CEB" w:rsidP="004D4FD7">
            <w:pPr>
              <w:spacing w:after="0"/>
              <w:jc w:val="left"/>
              <w:rPr>
                <w:bCs w:val="0"/>
                <w:sz w:val="18"/>
                <w:szCs w:val="18"/>
                <w:lang w:eastAsia="fr-FR"/>
              </w:rPr>
            </w:pPr>
          </w:p>
        </w:tc>
        <w:tc>
          <w:tcPr>
            <w:tcW w:w="206" w:type="pct"/>
            <w:shd w:val="clear" w:color="auto" w:fill="8DB3E2" w:themeFill="text2" w:themeFillTint="66"/>
            <w:vAlign w:val="center"/>
            <w:hideMark/>
          </w:tcPr>
          <w:p w:rsidR="00034CEB" w:rsidRPr="00743378" w:rsidRDefault="00034CEB" w:rsidP="004D4FD7">
            <w:pPr>
              <w:spacing w:after="0"/>
              <w:jc w:val="left"/>
              <w:rPr>
                <w:bCs w:val="0"/>
                <w:sz w:val="18"/>
                <w:szCs w:val="18"/>
                <w:lang w:eastAsia="fr-FR"/>
              </w:rPr>
            </w:pPr>
          </w:p>
        </w:tc>
        <w:tc>
          <w:tcPr>
            <w:tcW w:w="206" w:type="pct"/>
            <w:shd w:val="clear" w:color="auto" w:fill="8DB3E2" w:themeFill="text2" w:themeFillTint="66"/>
            <w:vAlign w:val="center"/>
            <w:hideMark/>
          </w:tcPr>
          <w:p w:rsidR="00034CEB" w:rsidRPr="00743378" w:rsidRDefault="00034CEB" w:rsidP="004D4FD7">
            <w:pPr>
              <w:spacing w:after="0"/>
              <w:jc w:val="left"/>
              <w:rPr>
                <w:bCs w:val="0"/>
                <w:sz w:val="18"/>
                <w:szCs w:val="18"/>
                <w:lang w:eastAsia="fr-FR"/>
              </w:rPr>
            </w:pPr>
          </w:p>
        </w:tc>
        <w:tc>
          <w:tcPr>
            <w:tcW w:w="2635" w:type="pct"/>
            <w:vAlign w:val="center"/>
            <w:hideMark/>
          </w:tcPr>
          <w:p w:rsidR="00034CEB" w:rsidRPr="00743378" w:rsidRDefault="00034CEB" w:rsidP="004D4FD7">
            <w:pPr>
              <w:spacing w:before="120" w:after="120"/>
              <w:rPr>
                <w:color w:val="000000"/>
                <w:sz w:val="18"/>
                <w:szCs w:val="18"/>
              </w:rPr>
            </w:pPr>
            <w:r w:rsidRPr="00743378">
              <w:rPr>
                <w:color w:val="000000"/>
                <w:sz w:val="18"/>
                <w:szCs w:val="18"/>
              </w:rPr>
              <w:t xml:space="preserve">Le régime en RDC est déclaratif : Les entreprises déclarent les droits à payer. Des pénalités et les amendes sont imposées si des erreurs sont constatées dans les déclarations, ou en </w:t>
            </w:r>
            <w:r w:rsidRPr="00743378">
              <w:rPr>
                <w:color w:val="000000"/>
                <w:sz w:val="18"/>
                <w:szCs w:val="18"/>
              </w:rPr>
              <w:lastRenderedPageBreak/>
              <w:t xml:space="preserve">cas de retard de paiement. </w:t>
            </w:r>
          </w:p>
          <w:p w:rsidR="00034CEB" w:rsidRPr="00743378" w:rsidRDefault="00034CEB" w:rsidP="004D4FD7">
            <w:pPr>
              <w:spacing w:before="120" w:after="120"/>
              <w:rPr>
                <w:color w:val="000000"/>
                <w:sz w:val="18"/>
                <w:szCs w:val="18"/>
              </w:rPr>
            </w:pPr>
            <w:r w:rsidRPr="00743378">
              <w:rPr>
                <w:color w:val="000000"/>
                <w:sz w:val="18"/>
                <w:szCs w:val="18"/>
              </w:rPr>
              <w:t>Dans le cas de la DGDA, 40 % de la valeur des amendes/ pénalités est payable au Trésor.</w:t>
            </w:r>
          </w:p>
        </w:tc>
      </w:tr>
      <w:tr w:rsidR="00034CEB" w:rsidRPr="00743378" w:rsidTr="00155613">
        <w:trPr>
          <w:trHeight w:val="360"/>
          <w:jc w:val="center"/>
        </w:trPr>
        <w:tc>
          <w:tcPr>
            <w:tcW w:w="1255" w:type="pct"/>
            <w:vAlign w:val="center"/>
            <w:hideMark/>
          </w:tcPr>
          <w:p w:rsidR="00034CEB" w:rsidRPr="00743378" w:rsidRDefault="00034CEB" w:rsidP="004D4FD7">
            <w:pPr>
              <w:rPr>
                <w:color w:val="000000"/>
                <w:sz w:val="18"/>
                <w:szCs w:val="18"/>
                <w:lang w:eastAsia="fr-FR"/>
              </w:rPr>
            </w:pPr>
            <w:r w:rsidRPr="00743378">
              <w:rPr>
                <w:color w:val="000000"/>
                <w:sz w:val="18"/>
                <w:szCs w:val="18"/>
                <w:lang w:eastAsia="fr-FR"/>
              </w:rPr>
              <w:lastRenderedPageBreak/>
              <w:t>Pénalités et amendes transactionnelles pour la DGDA</w:t>
            </w:r>
          </w:p>
        </w:tc>
        <w:tc>
          <w:tcPr>
            <w:tcW w:w="492" w:type="pct"/>
            <w:vAlign w:val="center"/>
            <w:hideMark/>
          </w:tcPr>
          <w:p w:rsidR="00034CEB" w:rsidRPr="00743378" w:rsidRDefault="00034CEB" w:rsidP="004D4FD7">
            <w:pPr>
              <w:jc w:val="center"/>
              <w:rPr>
                <w:color w:val="000000"/>
                <w:sz w:val="18"/>
                <w:szCs w:val="18"/>
                <w:lang w:eastAsia="fr-FR"/>
              </w:rPr>
            </w:pPr>
            <w:r w:rsidRPr="00743378">
              <w:rPr>
                <w:color w:val="000000"/>
                <w:sz w:val="18"/>
                <w:szCs w:val="18"/>
                <w:lang w:eastAsia="fr-FR"/>
              </w:rPr>
              <w:t>DGDA</w:t>
            </w:r>
          </w:p>
        </w:tc>
        <w:tc>
          <w:tcPr>
            <w:tcW w:w="206" w:type="pct"/>
            <w:vAlign w:val="center"/>
            <w:hideMark/>
          </w:tcPr>
          <w:p w:rsidR="00034CEB" w:rsidRPr="00743378" w:rsidRDefault="00034CEB" w:rsidP="004D4FD7">
            <w:pPr>
              <w:spacing w:after="0"/>
              <w:jc w:val="left"/>
              <w:rPr>
                <w:bCs w:val="0"/>
                <w:sz w:val="18"/>
                <w:szCs w:val="18"/>
                <w:lang w:eastAsia="fr-FR"/>
              </w:rPr>
            </w:pPr>
          </w:p>
        </w:tc>
        <w:tc>
          <w:tcPr>
            <w:tcW w:w="206" w:type="pct"/>
            <w:shd w:val="clear" w:color="auto" w:fill="8DB3E2" w:themeFill="text2" w:themeFillTint="66"/>
            <w:vAlign w:val="center"/>
            <w:hideMark/>
          </w:tcPr>
          <w:p w:rsidR="00034CEB" w:rsidRPr="00743378" w:rsidRDefault="00034CEB" w:rsidP="004D4FD7">
            <w:pPr>
              <w:spacing w:after="0"/>
              <w:jc w:val="left"/>
              <w:rPr>
                <w:bCs w:val="0"/>
                <w:sz w:val="18"/>
                <w:szCs w:val="18"/>
                <w:lang w:eastAsia="fr-FR"/>
              </w:rPr>
            </w:pPr>
          </w:p>
        </w:tc>
        <w:tc>
          <w:tcPr>
            <w:tcW w:w="206" w:type="pct"/>
            <w:shd w:val="clear" w:color="auto" w:fill="8DB3E2" w:themeFill="text2" w:themeFillTint="66"/>
            <w:vAlign w:val="center"/>
            <w:hideMark/>
          </w:tcPr>
          <w:p w:rsidR="00034CEB" w:rsidRPr="00743378" w:rsidRDefault="00034CEB" w:rsidP="004D4FD7">
            <w:pPr>
              <w:spacing w:after="0"/>
              <w:jc w:val="left"/>
              <w:rPr>
                <w:bCs w:val="0"/>
                <w:sz w:val="18"/>
                <w:szCs w:val="18"/>
                <w:lang w:eastAsia="fr-FR"/>
              </w:rPr>
            </w:pPr>
          </w:p>
        </w:tc>
        <w:tc>
          <w:tcPr>
            <w:tcW w:w="2635" w:type="pct"/>
            <w:vAlign w:val="center"/>
            <w:hideMark/>
          </w:tcPr>
          <w:p w:rsidR="00034CEB" w:rsidRPr="00743378" w:rsidRDefault="00034CEB" w:rsidP="004D4FD7">
            <w:pPr>
              <w:spacing w:before="120" w:after="120"/>
              <w:rPr>
                <w:color w:val="000000"/>
                <w:sz w:val="18"/>
                <w:szCs w:val="18"/>
              </w:rPr>
            </w:pPr>
            <w:r w:rsidRPr="00743378">
              <w:rPr>
                <w:color w:val="000000"/>
                <w:sz w:val="18"/>
                <w:szCs w:val="18"/>
              </w:rPr>
              <w:t xml:space="preserve">Le régime en RDC est déclaratif : Les entreprises déclarent les droits à payer. Des pénalités et les amendes sont imposées si des erreurs sont constatées dans les déclarations, ou en cas de retard de paiement. </w:t>
            </w:r>
          </w:p>
          <w:p w:rsidR="00034CEB" w:rsidRPr="00743378" w:rsidRDefault="00034CEB" w:rsidP="004D4FD7">
            <w:pPr>
              <w:spacing w:before="120" w:after="120"/>
              <w:rPr>
                <w:color w:val="000000"/>
                <w:sz w:val="18"/>
                <w:szCs w:val="18"/>
              </w:rPr>
            </w:pPr>
            <w:r w:rsidRPr="00743378">
              <w:rPr>
                <w:color w:val="000000"/>
                <w:sz w:val="18"/>
                <w:szCs w:val="18"/>
              </w:rPr>
              <w:t>Dans le cas de la DGDA, 60 % de la valeur des amendes/ pénalités est payable à la DGDA.</w:t>
            </w:r>
          </w:p>
          <w:p w:rsidR="00034CEB" w:rsidRPr="00743378" w:rsidRDefault="00034CEB" w:rsidP="004D4FD7">
            <w:pPr>
              <w:spacing w:before="120" w:after="120"/>
              <w:rPr>
                <w:color w:val="000000"/>
                <w:sz w:val="18"/>
                <w:szCs w:val="18"/>
              </w:rPr>
            </w:pPr>
            <w:r w:rsidRPr="00743378">
              <w:rPr>
                <w:color w:val="000000"/>
                <w:sz w:val="18"/>
                <w:szCs w:val="18"/>
              </w:rPr>
              <w:t>Ces 60% des pénalités reviennent en totalité à la DGDA.</w:t>
            </w:r>
          </w:p>
        </w:tc>
      </w:tr>
      <w:tr w:rsidR="00CD450A" w:rsidRPr="00743378" w:rsidTr="00155613">
        <w:trPr>
          <w:trHeight w:val="300"/>
          <w:jc w:val="center"/>
        </w:trPr>
        <w:tc>
          <w:tcPr>
            <w:tcW w:w="1255" w:type="pct"/>
            <w:vAlign w:val="center"/>
            <w:hideMark/>
          </w:tcPr>
          <w:p w:rsidR="00034CEB" w:rsidRPr="00743378" w:rsidRDefault="00034CEB" w:rsidP="004D4FD7">
            <w:pPr>
              <w:rPr>
                <w:color w:val="000000"/>
                <w:sz w:val="18"/>
                <w:szCs w:val="18"/>
                <w:lang w:eastAsia="fr-FR"/>
              </w:rPr>
            </w:pPr>
            <w:r w:rsidRPr="00743378">
              <w:rPr>
                <w:color w:val="000000"/>
                <w:sz w:val="18"/>
                <w:szCs w:val="18"/>
                <w:lang w:eastAsia="fr-FR"/>
              </w:rPr>
              <w:t>Autorisation d’exportation des matières minérales à l’état brut*</w:t>
            </w:r>
          </w:p>
        </w:tc>
        <w:tc>
          <w:tcPr>
            <w:tcW w:w="492" w:type="pct"/>
            <w:vAlign w:val="center"/>
            <w:hideMark/>
          </w:tcPr>
          <w:p w:rsidR="00034CEB" w:rsidRPr="00743378" w:rsidRDefault="00034CEB" w:rsidP="004D4FD7">
            <w:pPr>
              <w:jc w:val="center"/>
              <w:rPr>
                <w:color w:val="000000"/>
                <w:sz w:val="18"/>
                <w:szCs w:val="18"/>
                <w:lang w:eastAsia="fr-FR"/>
              </w:rPr>
            </w:pPr>
            <w:r w:rsidRPr="00743378">
              <w:rPr>
                <w:color w:val="000000"/>
                <w:sz w:val="18"/>
                <w:szCs w:val="18"/>
                <w:lang w:eastAsia="fr-FR"/>
              </w:rPr>
              <w:t>DGRAD</w:t>
            </w:r>
          </w:p>
        </w:tc>
        <w:tc>
          <w:tcPr>
            <w:tcW w:w="206" w:type="pct"/>
            <w:shd w:val="clear" w:color="auto" w:fill="FFFFFF" w:themeFill="background1"/>
            <w:vAlign w:val="center"/>
            <w:hideMark/>
          </w:tcPr>
          <w:p w:rsidR="00034CEB" w:rsidRPr="00743378" w:rsidRDefault="00034CEB" w:rsidP="004D4FD7">
            <w:pPr>
              <w:spacing w:after="0"/>
              <w:jc w:val="left"/>
              <w:rPr>
                <w:bCs w:val="0"/>
                <w:sz w:val="18"/>
                <w:szCs w:val="18"/>
                <w:lang w:eastAsia="fr-FR"/>
              </w:rPr>
            </w:pPr>
          </w:p>
        </w:tc>
        <w:tc>
          <w:tcPr>
            <w:tcW w:w="206" w:type="pct"/>
            <w:shd w:val="clear" w:color="auto" w:fill="8DB3E2" w:themeFill="text2" w:themeFillTint="66"/>
            <w:vAlign w:val="center"/>
            <w:hideMark/>
          </w:tcPr>
          <w:p w:rsidR="00034CEB" w:rsidRPr="00743378" w:rsidRDefault="00034CEB" w:rsidP="004D4FD7">
            <w:pPr>
              <w:spacing w:after="0"/>
              <w:jc w:val="left"/>
              <w:rPr>
                <w:bCs w:val="0"/>
                <w:sz w:val="18"/>
                <w:szCs w:val="18"/>
                <w:lang w:eastAsia="fr-FR"/>
              </w:rPr>
            </w:pPr>
          </w:p>
        </w:tc>
        <w:tc>
          <w:tcPr>
            <w:tcW w:w="206" w:type="pct"/>
            <w:shd w:val="clear" w:color="auto" w:fill="8DB3E2" w:themeFill="text2" w:themeFillTint="66"/>
            <w:vAlign w:val="center"/>
            <w:hideMark/>
          </w:tcPr>
          <w:p w:rsidR="00034CEB" w:rsidRPr="00743378" w:rsidRDefault="00034CEB" w:rsidP="004D4FD7">
            <w:pPr>
              <w:spacing w:after="0"/>
              <w:jc w:val="left"/>
              <w:rPr>
                <w:bCs w:val="0"/>
                <w:sz w:val="18"/>
                <w:szCs w:val="18"/>
                <w:lang w:eastAsia="fr-FR"/>
              </w:rPr>
            </w:pPr>
          </w:p>
        </w:tc>
        <w:tc>
          <w:tcPr>
            <w:tcW w:w="2635" w:type="pct"/>
            <w:vAlign w:val="center"/>
            <w:hideMark/>
          </w:tcPr>
          <w:p w:rsidR="00034CEB" w:rsidRPr="00743378" w:rsidRDefault="00034CEB" w:rsidP="004D4FD7">
            <w:pPr>
              <w:spacing w:before="120" w:after="120"/>
              <w:rPr>
                <w:sz w:val="18"/>
                <w:szCs w:val="18"/>
              </w:rPr>
            </w:pPr>
            <w:r w:rsidRPr="00743378">
              <w:rPr>
                <w:sz w:val="18"/>
                <w:szCs w:val="18"/>
              </w:rPr>
              <w:t xml:space="preserve">Frais payés à </w:t>
            </w:r>
            <w:r w:rsidRPr="00743378">
              <w:rPr>
                <w:sz w:val="18"/>
                <w:szCs w:val="18"/>
                <w:lang w:eastAsia="fr-FR"/>
              </w:rPr>
              <w:t>l’occasion</w:t>
            </w:r>
            <w:r w:rsidRPr="00743378">
              <w:rPr>
                <w:sz w:val="18"/>
                <w:szCs w:val="18"/>
              </w:rPr>
              <w:t xml:space="preserve"> d’exportation des minerais à l’état brut.</w:t>
            </w:r>
          </w:p>
        </w:tc>
      </w:tr>
      <w:tr w:rsidR="00034CEB" w:rsidRPr="00743378" w:rsidTr="00155613">
        <w:trPr>
          <w:trHeight w:val="300"/>
          <w:jc w:val="center"/>
        </w:trPr>
        <w:tc>
          <w:tcPr>
            <w:tcW w:w="1255" w:type="pct"/>
            <w:vAlign w:val="center"/>
            <w:hideMark/>
          </w:tcPr>
          <w:p w:rsidR="00034CEB" w:rsidRPr="00743378" w:rsidRDefault="00034CEB" w:rsidP="004D4FD7">
            <w:pPr>
              <w:rPr>
                <w:color w:val="000000"/>
                <w:sz w:val="18"/>
                <w:szCs w:val="18"/>
                <w:lang w:eastAsia="fr-FR"/>
              </w:rPr>
            </w:pPr>
            <w:r w:rsidRPr="00743378">
              <w:rPr>
                <w:color w:val="000000"/>
                <w:sz w:val="18"/>
                <w:szCs w:val="18"/>
                <w:lang w:eastAsia="fr-FR"/>
              </w:rPr>
              <w:t>Autres frais liés au paiement de bonus</w:t>
            </w:r>
          </w:p>
        </w:tc>
        <w:tc>
          <w:tcPr>
            <w:tcW w:w="492" w:type="pct"/>
            <w:vAlign w:val="center"/>
            <w:hideMark/>
          </w:tcPr>
          <w:p w:rsidR="00034CEB" w:rsidRPr="00743378" w:rsidRDefault="00034CEB" w:rsidP="004D4FD7">
            <w:pPr>
              <w:jc w:val="center"/>
              <w:rPr>
                <w:color w:val="000000"/>
                <w:sz w:val="18"/>
                <w:szCs w:val="18"/>
                <w:lang w:eastAsia="fr-FR"/>
              </w:rPr>
            </w:pPr>
            <w:r w:rsidRPr="00743378">
              <w:rPr>
                <w:color w:val="000000"/>
                <w:sz w:val="18"/>
                <w:szCs w:val="18"/>
                <w:lang w:eastAsia="fr-FR"/>
              </w:rPr>
              <w:t>DGRAD</w:t>
            </w:r>
          </w:p>
        </w:tc>
        <w:tc>
          <w:tcPr>
            <w:tcW w:w="206" w:type="pct"/>
            <w:shd w:val="clear" w:color="auto" w:fill="8DB3E2" w:themeFill="text2" w:themeFillTint="66"/>
            <w:vAlign w:val="center"/>
            <w:hideMark/>
          </w:tcPr>
          <w:p w:rsidR="00034CEB" w:rsidRPr="00743378" w:rsidRDefault="00034CEB" w:rsidP="004D4FD7">
            <w:pPr>
              <w:spacing w:after="0"/>
              <w:jc w:val="left"/>
              <w:rPr>
                <w:bCs w:val="0"/>
                <w:sz w:val="18"/>
                <w:szCs w:val="18"/>
                <w:lang w:eastAsia="fr-FR"/>
              </w:rPr>
            </w:pPr>
          </w:p>
        </w:tc>
        <w:tc>
          <w:tcPr>
            <w:tcW w:w="206" w:type="pct"/>
            <w:vAlign w:val="center"/>
            <w:hideMark/>
          </w:tcPr>
          <w:p w:rsidR="00034CEB" w:rsidRPr="00743378" w:rsidRDefault="00034CEB" w:rsidP="004D4FD7">
            <w:pPr>
              <w:spacing w:after="0"/>
              <w:jc w:val="left"/>
              <w:rPr>
                <w:bCs w:val="0"/>
                <w:sz w:val="18"/>
                <w:szCs w:val="18"/>
                <w:lang w:eastAsia="fr-FR"/>
              </w:rPr>
            </w:pPr>
          </w:p>
        </w:tc>
        <w:tc>
          <w:tcPr>
            <w:tcW w:w="206" w:type="pct"/>
            <w:vAlign w:val="center"/>
            <w:hideMark/>
          </w:tcPr>
          <w:p w:rsidR="00034CEB" w:rsidRPr="00743378" w:rsidRDefault="00034CEB" w:rsidP="004D4FD7">
            <w:pPr>
              <w:spacing w:after="0"/>
              <w:jc w:val="left"/>
              <w:rPr>
                <w:bCs w:val="0"/>
                <w:sz w:val="18"/>
                <w:szCs w:val="18"/>
                <w:lang w:eastAsia="fr-FR"/>
              </w:rPr>
            </w:pPr>
          </w:p>
        </w:tc>
        <w:tc>
          <w:tcPr>
            <w:tcW w:w="2635" w:type="pct"/>
            <w:vAlign w:val="center"/>
            <w:hideMark/>
          </w:tcPr>
          <w:p w:rsidR="00034CEB" w:rsidRPr="00743378" w:rsidRDefault="00034CEB" w:rsidP="004D4FD7">
            <w:pPr>
              <w:spacing w:before="120" w:after="120"/>
              <w:rPr>
                <w:color w:val="000000"/>
                <w:sz w:val="18"/>
                <w:szCs w:val="18"/>
              </w:rPr>
            </w:pPr>
            <w:r w:rsidRPr="00743378">
              <w:rPr>
                <w:color w:val="000000"/>
                <w:sz w:val="18"/>
                <w:szCs w:val="18"/>
              </w:rPr>
              <w:t xml:space="preserve">Ce flux concerne </w:t>
            </w:r>
            <w:r w:rsidRPr="00743378">
              <w:rPr>
                <w:color w:val="000000"/>
                <w:sz w:val="18"/>
                <w:szCs w:val="18"/>
                <w:lang w:eastAsia="fr-FR"/>
              </w:rPr>
              <w:t>exclusivement</w:t>
            </w:r>
            <w:r w:rsidRPr="00743378">
              <w:rPr>
                <w:color w:val="000000"/>
                <w:sz w:val="18"/>
                <w:szCs w:val="18"/>
              </w:rPr>
              <w:t xml:space="preserve"> le Secteur Pétrolier et inclut les frais administratifs payés en sus du paiement </w:t>
            </w:r>
            <w:r w:rsidRPr="00743378">
              <w:rPr>
                <w:sz w:val="18"/>
                <w:szCs w:val="18"/>
              </w:rPr>
              <w:t>des</w:t>
            </w:r>
            <w:r w:rsidRPr="00743378">
              <w:rPr>
                <w:color w:val="000000"/>
                <w:sz w:val="18"/>
                <w:szCs w:val="18"/>
              </w:rPr>
              <w:t xml:space="preserve"> bonus.</w:t>
            </w:r>
          </w:p>
        </w:tc>
      </w:tr>
      <w:tr w:rsidR="00CD450A" w:rsidRPr="00743378" w:rsidTr="00155613">
        <w:trPr>
          <w:trHeight w:val="300"/>
          <w:jc w:val="center"/>
        </w:trPr>
        <w:tc>
          <w:tcPr>
            <w:tcW w:w="1255" w:type="pct"/>
            <w:vAlign w:val="center"/>
            <w:hideMark/>
          </w:tcPr>
          <w:p w:rsidR="00034CEB" w:rsidRPr="00743378" w:rsidRDefault="00034CEB" w:rsidP="004D4FD7">
            <w:pPr>
              <w:rPr>
                <w:color w:val="000000"/>
                <w:sz w:val="18"/>
                <w:szCs w:val="18"/>
                <w:lang w:eastAsia="fr-FR"/>
              </w:rPr>
            </w:pPr>
            <w:r w:rsidRPr="00743378">
              <w:rPr>
                <w:color w:val="000000"/>
                <w:sz w:val="18"/>
                <w:szCs w:val="18"/>
                <w:lang w:eastAsia="fr-FR"/>
              </w:rPr>
              <w:t>Bonus de signature ou de production (y compris Bonus de Production des dix millionièmes barils)</w:t>
            </w:r>
          </w:p>
        </w:tc>
        <w:tc>
          <w:tcPr>
            <w:tcW w:w="492" w:type="pct"/>
            <w:vAlign w:val="center"/>
            <w:hideMark/>
          </w:tcPr>
          <w:p w:rsidR="00034CEB" w:rsidRPr="00743378" w:rsidRDefault="00034CEB" w:rsidP="004D4FD7">
            <w:pPr>
              <w:jc w:val="center"/>
              <w:rPr>
                <w:color w:val="000000"/>
                <w:sz w:val="18"/>
                <w:szCs w:val="18"/>
                <w:lang w:eastAsia="fr-FR"/>
              </w:rPr>
            </w:pPr>
            <w:r w:rsidRPr="00743378">
              <w:rPr>
                <w:color w:val="000000"/>
                <w:sz w:val="18"/>
                <w:szCs w:val="18"/>
                <w:lang w:eastAsia="fr-FR"/>
              </w:rPr>
              <w:t>DGRAD</w:t>
            </w:r>
          </w:p>
        </w:tc>
        <w:tc>
          <w:tcPr>
            <w:tcW w:w="206" w:type="pct"/>
            <w:shd w:val="clear" w:color="auto" w:fill="8DB3E2" w:themeFill="text2" w:themeFillTint="66"/>
            <w:vAlign w:val="center"/>
            <w:hideMark/>
          </w:tcPr>
          <w:p w:rsidR="00034CEB" w:rsidRPr="00743378" w:rsidRDefault="00034CEB" w:rsidP="004D4FD7">
            <w:pPr>
              <w:ind w:firstLineChars="100" w:firstLine="180"/>
              <w:rPr>
                <w:color w:val="000000"/>
                <w:sz w:val="18"/>
                <w:szCs w:val="18"/>
                <w:lang w:eastAsia="fr-FR"/>
              </w:rPr>
            </w:pPr>
            <w:r w:rsidRPr="00743378">
              <w:rPr>
                <w:color w:val="000000"/>
                <w:sz w:val="18"/>
                <w:szCs w:val="18"/>
                <w:lang w:eastAsia="fr-FR"/>
              </w:rPr>
              <w:t> </w:t>
            </w:r>
          </w:p>
        </w:tc>
        <w:tc>
          <w:tcPr>
            <w:tcW w:w="206" w:type="pct"/>
            <w:shd w:val="clear" w:color="auto" w:fill="FFFFFF" w:themeFill="background1"/>
            <w:vAlign w:val="center"/>
            <w:hideMark/>
          </w:tcPr>
          <w:p w:rsidR="00034CEB" w:rsidRPr="00743378" w:rsidRDefault="00034CEB" w:rsidP="004D4FD7">
            <w:pPr>
              <w:ind w:firstLineChars="100" w:firstLine="180"/>
              <w:rPr>
                <w:color w:val="000000"/>
                <w:sz w:val="18"/>
                <w:szCs w:val="18"/>
                <w:lang w:eastAsia="fr-FR"/>
              </w:rPr>
            </w:pPr>
            <w:r w:rsidRPr="00743378">
              <w:rPr>
                <w:color w:val="000000"/>
                <w:sz w:val="18"/>
                <w:szCs w:val="18"/>
                <w:lang w:eastAsia="fr-FR"/>
              </w:rPr>
              <w:t> </w:t>
            </w:r>
          </w:p>
        </w:tc>
        <w:tc>
          <w:tcPr>
            <w:tcW w:w="206" w:type="pct"/>
            <w:shd w:val="clear" w:color="auto" w:fill="FFFFFF" w:themeFill="background1"/>
            <w:vAlign w:val="center"/>
            <w:hideMark/>
          </w:tcPr>
          <w:p w:rsidR="00034CEB" w:rsidRPr="00743378" w:rsidRDefault="00034CEB" w:rsidP="004D4FD7">
            <w:pPr>
              <w:ind w:firstLineChars="100" w:firstLine="180"/>
              <w:rPr>
                <w:color w:val="000000"/>
                <w:sz w:val="18"/>
                <w:szCs w:val="18"/>
                <w:lang w:eastAsia="fr-FR"/>
              </w:rPr>
            </w:pPr>
            <w:r w:rsidRPr="00743378">
              <w:rPr>
                <w:color w:val="000000"/>
                <w:sz w:val="18"/>
                <w:szCs w:val="18"/>
                <w:lang w:eastAsia="fr-FR"/>
              </w:rPr>
              <w:t> </w:t>
            </w:r>
          </w:p>
        </w:tc>
        <w:tc>
          <w:tcPr>
            <w:tcW w:w="2635" w:type="pct"/>
            <w:hideMark/>
          </w:tcPr>
          <w:p w:rsidR="00034CEB" w:rsidRPr="00743378" w:rsidRDefault="00034CEB" w:rsidP="004D4FD7">
            <w:pPr>
              <w:spacing w:before="120" w:after="120"/>
              <w:rPr>
                <w:color w:val="000000"/>
                <w:sz w:val="18"/>
                <w:szCs w:val="18"/>
              </w:rPr>
            </w:pPr>
            <w:r w:rsidRPr="00743378">
              <w:rPr>
                <w:color w:val="000000"/>
                <w:sz w:val="18"/>
                <w:szCs w:val="18"/>
              </w:rPr>
              <w:t xml:space="preserve">Les Bonus de </w:t>
            </w:r>
            <w:r w:rsidRPr="00743378">
              <w:rPr>
                <w:color w:val="000000"/>
                <w:sz w:val="18"/>
                <w:szCs w:val="18"/>
                <w:lang w:eastAsia="fr-FR"/>
              </w:rPr>
              <w:t>signature</w:t>
            </w:r>
            <w:r w:rsidRPr="00743378">
              <w:rPr>
                <w:color w:val="000000"/>
                <w:sz w:val="18"/>
                <w:szCs w:val="18"/>
              </w:rPr>
              <w:t xml:space="preserve"> ou </w:t>
            </w:r>
            <w:r w:rsidRPr="00743378">
              <w:rPr>
                <w:sz w:val="18"/>
                <w:szCs w:val="18"/>
              </w:rPr>
              <w:t>de production sont des primes payables à l’Etat, lors de la signature d’un contrat, et/ou</w:t>
            </w:r>
            <w:r w:rsidRPr="00743378">
              <w:rPr>
                <w:color w:val="000000"/>
                <w:sz w:val="18"/>
                <w:szCs w:val="18"/>
              </w:rPr>
              <w:t xml:space="preserve"> lorsque l’exploitation ou le rythme d’exploitation atteint certains seuils.</w:t>
            </w:r>
          </w:p>
          <w:p w:rsidR="00034CEB" w:rsidRPr="00743378" w:rsidRDefault="00034CEB" w:rsidP="004D4FD7">
            <w:pPr>
              <w:spacing w:before="120" w:after="120"/>
              <w:rPr>
                <w:color w:val="000000"/>
                <w:sz w:val="18"/>
                <w:szCs w:val="18"/>
                <w:lang w:eastAsia="fr-FR"/>
              </w:rPr>
            </w:pPr>
            <w:r w:rsidRPr="00743378">
              <w:rPr>
                <w:color w:val="000000"/>
                <w:sz w:val="18"/>
                <w:szCs w:val="18"/>
              </w:rPr>
              <w:t xml:space="preserve">Les montants et </w:t>
            </w:r>
            <w:r w:rsidRPr="00743378">
              <w:rPr>
                <w:color w:val="000000"/>
                <w:sz w:val="18"/>
                <w:szCs w:val="18"/>
                <w:lang w:eastAsia="fr-FR"/>
              </w:rPr>
              <w:t>modalités</w:t>
            </w:r>
            <w:r w:rsidRPr="00743378">
              <w:rPr>
                <w:color w:val="000000"/>
                <w:sz w:val="18"/>
                <w:szCs w:val="18"/>
              </w:rPr>
              <w:t xml:space="preserve"> de paiement des Bonus de signature ou de production sont définis par les conventions pétrolières ou le Code minier. </w:t>
            </w:r>
          </w:p>
        </w:tc>
      </w:tr>
      <w:tr w:rsidR="00CD450A" w:rsidRPr="00743378" w:rsidTr="00155613">
        <w:trPr>
          <w:trHeight w:val="300"/>
          <w:jc w:val="center"/>
        </w:trPr>
        <w:tc>
          <w:tcPr>
            <w:tcW w:w="1255" w:type="pct"/>
            <w:vAlign w:val="center"/>
            <w:hideMark/>
          </w:tcPr>
          <w:p w:rsidR="00034CEB" w:rsidRPr="00743378" w:rsidRDefault="00034CEB" w:rsidP="004D4FD7">
            <w:pPr>
              <w:rPr>
                <w:color w:val="000000"/>
                <w:sz w:val="18"/>
                <w:szCs w:val="18"/>
                <w:lang w:eastAsia="fr-FR"/>
              </w:rPr>
            </w:pPr>
            <w:r w:rsidRPr="00743378">
              <w:rPr>
                <w:color w:val="000000"/>
                <w:sz w:val="18"/>
                <w:szCs w:val="18"/>
                <w:lang w:eastAsia="fr-FR"/>
              </w:rPr>
              <w:t>Bonus de Découverte Commerciale</w:t>
            </w:r>
          </w:p>
        </w:tc>
        <w:tc>
          <w:tcPr>
            <w:tcW w:w="492" w:type="pct"/>
            <w:vAlign w:val="center"/>
            <w:hideMark/>
          </w:tcPr>
          <w:p w:rsidR="00034CEB" w:rsidRPr="00743378" w:rsidRDefault="00034CEB" w:rsidP="004D4FD7">
            <w:pPr>
              <w:jc w:val="center"/>
              <w:rPr>
                <w:color w:val="000000"/>
                <w:sz w:val="18"/>
                <w:szCs w:val="18"/>
                <w:lang w:eastAsia="fr-FR"/>
              </w:rPr>
            </w:pPr>
            <w:r w:rsidRPr="00743378">
              <w:rPr>
                <w:color w:val="000000"/>
                <w:sz w:val="18"/>
                <w:szCs w:val="18"/>
                <w:lang w:eastAsia="fr-FR"/>
              </w:rPr>
              <w:t>DGRAD</w:t>
            </w:r>
          </w:p>
        </w:tc>
        <w:tc>
          <w:tcPr>
            <w:tcW w:w="206" w:type="pct"/>
            <w:shd w:val="clear" w:color="auto" w:fill="8DB3E2" w:themeFill="text2" w:themeFillTint="66"/>
            <w:vAlign w:val="center"/>
          </w:tcPr>
          <w:p w:rsidR="00034CEB" w:rsidRPr="00743378" w:rsidRDefault="00034CEB" w:rsidP="004D4FD7">
            <w:pPr>
              <w:ind w:firstLineChars="100" w:firstLine="180"/>
              <w:rPr>
                <w:color w:val="000000"/>
                <w:sz w:val="18"/>
                <w:szCs w:val="18"/>
                <w:lang w:eastAsia="fr-FR"/>
              </w:rPr>
            </w:pPr>
          </w:p>
        </w:tc>
        <w:tc>
          <w:tcPr>
            <w:tcW w:w="206" w:type="pct"/>
            <w:shd w:val="clear" w:color="auto" w:fill="FFFFFF" w:themeFill="background1"/>
            <w:vAlign w:val="center"/>
          </w:tcPr>
          <w:p w:rsidR="00034CEB" w:rsidRPr="00743378" w:rsidRDefault="00034CEB" w:rsidP="004D4FD7">
            <w:pPr>
              <w:ind w:firstLineChars="100" w:firstLine="180"/>
              <w:rPr>
                <w:color w:val="000000"/>
                <w:sz w:val="18"/>
                <w:szCs w:val="18"/>
                <w:lang w:eastAsia="fr-FR"/>
              </w:rPr>
            </w:pPr>
          </w:p>
        </w:tc>
        <w:tc>
          <w:tcPr>
            <w:tcW w:w="206" w:type="pct"/>
            <w:shd w:val="clear" w:color="auto" w:fill="FFFFFF" w:themeFill="background1"/>
            <w:vAlign w:val="bottom"/>
          </w:tcPr>
          <w:p w:rsidR="00034CEB" w:rsidRPr="00743378" w:rsidRDefault="00034CEB" w:rsidP="004D4FD7">
            <w:pPr>
              <w:rPr>
                <w:color w:val="000000"/>
                <w:sz w:val="18"/>
                <w:szCs w:val="18"/>
                <w:lang w:eastAsia="fr-FR"/>
              </w:rPr>
            </w:pPr>
          </w:p>
        </w:tc>
        <w:tc>
          <w:tcPr>
            <w:tcW w:w="2635" w:type="pct"/>
            <w:hideMark/>
          </w:tcPr>
          <w:p w:rsidR="00034CEB" w:rsidRPr="00743378" w:rsidRDefault="00034CEB" w:rsidP="004D4FD7">
            <w:pPr>
              <w:spacing w:before="120" w:after="120"/>
              <w:rPr>
                <w:color w:val="000000"/>
                <w:sz w:val="18"/>
                <w:szCs w:val="18"/>
              </w:rPr>
            </w:pPr>
            <w:r w:rsidRPr="00743378">
              <w:rPr>
                <w:color w:val="000000"/>
                <w:sz w:val="18"/>
                <w:szCs w:val="18"/>
              </w:rPr>
              <w:t xml:space="preserve">Ces Bonus sont versés à </w:t>
            </w:r>
            <w:r w:rsidRPr="00743378">
              <w:rPr>
                <w:sz w:val="18"/>
                <w:szCs w:val="18"/>
              </w:rPr>
              <w:t>l’Etat</w:t>
            </w:r>
            <w:r w:rsidRPr="00743378">
              <w:rPr>
                <w:color w:val="000000"/>
                <w:sz w:val="18"/>
                <w:szCs w:val="18"/>
              </w:rPr>
              <w:t xml:space="preserve"> à l’occasion de la découverte commerciale.</w:t>
            </w:r>
          </w:p>
        </w:tc>
      </w:tr>
      <w:tr w:rsidR="00CD450A" w:rsidRPr="00743378" w:rsidTr="00155613">
        <w:trPr>
          <w:trHeight w:val="300"/>
          <w:jc w:val="center"/>
        </w:trPr>
        <w:tc>
          <w:tcPr>
            <w:tcW w:w="1255" w:type="pct"/>
            <w:vAlign w:val="center"/>
            <w:hideMark/>
          </w:tcPr>
          <w:p w:rsidR="00034CEB" w:rsidRPr="00743378" w:rsidRDefault="00034CEB" w:rsidP="004D4FD7">
            <w:pPr>
              <w:rPr>
                <w:color w:val="000000"/>
                <w:sz w:val="18"/>
                <w:szCs w:val="18"/>
                <w:lang w:eastAsia="fr-FR"/>
              </w:rPr>
            </w:pPr>
            <w:r w:rsidRPr="00743378">
              <w:rPr>
                <w:color w:val="000000"/>
                <w:sz w:val="18"/>
                <w:szCs w:val="18"/>
                <w:lang w:eastAsia="fr-FR"/>
              </w:rPr>
              <w:t>Bonus de Permis d’Exploration/Bonus de Renouvellement de permis d’exploration/Bonus de Permis d’Exploitation/Bonus de renouvellement de la Concession</w:t>
            </w:r>
          </w:p>
        </w:tc>
        <w:tc>
          <w:tcPr>
            <w:tcW w:w="492" w:type="pct"/>
            <w:vAlign w:val="center"/>
            <w:hideMark/>
          </w:tcPr>
          <w:p w:rsidR="00034CEB" w:rsidRPr="00743378" w:rsidRDefault="00034CEB" w:rsidP="004D4FD7">
            <w:pPr>
              <w:jc w:val="center"/>
              <w:rPr>
                <w:color w:val="000000"/>
                <w:sz w:val="18"/>
                <w:szCs w:val="18"/>
                <w:lang w:eastAsia="fr-FR"/>
              </w:rPr>
            </w:pPr>
            <w:r w:rsidRPr="00743378">
              <w:rPr>
                <w:color w:val="000000"/>
                <w:sz w:val="18"/>
                <w:szCs w:val="18"/>
                <w:lang w:eastAsia="fr-FR"/>
              </w:rPr>
              <w:t>DGRAD</w:t>
            </w:r>
          </w:p>
        </w:tc>
        <w:tc>
          <w:tcPr>
            <w:tcW w:w="206" w:type="pct"/>
            <w:shd w:val="clear" w:color="auto" w:fill="8DB3E2" w:themeFill="text2" w:themeFillTint="66"/>
            <w:vAlign w:val="center"/>
          </w:tcPr>
          <w:p w:rsidR="00034CEB" w:rsidRPr="00743378" w:rsidRDefault="00034CEB" w:rsidP="004D4FD7">
            <w:pPr>
              <w:ind w:firstLineChars="100" w:firstLine="180"/>
              <w:rPr>
                <w:color w:val="000000"/>
                <w:sz w:val="18"/>
                <w:szCs w:val="18"/>
                <w:lang w:eastAsia="fr-FR"/>
              </w:rPr>
            </w:pPr>
          </w:p>
        </w:tc>
        <w:tc>
          <w:tcPr>
            <w:tcW w:w="206" w:type="pct"/>
            <w:shd w:val="clear" w:color="auto" w:fill="FFFFFF" w:themeFill="background1"/>
            <w:vAlign w:val="center"/>
          </w:tcPr>
          <w:p w:rsidR="00034CEB" w:rsidRPr="00743378" w:rsidRDefault="00034CEB" w:rsidP="004D4FD7">
            <w:pPr>
              <w:ind w:firstLineChars="100" w:firstLine="180"/>
              <w:rPr>
                <w:color w:val="000000"/>
                <w:sz w:val="18"/>
                <w:szCs w:val="18"/>
                <w:lang w:eastAsia="fr-FR"/>
              </w:rPr>
            </w:pPr>
          </w:p>
        </w:tc>
        <w:tc>
          <w:tcPr>
            <w:tcW w:w="206" w:type="pct"/>
            <w:shd w:val="clear" w:color="auto" w:fill="FFFFFF" w:themeFill="background1"/>
            <w:vAlign w:val="bottom"/>
          </w:tcPr>
          <w:p w:rsidR="00034CEB" w:rsidRPr="00743378" w:rsidRDefault="00034CEB" w:rsidP="004D4FD7">
            <w:pPr>
              <w:rPr>
                <w:color w:val="000000"/>
                <w:sz w:val="18"/>
                <w:szCs w:val="18"/>
                <w:lang w:eastAsia="fr-FR"/>
              </w:rPr>
            </w:pPr>
          </w:p>
        </w:tc>
        <w:tc>
          <w:tcPr>
            <w:tcW w:w="2635" w:type="pct"/>
            <w:hideMark/>
          </w:tcPr>
          <w:p w:rsidR="00034CEB" w:rsidRPr="00743378" w:rsidRDefault="00034CEB" w:rsidP="004D4FD7">
            <w:pPr>
              <w:spacing w:before="120" w:after="120"/>
              <w:rPr>
                <w:color w:val="000000"/>
                <w:sz w:val="18"/>
                <w:szCs w:val="18"/>
              </w:rPr>
            </w:pPr>
            <w:r w:rsidRPr="00743378">
              <w:rPr>
                <w:color w:val="000000"/>
                <w:sz w:val="18"/>
                <w:szCs w:val="18"/>
              </w:rPr>
              <w:t xml:space="preserve">Ces bonus sont </w:t>
            </w:r>
            <w:r w:rsidRPr="00743378">
              <w:rPr>
                <w:sz w:val="18"/>
                <w:szCs w:val="18"/>
              </w:rPr>
              <w:t>payés</w:t>
            </w:r>
            <w:r w:rsidRPr="00743378">
              <w:rPr>
                <w:color w:val="000000"/>
                <w:sz w:val="18"/>
                <w:szCs w:val="18"/>
              </w:rPr>
              <w:t xml:space="preserve"> à l’état respectivement à l’occasion de l’octroi, du renouvellement des permis d’exploration, de l’octroi du Permis d’Exploitation et du renouvellement de la Concession.</w:t>
            </w:r>
          </w:p>
        </w:tc>
      </w:tr>
      <w:tr w:rsidR="00034CEB" w:rsidRPr="00743378" w:rsidTr="00155613">
        <w:trPr>
          <w:trHeight w:val="300"/>
          <w:jc w:val="center"/>
        </w:trPr>
        <w:tc>
          <w:tcPr>
            <w:tcW w:w="1255" w:type="pct"/>
            <w:vAlign w:val="center"/>
            <w:hideMark/>
          </w:tcPr>
          <w:p w:rsidR="00034CEB" w:rsidRPr="00743378" w:rsidRDefault="00034CEB" w:rsidP="004D4FD7">
            <w:pPr>
              <w:rPr>
                <w:color w:val="000000"/>
                <w:sz w:val="18"/>
                <w:szCs w:val="18"/>
                <w:lang w:eastAsia="fr-FR"/>
              </w:rPr>
            </w:pPr>
            <w:r w:rsidRPr="00743378">
              <w:rPr>
                <w:color w:val="000000"/>
                <w:sz w:val="18"/>
                <w:szCs w:val="18"/>
                <w:lang w:eastAsia="fr-FR"/>
              </w:rPr>
              <w:lastRenderedPageBreak/>
              <w:t>Dividendes versées à l’Etat</w:t>
            </w:r>
          </w:p>
        </w:tc>
        <w:tc>
          <w:tcPr>
            <w:tcW w:w="492" w:type="pct"/>
            <w:vAlign w:val="center"/>
            <w:hideMark/>
          </w:tcPr>
          <w:p w:rsidR="00034CEB" w:rsidRPr="00743378" w:rsidRDefault="00034CEB" w:rsidP="004D4FD7">
            <w:pPr>
              <w:jc w:val="center"/>
              <w:rPr>
                <w:color w:val="000000"/>
                <w:sz w:val="18"/>
                <w:szCs w:val="18"/>
                <w:lang w:eastAsia="fr-FR"/>
              </w:rPr>
            </w:pPr>
            <w:r w:rsidRPr="00743378">
              <w:rPr>
                <w:color w:val="000000"/>
                <w:sz w:val="18"/>
                <w:szCs w:val="18"/>
                <w:lang w:eastAsia="fr-FR"/>
              </w:rPr>
              <w:t>DGRAD</w:t>
            </w:r>
          </w:p>
        </w:tc>
        <w:tc>
          <w:tcPr>
            <w:tcW w:w="206" w:type="pct"/>
            <w:shd w:val="clear" w:color="auto" w:fill="8DB3E2" w:themeFill="text2" w:themeFillTint="66"/>
            <w:vAlign w:val="center"/>
            <w:hideMark/>
          </w:tcPr>
          <w:p w:rsidR="00034CEB" w:rsidRPr="00743378" w:rsidRDefault="00034CEB" w:rsidP="004D4FD7">
            <w:pPr>
              <w:ind w:firstLineChars="100" w:firstLine="180"/>
              <w:rPr>
                <w:color w:val="000000"/>
                <w:sz w:val="18"/>
                <w:szCs w:val="18"/>
                <w:lang w:eastAsia="fr-FR"/>
              </w:rPr>
            </w:pPr>
            <w:r w:rsidRPr="00743378">
              <w:rPr>
                <w:color w:val="000000"/>
                <w:sz w:val="18"/>
                <w:szCs w:val="18"/>
                <w:lang w:eastAsia="fr-FR"/>
              </w:rPr>
              <w:t> </w:t>
            </w:r>
          </w:p>
        </w:tc>
        <w:tc>
          <w:tcPr>
            <w:tcW w:w="206" w:type="pct"/>
            <w:shd w:val="clear" w:color="auto" w:fill="8DB3E2" w:themeFill="text2" w:themeFillTint="66"/>
            <w:vAlign w:val="center"/>
            <w:hideMark/>
          </w:tcPr>
          <w:p w:rsidR="00034CEB" w:rsidRPr="00743378" w:rsidRDefault="00034CEB" w:rsidP="004D4FD7">
            <w:pPr>
              <w:ind w:firstLineChars="100" w:firstLine="180"/>
              <w:rPr>
                <w:color w:val="000000"/>
                <w:sz w:val="18"/>
                <w:szCs w:val="18"/>
                <w:lang w:eastAsia="fr-FR"/>
              </w:rPr>
            </w:pPr>
            <w:r w:rsidRPr="00743378">
              <w:rPr>
                <w:color w:val="000000"/>
                <w:sz w:val="18"/>
                <w:szCs w:val="18"/>
                <w:lang w:eastAsia="fr-FR"/>
              </w:rPr>
              <w:t> </w:t>
            </w:r>
          </w:p>
        </w:tc>
        <w:tc>
          <w:tcPr>
            <w:tcW w:w="206" w:type="pct"/>
            <w:vAlign w:val="bottom"/>
            <w:hideMark/>
          </w:tcPr>
          <w:p w:rsidR="00034CEB" w:rsidRPr="00743378" w:rsidRDefault="00034CEB" w:rsidP="004D4FD7">
            <w:pPr>
              <w:rPr>
                <w:color w:val="000000"/>
                <w:sz w:val="18"/>
                <w:szCs w:val="18"/>
                <w:lang w:eastAsia="fr-FR"/>
              </w:rPr>
            </w:pPr>
            <w:r w:rsidRPr="00743378">
              <w:rPr>
                <w:color w:val="000000"/>
                <w:sz w:val="18"/>
                <w:szCs w:val="18"/>
                <w:lang w:eastAsia="fr-FR"/>
              </w:rPr>
              <w:t> </w:t>
            </w:r>
          </w:p>
        </w:tc>
        <w:tc>
          <w:tcPr>
            <w:tcW w:w="2635" w:type="pct"/>
            <w:hideMark/>
          </w:tcPr>
          <w:p w:rsidR="00034CEB" w:rsidRPr="00743378" w:rsidRDefault="00034CEB" w:rsidP="004D4FD7">
            <w:pPr>
              <w:spacing w:before="120" w:after="120"/>
              <w:rPr>
                <w:color w:val="000000"/>
                <w:sz w:val="18"/>
                <w:szCs w:val="18"/>
              </w:rPr>
            </w:pPr>
            <w:r w:rsidRPr="00743378">
              <w:rPr>
                <w:color w:val="000000"/>
                <w:sz w:val="18"/>
                <w:szCs w:val="18"/>
              </w:rPr>
              <w:t xml:space="preserve">Les Dividendes versées à </w:t>
            </w:r>
            <w:r w:rsidRPr="00743378">
              <w:rPr>
                <w:color w:val="000000"/>
                <w:sz w:val="18"/>
                <w:szCs w:val="18"/>
                <w:lang w:eastAsia="fr-FR"/>
              </w:rPr>
              <w:t>l’Etat</w:t>
            </w:r>
            <w:r w:rsidRPr="00743378">
              <w:rPr>
                <w:color w:val="000000"/>
                <w:sz w:val="18"/>
                <w:szCs w:val="18"/>
              </w:rPr>
              <w:t xml:space="preserve">  sont une rémunération sur le capital, versée à l’Etat, en tant qu’actionnaire d’une </w:t>
            </w:r>
            <w:r w:rsidRPr="00743378">
              <w:rPr>
                <w:color w:val="000000"/>
                <w:sz w:val="18"/>
                <w:szCs w:val="18"/>
                <w:lang w:eastAsia="fr-FR"/>
              </w:rPr>
              <w:t>entreprise</w:t>
            </w:r>
            <w:r w:rsidRPr="00743378">
              <w:rPr>
                <w:color w:val="000000"/>
                <w:sz w:val="18"/>
                <w:szCs w:val="18"/>
              </w:rPr>
              <w:t xml:space="preserve"> publique ou privée.</w:t>
            </w:r>
          </w:p>
          <w:p w:rsidR="00034CEB" w:rsidRPr="00743378" w:rsidRDefault="00034CEB" w:rsidP="004D4FD7">
            <w:pPr>
              <w:spacing w:before="120" w:after="120"/>
              <w:rPr>
                <w:color w:val="000000"/>
                <w:sz w:val="18"/>
                <w:szCs w:val="18"/>
                <w:lang w:eastAsia="fr-FR"/>
              </w:rPr>
            </w:pPr>
            <w:r w:rsidRPr="00743378">
              <w:rPr>
                <w:color w:val="000000"/>
                <w:sz w:val="18"/>
                <w:szCs w:val="18"/>
              </w:rPr>
              <w:t xml:space="preserve">Le montant des </w:t>
            </w:r>
            <w:r w:rsidRPr="00743378">
              <w:rPr>
                <w:sz w:val="18"/>
                <w:szCs w:val="18"/>
              </w:rPr>
              <w:t>Dividendes</w:t>
            </w:r>
            <w:r w:rsidRPr="00743378">
              <w:rPr>
                <w:color w:val="000000"/>
                <w:sz w:val="18"/>
                <w:szCs w:val="18"/>
              </w:rPr>
              <w:t xml:space="preserve"> versées à l’Etat se détermine au prorata des actions ou des parts détenues. Les montants et modalités de paiement des dividendes sont définis par le Conseil d’Administration de l’entreprise.</w:t>
            </w:r>
          </w:p>
        </w:tc>
      </w:tr>
      <w:tr w:rsidR="00CD450A" w:rsidRPr="00743378" w:rsidTr="00155613">
        <w:trPr>
          <w:trHeight w:val="300"/>
          <w:jc w:val="center"/>
        </w:trPr>
        <w:tc>
          <w:tcPr>
            <w:tcW w:w="1255" w:type="pct"/>
            <w:vAlign w:val="center"/>
            <w:hideMark/>
          </w:tcPr>
          <w:p w:rsidR="00034CEB" w:rsidRPr="00743378" w:rsidRDefault="00034CEB" w:rsidP="004D4FD7">
            <w:pPr>
              <w:rPr>
                <w:color w:val="000000"/>
                <w:sz w:val="18"/>
                <w:szCs w:val="18"/>
                <w:lang w:eastAsia="fr-FR"/>
              </w:rPr>
            </w:pPr>
            <w:r w:rsidRPr="00743378">
              <w:rPr>
                <w:color w:val="000000"/>
                <w:sz w:val="18"/>
                <w:szCs w:val="18"/>
                <w:lang w:eastAsia="fr-FR"/>
              </w:rPr>
              <w:t>Droits superficiaires annuels par carré</w:t>
            </w:r>
          </w:p>
        </w:tc>
        <w:tc>
          <w:tcPr>
            <w:tcW w:w="492" w:type="pct"/>
            <w:vAlign w:val="center"/>
            <w:hideMark/>
          </w:tcPr>
          <w:p w:rsidR="00034CEB" w:rsidRPr="00743378" w:rsidRDefault="00034CEB" w:rsidP="004D4FD7">
            <w:pPr>
              <w:jc w:val="center"/>
              <w:rPr>
                <w:color w:val="000000"/>
                <w:sz w:val="18"/>
                <w:szCs w:val="18"/>
                <w:lang w:eastAsia="fr-FR"/>
              </w:rPr>
            </w:pPr>
            <w:r w:rsidRPr="00743378">
              <w:rPr>
                <w:color w:val="000000"/>
                <w:sz w:val="18"/>
                <w:szCs w:val="18"/>
                <w:lang w:eastAsia="fr-FR"/>
              </w:rPr>
              <w:t>DGRAD</w:t>
            </w:r>
          </w:p>
        </w:tc>
        <w:tc>
          <w:tcPr>
            <w:tcW w:w="206" w:type="pct"/>
            <w:shd w:val="clear" w:color="auto" w:fill="8DB3E2" w:themeFill="text2" w:themeFillTint="66"/>
            <w:vAlign w:val="center"/>
            <w:hideMark/>
          </w:tcPr>
          <w:p w:rsidR="00034CEB" w:rsidRPr="00743378" w:rsidRDefault="00034CEB" w:rsidP="004D4FD7">
            <w:pPr>
              <w:ind w:firstLineChars="100" w:firstLine="180"/>
              <w:rPr>
                <w:color w:val="000000"/>
                <w:sz w:val="18"/>
                <w:szCs w:val="18"/>
                <w:lang w:eastAsia="fr-FR"/>
              </w:rPr>
            </w:pPr>
            <w:r w:rsidRPr="00743378">
              <w:rPr>
                <w:color w:val="000000"/>
                <w:sz w:val="18"/>
                <w:szCs w:val="18"/>
                <w:lang w:eastAsia="fr-FR"/>
              </w:rPr>
              <w:t> </w:t>
            </w:r>
          </w:p>
        </w:tc>
        <w:tc>
          <w:tcPr>
            <w:tcW w:w="206" w:type="pct"/>
            <w:shd w:val="clear" w:color="auto" w:fill="8DB3E2" w:themeFill="text2" w:themeFillTint="66"/>
            <w:vAlign w:val="center"/>
            <w:hideMark/>
          </w:tcPr>
          <w:p w:rsidR="00034CEB" w:rsidRPr="00743378" w:rsidRDefault="00034CEB" w:rsidP="004D4FD7">
            <w:pPr>
              <w:ind w:firstLineChars="100" w:firstLine="180"/>
              <w:rPr>
                <w:color w:val="000000"/>
                <w:sz w:val="18"/>
                <w:szCs w:val="18"/>
                <w:lang w:eastAsia="fr-FR"/>
              </w:rPr>
            </w:pPr>
            <w:r w:rsidRPr="00743378">
              <w:rPr>
                <w:color w:val="000000"/>
                <w:sz w:val="18"/>
                <w:szCs w:val="18"/>
                <w:lang w:eastAsia="fr-FR"/>
              </w:rPr>
              <w:t> </w:t>
            </w:r>
          </w:p>
        </w:tc>
        <w:tc>
          <w:tcPr>
            <w:tcW w:w="206" w:type="pct"/>
            <w:shd w:val="clear" w:color="auto" w:fill="8DB3E2" w:themeFill="text2" w:themeFillTint="66"/>
            <w:vAlign w:val="center"/>
            <w:hideMark/>
          </w:tcPr>
          <w:p w:rsidR="00034CEB" w:rsidRPr="00743378" w:rsidRDefault="00034CEB" w:rsidP="004D4FD7">
            <w:pPr>
              <w:ind w:firstLineChars="100" w:firstLine="180"/>
              <w:rPr>
                <w:color w:val="000000"/>
                <w:sz w:val="18"/>
                <w:szCs w:val="18"/>
                <w:lang w:eastAsia="fr-FR"/>
              </w:rPr>
            </w:pPr>
            <w:r w:rsidRPr="00743378">
              <w:rPr>
                <w:color w:val="000000"/>
                <w:sz w:val="18"/>
                <w:szCs w:val="18"/>
                <w:lang w:eastAsia="fr-FR"/>
              </w:rPr>
              <w:t> </w:t>
            </w:r>
          </w:p>
        </w:tc>
        <w:tc>
          <w:tcPr>
            <w:tcW w:w="2635" w:type="pct"/>
            <w:hideMark/>
          </w:tcPr>
          <w:p w:rsidR="00034CEB" w:rsidRPr="00743378" w:rsidRDefault="00034CEB" w:rsidP="004D4FD7">
            <w:pPr>
              <w:spacing w:before="120" w:after="120"/>
              <w:rPr>
                <w:sz w:val="18"/>
                <w:szCs w:val="18"/>
              </w:rPr>
            </w:pPr>
            <w:r w:rsidRPr="00743378">
              <w:rPr>
                <w:sz w:val="18"/>
                <w:szCs w:val="18"/>
              </w:rPr>
              <w:t xml:space="preserve">Les droits superficiels annuels au Secteur Minier ont été prévus par l’article 199 du Code Minier et les articles 395 à 398 du règlement minier. </w:t>
            </w:r>
          </w:p>
          <w:p w:rsidR="00034CEB" w:rsidRPr="00743378" w:rsidRDefault="00034CEB" w:rsidP="004D4FD7">
            <w:pPr>
              <w:spacing w:before="120" w:after="120"/>
              <w:rPr>
                <w:sz w:val="18"/>
                <w:szCs w:val="18"/>
              </w:rPr>
            </w:pPr>
            <w:r w:rsidRPr="00743378">
              <w:rPr>
                <w:sz w:val="18"/>
                <w:szCs w:val="18"/>
              </w:rPr>
              <w:t xml:space="preserve">Les Droits superficiaires annuels par </w:t>
            </w:r>
            <w:proofErr w:type="gramStart"/>
            <w:r w:rsidRPr="00743378">
              <w:rPr>
                <w:sz w:val="18"/>
                <w:szCs w:val="18"/>
              </w:rPr>
              <w:t>carré</w:t>
            </w:r>
            <w:proofErr w:type="gramEnd"/>
            <w:r w:rsidRPr="00743378">
              <w:rPr>
                <w:sz w:val="18"/>
                <w:szCs w:val="18"/>
              </w:rPr>
              <w:t xml:space="preserve"> est un paiement effectué annuellement par tout détenteur d’un titre minier et de carrière. Ce droit est dû par tout opérateur titulaire d’un droit minier (PR, PE, PER, PEPM) et/ou d’un droit de carrière (ARPC et AECP). Les taux applicables dépendent de la nature du titre minier et de la période de validité du permis.</w:t>
            </w:r>
          </w:p>
          <w:p w:rsidR="00034CEB" w:rsidRPr="00743378" w:rsidRDefault="00034CEB" w:rsidP="004D4FD7">
            <w:pPr>
              <w:spacing w:before="120" w:after="120"/>
              <w:rPr>
                <w:sz w:val="18"/>
                <w:szCs w:val="18"/>
              </w:rPr>
            </w:pPr>
            <w:r w:rsidRPr="00743378">
              <w:rPr>
                <w:sz w:val="18"/>
                <w:szCs w:val="18"/>
              </w:rPr>
              <w:t>Pour le Secteur Pétrolier, les Redevances Superficiaires ont été introduites au niveau des Contrats de Partage de Production.</w:t>
            </w:r>
          </w:p>
        </w:tc>
      </w:tr>
      <w:tr w:rsidR="00034CEB" w:rsidRPr="00743378" w:rsidTr="00155613">
        <w:trPr>
          <w:trHeight w:val="300"/>
          <w:jc w:val="center"/>
        </w:trPr>
        <w:tc>
          <w:tcPr>
            <w:tcW w:w="1255" w:type="pct"/>
            <w:vAlign w:val="center"/>
            <w:hideMark/>
          </w:tcPr>
          <w:p w:rsidR="00034CEB" w:rsidRPr="00743378" w:rsidRDefault="00034CEB" w:rsidP="004D4FD7">
            <w:pPr>
              <w:rPr>
                <w:color w:val="000000"/>
                <w:sz w:val="18"/>
                <w:szCs w:val="18"/>
                <w:lang w:eastAsia="fr-FR"/>
              </w:rPr>
            </w:pPr>
            <w:r w:rsidRPr="00743378">
              <w:rPr>
                <w:color w:val="000000"/>
                <w:sz w:val="18"/>
                <w:szCs w:val="18"/>
                <w:lang w:eastAsia="fr-FR"/>
              </w:rPr>
              <w:t>Marge distribuable (Profit-</w:t>
            </w:r>
            <w:proofErr w:type="spellStart"/>
            <w:r w:rsidRPr="00743378">
              <w:rPr>
                <w:color w:val="000000"/>
                <w:sz w:val="18"/>
                <w:szCs w:val="18"/>
                <w:lang w:eastAsia="fr-FR"/>
              </w:rPr>
              <w:t>Oil</w:t>
            </w:r>
            <w:proofErr w:type="spellEnd"/>
            <w:r w:rsidRPr="00743378">
              <w:rPr>
                <w:color w:val="000000"/>
                <w:sz w:val="18"/>
                <w:szCs w:val="18"/>
                <w:lang w:eastAsia="fr-FR"/>
              </w:rPr>
              <w:t xml:space="preserve"> Etat Puissance Publique)</w:t>
            </w:r>
          </w:p>
        </w:tc>
        <w:tc>
          <w:tcPr>
            <w:tcW w:w="492" w:type="pct"/>
            <w:vAlign w:val="center"/>
            <w:hideMark/>
          </w:tcPr>
          <w:p w:rsidR="00034CEB" w:rsidRPr="00743378" w:rsidRDefault="00034CEB" w:rsidP="004D4FD7">
            <w:pPr>
              <w:jc w:val="center"/>
              <w:rPr>
                <w:color w:val="000000"/>
                <w:sz w:val="18"/>
                <w:szCs w:val="18"/>
                <w:lang w:eastAsia="fr-FR"/>
              </w:rPr>
            </w:pPr>
            <w:r w:rsidRPr="00743378">
              <w:rPr>
                <w:color w:val="000000"/>
                <w:sz w:val="18"/>
                <w:szCs w:val="18"/>
                <w:lang w:eastAsia="fr-FR"/>
              </w:rPr>
              <w:t>DGRAD</w:t>
            </w:r>
          </w:p>
        </w:tc>
        <w:tc>
          <w:tcPr>
            <w:tcW w:w="206" w:type="pct"/>
            <w:shd w:val="clear" w:color="auto" w:fill="8DB3E2" w:themeFill="text2" w:themeFillTint="66"/>
            <w:vAlign w:val="center"/>
            <w:hideMark/>
          </w:tcPr>
          <w:p w:rsidR="00034CEB" w:rsidRPr="00743378" w:rsidRDefault="00034CEB" w:rsidP="004D4FD7">
            <w:pPr>
              <w:ind w:firstLineChars="100" w:firstLine="180"/>
              <w:rPr>
                <w:color w:val="000000"/>
                <w:sz w:val="18"/>
                <w:szCs w:val="18"/>
                <w:lang w:eastAsia="fr-FR"/>
              </w:rPr>
            </w:pPr>
            <w:r w:rsidRPr="00743378">
              <w:rPr>
                <w:color w:val="000000"/>
                <w:sz w:val="18"/>
                <w:szCs w:val="18"/>
                <w:lang w:eastAsia="fr-FR"/>
              </w:rPr>
              <w:t> </w:t>
            </w:r>
          </w:p>
        </w:tc>
        <w:tc>
          <w:tcPr>
            <w:tcW w:w="206" w:type="pct"/>
            <w:vAlign w:val="bottom"/>
            <w:hideMark/>
          </w:tcPr>
          <w:p w:rsidR="00034CEB" w:rsidRPr="00743378" w:rsidRDefault="00034CEB" w:rsidP="004D4FD7">
            <w:pPr>
              <w:rPr>
                <w:color w:val="000000"/>
                <w:sz w:val="18"/>
                <w:szCs w:val="18"/>
                <w:lang w:eastAsia="fr-FR"/>
              </w:rPr>
            </w:pPr>
            <w:r w:rsidRPr="00743378">
              <w:rPr>
                <w:color w:val="000000"/>
                <w:sz w:val="18"/>
                <w:szCs w:val="18"/>
                <w:lang w:eastAsia="fr-FR"/>
              </w:rPr>
              <w:t> </w:t>
            </w:r>
          </w:p>
        </w:tc>
        <w:tc>
          <w:tcPr>
            <w:tcW w:w="206" w:type="pct"/>
            <w:vAlign w:val="bottom"/>
            <w:hideMark/>
          </w:tcPr>
          <w:p w:rsidR="00034CEB" w:rsidRPr="00743378" w:rsidRDefault="00034CEB" w:rsidP="004D4FD7">
            <w:pPr>
              <w:rPr>
                <w:color w:val="000000"/>
                <w:sz w:val="18"/>
                <w:szCs w:val="18"/>
                <w:lang w:eastAsia="fr-FR"/>
              </w:rPr>
            </w:pPr>
            <w:r w:rsidRPr="00743378">
              <w:rPr>
                <w:color w:val="000000"/>
                <w:sz w:val="18"/>
                <w:szCs w:val="18"/>
                <w:lang w:eastAsia="fr-FR"/>
              </w:rPr>
              <w:t> </w:t>
            </w:r>
          </w:p>
        </w:tc>
        <w:tc>
          <w:tcPr>
            <w:tcW w:w="2635" w:type="pct"/>
            <w:hideMark/>
          </w:tcPr>
          <w:p w:rsidR="00034CEB" w:rsidRPr="00743378" w:rsidRDefault="00034CEB" w:rsidP="004D4FD7">
            <w:pPr>
              <w:spacing w:before="120" w:after="120"/>
              <w:rPr>
                <w:color w:val="000000"/>
                <w:sz w:val="18"/>
                <w:szCs w:val="18"/>
                <w:lang w:eastAsia="fr-FR"/>
              </w:rPr>
            </w:pPr>
            <w:r w:rsidRPr="00743378">
              <w:rPr>
                <w:color w:val="000000"/>
                <w:sz w:val="18"/>
                <w:szCs w:val="18"/>
              </w:rPr>
              <w:t>La Marge distribuable est égale au revenu obtenu après déduction des amortissements, des dépenses opérationnelles, et de la taxe de statistique. Le taux de la Marge distribuable attribuable à l’Etat, en tant que puissance publique est de 40%.</w:t>
            </w:r>
          </w:p>
        </w:tc>
      </w:tr>
      <w:tr w:rsidR="00034CEB" w:rsidRPr="00743378" w:rsidTr="00155613">
        <w:trPr>
          <w:trHeight w:val="300"/>
          <w:jc w:val="center"/>
        </w:trPr>
        <w:tc>
          <w:tcPr>
            <w:tcW w:w="1255" w:type="pct"/>
            <w:vAlign w:val="center"/>
            <w:hideMark/>
          </w:tcPr>
          <w:p w:rsidR="00034CEB" w:rsidRPr="00743378" w:rsidRDefault="00034CEB" w:rsidP="004D4FD7">
            <w:pPr>
              <w:rPr>
                <w:color w:val="000000"/>
                <w:sz w:val="18"/>
                <w:szCs w:val="18"/>
                <w:lang w:eastAsia="fr-FR"/>
              </w:rPr>
            </w:pPr>
            <w:r w:rsidRPr="00743378">
              <w:rPr>
                <w:color w:val="000000"/>
                <w:sz w:val="18"/>
                <w:szCs w:val="18"/>
                <w:lang w:eastAsia="fr-FR"/>
              </w:rPr>
              <w:t>Participation (Profit-</w:t>
            </w:r>
            <w:proofErr w:type="spellStart"/>
            <w:r w:rsidRPr="00743378">
              <w:rPr>
                <w:color w:val="000000"/>
                <w:sz w:val="18"/>
                <w:szCs w:val="18"/>
                <w:lang w:eastAsia="fr-FR"/>
              </w:rPr>
              <w:t>Oil</w:t>
            </w:r>
            <w:proofErr w:type="spellEnd"/>
            <w:r w:rsidRPr="00743378">
              <w:rPr>
                <w:color w:val="000000"/>
                <w:sz w:val="18"/>
                <w:szCs w:val="18"/>
                <w:lang w:eastAsia="fr-FR"/>
              </w:rPr>
              <w:t xml:space="preserve"> Etat associé)</w:t>
            </w:r>
          </w:p>
        </w:tc>
        <w:tc>
          <w:tcPr>
            <w:tcW w:w="492" w:type="pct"/>
            <w:vAlign w:val="center"/>
            <w:hideMark/>
          </w:tcPr>
          <w:p w:rsidR="00034CEB" w:rsidRPr="00743378" w:rsidRDefault="00034CEB" w:rsidP="004D4FD7">
            <w:pPr>
              <w:jc w:val="center"/>
              <w:rPr>
                <w:color w:val="000000"/>
                <w:sz w:val="18"/>
                <w:szCs w:val="18"/>
                <w:lang w:eastAsia="fr-FR"/>
              </w:rPr>
            </w:pPr>
            <w:r w:rsidRPr="00743378">
              <w:rPr>
                <w:color w:val="000000"/>
                <w:sz w:val="18"/>
                <w:szCs w:val="18"/>
                <w:lang w:eastAsia="fr-FR"/>
              </w:rPr>
              <w:t>DGRAD</w:t>
            </w:r>
          </w:p>
        </w:tc>
        <w:tc>
          <w:tcPr>
            <w:tcW w:w="206" w:type="pct"/>
            <w:shd w:val="clear" w:color="auto" w:fill="8DB3E2" w:themeFill="text2" w:themeFillTint="66"/>
            <w:vAlign w:val="center"/>
            <w:hideMark/>
          </w:tcPr>
          <w:p w:rsidR="00034CEB" w:rsidRPr="00743378" w:rsidRDefault="00034CEB" w:rsidP="004D4FD7">
            <w:pPr>
              <w:ind w:firstLineChars="100" w:firstLine="180"/>
              <w:rPr>
                <w:color w:val="000000"/>
                <w:sz w:val="18"/>
                <w:szCs w:val="18"/>
                <w:lang w:eastAsia="fr-FR"/>
              </w:rPr>
            </w:pPr>
            <w:r w:rsidRPr="00743378">
              <w:rPr>
                <w:color w:val="000000"/>
                <w:sz w:val="18"/>
                <w:szCs w:val="18"/>
                <w:lang w:eastAsia="fr-FR"/>
              </w:rPr>
              <w:t> </w:t>
            </w:r>
          </w:p>
        </w:tc>
        <w:tc>
          <w:tcPr>
            <w:tcW w:w="206" w:type="pct"/>
            <w:vAlign w:val="bottom"/>
            <w:hideMark/>
          </w:tcPr>
          <w:p w:rsidR="00034CEB" w:rsidRPr="00743378" w:rsidRDefault="00034CEB" w:rsidP="004D4FD7">
            <w:pPr>
              <w:rPr>
                <w:color w:val="000000"/>
                <w:sz w:val="18"/>
                <w:szCs w:val="18"/>
                <w:lang w:eastAsia="fr-FR"/>
              </w:rPr>
            </w:pPr>
            <w:r w:rsidRPr="00743378">
              <w:rPr>
                <w:color w:val="000000"/>
                <w:sz w:val="18"/>
                <w:szCs w:val="18"/>
                <w:lang w:eastAsia="fr-FR"/>
              </w:rPr>
              <w:t> </w:t>
            </w:r>
          </w:p>
        </w:tc>
        <w:tc>
          <w:tcPr>
            <w:tcW w:w="206" w:type="pct"/>
            <w:vAlign w:val="bottom"/>
            <w:hideMark/>
          </w:tcPr>
          <w:p w:rsidR="00034CEB" w:rsidRPr="00743378" w:rsidRDefault="00034CEB" w:rsidP="004D4FD7">
            <w:pPr>
              <w:rPr>
                <w:color w:val="000000"/>
                <w:sz w:val="18"/>
                <w:szCs w:val="18"/>
                <w:lang w:eastAsia="fr-FR"/>
              </w:rPr>
            </w:pPr>
            <w:r w:rsidRPr="00743378">
              <w:rPr>
                <w:color w:val="000000"/>
                <w:sz w:val="18"/>
                <w:szCs w:val="18"/>
                <w:lang w:eastAsia="fr-FR"/>
              </w:rPr>
              <w:t> </w:t>
            </w:r>
          </w:p>
        </w:tc>
        <w:tc>
          <w:tcPr>
            <w:tcW w:w="2635" w:type="pct"/>
            <w:hideMark/>
          </w:tcPr>
          <w:p w:rsidR="00034CEB" w:rsidRPr="00743378" w:rsidRDefault="00034CEB" w:rsidP="004D4FD7">
            <w:pPr>
              <w:spacing w:before="120" w:after="120"/>
              <w:rPr>
                <w:color w:val="000000"/>
                <w:sz w:val="18"/>
                <w:szCs w:val="18"/>
                <w:lang w:eastAsia="fr-FR"/>
              </w:rPr>
            </w:pPr>
            <w:r w:rsidRPr="00743378">
              <w:rPr>
                <w:color w:val="000000"/>
                <w:sz w:val="18"/>
                <w:szCs w:val="18"/>
              </w:rPr>
              <w:t>La Participation correspond à la Marge distribuable attribuable à l’Etat, en tant qu’associé, dans les projets pétroliers. Le taux de la Participation est de 20% (pourcentage de participation de l’Etat) des 60% de la Marge distribuable restante après attribution de la Marge distribuable de l’Etat puissance publique. Les montants et modalités de paiement de la Participation sont définis par les Conventions Pétrolières.</w:t>
            </w:r>
          </w:p>
        </w:tc>
      </w:tr>
      <w:tr w:rsidR="00034CEB" w:rsidRPr="00743378" w:rsidTr="00155613">
        <w:trPr>
          <w:trHeight w:val="300"/>
          <w:jc w:val="center"/>
        </w:trPr>
        <w:tc>
          <w:tcPr>
            <w:tcW w:w="1255" w:type="pct"/>
            <w:vAlign w:val="center"/>
            <w:hideMark/>
          </w:tcPr>
          <w:p w:rsidR="00034CEB" w:rsidRPr="00743378" w:rsidRDefault="00034CEB" w:rsidP="004D4FD7">
            <w:pPr>
              <w:ind w:firstLineChars="6" w:firstLine="11"/>
              <w:rPr>
                <w:color w:val="000000"/>
                <w:sz w:val="18"/>
                <w:szCs w:val="18"/>
                <w:lang w:eastAsia="fr-FR"/>
              </w:rPr>
            </w:pPr>
            <w:r w:rsidRPr="00743378">
              <w:rPr>
                <w:color w:val="000000"/>
                <w:sz w:val="18"/>
                <w:szCs w:val="18"/>
                <w:lang w:eastAsia="fr-FR"/>
              </w:rPr>
              <w:t>Pénalités versées au DGRAD</w:t>
            </w:r>
          </w:p>
        </w:tc>
        <w:tc>
          <w:tcPr>
            <w:tcW w:w="492" w:type="pct"/>
            <w:vAlign w:val="center"/>
            <w:hideMark/>
          </w:tcPr>
          <w:p w:rsidR="00034CEB" w:rsidRPr="00743378" w:rsidRDefault="00034CEB" w:rsidP="004D4FD7">
            <w:pPr>
              <w:jc w:val="center"/>
              <w:rPr>
                <w:color w:val="000000"/>
                <w:sz w:val="18"/>
                <w:szCs w:val="18"/>
                <w:lang w:eastAsia="fr-FR"/>
              </w:rPr>
            </w:pPr>
            <w:r w:rsidRPr="00743378">
              <w:rPr>
                <w:color w:val="000000"/>
                <w:sz w:val="18"/>
                <w:szCs w:val="18"/>
                <w:lang w:eastAsia="fr-FR"/>
              </w:rPr>
              <w:t>DGRAD</w:t>
            </w:r>
          </w:p>
        </w:tc>
        <w:tc>
          <w:tcPr>
            <w:tcW w:w="206" w:type="pct"/>
            <w:vAlign w:val="bottom"/>
            <w:hideMark/>
          </w:tcPr>
          <w:p w:rsidR="00034CEB" w:rsidRPr="00743378" w:rsidRDefault="00034CEB" w:rsidP="004D4FD7">
            <w:pPr>
              <w:spacing w:after="0"/>
              <w:jc w:val="left"/>
              <w:rPr>
                <w:bCs w:val="0"/>
                <w:sz w:val="18"/>
                <w:szCs w:val="18"/>
                <w:lang w:eastAsia="fr-FR"/>
              </w:rPr>
            </w:pPr>
          </w:p>
        </w:tc>
        <w:tc>
          <w:tcPr>
            <w:tcW w:w="206" w:type="pct"/>
            <w:shd w:val="clear" w:color="auto" w:fill="8DB3E2" w:themeFill="text2" w:themeFillTint="66"/>
            <w:vAlign w:val="center"/>
            <w:hideMark/>
          </w:tcPr>
          <w:p w:rsidR="00034CEB" w:rsidRPr="00743378" w:rsidRDefault="00034CEB" w:rsidP="004D4FD7">
            <w:pPr>
              <w:spacing w:after="0"/>
              <w:jc w:val="left"/>
              <w:rPr>
                <w:bCs w:val="0"/>
                <w:sz w:val="18"/>
                <w:szCs w:val="18"/>
                <w:lang w:eastAsia="fr-FR"/>
              </w:rPr>
            </w:pPr>
          </w:p>
        </w:tc>
        <w:tc>
          <w:tcPr>
            <w:tcW w:w="206" w:type="pct"/>
            <w:shd w:val="clear" w:color="auto" w:fill="8DB3E2" w:themeFill="text2" w:themeFillTint="66"/>
            <w:vAlign w:val="bottom"/>
            <w:hideMark/>
          </w:tcPr>
          <w:p w:rsidR="00034CEB" w:rsidRPr="00743378" w:rsidRDefault="00034CEB" w:rsidP="004D4FD7">
            <w:pPr>
              <w:spacing w:after="0"/>
              <w:jc w:val="left"/>
              <w:rPr>
                <w:bCs w:val="0"/>
                <w:sz w:val="18"/>
                <w:szCs w:val="18"/>
                <w:lang w:eastAsia="fr-FR"/>
              </w:rPr>
            </w:pPr>
          </w:p>
        </w:tc>
        <w:tc>
          <w:tcPr>
            <w:tcW w:w="2635" w:type="pct"/>
            <w:hideMark/>
          </w:tcPr>
          <w:p w:rsidR="00034CEB" w:rsidRPr="00743378" w:rsidRDefault="00034CEB" w:rsidP="004D4FD7">
            <w:pPr>
              <w:spacing w:before="120" w:after="120"/>
              <w:rPr>
                <w:color w:val="000000"/>
                <w:sz w:val="18"/>
                <w:szCs w:val="18"/>
              </w:rPr>
            </w:pPr>
            <w:r w:rsidRPr="00743378">
              <w:rPr>
                <w:color w:val="000000"/>
                <w:sz w:val="18"/>
                <w:szCs w:val="18"/>
              </w:rPr>
              <w:t xml:space="preserve">Le régime en RDC est déclaratif : Les entreprises déclarent les droits à payer. Des pénalités et les amendes sont imposées si des erreurs sont constatées dans les déclarations, ou en cas de retard de paiement. </w:t>
            </w:r>
          </w:p>
          <w:p w:rsidR="00034CEB" w:rsidRPr="00743378" w:rsidRDefault="00034CEB" w:rsidP="004D4FD7">
            <w:pPr>
              <w:spacing w:before="120" w:after="120"/>
              <w:rPr>
                <w:color w:val="000000"/>
                <w:sz w:val="18"/>
                <w:szCs w:val="18"/>
              </w:rPr>
            </w:pPr>
            <w:r w:rsidRPr="00743378">
              <w:rPr>
                <w:color w:val="000000"/>
                <w:sz w:val="18"/>
                <w:szCs w:val="18"/>
              </w:rPr>
              <w:t xml:space="preserve">Dans le cas de la DGRAD, 40% de la valeur des amendes/ pénalités est payable à la </w:t>
            </w:r>
            <w:r w:rsidRPr="00743378">
              <w:rPr>
                <w:color w:val="000000"/>
                <w:sz w:val="18"/>
                <w:szCs w:val="18"/>
              </w:rPr>
              <w:lastRenderedPageBreak/>
              <w:t>DGRAD</w:t>
            </w:r>
          </w:p>
        </w:tc>
      </w:tr>
      <w:tr w:rsidR="00034CEB" w:rsidRPr="00743378" w:rsidTr="00155613">
        <w:trPr>
          <w:trHeight w:val="300"/>
          <w:jc w:val="center"/>
        </w:trPr>
        <w:tc>
          <w:tcPr>
            <w:tcW w:w="1255" w:type="pct"/>
            <w:vAlign w:val="center"/>
            <w:hideMark/>
          </w:tcPr>
          <w:p w:rsidR="00034CEB" w:rsidRPr="00743378" w:rsidRDefault="00034CEB" w:rsidP="004D4FD7">
            <w:pPr>
              <w:ind w:firstLineChars="6" w:firstLine="11"/>
              <w:rPr>
                <w:color w:val="000000"/>
                <w:sz w:val="18"/>
                <w:szCs w:val="18"/>
                <w:lang w:eastAsia="fr-FR"/>
              </w:rPr>
            </w:pPr>
            <w:r w:rsidRPr="00743378">
              <w:rPr>
                <w:color w:val="000000"/>
                <w:sz w:val="18"/>
                <w:szCs w:val="18"/>
                <w:lang w:eastAsia="fr-FR"/>
              </w:rPr>
              <w:lastRenderedPageBreak/>
              <w:t>Pénalités versées au trésor</w:t>
            </w:r>
          </w:p>
        </w:tc>
        <w:tc>
          <w:tcPr>
            <w:tcW w:w="492" w:type="pct"/>
            <w:vAlign w:val="center"/>
            <w:hideMark/>
          </w:tcPr>
          <w:p w:rsidR="00034CEB" w:rsidRPr="00743378" w:rsidRDefault="00034CEB" w:rsidP="004D4FD7">
            <w:pPr>
              <w:jc w:val="center"/>
              <w:rPr>
                <w:color w:val="000000"/>
                <w:sz w:val="18"/>
                <w:szCs w:val="18"/>
                <w:lang w:eastAsia="fr-FR"/>
              </w:rPr>
            </w:pPr>
            <w:r w:rsidRPr="00743378">
              <w:rPr>
                <w:color w:val="000000"/>
                <w:sz w:val="18"/>
                <w:szCs w:val="18"/>
                <w:lang w:eastAsia="fr-FR"/>
              </w:rPr>
              <w:t>DGRAD</w:t>
            </w:r>
          </w:p>
        </w:tc>
        <w:tc>
          <w:tcPr>
            <w:tcW w:w="206" w:type="pct"/>
            <w:vAlign w:val="bottom"/>
            <w:hideMark/>
          </w:tcPr>
          <w:p w:rsidR="00034CEB" w:rsidRPr="00743378" w:rsidRDefault="00034CEB" w:rsidP="004D4FD7">
            <w:pPr>
              <w:spacing w:after="0"/>
              <w:jc w:val="left"/>
              <w:rPr>
                <w:bCs w:val="0"/>
                <w:sz w:val="18"/>
                <w:szCs w:val="18"/>
                <w:lang w:eastAsia="fr-FR"/>
              </w:rPr>
            </w:pPr>
          </w:p>
        </w:tc>
        <w:tc>
          <w:tcPr>
            <w:tcW w:w="206" w:type="pct"/>
            <w:shd w:val="clear" w:color="auto" w:fill="8DB3E2" w:themeFill="text2" w:themeFillTint="66"/>
            <w:vAlign w:val="center"/>
            <w:hideMark/>
          </w:tcPr>
          <w:p w:rsidR="00034CEB" w:rsidRPr="00743378" w:rsidRDefault="00034CEB" w:rsidP="004D4FD7">
            <w:pPr>
              <w:spacing w:after="0"/>
              <w:jc w:val="left"/>
              <w:rPr>
                <w:bCs w:val="0"/>
                <w:sz w:val="18"/>
                <w:szCs w:val="18"/>
                <w:lang w:eastAsia="fr-FR"/>
              </w:rPr>
            </w:pPr>
          </w:p>
        </w:tc>
        <w:tc>
          <w:tcPr>
            <w:tcW w:w="206" w:type="pct"/>
            <w:shd w:val="clear" w:color="auto" w:fill="8DB3E2" w:themeFill="text2" w:themeFillTint="66"/>
            <w:vAlign w:val="bottom"/>
            <w:hideMark/>
          </w:tcPr>
          <w:p w:rsidR="00034CEB" w:rsidRPr="00743378" w:rsidRDefault="00034CEB" w:rsidP="004D4FD7">
            <w:pPr>
              <w:spacing w:after="0"/>
              <w:jc w:val="left"/>
              <w:rPr>
                <w:bCs w:val="0"/>
                <w:sz w:val="18"/>
                <w:szCs w:val="18"/>
                <w:lang w:eastAsia="fr-FR"/>
              </w:rPr>
            </w:pPr>
          </w:p>
        </w:tc>
        <w:tc>
          <w:tcPr>
            <w:tcW w:w="2635" w:type="pct"/>
            <w:hideMark/>
          </w:tcPr>
          <w:p w:rsidR="00034CEB" w:rsidRPr="00743378" w:rsidRDefault="00034CEB" w:rsidP="004D4FD7">
            <w:pPr>
              <w:spacing w:before="120" w:after="120"/>
              <w:rPr>
                <w:color w:val="000000"/>
                <w:sz w:val="18"/>
                <w:szCs w:val="18"/>
              </w:rPr>
            </w:pPr>
            <w:r w:rsidRPr="00743378">
              <w:rPr>
                <w:color w:val="000000"/>
                <w:sz w:val="18"/>
                <w:szCs w:val="18"/>
              </w:rPr>
              <w:t xml:space="preserve">Le régime en RDC est déclaratif : Les entreprises déclarent les droits à payer. Des pénalités et les amendes sont imposées si des erreurs sont constatées dans les déclarations, ou en cas de retard de paiement. </w:t>
            </w:r>
          </w:p>
          <w:p w:rsidR="00034CEB" w:rsidRPr="00743378" w:rsidRDefault="00034CEB" w:rsidP="004D4FD7">
            <w:pPr>
              <w:spacing w:before="120" w:after="120"/>
              <w:rPr>
                <w:color w:val="000000"/>
                <w:sz w:val="18"/>
                <w:szCs w:val="18"/>
              </w:rPr>
            </w:pPr>
            <w:r w:rsidRPr="00743378">
              <w:rPr>
                <w:color w:val="000000"/>
                <w:sz w:val="18"/>
                <w:szCs w:val="18"/>
              </w:rPr>
              <w:t>Dans le cas de la DGRAD, 60% de la valeur des amendes/ pénalités est payable au Trésor.</w:t>
            </w:r>
          </w:p>
        </w:tc>
      </w:tr>
      <w:tr w:rsidR="00034CEB" w:rsidRPr="00743378" w:rsidTr="00155613">
        <w:trPr>
          <w:trHeight w:val="300"/>
          <w:jc w:val="center"/>
        </w:trPr>
        <w:tc>
          <w:tcPr>
            <w:tcW w:w="1255" w:type="pct"/>
            <w:vAlign w:val="center"/>
            <w:hideMark/>
          </w:tcPr>
          <w:p w:rsidR="004536FB" w:rsidRDefault="00034CEB" w:rsidP="004D4FD7">
            <w:pPr>
              <w:ind w:firstLineChars="6" w:firstLine="11"/>
              <w:rPr>
                <w:color w:val="000000"/>
                <w:sz w:val="18"/>
                <w:szCs w:val="18"/>
                <w:lang w:eastAsia="fr-FR"/>
              </w:rPr>
            </w:pPr>
            <w:r w:rsidRPr="00743378">
              <w:rPr>
                <w:color w:val="000000"/>
                <w:sz w:val="18"/>
                <w:szCs w:val="18"/>
                <w:lang w:eastAsia="fr-FR"/>
              </w:rPr>
              <w:t>Redevances minières</w:t>
            </w:r>
            <w:r w:rsidR="004536FB">
              <w:rPr>
                <w:color w:val="000000"/>
                <w:sz w:val="18"/>
                <w:szCs w:val="18"/>
                <w:lang w:eastAsia="fr-FR"/>
              </w:rPr>
              <w:t xml:space="preserve"> </w:t>
            </w:r>
          </w:p>
          <w:p w:rsidR="00034CEB" w:rsidRPr="00743378" w:rsidRDefault="00034CEB" w:rsidP="004D4FD7">
            <w:pPr>
              <w:ind w:firstLineChars="6" w:firstLine="11"/>
              <w:rPr>
                <w:color w:val="000000"/>
                <w:sz w:val="18"/>
                <w:szCs w:val="18"/>
                <w:lang w:eastAsia="fr-FR"/>
              </w:rPr>
            </w:pPr>
          </w:p>
        </w:tc>
        <w:tc>
          <w:tcPr>
            <w:tcW w:w="492" w:type="pct"/>
            <w:vAlign w:val="center"/>
            <w:hideMark/>
          </w:tcPr>
          <w:p w:rsidR="00034CEB" w:rsidRPr="00743378" w:rsidRDefault="00034CEB" w:rsidP="004D4FD7">
            <w:pPr>
              <w:jc w:val="center"/>
              <w:rPr>
                <w:color w:val="000000"/>
                <w:sz w:val="18"/>
                <w:szCs w:val="18"/>
                <w:lang w:eastAsia="fr-FR"/>
              </w:rPr>
            </w:pPr>
            <w:r w:rsidRPr="00743378">
              <w:rPr>
                <w:color w:val="000000"/>
                <w:sz w:val="18"/>
                <w:szCs w:val="18"/>
                <w:lang w:eastAsia="fr-FR"/>
              </w:rPr>
              <w:t>DGRAD</w:t>
            </w:r>
          </w:p>
        </w:tc>
        <w:tc>
          <w:tcPr>
            <w:tcW w:w="206" w:type="pct"/>
            <w:vAlign w:val="bottom"/>
            <w:hideMark/>
          </w:tcPr>
          <w:p w:rsidR="00034CEB" w:rsidRPr="00743378" w:rsidRDefault="00034CEB" w:rsidP="004D4FD7">
            <w:pPr>
              <w:rPr>
                <w:color w:val="000000"/>
                <w:sz w:val="18"/>
                <w:szCs w:val="18"/>
                <w:lang w:eastAsia="fr-FR"/>
              </w:rPr>
            </w:pPr>
            <w:r w:rsidRPr="00743378">
              <w:rPr>
                <w:color w:val="000000"/>
                <w:sz w:val="18"/>
                <w:szCs w:val="18"/>
                <w:lang w:eastAsia="fr-FR"/>
              </w:rPr>
              <w:t> </w:t>
            </w:r>
          </w:p>
        </w:tc>
        <w:tc>
          <w:tcPr>
            <w:tcW w:w="206" w:type="pct"/>
            <w:shd w:val="clear" w:color="auto" w:fill="8DB3E2" w:themeFill="text2" w:themeFillTint="66"/>
            <w:vAlign w:val="center"/>
            <w:hideMark/>
          </w:tcPr>
          <w:p w:rsidR="00034CEB" w:rsidRPr="00743378" w:rsidRDefault="00034CEB" w:rsidP="004D4FD7">
            <w:pPr>
              <w:ind w:firstLineChars="100" w:firstLine="180"/>
              <w:rPr>
                <w:color w:val="000000"/>
                <w:sz w:val="18"/>
                <w:szCs w:val="18"/>
                <w:lang w:eastAsia="fr-FR"/>
              </w:rPr>
            </w:pPr>
            <w:r w:rsidRPr="00743378">
              <w:rPr>
                <w:color w:val="000000"/>
                <w:sz w:val="18"/>
                <w:szCs w:val="18"/>
                <w:lang w:eastAsia="fr-FR"/>
              </w:rPr>
              <w:t> </w:t>
            </w:r>
          </w:p>
        </w:tc>
        <w:tc>
          <w:tcPr>
            <w:tcW w:w="206" w:type="pct"/>
            <w:vAlign w:val="bottom"/>
            <w:hideMark/>
          </w:tcPr>
          <w:p w:rsidR="00034CEB" w:rsidRPr="00743378" w:rsidRDefault="00034CEB" w:rsidP="004D4FD7">
            <w:pPr>
              <w:rPr>
                <w:color w:val="000000"/>
                <w:sz w:val="18"/>
                <w:szCs w:val="18"/>
                <w:lang w:eastAsia="fr-FR"/>
              </w:rPr>
            </w:pPr>
            <w:r w:rsidRPr="00743378">
              <w:rPr>
                <w:color w:val="000000"/>
                <w:sz w:val="18"/>
                <w:szCs w:val="18"/>
                <w:lang w:eastAsia="fr-FR"/>
              </w:rPr>
              <w:t> </w:t>
            </w:r>
          </w:p>
        </w:tc>
        <w:tc>
          <w:tcPr>
            <w:tcW w:w="2635" w:type="pct"/>
            <w:hideMark/>
          </w:tcPr>
          <w:p w:rsidR="00034CEB" w:rsidRPr="00743378" w:rsidRDefault="00034CEB" w:rsidP="004D4FD7">
            <w:pPr>
              <w:spacing w:before="120" w:after="120"/>
              <w:rPr>
                <w:color w:val="000000"/>
                <w:sz w:val="18"/>
                <w:szCs w:val="18"/>
              </w:rPr>
            </w:pPr>
            <w:r w:rsidRPr="00743378">
              <w:rPr>
                <w:color w:val="000000"/>
                <w:sz w:val="18"/>
                <w:szCs w:val="18"/>
              </w:rPr>
              <w:t>La redevance Minière est régie par les Articles 240, 241 et 242 du Code Minier.</w:t>
            </w:r>
          </w:p>
          <w:p w:rsidR="00034CEB" w:rsidRPr="00743378" w:rsidRDefault="00034CEB" w:rsidP="004D4FD7">
            <w:pPr>
              <w:spacing w:before="120" w:after="120"/>
              <w:rPr>
                <w:color w:val="000000"/>
                <w:sz w:val="18"/>
                <w:szCs w:val="18"/>
              </w:rPr>
            </w:pPr>
            <w:r w:rsidRPr="00743378">
              <w:rPr>
                <w:color w:val="000000"/>
                <w:sz w:val="18"/>
                <w:szCs w:val="18"/>
              </w:rPr>
              <w:t xml:space="preserve">Cette redevance est calculée sur base de la valeur des ventes réalisées, diminuée des frais de transport, des frais d’analyse se rapportant au contrôle de qualité du produit marchand à la vente, frais d’assurance et de commercialisation, etc. (Art. 240 du Code Minier). </w:t>
            </w:r>
          </w:p>
          <w:p w:rsidR="00034CEB" w:rsidRPr="00743378" w:rsidRDefault="00034CEB" w:rsidP="004D4FD7">
            <w:pPr>
              <w:spacing w:before="120" w:after="120"/>
              <w:rPr>
                <w:color w:val="000000"/>
                <w:sz w:val="18"/>
                <w:szCs w:val="18"/>
              </w:rPr>
            </w:pPr>
            <w:r w:rsidRPr="00743378">
              <w:rPr>
                <w:color w:val="000000"/>
                <w:sz w:val="18"/>
                <w:szCs w:val="18"/>
              </w:rPr>
              <w:t>Cette redevance est repartie entre l’Etat, la Province et les territoires.</w:t>
            </w:r>
          </w:p>
          <w:p w:rsidR="00034CEB" w:rsidRPr="00743378" w:rsidRDefault="00034CEB" w:rsidP="004D4FD7">
            <w:pPr>
              <w:spacing w:before="120" w:after="120"/>
              <w:rPr>
                <w:color w:val="000000"/>
                <w:sz w:val="18"/>
                <w:szCs w:val="18"/>
                <w:lang w:eastAsia="fr-FR"/>
              </w:rPr>
            </w:pPr>
            <w:r w:rsidRPr="00743378">
              <w:rPr>
                <w:color w:val="000000"/>
                <w:sz w:val="18"/>
                <w:szCs w:val="18"/>
              </w:rPr>
              <w:t>Le taux de la Redevance minière varie selon la nature des substances minérales : 0,5% pour le fer ou les métaux ferreux, 2% pour les métaux non ferreux, 2,5% pour les métaux précieux, 4% pour les pierres précieuses, 1% pour les minéraux industriels, les hydrocarbures solides et autres substances non citées ; 0% pour les métaux de construction d’usage courant.</w:t>
            </w:r>
          </w:p>
        </w:tc>
      </w:tr>
      <w:tr w:rsidR="004536FB" w:rsidRPr="00743378" w:rsidTr="00155613">
        <w:trPr>
          <w:trHeight w:val="300"/>
          <w:jc w:val="center"/>
        </w:trPr>
        <w:tc>
          <w:tcPr>
            <w:tcW w:w="1255" w:type="pct"/>
            <w:vAlign w:val="center"/>
            <w:hideMark/>
          </w:tcPr>
          <w:p w:rsidR="004536FB" w:rsidRPr="00743378" w:rsidRDefault="004536FB" w:rsidP="004D4FD7">
            <w:pPr>
              <w:ind w:firstLineChars="6" w:firstLine="11"/>
              <w:rPr>
                <w:color w:val="000000"/>
                <w:sz w:val="18"/>
                <w:szCs w:val="18"/>
                <w:lang w:eastAsia="fr-FR"/>
              </w:rPr>
            </w:pPr>
            <w:r>
              <w:rPr>
                <w:color w:val="000000"/>
                <w:sz w:val="18"/>
                <w:szCs w:val="18"/>
                <w:lang w:eastAsia="fr-FR"/>
              </w:rPr>
              <w:t xml:space="preserve">Redevance annuelle pour les Entités de traitement </w:t>
            </w:r>
            <w:r w:rsidR="002309A2">
              <w:rPr>
                <w:color w:val="000000"/>
                <w:sz w:val="18"/>
                <w:szCs w:val="18"/>
                <w:lang w:eastAsia="fr-FR"/>
              </w:rPr>
              <w:t>et/</w:t>
            </w:r>
            <w:r>
              <w:rPr>
                <w:color w:val="000000"/>
                <w:sz w:val="18"/>
                <w:szCs w:val="18"/>
                <w:lang w:eastAsia="fr-FR"/>
              </w:rPr>
              <w:t>ou Entités de transformation</w:t>
            </w:r>
            <w:r w:rsidR="002309A2">
              <w:rPr>
                <w:color w:val="000000"/>
                <w:sz w:val="18"/>
                <w:szCs w:val="18"/>
                <w:lang w:eastAsia="fr-FR"/>
              </w:rPr>
              <w:t xml:space="preserve"> de toutes catégories et tailleries</w:t>
            </w:r>
            <w:r>
              <w:rPr>
                <w:color w:val="000000"/>
                <w:sz w:val="18"/>
                <w:szCs w:val="18"/>
                <w:lang w:eastAsia="fr-FR"/>
              </w:rPr>
              <w:t>.</w:t>
            </w:r>
          </w:p>
        </w:tc>
        <w:tc>
          <w:tcPr>
            <w:tcW w:w="492" w:type="pct"/>
            <w:vAlign w:val="center"/>
            <w:hideMark/>
          </w:tcPr>
          <w:p w:rsidR="004536FB" w:rsidRPr="00743378" w:rsidRDefault="004536FB" w:rsidP="004D4FD7">
            <w:pPr>
              <w:jc w:val="center"/>
              <w:rPr>
                <w:color w:val="000000"/>
                <w:sz w:val="18"/>
                <w:szCs w:val="18"/>
                <w:lang w:eastAsia="fr-FR"/>
              </w:rPr>
            </w:pPr>
            <w:r>
              <w:rPr>
                <w:color w:val="000000"/>
                <w:sz w:val="18"/>
                <w:szCs w:val="18"/>
                <w:lang w:eastAsia="fr-FR"/>
              </w:rPr>
              <w:t>DGRAD</w:t>
            </w:r>
          </w:p>
        </w:tc>
        <w:tc>
          <w:tcPr>
            <w:tcW w:w="206" w:type="pct"/>
            <w:vAlign w:val="bottom"/>
            <w:hideMark/>
          </w:tcPr>
          <w:p w:rsidR="004536FB" w:rsidRPr="00743378" w:rsidRDefault="004536FB" w:rsidP="004D4FD7">
            <w:pPr>
              <w:rPr>
                <w:color w:val="000000"/>
                <w:sz w:val="18"/>
                <w:szCs w:val="18"/>
                <w:lang w:eastAsia="fr-FR"/>
              </w:rPr>
            </w:pPr>
          </w:p>
        </w:tc>
        <w:tc>
          <w:tcPr>
            <w:tcW w:w="206" w:type="pct"/>
            <w:shd w:val="clear" w:color="auto" w:fill="8DB3E2" w:themeFill="text2" w:themeFillTint="66"/>
            <w:vAlign w:val="center"/>
            <w:hideMark/>
          </w:tcPr>
          <w:p w:rsidR="004536FB" w:rsidRPr="00743378" w:rsidRDefault="004536FB" w:rsidP="004D4FD7">
            <w:pPr>
              <w:ind w:firstLineChars="100" w:firstLine="180"/>
              <w:rPr>
                <w:color w:val="000000"/>
                <w:sz w:val="18"/>
                <w:szCs w:val="18"/>
                <w:lang w:eastAsia="fr-FR"/>
              </w:rPr>
            </w:pPr>
          </w:p>
        </w:tc>
        <w:tc>
          <w:tcPr>
            <w:tcW w:w="206" w:type="pct"/>
            <w:vAlign w:val="bottom"/>
            <w:hideMark/>
          </w:tcPr>
          <w:p w:rsidR="004536FB" w:rsidRPr="00743378" w:rsidRDefault="004536FB" w:rsidP="004D4FD7">
            <w:pPr>
              <w:rPr>
                <w:color w:val="000000"/>
                <w:sz w:val="18"/>
                <w:szCs w:val="18"/>
                <w:lang w:eastAsia="fr-FR"/>
              </w:rPr>
            </w:pPr>
          </w:p>
        </w:tc>
        <w:tc>
          <w:tcPr>
            <w:tcW w:w="2635" w:type="pct"/>
            <w:hideMark/>
          </w:tcPr>
          <w:p w:rsidR="002309A2" w:rsidRDefault="002309A2" w:rsidP="004536FB">
            <w:pPr>
              <w:autoSpaceDE w:val="0"/>
              <w:autoSpaceDN w:val="0"/>
              <w:adjustRightInd w:val="0"/>
              <w:spacing w:after="0"/>
              <w:jc w:val="left"/>
              <w:rPr>
                <w:color w:val="000000"/>
                <w:sz w:val="18"/>
                <w:szCs w:val="18"/>
              </w:rPr>
            </w:pPr>
          </w:p>
          <w:p w:rsidR="004536FB" w:rsidRDefault="004536FB" w:rsidP="004536FB">
            <w:pPr>
              <w:autoSpaceDE w:val="0"/>
              <w:autoSpaceDN w:val="0"/>
              <w:adjustRightInd w:val="0"/>
              <w:spacing w:after="0"/>
              <w:jc w:val="left"/>
              <w:rPr>
                <w:rFonts w:ascii="NimbusRomNo9L" w:eastAsiaTheme="minorHAnsi" w:hAnsi="NimbusRomNo9L" w:cs="NimbusRomNo9L"/>
                <w:b/>
                <w:color w:val="000000"/>
                <w:sz w:val="18"/>
                <w:szCs w:val="18"/>
              </w:rPr>
            </w:pPr>
            <w:r>
              <w:rPr>
                <w:color w:val="000000"/>
                <w:sz w:val="18"/>
                <w:szCs w:val="18"/>
              </w:rPr>
              <w:t xml:space="preserve">La redevance </w:t>
            </w:r>
            <w:r>
              <w:rPr>
                <w:color w:val="000000"/>
                <w:sz w:val="18"/>
                <w:szCs w:val="18"/>
                <w:lang w:eastAsia="fr-FR"/>
              </w:rPr>
              <w:t>annuelle pour les Entités de traitement ou Entités de transformation est régie par l'</w:t>
            </w:r>
            <w:r>
              <w:rPr>
                <w:rFonts w:ascii="NimbusRomNo9L" w:eastAsiaTheme="minorHAnsi" w:hAnsi="NimbusRomNo9L" w:cs="NimbusRomNo9L"/>
                <w:b/>
                <w:color w:val="000000"/>
                <w:sz w:val="18"/>
                <w:szCs w:val="18"/>
              </w:rPr>
              <w:t xml:space="preserve">Arrêté </w:t>
            </w:r>
            <w:r w:rsidRPr="004536FB">
              <w:rPr>
                <w:color w:val="000000"/>
                <w:sz w:val="18"/>
                <w:szCs w:val="18"/>
              </w:rPr>
              <w:t xml:space="preserve">interministériel n° </w:t>
            </w:r>
            <w:r w:rsidR="002309A2">
              <w:rPr>
                <w:color w:val="000000"/>
                <w:sz w:val="18"/>
                <w:szCs w:val="18"/>
              </w:rPr>
              <w:t>0349/CAB/</w:t>
            </w:r>
            <w:r w:rsidRPr="004536FB">
              <w:rPr>
                <w:color w:val="000000"/>
                <w:sz w:val="18"/>
                <w:szCs w:val="18"/>
              </w:rPr>
              <w:t>MIN/MINES/01/20</w:t>
            </w:r>
            <w:r w:rsidR="002309A2">
              <w:rPr>
                <w:color w:val="000000"/>
                <w:sz w:val="18"/>
                <w:szCs w:val="18"/>
              </w:rPr>
              <w:t>14</w:t>
            </w:r>
            <w:r w:rsidRPr="004536FB">
              <w:rPr>
                <w:color w:val="000000"/>
                <w:sz w:val="18"/>
                <w:szCs w:val="18"/>
              </w:rPr>
              <w:t xml:space="preserve"> et </w:t>
            </w:r>
            <w:r>
              <w:rPr>
                <w:color w:val="000000"/>
                <w:sz w:val="18"/>
                <w:szCs w:val="18"/>
              </w:rPr>
              <w:t xml:space="preserve"> </w:t>
            </w:r>
            <w:r w:rsidR="002309A2">
              <w:rPr>
                <w:color w:val="000000"/>
                <w:sz w:val="18"/>
                <w:szCs w:val="18"/>
              </w:rPr>
              <w:t>n° CAB/</w:t>
            </w:r>
            <w:r w:rsidRPr="004536FB">
              <w:rPr>
                <w:color w:val="000000"/>
                <w:sz w:val="18"/>
                <w:szCs w:val="18"/>
              </w:rPr>
              <w:t>MIN/FINANCES/20</w:t>
            </w:r>
            <w:r w:rsidR="002309A2">
              <w:rPr>
                <w:color w:val="000000"/>
                <w:sz w:val="18"/>
                <w:szCs w:val="18"/>
              </w:rPr>
              <w:t>14/149</w:t>
            </w:r>
            <w:r w:rsidRPr="004536FB">
              <w:rPr>
                <w:color w:val="000000"/>
                <w:sz w:val="18"/>
                <w:szCs w:val="18"/>
              </w:rPr>
              <w:t xml:space="preserve"> du </w:t>
            </w:r>
            <w:r w:rsidR="002309A2">
              <w:rPr>
                <w:color w:val="000000"/>
                <w:sz w:val="18"/>
                <w:szCs w:val="18"/>
              </w:rPr>
              <w:t>11 août 2014</w:t>
            </w:r>
            <w:r w:rsidRPr="004536FB">
              <w:rPr>
                <w:color w:val="000000"/>
                <w:sz w:val="18"/>
                <w:szCs w:val="18"/>
              </w:rPr>
              <w:t xml:space="preserve"> portant</w:t>
            </w:r>
            <w:r>
              <w:rPr>
                <w:color w:val="000000"/>
                <w:sz w:val="18"/>
                <w:szCs w:val="18"/>
              </w:rPr>
              <w:t xml:space="preserve"> </w:t>
            </w:r>
            <w:r w:rsidRPr="004536FB">
              <w:rPr>
                <w:color w:val="000000"/>
                <w:sz w:val="18"/>
                <w:szCs w:val="18"/>
              </w:rPr>
              <w:t>fixation des taux des droits, taxes et redevances à percevoir sur</w:t>
            </w:r>
            <w:r>
              <w:rPr>
                <w:color w:val="000000"/>
                <w:sz w:val="18"/>
                <w:szCs w:val="18"/>
              </w:rPr>
              <w:t xml:space="preserve"> </w:t>
            </w:r>
            <w:r w:rsidRPr="004536FB">
              <w:rPr>
                <w:color w:val="000000"/>
                <w:sz w:val="18"/>
                <w:szCs w:val="18"/>
              </w:rPr>
              <w:t>l’initiative du Ministre des Mines</w:t>
            </w:r>
            <w:r w:rsidR="002309A2">
              <w:rPr>
                <w:color w:val="000000"/>
                <w:sz w:val="18"/>
                <w:szCs w:val="18"/>
              </w:rPr>
              <w:t xml:space="preserve">/Secrétariat </w:t>
            </w:r>
            <w:proofErr w:type="gramStart"/>
            <w:r w:rsidR="002309A2">
              <w:rPr>
                <w:color w:val="000000"/>
                <w:sz w:val="18"/>
                <w:szCs w:val="18"/>
              </w:rPr>
              <w:t>Général</w:t>
            </w:r>
            <w:r>
              <w:rPr>
                <w:rFonts w:ascii="NimbusRomNo9L" w:eastAsiaTheme="minorHAnsi" w:hAnsi="NimbusRomNo9L" w:cs="NimbusRomNo9L"/>
                <w:b/>
                <w:color w:val="000000"/>
                <w:sz w:val="18"/>
                <w:szCs w:val="18"/>
              </w:rPr>
              <w:t xml:space="preserve"> .</w:t>
            </w:r>
            <w:proofErr w:type="gramEnd"/>
            <w:r>
              <w:rPr>
                <w:rFonts w:ascii="NimbusRomNo9L" w:eastAsiaTheme="minorHAnsi" w:hAnsi="NimbusRomNo9L" w:cs="NimbusRomNo9L"/>
                <w:b/>
                <w:color w:val="000000"/>
                <w:sz w:val="18"/>
                <w:szCs w:val="18"/>
              </w:rPr>
              <w:t xml:space="preserve"> </w:t>
            </w:r>
          </w:p>
          <w:p w:rsidR="004536FB" w:rsidRDefault="004536FB" w:rsidP="004536FB">
            <w:pPr>
              <w:autoSpaceDE w:val="0"/>
              <w:autoSpaceDN w:val="0"/>
              <w:adjustRightInd w:val="0"/>
              <w:spacing w:after="0"/>
              <w:jc w:val="left"/>
              <w:rPr>
                <w:rFonts w:ascii="NimbusRomNo9L" w:eastAsiaTheme="minorHAnsi" w:hAnsi="NimbusRomNo9L" w:cs="NimbusRomNo9L"/>
                <w:b/>
                <w:color w:val="000000"/>
                <w:sz w:val="18"/>
                <w:szCs w:val="18"/>
              </w:rPr>
            </w:pPr>
            <w:r>
              <w:rPr>
                <w:rFonts w:ascii="NimbusRomNo9L" w:eastAsiaTheme="minorHAnsi" w:hAnsi="NimbusRomNo9L" w:cs="NimbusRomNo9L"/>
                <w:b/>
                <w:color w:val="000000"/>
                <w:sz w:val="18"/>
                <w:szCs w:val="18"/>
              </w:rPr>
              <w:t>Le taux de cette redevance est de :</w:t>
            </w:r>
          </w:p>
          <w:p w:rsidR="004536FB" w:rsidRDefault="002309A2" w:rsidP="004536FB">
            <w:pPr>
              <w:pStyle w:val="ListParagraph"/>
              <w:numPr>
                <w:ilvl w:val="0"/>
                <w:numId w:val="56"/>
              </w:numPr>
              <w:autoSpaceDE w:val="0"/>
              <w:autoSpaceDN w:val="0"/>
              <w:adjustRightInd w:val="0"/>
              <w:spacing w:after="0"/>
              <w:jc w:val="left"/>
              <w:rPr>
                <w:rFonts w:ascii="NimbusRomNo9L" w:eastAsiaTheme="minorHAnsi" w:hAnsi="NimbusRomNo9L" w:cs="NimbusRomNo9L"/>
                <w:color w:val="000000"/>
                <w:sz w:val="18"/>
                <w:szCs w:val="18"/>
              </w:rPr>
            </w:pPr>
            <w:r>
              <w:rPr>
                <w:rFonts w:ascii="NimbusRomNo9L" w:eastAsiaTheme="minorHAnsi" w:hAnsi="NimbusRomNo9L" w:cs="NimbusRomNo9L"/>
                <w:color w:val="000000"/>
                <w:sz w:val="18"/>
                <w:szCs w:val="18"/>
              </w:rPr>
              <w:t>47.170.000</w:t>
            </w:r>
            <w:r w:rsidR="004536FB" w:rsidRPr="004536FB">
              <w:rPr>
                <w:rFonts w:ascii="NimbusRomNo9L" w:eastAsiaTheme="minorHAnsi" w:hAnsi="NimbusRomNo9L" w:cs="NimbusRomNo9L"/>
                <w:color w:val="000000"/>
                <w:sz w:val="18"/>
                <w:szCs w:val="18"/>
              </w:rPr>
              <w:t xml:space="preserve"> </w:t>
            </w:r>
            <w:r>
              <w:rPr>
                <w:rFonts w:ascii="NimbusRomNo9L" w:eastAsiaTheme="minorHAnsi" w:hAnsi="NimbusRomNo9L" w:cs="NimbusRomNo9L"/>
                <w:color w:val="000000"/>
                <w:sz w:val="18"/>
                <w:szCs w:val="18"/>
              </w:rPr>
              <w:t>CDF</w:t>
            </w:r>
            <w:r w:rsidR="004536FB" w:rsidRPr="004536FB">
              <w:rPr>
                <w:rFonts w:ascii="NimbusRomNo9L" w:eastAsiaTheme="minorHAnsi" w:hAnsi="NimbusRomNo9L" w:cs="NimbusRomNo9L"/>
                <w:color w:val="000000"/>
                <w:sz w:val="18"/>
                <w:szCs w:val="18"/>
              </w:rPr>
              <w:t xml:space="preserve"> pour les Entités de traitement de la catégorie A</w:t>
            </w:r>
            <w:r>
              <w:rPr>
                <w:rFonts w:ascii="NimbusRomNo9L" w:eastAsiaTheme="minorHAnsi" w:hAnsi="NimbusRomNo9L" w:cs="NimbusRomNo9L"/>
                <w:color w:val="000000"/>
                <w:sz w:val="18"/>
                <w:szCs w:val="18"/>
              </w:rPr>
              <w:t>,</w:t>
            </w:r>
          </w:p>
          <w:p w:rsidR="002309A2" w:rsidRPr="004536FB" w:rsidRDefault="002309A2" w:rsidP="004536FB">
            <w:pPr>
              <w:pStyle w:val="ListParagraph"/>
              <w:numPr>
                <w:ilvl w:val="0"/>
                <w:numId w:val="56"/>
              </w:numPr>
              <w:autoSpaceDE w:val="0"/>
              <w:autoSpaceDN w:val="0"/>
              <w:adjustRightInd w:val="0"/>
              <w:spacing w:after="0"/>
              <w:jc w:val="left"/>
              <w:rPr>
                <w:rFonts w:ascii="NimbusRomNo9L" w:eastAsiaTheme="minorHAnsi" w:hAnsi="NimbusRomNo9L" w:cs="NimbusRomNo9L"/>
                <w:color w:val="000000"/>
                <w:sz w:val="18"/>
                <w:szCs w:val="18"/>
              </w:rPr>
            </w:pPr>
            <w:r>
              <w:rPr>
                <w:rFonts w:ascii="NimbusRomNo9L" w:eastAsiaTheme="minorHAnsi" w:hAnsi="NimbusRomNo9L" w:cs="NimbusRomNo9L"/>
                <w:color w:val="000000"/>
                <w:sz w:val="18"/>
                <w:szCs w:val="18"/>
              </w:rPr>
              <w:t>94.340.000 CDF</w:t>
            </w:r>
            <w:r w:rsidRPr="004536FB">
              <w:rPr>
                <w:rFonts w:ascii="NimbusRomNo9L" w:eastAsiaTheme="minorHAnsi" w:hAnsi="NimbusRomNo9L" w:cs="NimbusRomNo9L"/>
                <w:color w:val="000000"/>
                <w:sz w:val="18"/>
                <w:szCs w:val="18"/>
              </w:rPr>
              <w:t xml:space="preserve"> pour les Entités d</w:t>
            </w:r>
            <w:r>
              <w:rPr>
                <w:rFonts w:ascii="NimbusRomNo9L" w:eastAsiaTheme="minorHAnsi" w:hAnsi="NimbusRomNo9L" w:cs="NimbusRomNo9L"/>
                <w:color w:val="000000"/>
                <w:sz w:val="18"/>
                <w:szCs w:val="18"/>
              </w:rPr>
              <w:t xml:space="preserve">e traitement de la catégorie B </w:t>
            </w:r>
            <w:r w:rsidRPr="004536FB">
              <w:rPr>
                <w:rFonts w:ascii="NimbusRomNo9L" w:eastAsiaTheme="minorHAnsi" w:hAnsi="NimbusRomNo9L" w:cs="NimbusRomNo9L"/>
                <w:color w:val="000000"/>
                <w:sz w:val="18"/>
                <w:szCs w:val="18"/>
              </w:rPr>
              <w:t xml:space="preserve"> </w:t>
            </w:r>
          </w:p>
          <w:p w:rsidR="004536FB" w:rsidRPr="004536FB" w:rsidRDefault="002309A2" w:rsidP="004536FB">
            <w:pPr>
              <w:pStyle w:val="ListParagraph"/>
              <w:numPr>
                <w:ilvl w:val="0"/>
                <w:numId w:val="56"/>
              </w:numPr>
              <w:autoSpaceDE w:val="0"/>
              <w:autoSpaceDN w:val="0"/>
              <w:adjustRightInd w:val="0"/>
              <w:spacing w:after="0"/>
              <w:jc w:val="left"/>
              <w:rPr>
                <w:rFonts w:ascii="NimbusRomNo9L" w:eastAsiaTheme="minorHAnsi" w:hAnsi="NimbusRomNo9L" w:cs="NimbusRomNo9L"/>
                <w:color w:val="000000"/>
                <w:sz w:val="18"/>
                <w:szCs w:val="18"/>
              </w:rPr>
            </w:pPr>
            <w:r>
              <w:rPr>
                <w:rFonts w:ascii="NimbusRomNo9L" w:eastAsiaTheme="minorHAnsi" w:hAnsi="NimbusRomNo9L" w:cs="NimbusRomNo9L"/>
                <w:color w:val="000000"/>
                <w:sz w:val="18"/>
                <w:szCs w:val="18"/>
              </w:rPr>
              <w:t>94.340.000 CDF</w:t>
            </w:r>
            <w:r w:rsidR="004536FB" w:rsidRPr="004536FB">
              <w:rPr>
                <w:rFonts w:ascii="NimbusRomNo9L" w:eastAsiaTheme="minorHAnsi" w:hAnsi="NimbusRomNo9L" w:cs="NimbusRomNo9L"/>
                <w:color w:val="000000"/>
                <w:sz w:val="18"/>
                <w:szCs w:val="18"/>
              </w:rPr>
              <w:t xml:space="preserve"> pour les Entités d</w:t>
            </w:r>
            <w:r>
              <w:rPr>
                <w:rFonts w:ascii="NimbusRomNo9L" w:eastAsiaTheme="minorHAnsi" w:hAnsi="NimbusRomNo9L" w:cs="NimbusRomNo9L"/>
                <w:color w:val="000000"/>
                <w:sz w:val="18"/>
                <w:szCs w:val="18"/>
              </w:rPr>
              <w:t>e traitement de la catégorie C</w:t>
            </w:r>
            <w:r w:rsidR="004536FB">
              <w:rPr>
                <w:rFonts w:ascii="NimbusRomNo9L" w:eastAsiaTheme="minorHAnsi" w:hAnsi="NimbusRomNo9L" w:cs="NimbusRomNo9L"/>
                <w:color w:val="000000"/>
                <w:sz w:val="18"/>
                <w:szCs w:val="18"/>
              </w:rPr>
              <w:t xml:space="preserve"> </w:t>
            </w:r>
            <w:r w:rsidR="004536FB" w:rsidRPr="004536FB">
              <w:rPr>
                <w:rFonts w:ascii="NimbusRomNo9L" w:eastAsiaTheme="minorHAnsi" w:hAnsi="NimbusRomNo9L" w:cs="NimbusRomNo9L"/>
                <w:color w:val="000000"/>
                <w:sz w:val="18"/>
                <w:szCs w:val="18"/>
              </w:rPr>
              <w:t xml:space="preserve"> et,</w:t>
            </w:r>
          </w:p>
          <w:p w:rsidR="004536FB" w:rsidRDefault="002309A2" w:rsidP="004536FB">
            <w:pPr>
              <w:pStyle w:val="ListParagraph"/>
              <w:numPr>
                <w:ilvl w:val="0"/>
                <w:numId w:val="56"/>
              </w:numPr>
              <w:autoSpaceDE w:val="0"/>
              <w:autoSpaceDN w:val="0"/>
              <w:adjustRightInd w:val="0"/>
              <w:spacing w:after="0"/>
              <w:jc w:val="left"/>
              <w:rPr>
                <w:rFonts w:ascii="NimbusRomNo9L" w:eastAsiaTheme="minorHAnsi" w:hAnsi="NimbusRomNo9L" w:cs="NimbusRomNo9L"/>
                <w:color w:val="000000"/>
                <w:sz w:val="18"/>
                <w:szCs w:val="18"/>
              </w:rPr>
            </w:pPr>
            <w:r>
              <w:rPr>
                <w:rFonts w:ascii="NimbusRomNo9L" w:eastAsiaTheme="minorHAnsi" w:hAnsi="NimbusRomNo9L" w:cs="NimbusRomNo9L"/>
                <w:color w:val="000000"/>
                <w:sz w:val="18"/>
                <w:szCs w:val="18"/>
              </w:rPr>
              <w:t>94.340.000 CDF</w:t>
            </w:r>
            <w:r w:rsidRPr="004536FB">
              <w:rPr>
                <w:rFonts w:ascii="NimbusRomNo9L" w:eastAsiaTheme="minorHAnsi" w:hAnsi="NimbusRomNo9L" w:cs="NimbusRomNo9L"/>
                <w:color w:val="000000"/>
                <w:sz w:val="18"/>
                <w:szCs w:val="18"/>
              </w:rPr>
              <w:t xml:space="preserve"> </w:t>
            </w:r>
            <w:r w:rsidR="004536FB" w:rsidRPr="004536FB">
              <w:rPr>
                <w:rFonts w:ascii="NimbusRomNo9L" w:eastAsiaTheme="minorHAnsi" w:hAnsi="NimbusRomNo9L" w:cs="NimbusRomNo9L"/>
                <w:color w:val="000000"/>
                <w:sz w:val="18"/>
                <w:szCs w:val="18"/>
              </w:rPr>
              <w:t>pour les Entités de transformation</w:t>
            </w:r>
            <w:r w:rsidR="004536FB">
              <w:rPr>
                <w:rFonts w:ascii="NimbusRomNo9L" w:eastAsiaTheme="minorHAnsi" w:hAnsi="NimbusRomNo9L" w:cs="NimbusRomNo9L"/>
                <w:color w:val="000000"/>
                <w:sz w:val="18"/>
                <w:szCs w:val="18"/>
              </w:rPr>
              <w:t>.</w:t>
            </w:r>
          </w:p>
          <w:p w:rsidR="002309A2" w:rsidRDefault="002309A2" w:rsidP="004536FB">
            <w:pPr>
              <w:pStyle w:val="ListParagraph"/>
              <w:numPr>
                <w:ilvl w:val="0"/>
                <w:numId w:val="56"/>
              </w:numPr>
              <w:autoSpaceDE w:val="0"/>
              <w:autoSpaceDN w:val="0"/>
              <w:adjustRightInd w:val="0"/>
              <w:spacing w:after="0"/>
              <w:jc w:val="left"/>
              <w:rPr>
                <w:rFonts w:ascii="NimbusRomNo9L" w:eastAsiaTheme="minorHAnsi" w:hAnsi="NimbusRomNo9L" w:cs="NimbusRomNo9L"/>
                <w:color w:val="000000"/>
                <w:sz w:val="18"/>
                <w:szCs w:val="18"/>
              </w:rPr>
            </w:pPr>
            <w:r>
              <w:rPr>
                <w:rFonts w:ascii="NimbusRomNo9L" w:eastAsiaTheme="minorHAnsi" w:hAnsi="NimbusRomNo9L" w:cs="NimbusRomNo9L"/>
                <w:color w:val="000000"/>
                <w:sz w:val="18"/>
                <w:szCs w:val="18"/>
              </w:rPr>
              <w:t>188.680.000 CDF pour les Grandes Entités de tailleries et</w:t>
            </w:r>
          </w:p>
          <w:p w:rsidR="002309A2" w:rsidRPr="004536FB" w:rsidRDefault="002309A2" w:rsidP="004536FB">
            <w:pPr>
              <w:pStyle w:val="ListParagraph"/>
              <w:numPr>
                <w:ilvl w:val="0"/>
                <w:numId w:val="56"/>
              </w:numPr>
              <w:autoSpaceDE w:val="0"/>
              <w:autoSpaceDN w:val="0"/>
              <w:adjustRightInd w:val="0"/>
              <w:spacing w:after="0"/>
              <w:jc w:val="left"/>
              <w:rPr>
                <w:rFonts w:ascii="NimbusRomNo9L" w:eastAsiaTheme="minorHAnsi" w:hAnsi="NimbusRomNo9L" w:cs="NimbusRomNo9L"/>
                <w:color w:val="000000"/>
                <w:sz w:val="18"/>
                <w:szCs w:val="18"/>
              </w:rPr>
            </w:pPr>
            <w:r>
              <w:rPr>
                <w:rFonts w:ascii="NimbusRomNo9L" w:eastAsiaTheme="minorHAnsi" w:hAnsi="NimbusRomNo9L" w:cs="NimbusRomNo9L"/>
                <w:color w:val="000000"/>
                <w:sz w:val="18"/>
                <w:szCs w:val="18"/>
              </w:rPr>
              <w:t>94.340.000 CDF</w:t>
            </w:r>
            <w:r w:rsidRPr="004536FB">
              <w:rPr>
                <w:rFonts w:ascii="NimbusRomNo9L" w:eastAsiaTheme="minorHAnsi" w:hAnsi="NimbusRomNo9L" w:cs="NimbusRomNo9L"/>
                <w:color w:val="000000"/>
                <w:sz w:val="18"/>
                <w:szCs w:val="18"/>
              </w:rPr>
              <w:t xml:space="preserve"> pour les</w:t>
            </w:r>
            <w:r>
              <w:rPr>
                <w:rFonts w:ascii="NimbusRomNo9L" w:eastAsiaTheme="minorHAnsi" w:hAnsi="NimbusRomNo9L" w:cs="NimbusRomNo9L"/>
                <w:color w:val="000000"/>
                <w:sz w:val="18"/>
                <w:szCs w:val="18"/>
              </w:rPr>
              <w:t xml:space="preserve"> Petites </w:t>
            </w:r>
            <w:r w:rsidRPr="004536FB">
              <w:rPr>
                <w:rFonts w:ascii="NimbusRomNo9L" w:eastAsiaTheme="minorHAnsi" w:hAnsi="NimbusRomNo9L" w:cs="NimbusRomNo9L"/>
                <w:color w:val="000000"/>
                <w:sz w:val="18"/>
                <w:szCs w:val="18"/>
              </w:rPr>
              <w:t>Entités</w:t>
            </w:r>
            <w:r>
              <w:rPr>
                <w:rFonts w:ascii="NimbusRomNo9L" w:eastAsiaTheme="minorHAnsi" w:hAnsi="NimbusRomNo9L" w:cs="NimbusRomNo9L"/>
                <w:color w:val="000000"/>
                <w:sz w:val="18"/>
                <w:szCs w:val="18"/>
              </w:rPr>
              <w:t xml:space="preserve"> de tailleries</w:t>
            </w:r>
          </w:p>
          <w:p w:rsidR="004536FB" w:rsidRPr="00743378" w:rsidRDefault="004536FB" w:rsidP="004536FB">
            <w:pPr>
              <w:autoSpaceDE w:val="0"/>
              <w:autoSpaceDN w:val="0"/>
              <w:adjustRightInd w:val="0"/>
              <w:spacing w:after="0"/>
              <w:jc w:val="left"/>
              <w:rPr>
                <w:color w:val="000000"/>
                <w:sz w:val="18"/>
                <w:szCs w:val="18"/>
              </w:rPr>
            </w:pPr>
          </w:p>
        </w:tc>
      </w:tr>
      <w:tr w:rsidR="00034CEB" w:rsidRPr="00743378" w:rsidTr="00155613">
        <w:trPr>
          <w:trHeight w:val="300"/>
          <w:jc w:val="center"/>
        </w:trPr>
        <w:tc>
          <w:tcPr>
            <w:tcW w:w="1255" w:type="pct"/>
            <w:vAlign w:val="center"/>
            <w:hideMark/>
          </w:tcPr>
          <w:p w:rsidR="00034CEB" w:rsidRPr="00743378" w:rsidRDefault="00034CEB" w:rsidP="004D4FD7">
            <w:pPr>
              <w:ind w:firstLineChars="6" w:firstLine="11"/>
              <w:rPr>
                <w:color w:val="000000"/>
                <w:sz w:val="18"/>
                <w:szCs w:val="18"/>
                <w:lang w:eastAsia="fr-FR"/>
              </w:rPr>
            </w:pPr>
            <w:r w:rsidRPr="00743378">
              <w:rPr>
                <w:color w:val="000000"/>
                <w:sz w:val="18"/>
                <w:szCs w:val="18"/>
                <w:lang w:eastAsia="fr-FR"/>
              </w:rPr>
              <w:lastRenderedPageBreak/>
              <w:t>Royalties pour les pétroliers</w:t>
            </w:r>
          </w:p>
        </w:tc>
        <w:tc>
          <w:tcPr>
            <w:tcW w:w="492" w:type="pct"/>
            <w:vAlign w:val="center"/>
            <w:hideMark/>
          </w:tcPr>
          <w:p w:rsidR="00034CEB" w:rsidRPr="00743378" w:rsidRDefault="00034CEB" w:rsidP="004D4FD7">
            <w:pPr>
              <w:jc w:val="center"/>
              <w:rPr>
                <w:color w:val="000000"/>
                <w:sz w:val="18"/>
                <w:szCs w:val="18"/>
                <w:lang w:eastAsia="fr-FR"/>
              </w:rPr>
            </w:pPr>
            <w:r w:rsidRPr="00743378">
              <w:rPr>
                <w:color w:val="000000"/>
                <w:sz w:val="18"/>
                <w:szCs w:val="18"/>
                <w:lang w:eastAsia="fr-FR"/>
              </w:rPr>
              <w:t>DGRAD</w:t>
            </w:r>
          </w:p>
        </w:tc>
        <w:tc>
          <w:tcPr>
            <w:tcW w:w="206" w:type="pct"/>
            <w:shd w:val="clear" w:color="auto" w:fill="8DB3E2" w:themeFill="text2" w:themeFillTint="66"/>
            <w:vAlign w:val="center"/>
            <w:hideMark/>
          </w:tcPr>
          <w:p w:rsidR="00034CEB" w:rsidRPr="00743378" w:rsidRDefault="00034CEB" w:rsidP="004D4FD7">
            <w:pPr>
              <w:ind w:firstLineChars="100" w:firstLine="180"/>
              <w:rPr>
                <w:color w:val="000000"/>
                <w:sz w:val="18"/>
                <w:szCs w:val="18"/>
                <w:lang w:eastAsia="fr-FR"/>
              </w:rPr>
            </w:pPr>
            <w:r w:rsidRPr="00743378">
              <w:rPr>
                <w:color w:val="000000"/>
                <w:sz w:val="18"/>
                <w:szCs w:val="18"/>
                <w:lang w:eastAsia="fr-FR"/>
              </w:rPr>
              <w:t> </w:t>
            </w:r>
          </w:p>
        </w:tc>
        <w:tc>
          <w:tcPr>
            <w:tcW w:w="206" w:type="pct"/>
            <w:vAlign w:val="bottom"/>
            <w:hideMark/>
          </w:tcPr>
          <w:p w:rsidR="00034CEB" w:rsidRPr="00743378" w:rsidRDefault="00034CEB" w:rsidP="004D4FD7">
            <w:pPr>
              <w:rPr>
                <w:color w:val="000000"/>
                <w:sz w:val="18"/>
                <w:szCs w:val="18"/>
                <w:lang w:eastAsia="fr-FR"/>
              </w:rPr>
            </w:pPr>
            <w:r w:rsidRPr="00743378">
              <w:rPr>
                <w:color w:val="000000"/>
                <w:sz w:val="18"/>
                <w:szCs w:val="18"/>
                <w:lang w:eastAsia="fr-FR"/>
              </w:rPr>
              <w:t> </w:t>
            </w:r>
          </w:p>
        </w:tc>
        <w:tc>
          <w:tcPr>
            <w:tcW w:w="206" w:type="pct"/>
            <w:vAlign w:val="bottom"/>
            <w:hideMark/>
          </w:tcPr>
          <w:p w:rsidR="00034CEB" w:rsidRPr="00743378" w:rsidRDefault="00034CEB" w:rsidP="004D4FD7">
            <w:pPr>
              <w:rPr>
                <w:color w:val="000000"/>
                <w:sz w:val="18"/>
                <w:szCs w:val="18"/>
                <w:lang w:eastAsia="fr-FR"/>
              </w:rPr>
            </w:pPr>
            <w:r w:rsidRPr="00743378">
              <w:rPr>
                <w:color w:val="000000"/>
                <w:sz w:val="18"/>
                <w:szCs w:val="18"/>
                <w:lang w:eastAsia="fr-FR"/>
              </w:rPr>
              <w:t> </w:t>
            </w:r>
          </w:p>
        </w:tc>
        <w:tc>
          <w:tcPr>
            <w:tcW w:w="2635" w:type="pct"/>
            <w:hideMark/>
          </w:tcPr>
          <w:p w:rsidR="00034CEB" w:rsidRPr="00743378" w:rsidRDefault="00034CEB" w:rsidP="004D4FD7">
            <w:pPr>
              <w:spacing w:before="120" w:after="120"/>
              <w:rPr>
                <w:color w:val="000000"/>
                <w:sz w:val="18"/>
                <w:szCs w:val="18"/>
                <w:lang w:eastAsia="fr-FR"/>
              </w:rPr>
            </w:pPr>
            <w:r w:rsidRPr="00743378">
              <w:rPr>
                <w:color w:val="000000"/>
                <w:sz w:val="18"/>
                <w:szCs w:val="18"/>
              </w:rPr>
              <w:t>Les Royalties, définies au prorata du chiffre d’affaires, sont reversées par les entreprises pétrolières à l’Etat. Les montants et modalités de paiement des royalties sont définis par les conventions pétrolières.</w:t>
            </w:r>
          </w:p>
        </w:tc>
      </w:tr>
      <w:tr w:rsidR="00034CEB" w:rsidRPr="00743378" w:rsidTr="00155613">
        <w:trPr>
          <w:trHeight w:val="300"/>
          <w:jc w:val="center"/>
        </w:trPr>
        <w:tc>
          <w:tcPr>
            <w:tcW w:w="1255" w:type="pct"/>
            <w:vAlign w:val="center"/>
            <w:hideMark/>
          </w:tcPr>
          <w:p w:rsidR="00034CEB" w:rsidRPr="00743378" w:rsidRDefault="00034CEB" w:rsidP="004D4FD7">
            <w:pPr>
              <w:ind w:firstLineChars="6" w:firstLine="11"/>
              <w:rPr>
                <w:color w:val="000000"/>
                <w:sz w:val="18"/>
                <w:szCs w:val="18"/>
                <w:lang w:eastAsia="fr-FR"/>
              </w:rPr>
            </w:pPr>
            <w:r w:rsidRPr="00743378">
              <w:rPr>
                <w:color w:val="000000"/>
                <w:sz w:val="18"/>
                <w:szCs w:val="18"/>
                <w:lang w:eastAsia="fr-FR"/>
              </w:rPr>
              <w:t>Taxe de statistique</w:t>
            </w:r>
          </w:p>
        </w:tc>
        <w:tc>
          <w:tcPr>
            <w:tcW w:w="492" w:type="pct"/>
            <w:vAlign w:val="center"/>
            <w:hideMark/>
          </w:tcPr>
          <w:p w:rsidR="00034CEB" w:rsidRPr="00743378" w:rsidRDefault="00034CEB" w:rsidP="004D4FD7">
            <w:pPr>
              <w:jc w:val="center"/>
              <w:rPr>
                <w:color w:val="000000"/>
                <w:sz w:val="18"/>
                <w:szCs w:val="18"/>
                <w:lang w:eastAsia="fr-FR"/>
              </w:rPr>
            </w:pPr>
            <w:r w:rsidRPr="00743378">
              <w:rPr>
                <w:color w:val="000000"/>
                <w:sz w:val="18"/>
                <w:szCs w:val="18"/>
                <w:lang w:eastAsia="fr-FR"/>
              </w:rPr>
              <w:t>DGRAD</w:t>
            </w:r>
          </w:p>
        </w:tc>
        <w:tc>
          <w:tcPr>
            <w:tcW w:w="206" w:type="pct"/>
            <w:shd w:val="clear" w:color="auto" w:fill="8DB3E2" w:themeFill="text2" w:themeFillTint="66"/>
            <w:vAlign w:val="center"/>
            <w:hideMark/>
          </w:tcPr>
          <w:p w:rsidR="00034CEB" w:rsidRPr="00743378" w:rsidRDefault="00034CEB" w:rsidP="004D4FD7">
            <w:pPr>
              <w:ind w:firstLineChars="100" w:firstLine="180"/>
              <w:rPr>
                <w:color w:val="000000"/>
                <w:sz w:val="18"/>
                <w:szCs w:val="18"/>
                <w:lang w:eastAsia="fr-FR"/>
              </w:rPr>
            </w:pPr>
            <w:r w:rsidRPr="00743378">
              <w:rPr>
                <w:color w:val="000000"/>
                <w:sz w:val="18"/>
                <w:szCs w:val="18"/>
                <w:lang w:eastAsia="fr-FR"/>
              </w:rPr>
              <w:t> </w:t>
            </w:r>
          </w:p>
        </w:tc>
        <w:tc>
          <w:tcPr>
            <w:tcW w:w="206" w:type="pct"/>
            <w:vAlign w:val="bottom"/>
            <w:hideMark/>
          </w:tcPr>
          <w:p w:rsidR="00034CEB" w:rsidRPr="00743378" w:rsidRDefault="00034CEB" w:rsidP="004D4FD7">
            <w:pPr>
              <w:rPr>
                <w:color w:val="000000"/>
                <w:sz w:val="18"/>
                <w:szCs w:val="18"/>
                <w:lang w:eastAsia="fr-FR"/>
              </w:rPr>
            </w:pPr>
            <w:r w:rsidRPr="00743378">
              <w:rPr>
                <w:color w:val="000000"/>
                <w:sz w:val="18"/>
                <w:szCs w:val="18"/>
                <w:lang w:eastAsia="fr-FR"/>
              </w:rPr>
              <w:t> </w:t>
            </w:r>
          </w:p>
        </w:tc>
        <w:tc>
          <w:tcPr>
            <w:tcW w:w="206" w:type="pct"/>
            <w:vAlign w:val="bottom"/>
            <w:hideMark/>
          </w:tcPr>
          <w:p w:rsidR="00034CEB" w:rsidRPr="00743378" w:rsidRDefault="00034CEB" w:rsidP="004D4FD7">
            <w:pPr>
              <w:rPr>
                <w:color w:val="000000"/>
                <w:sz w:val="18"/>
                <w:szCs w:val="18"/>
                <w:lang w:eastAsia="fr-FR"/>
              </w:rPr>
            </w:pPr>
            <w:r w:rsidRPr="00743378">
              <w:rPr>
                <w:color w:val="000000"/>
                <w:sz w:val="18"/>
                <w:szCs w:val="18"/>
                <w:lang w:eastAsia="fr-FR"/>
              </w:rPr>
              <w:t> </w:t>
            </w:r>
          </w:p>
        </w:tc>
        <w:tc>
          <w:tcPr>
            <w:tcW w:w="2635" w:type="pct"/>
            <w:hideMark/>
          </w:tcPr>
          <w:p w:rsidR="00034CEB" w:rsidRPr="00743378" w:rsidRDefault="00034CEB" w:rsidP="004D4FD7">
            <w:pPr>
              <w:spacing w:before="120" w:after="120"/>
              <w:rPr>
                <w:color w:val="000000"/>
                <w:sz w:val="18"/>
                <w:szCs w:val="18"/>
              </w:rPr>
            </w:pPr>
            <w:r w:rsidRPr="00743378">
              <w:rPr>
                <w:color w:val="000000"/>
                <w:sz w:val="18"/>
                <w:szCs w:val="18"/>
              </w:rPr>
              <w:t>La Taxe de statistique est une assise sur la valeur des barils exportés. Le taux de la Taxe de statistique est de 1% de la valeur FOB du pétrole exporté. </w:t>
            </w:r>
          </w:p>
          <w:p w:rsidR="00034CEB" w:rsidRPr="00743378" w:rsidRDefault="00034CEB" w:rsidP="004D4FD7">
            <w:pPr>
              <w:spacing w:before="120" w:after="120"/>
              <w:rPr>
                <w:color w:val="000000"/>
                <w:sz w:val="18"/>
                <w:szCs w:val="18"/>
                <w:lang w:eastAsia="fr-FR"/>
              </w:rPr>
            </w:pPr>
            <w:r w:rsidRPr="00743378">
              <w:rPr>
                <w:color w:val="000000"/>
                <w:sz w:val="18"/>
                <w:szCs w:val="18"/>
              </w:rPr>
              <w:t>Les recettes encaissées sur cette taxe reviennent en totalité à la DGRAD</w:t>
            </w:r>
          </w:p>
        </w:tc>
      </w:tr>
      <w:tr w:rsidR="00034CEB" w:rsidRPr="00743378" w:rsidTr="00155613">
        <w:trPr>
          <w:trHeight w:val="300"/>
          <w:jc w:val="center"/>
        </w:trPr>
        <w:tc>
          <w:tcPr>
            <w:tcW w:w="1255" w:type="pct"/>
            <w:vAlign w:val="center"/>
            <w:hideMark/>
          </w:tcPr>
          <w:p w:rsidR="00034CEB" w:rsidRPr="00743378" w:rsidRDefault="00034CEB" w:rsidP="004D4FD7">
            <w:pPr>
              <w:ind w:firstLineChars="6" w:firstLine="11"/>
              <w:rPr>
                <w:color w:val="000000"/>
                <w:sz w:val="18"/>
                <w:szCs w:val="18"/>
                <w:lang w:eastAsia="fr-FR"/>
              </w:rPr>
            </w:pPr>
            <w:r w:rsidRPr="00743378">
              <w:rPr>
                <w:color w:val="000000"/>
                <w:sz w:val="18"/>
                <w:szCs w:val="18"/>
                <w:lang w:eastAsia="fr-FR"/>
              </w:rPr>
              <w:t>Taxe rémunératoire</w:t>
            </w:r>
          </w:p>
        </w:tc>
        <w:tc>
          <w:tcPr>
            <w:tcW w:w="492" w:type="pct"/>
            <w:vAlign w:val="center"/>
            <w:hideMark/>
          </w:tcPr>
          <w:p w:rsidR="00034CEB" w:rsidRPr="00743378" w:rsidRDefault="00034CEB" w:rsidP="004D4FD7">
            <w:pPr>
              <w:jc w:val="center"/>
              <w:rPr>
                <w:color w:val="000000"/>
                <w:sz w:val="18"/>
                <w:szCs w:val="18"/>
                <w:lang w:eastAsia="fr-FR"/>
              </w:rPr>
            </w:pPr>
            <w:r w:rsidRPr="00743378">
              <w:rPr>
                <w:color w:val="000000"/>
                <w:sz w:val="18"/>
                <w:szCs w:val="18"/>
                <w:lang w:eastAsia="fr-FR"/>
              </w:rPr>
              <w:t>DGRAD</w:t>
            </w:r>
          </w:p>
        </w:tc>
        <w:tc>
          <w:tcPr>
            <w:tcW w:w="206" w:type="pct"/>
            <w:vAlign w:val="bottom"/>
            <w:hideMark/>
          </w:tcPr>
          <w:p w:rsidR="00034CEB" w:rsidRPr="00743378" w:rsidRDefault="00034CEB" w:rsidP="004D4FD7">
            <w:pPr>
              <w:rPr>
                <w:color w:val="000000"/>
                <w:sz w:val="18"/>
                <w:szCs w:val="18"/>
                <w:lang w:eastAsia="fr-FR"/>
              </w:rPr>
            </w:pPr>
            <w:r w:rsidRPr="00743378">
              <w:rPr>
                <w:color w:val="000000"/>
                <w:sz w:val="18"/>
                <w:szCs w:val="18"/>
                <w:lang w:eastAsia="fr-FR"/>
              </w:rPr>
              <w:t> </w:t>
            </w:r>
          </w:p>
        </w:tc>
        <w:tc>
          <w:tcPr>
            <w:tcW w:w="206" w:type="pct"/>
            <w:shd w:val="clear" w:color="auto" w:fill="8DB3E2" w:themeFill="text2" w:themeFillTint="66"/>
            <w:vAlign w:val="center"/>
            <w:hideMark/>
          </w:tcPr>
          <w:p w:rsidR="00034CEB" w:rsidRPr="00743378" w:rsidRDefault="00034CEB" w:rsidP="004D4FD7">
            <w:pPr>
              <w:ind w:firstLineChars="100" w:firstLine="180"/>
              <w:rPr>
                <w:color w:val="000000"/>
                <w:sz w:val="18"/>
                <w:szCs w:val="18"/>
                <w:lang w:eastAsia="fr-FR"/>
              </w:rPr>
            </w:pPr>
            <w:r w:rsidRPr="00743378">
              <w:rPr>
                <w:color w:val="000000"/>
                <w:sz w:val="18"/>
                <w:szCs w:val="18"/>
                <w:lang w:eastAsia="fr-FR"/>
              </w:rPr>
              <w:t> </w:t>
            </w:r>
          </w:p>
        </w:tc>
        <w:tc>
          <w:tcPr>
            <w:tcW w:w="206" w:type="pct"/>
            <w:vAlign w:val="bottom"/>
            <w:hideMark/>
          </w:tcPr>
          <w:p w:rsidR="00034CEB" w:rsidRPr="00743378" w:rsidRDefault="00034CEB" w:rsidP="004D4FD7">
            <w:pPr>
              <w:rPr>
                <w:color w:val="000000"/>
                <w:sz w:val="18"/>
                <w:szCs w:val="18"/>
                <w:lang w:eastAsia="fr-FR"/>
              </w:rPr>
            </w:pPr>
            <w:r w:rsidRPr="00743378">
              <w:rPr>
                <w:color w:val="000000"/>
                <w:sz w:val="18"/>
                <w:szCs w:val="18"/>
                <w:lang w:eastAsia="fr-FR"/>
              </w:rPr>
              <w:t> </w:t>
            </w:r>
          </w:p>
        </w:tc>
        <w:tc>
          <w:tcPr>
            <w:tcW w:w="2635" w:type="pct"/>
            <w:hideMark/>
          </w:tcPr>
          <w:p w:rsidR="00034CEB" w:rsidRPr="00743378" w:rsidRDefault="00034CEB" w:rsidP="004D4FD7">
            <w:pPr>
              <w:spacing w:before="120" w:after="120"/>
              <w:rPr>
                <w:color w:val="000000"/>
                <w:sz w:val="18"/>
                <w:szCs w:val="18"/>
                <w:lang w:eastAsia="fr-FR"/>
              </w:rPr>
            </w:pPr>
            <w:r w:rsidRPr="00743378">
              <w:rPr>
                <w:color w:val="000000"/>
                <w:sz w:val="18"/>
                <w:szCs w:val="18"/>
              </w:rPr>
              <w:t>La taxe rémunératoire est une accise, directement versée à la province, sur la valeur expertisée des matières précieuses. Le taux de la taxe rémunératoire est de 1,25%. Les montants et modalités de paiement de la taxe rémunératoire sont définis par le Code et le Règlement miniers. Cette taxe est applicable aux comptoirs agréés ce qui justifie son exclusion du référentiel ITIE 201</w:t>
            </w:r>
            <w:r>
              <w:rPr>
                <w:color w:val="000000"/>
                <w:sz w:val="18"/>
                <w:szCs w:val="18"/>
              </w:rPr>
              <w:t>4</w:t>
            </w:r>
            <w:r w:rsidRPr="00743378">
              <w:rPr>
                <w:color w:val="000000"/>
                <w:sz w:val="18"/>
                <w:szCs w:val="18"/>
              </w:rPr>
              <w:t>.</w:t>
            </w:r>
          </w:p>
        </w:tc>
      </w:tr>
      <w:tr w:rsidR="00CD450A" w:rsidRPr="00743378" w:rsidTr="00155613">
        <w:trPr>
          <w:trHeight w:val="300"/>
          <w:jc w:val="center"/>
        </w:trPr>
        <w:tc>
          <w:tcPr>
            <w:tcW w:w="1255" w:type="pct"/>
            <w:vAlign w:val="center"/>
            <w:hideMark/>
          </w:tcPr>
          <w:p w:rsidR="00034CEB" w:rsidRPr="00743378" w:rsidRDefault="00034CEB" w:rsidP="004D4FD7">
            <w:pPr>
              <w:ind w:firstLineChars="6" w:firstLine="11"/>
              <w:rPr>
                <w:color w:val="000000"/>
                <w:sz w:val="18"/>
                <w:szCs w:val="18"/>
                <w:lang w:eastAsia="fr-FR"/>
              </w:rPr>
            </w:pPr>
            <w:r w:rsidRPr="00743378">
              <w:rPr>
                <w:color w:val="000000"/>
                <w:sz w:val="18"/>
                <w:szCs w:val="18"/>
                <w:lang w:eastAsia="fr-FR"/>
              </w:rPr>
              <w:t>Taxes sur les plus-values de cessions totales de l’intérêt de participation</w:t>
            </w:r>
          </w:p>
        </w:tc>
        <w:tc>
          <w:tcPr>
            <w:tcW w:w="492" w:type="pct"/>
            <w:vAlign w:val="center"/>
          </w:tcPr>
          <w:p w:rsidR="00034CEB" w:rsidRPr="00743378" w:rsidRDefault="00034CEB" w:rsidP="004D4FD7">
            <w:pPr>
              <w:jc w:val="center"/>
              <w:rPr>
                <w:color w:val="000000"/>
                <w:sz w:val="18"/>
                <w:szCs w:val="18"/>
                <w:lang w:eastAsia="fr-FR"/>
              </w:rPr>
            </w:pPr>
            <w:r w:rsidRPr="00743378">
              <w:rPr>
                <w:color w:val="000000"/>
                <w:sz w:val="18"/>
                <w:szCs w:val="18"/>
                <w:lang w:eastAsia="fr-FR"/>
              </w:rPr>
              <w:t>DGRAD</w:t>
            </w:r>
          </w:p>
        </w:tc>
        <w:tc>
          <w:tcPr>
            <w:tcW w:w="206" w:type="pct"/>
            <w:shd w:val="clear" w:color="auto" w:fill="8DB3E2" w:themeFill="text2" w:themeFillTint="66"/>
            <w:vAlign w:val="bottom"/>
          </w:tcPr>
          <w:p w:rsidR="00034CEB" w:rsidRPr="00743378" w:rsidRDefault="00034CEB" w:rsidP="004D4FD7">
            <w:pPr>
              <w:rPr>
                <w:color w:val="000000"/>
                <w:sz w:val="18"/>
                <w:szCs w:val="18"/>
                <w:lang w:eastAsia="fr-FR"/>
              </w:rPr>
            </w:pPr>
          </w:p>
        </w:tc>
        <w:tc>
          <w:tcPr>
            <w:tcW w:w="206" w:type="pct"/>
            <w:shd w:val="clear" w:color="auto" w:fill="FFFFFF" w:themeFill="background1"/>
            <w:vAlign w:val="center"/>
          </w:tcPr>
          <w:p w:rsidR="00034CEB" w:rsidRPr="00743378" w:rsidRDefault="00034CEB" w:rsidP="004D4FD7">
            <w:pPr>
              <w:ind w:firstLineChars="100" w:firstLine="180"/>
              <w:rPr>
                <w:color w:val="000000"/>
                <w:sz w:val="18"/>
                <w:szCs w:val="18"/>
                <w:lang w:eastAsia="fr-FR"/>
              </w:rPr>
            </w:pPr>
          </w:p>
        </w:tc>
        <w:tc>
          <w:tcPr>
            <w:tcW w:w="206" w:type="pct"/>
            <w:shd w:val="clear" w:color="auto" w:fill="FFFFFF" w:themeFill="background1"/>
            <w:vAlign w:val="bottom"/>
          </w:tcPr>
          <w:p w:rsidR="00034CEB" w:rsidRPr="00743378" w:rsidRDefault="00034CEB" w:rsidP="004D4FD7">
            <w:pPr>
              <w:rPr>
                <w:color w:val="000000"/>
                <w:sz w:val="18"/>
                <w:szCs w:val="18"/>
                <w:lang w:eastAsia="fr-FR"/>
              </w:rPr>
            </w:pPr>
          </w:p>
        </w:tc>
        <w:tc>
          <w:tcPr>
            <w:tcW w:w="2635" w:type="pct"/>
            <w:hideMark/>
          </w:tcPr>
          <w:p w:rsidR="00034CEB" w:rsidRPr="00743378" w:rsidRDefault="00034CEB" w:rsidP="004D4FD7">
            <w:pPr>
              <w:spacing w:before="120" w:after="120"/>
              <w:rPr>
                <w:color w:val="000000"/>
                <w:sz w:val="18"/>
                <w:szCs w:val="18"/>
              </w:rPr>
            </w:pPr>
            <w:r w:rsidRPr="00743378">
              <w:rPr>
                <w:color w:val="000000"/>
                <w:sz w:val="18"/>
                <w:szCs w:val="18"/>
              </w:rPr>
              <w:t xml:space="preserve">Une cession d’intérêt est une opération juridique aboutissant au transfert entre les parties ou à toute autre entité, autre qu’une partie de tout ou partie des droits et obligations découlant du contrat. </w:t>
            </w:r>
          </w:p>
          <w:p w:rsidR="00034CEB" w:rsidRPr="00743378" w:rsidRDefault="00034CEB" w:rsidP="004D4FD7">
            <w:pPr>
              <w:spacing w:before="120" w:after="120"/>
              <w:rPr>
                <w:color w:val="000000"/>
                <w:sz w:val="18"/>
                <w:szCs w:val="18"/>
              </w:rPr>
            </w:pPr>
            <w:r w:rsidRPr="00743378">
              <w:rPr>
                <w:color w:val="000000"/>
                <w:sz w:val="18"/>
                <w:szCs w:val="18"/>
              </w:rPr>
              <w:t>Au niveau du Secteur Minier, les plus-values dégagées sur les opérations de cession d’intérêts sont intégrées dans l’assiette de la contribution professionnelle sur les bénéfices et ne sont donc pas taxées séparément.</w:t>
            </w:r>
          </w:p>
          <w:p w:rsidR="00034CEB" w:rsidRPr="00743378" w:rsidRDefault="00034CEB" w:rsidP="004D4FD7">
            <w:pPr>
              <w:spacing w:before="120" w:after="120"/>
              <w:rPr>
                <w:color w:val="000000"/>
                <w:sz w:val="18"/>
                <w:szCs w:val="18"/>
              </w:rPr>
            </w:pPr>
            <w:r w:rsidRPr="00743378">
              <w:rPr>
                <w:color w:val="000000"/>
                <w:sz w:val="18"/>
                <w:szCs w:val="18"/>
              </w:rPr>
              <w:t>Au niveau du Secteur Pétrolier, les dites plus-values sont soumises à la taxe sur les plus- values selon les taux stipulés dans la Convention/Contrat de partage.</w:t>
            </w:r>
          </w:p>
        </w:tc>
      </w:tr>
      <w:tr w:rsidR="00CD450A" w:rsidRPr="00743378" w:rsidTr="00155613">
        <w:trPr>
          <w:trHeight w:val="450"/>
          <w:jc w:val="center"/>
        </w:trPr>
        <w:tc>
          <w:tcPr>
            <w:tcW w:w="1255" w:type="pct"/>
            <w:vAlign w:val="center"/>
          </w:tcPr>
          <w:p w:rsidR="00034CEB" w:rsidRPr="00743378" w:rsidRDefault="00034CEB" w:rsidP="004D4FD7">
            <w:pPr>
              <w:rPr>
                <w:color w:val="000000"/>
                <w:sz w:val="18"/>
                <w:szCs w:val="18"/>
                <w:lang w:eastAsia="fr-FR"/>
              </w:rPr>
            </w:pPr>
            <w:r w:rsidRPr="00743378">
              <w:rPr>
                <w:color w:val="000000"/>
                <w:sz w:val="18"/>
                <w:szCs w:val="18"/>
                <w:lang w:eastAsia="fr-FR"/>
              </w:rPr>
              <w:t>Contribution au budget de l’Etat payée par la COHYDRO SA</w:t>
            </w:r>
          </w:p>
        </w:tc>
        <w:tc>
          <w:tcPr>
            <w:tcW w:w="492" w:type="pct"/>
            <w:vAlign w:val="center"/>
          </w:tcPr>
          <w:p w:rsidR="00034CEB" w:rsidRPr="00743378" w:rsidRDefault="00034CEB" w:rsidP="004D4FD7">
            <w:pPr>
              <w:jc w:val="center"/>
              <w:rPr>
                <w:color w:val="000000"/>
                <w:sz w:val="18"/>
                <w:szCs w:val="18"/>
                <w:lang w:eastAsia="fr-FR"/>
              </w:rPr>
            </w:pPr>
            <w:r w:rsidRPr="00743378">
              <w:rPr>
                <w:color w:val="000000"/>
                <w:sz w:val="18"/>
                <w:szCs w:val="18"/>
                <w:lang w:eastAsia="fr-FR"/>
              </w:rPr>
              <w:t>DGRAD</w:t>
            </w:r>
          </w:p>
        </w:tc>
        <w:tc>
          <w:tcPr>
            <w:tcW w:w="206" w:type="pct"/>
            <w:shd w:val="clear" w:color="auto" w:fill="8DB3E2" w:themeFill="text2" w:themeFillTint="66"/>
            <w:vAlign w:val="bottom"/>
          </w:tcPr>
          <w:p w:rsidR="00034CEB" w:rsidRPr="00743378" w:rsidRDefault="00034CEB" w:rsidP="004D4FD7">
            <w:pPr>
              <w:spacing w:after="0"/>
              <w:jc w:val="left"/>
              <w:rPr>
                <w:bCs w:val="0"/>
                <w:sz w:val="18"/>
                <w:szCs w:val="18"/>
                <w:lang w:eastAsia="fr-FR"/>
              </w:rPr>
            </w:pPr>
          </w:p>
        </w:tc>
        <w:tc>
          <w:tcPr>
            <w:tcW w:w="206" w:type="pct"/>
            <w:shd w:val="clear" w:color="auto" w:fill="FFFFFF" w:themeFill="background1"/>
            <w:vAlign w:val="center"/>
          </w:tcPr>
          <w:p w:rsidR="00034CEB" w:rsidRPr="00743378" w:rsidRDefault="00034CEB" w:rsidP="004D4FD7">
            <w:pPr>
              <w:spacing w:after="0"/>
              <w:jc w:val="left"/>
              <w:rPr>
                <w:bCs w:val="0"/>
                <w:sz w:val="18"/>
                <w:szCs w:val="18"/>
                <w:lang w:eastAsia="fr-FR"/>
              </w:rPr>
            </w:pPr>
          </w:p>
        </w:tc>
        <w:tc>
          <w:tcPr>
            <w:tcW w:w="206" w:type="pct"/>
            <w:shd w:val="clear" w:color="auto" w:fill="FFFFFF" w:themeFill="background1"/>
            <w:vAlign w:val="bottom"/>
          </w:tcPr>
          <w:p w:rsidR="00034CEB" w:rsidRPr="00743378" w:rsidRDefault="00034CEB" w:rsidP="004D4FD7">
            <w:pPr>
              <w:spacing w:after="0"/>
              <w:jc w:val="left"/>
              <w:rPr>
                <w:bCs w:val="0"/>
                <w:sz w:val="18"/>
                <w:szCs w:val="18"/>
                <w:lang w:eastAsia="fr-FR"/>
              </w:rPr>
            </w:pPr>
          </w:p>
        </w:tc>
        <w:tc>
          <w:tcPr>
            <w:tcW w:w="2635" w:type="pct"/>
          </w:tcPr>
          <w:p w:rsidR="00034CEB" w:rsidRPr="00743378" w:rsidRDefault="00034CEB" w:rsidP="004D4FD7">
            <w:pPr>
              <w:spacing w:before="120" w:after="120"/>
              <w:rPr>
                <w:color w:val="000000"/>
                <w:sz w:val="18"/>
                <w:szCs w:val="18"/>
              </w:rPr>
            </w:pPr>
            <w:r w:rsidRPr="00743378">
              <w:rPr>
                <w:color w:val="000000"/>
                <w:sz w:val="18"/>
                <w:szCs w:val="18"/>
              </w:rPr>
              <w:t>La loi de Finance 2013 a assigné à la COHYDRO SA le paiement d’une contribution annuelle au profit du budget de l’Etat.</w:t>
            </w:r>
          </w:p>
        </w:tc>
      </w:tr>
      <w:tr w:rsidR="00CD450A" w:rsidRPr="00743378" w:rsidTr="00155613">
        <w:trPr>
          <w:trHeight w:val="450"/>
          <w:jc w:val="center"/>
        </w:trPr>
        <w:tc>
          <w:tcPr>
            <w:tcW w:w="1255" w:type="pct"/>
            <w:vAlign w:val="center"/>
          </w:tcPr>
          <w:p w:rsidR="00034CEB" w:rsidRPr="00743378" w:rsidRDefault="00034CEB" w:rsidP="004D4FD7">
            <w:pPr>
              <w:spacing w:before="60" w:after="60"/>
              <w:rPr>
                <w:sz w:val="18"/>
                <w:szCs w:val="18"/>
                <w:lang w:eastAsia="fr-FR"/>
              </w:rPr>
            </w:pPr>
            <w:r w:rsidRPr="00743378">
              <w:rPr>
                <w:sz w:val="18"/>
                <w:szCs w:val="18"/>
                <w:lang w:eastAsia="fr-FR"/>
              </w:rPr>
              <w:t>Frais</w:t>
            </w:r>
            <w:r w:rsidRPr="00743378">
              <w:rPr>
                <w:bCs w:val="0"/>
                <w:sz w:val="18"/>
                <w:szCs w:val="18"/>
                <w:lang w:eastAsia="fr-FR"/>
              </w:rPr>
              <w:t xml:space="preserve"> de passage /Redevance superficiaire</w:t>
            </w:r>
          </w:p>
        </w:tc>
        <w:tc>
          <w:tcPr>
            <w:tcW w:w="492" w:type="pct"/>
            <w:vAlign w:val="center"/>
          </w:tcPr>
          <w:p w:rsidR="00034CEB" w:rsidRPr="00743378" w:rsidRDefault="00034CEB" w:rsidP="004D4FD7">
            <w:pPr>
              <w:jc w:val="center"/>
              <w:rPr>
                <w:color w:val="000000"/>
                <w:sz w:val="18"/>
                <w:szCs w:val="18"/>
                <w:lang w:eastAsia="fr-FR"/>
              </w:rPr>
            </w:pPr>
            <w:r w:rsidRPr="00743378">
              <w:rPr>
                <w:color w:val="000000"/>
                <w:sz w:val="18"/>
                <w:szCs w:val="18"/>
                <w:lang w:eastAsia="fr-FR"/>
              </w:rPr>
              <w:t>DGRAD</w:t>
            </w:r>
          </w:p>
        </w:tc>
        <w:tc>
          <w:tcPr>
            <w:tcW w:w="206" w:type="pct"/>
            <w:shd w:val="clear" w:color="auto" w:fill="8DB3E2" w:themeFill="text2" w:themeFillTint="66"/>
            <w:vAlign w:val="bottom"/>
          </w:tcPr>
          <w:p w:rsidR="00034CEB" w:rsidRPr="00743378" w:rsidRDefault="00034CEB" w:rsidP="004D4FD7">
            <w:pPr>
              <w:spacing w:after="0"/>
              <w:jc w:val="left"/>
              <w:rPr>
                <w:bCs w:val="0"/>
                <w:sz w:val="18"/>
                <w:szCs w:val="18"/>
                <w:lang w:eastAsia="fr-FR"/>
              </w:rPr>
            </w:pPr>
          </w:p>
        </w:tc>
        <w:tc>
          <w:tcPr>
            <w:tcW w:w="206" w:type="pct"/>
            <w:tcBorders>
              <w:bottom w:val="single" w:sz="4" w:space="0" w:color="4F81BD" w:themeColor="accent1"/>
            </w:tcBorders>
            <w:shd w:val="clear" w:color="auto" w:fill="FFFFFF" w:themeFill="background1"/>
            <w:vAlign w:val="center"/>
          </w:tcPr>
          <w:p w:rsidR="00034CEB" w:rsidRPr="00743378" w:rsidRDefault="00034CEB" w:rsidP="004D4FD7">
            <w:pPr>
              <w:spacing w:after="0"/>
              <w:jc w:val="left"/>
              <w:rPr>
                <w:bCs w:val="0"/>
                <w:sz w:val="18"/>
                <w:szCs w:val="18"/>
                <w:lang w:eastAsia="fr-FR"/>
              </w:rPr>
            </w:pPr>
          </w:p>
        </w:tc>
        <w:tc>
          <w:tcPr>
            <w:tcW w:w="206" w:type="pct"/>
            <w:tcBorders>
              <w:bottom w:val="single" w:sz="4" w:space="0" w:color="4F81BD" w:themeColor="accent1"/>
            </w:tcBorders>
            <w:shd w:val="clear" w:color="auto" w:fill="FFFFFF" w:themeFill="background1"/>
            <w:vAlign w:val="bottom"/>
          </w:tcPr>
          <w:p w:rsidR="00034CEB" w:rsidRPr="00743378" w:rsidRDefault="00034CEB" w:rsidP="004D4FD7">
            <w:pPr>
              <w:spacing w:after="0"/>
              <w:jc w:val="left"/>
              <w:rPr>
                <w:bCs w:val="0"/>
                <w:sz w:val="18"/>
                <w:szCs w:val="18"/>
                <w:lang w:eastAsia="fr-FR"/>
              </w:rPr>
            </w:pPr>
          </w:p>
        </w:tc>
        <w:tc>
          <w:tcPr>
            <w:tcW w:w="2635" w:type="pct"/>
          </w:tcPr>
          <w:p w:rsidR="00034CEB" w:rsidRPr="00743378" w:rsidRDefault="00034CEB" w:rsidP="004D4FD7">
            <w:pPr>
              <w:spacing w:before="120" w:after="120"/>
              <w:rPr>
                <w:color w:val="000000"/>
                <w:sz w:val="18"/>
                <w:szCs w:val="18"/>
              </w:rPr>
            </w:pPr>
            <w:r w:rsidRPr="00743378">
              <w:rPr>
                <w:color w:val="000000"/>
                <w:sz w:val="18"/>
                <w:szCs w:val="18"/>
              </w:rPr>
              <w:t xml:space="preserve">Ces frais sont perçus par la DGRAD de la société « Cabinda </w:t>
            </w:r>
            <w:proofErr w:type="spellStart"/>
            <w:r w:rsidRPr="00743378">
              <w:rPr>
                <w:color w:val="000000"/>
                <w:sz w:val="18"/>
                <w:szCs w:val="18"/>
              </w:rPr>
              <w:t>Oil</w:t>
            </w:r>
            <w:proofErr w:type="spellEnd"/>
            <w:r w:rsidRPr="00743378">
              <w:rPr>
                <w:color w:val="000000"/>
                <w:sz w:val="18"/>
                <w:szCs w:val="18"/>
              </w:rPr>
              <w:t xml:space="preserve"> </w:t>
            </w:r>
            <w:proofErr w:type="spellStart"/>
            <w:r w:rsidRPr="00743378">
              <w:rPr>
                <w:color w:val="000000"/>
                <w:sz w:val="18"/>
                <w:szCs w:val="18"/>
              </w:rPr>
              <w:t>Company</w:t>
            </w:r>
            <w:proofErr w:type="spellEnd"/>
            <w:r w:rsidRPr="00743378">
              <w:rPr>
                <w:color w:val="000000"/>
                <w:sz w:val="18"/>
                <w:szCs w:val="18"/>
              </w:rPr>
              <w:t xml:space="preserve"> Ltd » au titre du passage de son Gazoduc par la RDC.  </w:t>
            </w:r>
          </w:p>
        </w:tc>
      </w:tr>
      <w:tr w:rsidR="00034CEB" w:rsidRPr="00743378" w:rsidTr="00155613">
        <w:trPr>
          <w:trHeight w:val="450"/>
          <w:jc w:val="center"/>
        </w:trPr>
        <w:tc>
          <w:tcPr>
            <w:tcW w:w="1255" w:type="pct"/>
            <w:vAlign w:val="center"/>
          </w:tcPr>
          <w:p w:rsidR="00034CEB" w:rsidRPr="00743378" w:rsidRDefault="00034CEB" w:rsidP="004D4FD7">
            <w:pPr>
              <w:spacing w:before="60" w:after="60"/>
              <w:rPr>
                <w:color w:val="000000"/>
                <w:sz w:val="18"/>
                <w:szCs w:val="18"/>
                <w:lang w:eastAsia="fr-FR"/>
              </w:rPr>
            </w:pPr>
            <w:r w:rsidRPr="00743378">
              <w:lastRenderedPageBreak/>
              <w:t>Taxe sur autorisation d'exploitation des eaux naturelles de surface ou souterraines.</w:t>
            </w:r>
          </w:p>
        </w:tc>
        <w:tc>
          <w:tcPr>
            <w:tcW w:w="492" w:type="pct"/>
            <w:vAlign w:val="center"/>
          </w:tcPr>
          <w:p w:rsidR="00034CEB" w:rsidRPr="00743378" w:rsidRDefault="00034CEB" w:rsidP="004D4FD7">
            <w:pPr>
              <w:jc w:val="center"/>
              <w:rPr>
                <w:color w:val="000000"/>
                <w:sz w:val="18"/>
                <w:szCs w:val="18"/>
                <w:lang w:eastAsia="fr-FR"/>
              </w:rPr>
            </w:pPr>
            <w:r w:rsidRPr="00743378">
              <w:rPr>
                <w:color w:val="000000"/>
                <w:sz w:val="18"/>
                <w:szCs w:val="18"/>
                <w:lang w:eastAsia="fr-FR"/>
              </w:rPr>
              <w:t>DGRAD</w:t>
            </w:r>
          </w:p>
        </w:tc>
        <w:tc>
          <w:tcPr>
            <w:tcW w:w="206" w:type="pct"/>
            <w:shd w:val="clear" w:color="auto" w:fill="auto"/>
            <w:vAlign w:val="bottom"/>
          </w:tcPr>
          <w:p w:rsidR="00034CEB" w:rsidRPr="00743378" w:rsidRDefault="00034CEB" w:rsidP="004D4FD7">
            <w:pPr>
              <w:spacing w:after="0"/>
              <w:jc w:val="left"/>
              <w:rPr>
                <w:bCs w:val="0"/>
                <w:sz w:val="18"/>
                <w:szCs w:val="18"/>
                <w:lang w:eastAsia="fr-FR"/>
              </w:rPr>
            </w:pPr>
          </w:p>
        </w:tc>
        <w:tc>
          <w:tcPr>
            <w:tcW w:w="206" w:type="pct"/>
            <w:shd w:val="clear" w:color="auto" w:fill="95B3D7" w:themeFill="accent1" w:themeFillTint="99"/>
            <w:vAlign w:val="center"/>
          </w:tcPr>
          <w:p w:rsidR="00034CEB" w:rsidRPr="00743378" w:rsidRDefault="00034CEB" w:rsidP="004D4FD7">
            <w:pPr>
              <w:spacing w:after="0"/>
              <w:jc w:val="left"/>
              <w:rPr>
                <w:bCs w:val="0"/>
                <w:sz w:val="18"/>
                <w:szCs w:val="18"/>
                <w:lang w:eastAsia="fr-FR"/>
              </w:rPr>
            </w:pPr>
          </w:p>
        </w:tc>
        <w:tc>
          <w:tcPr>
            <w:tcW w:w="206" w:type="pct"/>
            <w:shd w:val="clear" w:color="auto" w:fill="95B3D7" w:themeFill="accent1" w:themeFillTint="99"/>
            <w:vAlign w:val="bottom"/>
          </w:tcPr>
          <w:p w:rsidR="00034CEB" w:rsidRPr="00743378" w:rsidRDefault="00034CEB" w:rsidP="004D4FD7">
            <w:pPr>
              <w:spacing w:after="0"/>
              <w:jc w:val="left"/>
              <w:rPr>
                <w:bCs w:val="0"/>
                <w:sz w:val="18"/>
                <w:szCs w:val="18"/>
                <w:lang w:eastAsia="fr-FR"/>
              </w:rPr>
            </w:pPr>
          </w:p>
        </w:tc>
        <w:tc>
          <w:tcPr>
            <w:tcW w:w="2635" w:type="pct"/>
          </w:tcPr>
          <w:p w:rsidR="00034CEB" w:rsidRPr="00743378" w:rsidRDefault="00034CEB" w:rsidP="004D4FD7">
            <w:pPr>
              <w:spacing w:before="120" w:after="120"/>
              <w:rPr>
                <w:color w:val="000000"/>
                <w:sz w:val="18"/>
                <w:szCs w:val="18"/>
              </w:rPr>
            </w:pPr>
            <w:r w:rsidRPr="00743378">
              <w:rPr>
                <w:color w:val="000000"/>
                <w:sz w:val="18"/>
                <w:szCs w:val="18"/>
              </w:rPr>
              <w:t xml:space="preserve">Cette taxe est prévue par l’Arrêté Ministériel n° 070/CAB.MIN-ENER/2006 du 9 décembre 2006 modifiant et complétant l'Arrêté ministériel n° E/SG/0/0133/C2/93 du 17 mars 1993. Cette taxe est payée </w:t>
            </w:r>
            <w:r w:rsidRPr="00743378">
              <w:t>annuellement pour le compte du trésor public à travers la DGRAD</w:t>
            </w:r>
          </w:p>
        </w:tc>
      </w:tr>
      <w:tr w:rsidR="00034CEB" w:rsidRPr="00743378" w:rsidTr="00155613">
        <w:trPr>
          <w:trHeight w:val="450"/>
          <w:jc w:val="center"/>
        </w:trPr>
        <w:tc>
          <w:tcPr>
            <w:tcW w:w="1255" w:type="pct"/>
            <w:vAlign w:val="center"/>
          </w:tcPr>
          <w:p w:rsidR="00034CEB" w:rsidRPr="00743378" w:rsidRDefault="00034CEB" w:rsidP="004D4FD7">
            <w:pPr>
              <w:spacing w:before="60" w:after="60"/>
              <w:rPr>
                <w:color w:val="000000"/>
                <w:sz w:val="18"/>
                <w:szCs w:val="18"/>
                <w:lang w:eastAsia="fr-FR"/>
              </w:rPr>
            </w:pPr>
            <w:r w:rsidRPr="00743378">
              <w:rPr>
                <w:color w:val="000000"/>
                <w:sz w:val="18"/>
                <w:szCs w:val="18"/>
                <w:lang w:eastAsia="fr-FR"/>
              </w:rPr>
              <w:t>Police</w:t>
            </w:r>
            <w:r w:rsidRPr="00743378">
              <w:rPr>
                <w:rFonts w:ascii="Garamond" w:hAnsi="Garamond"/>
                <w:color w:val="000000"/>
                <w:lang w:eastAsia="fr-FR"/>
              </w:rPr>
              <w:t xml:space="preserve"> </w:t>
            </w:r>
            <w:r w:rsidRPr="00743378">
              <w:rPr>
                <w:color w:val="000000"/>
                <w:sz w:val="18"/>
                <w:szCs w:val="18"/>
                <w:lang w:eastAsia="fr-FR"/>
              </w:rPr>
              <w:t>des mines et hydrocarbures</w:t>
            </w:r>
          </w:p>
        </w:tc>
        <w:tc>
          <w:tcPr>
            <w:tcW w:w="492" w:type="pct"/>
            <w:vAlign w:val="center"/>
          </w:tcPr>
          <w:p w:rsidR="00034CEB" w:rsidRPr="00743378" w:rsidRDefault="00034CEB" w:rsidP="004D4FD7">
            <w:pPr>
              <w:jc w:val="center"/>
              <w:rPr>
                <w:color w:val="000000"/>
                <w:sz w:val="18"/>
                <w:szCs w:val="18"/>
                <w:lang w:eastAsia="fr-FR"/>
              </w:rPr>
            </w:pPr>
            <w:r w:rsidRPr="00743378">
              <w:rPr>
                <w:color w:val="000000"/>
                <w:sz w:val="18"/>
                <w:szCs w:val="18"/>
                <w:lang w:eastAsia="fr-FR"/>
              </w:rPr>
              <w:t>DGRAD</w:t>
            </w:r>
          </w:p>
        </w:tc>
        <w:tc>
          <w:tcPr>
            <w:tcW w:w="206" w:type="pct"/>
            <w:shd w:val="clear" w:color="auto" w:fill="auto"/>
            <w:vAlign w:val="bottom"/>
          </w:tcPr>
          <w:p w:rsidR="00034CEB" w:rsidRPr="00743378" w:rsidRDefault="00034CEB" w:rsidP="004D4FD7">
            <w:pPr>
              <w:spacing w:after="0"/>
              <w:jc w:val="left"/>
              <w:rPr>
                <w:bCs w:val="0"/>
                <w:sz w:val="18"/>
                <w:szCs w:val="18"/>
                <w:lang w:eastAsia="fr-FR"/>
              </w:rPr>
            </w:pPr>
          </w:p>
        </w:tc>
        <w:tc>
          <w:tcPr>
            <w:tcW w:w="206" w:type="pct"/>
            <w:shd w:val="clear" w:color="auto" w:fill="auto"/>
            <w:vAlign w:val="center"/>
          </w:tcPr>
          <w:p w:rsidR="00034CEB" w:rsidRPr="00743378" w:rsidRDefault="00034CEB" w:rsidP="004D4FD7">
            <w:pPr>
              <w:spacing w:after="0"/>
              <w:jc w:val="left"/>
              <w:rPr>
                <w:bCs w:val="0"/>
                <w:sz w:val="18"/>
                <w:szCs w:val="18"/>
                <w:lang w:eastAsia="fr-FR"/>
              </w:rPr>
            </w:pPr>
          </w:p>
        </w:tc>
        <w:tc>
          <w:tcPr>
            <w:tcW w:w="206" w:type="pct"/>
            <w:shd w:val="clear" w:color="auto" w:fill="auto"/>
            <w:vAlign w:val="bottom"/>
          </w:tcPr>
          <w:p w:rsidR="00034CEB" w:rsidRPr="00743378" w:rsidRDefault="00034CEB" w:rsidP="004D4FD7">
            <w:pPr>
              <w:spacing w:after="0"/>
              <w:jc w:val="left"/>
              <w:rPr>
                <w:bCs w:val="0"/>
                <w:sz w:val="18"/>
                <w:szCs w:val="18"/>
                <w:lang w:eastAsia="fr-FR"/>
              </w:rPr>
            </w:pPr>
          </w:p>
        </w:tc>
        <w:tc>
          <w:tcPr>
            <w:tcW w:w="2635" w:type="pct"/>
          </w:tcPr>
          <w:p w:rsidR="00034CEB" w:rsidRPr="00743378" w:rsidRDefault="00034CEB" w:rsidP="004D4FD7">
            <w:pPr>
              <w:spacing w:before="120" w:after="120"/>
              <w:rPr>
                <w:color w:val="000000"/>
                <w:sz w:val="18"/>
                <w:szCs w:val="18"/>
              </w:rPr>
            </w:pPr>
            <w:r w:rsidRPr="00743378">
              <w:rPr>
                <w:color w:val="000000"/>
                <w:sz w:val="18"/>
                <w:szCs w:val="18"/>
              </w:rPr>
              <w:t xml:space="preserve">Cette taxe a été </w:t>
            </w:r>
            <w:proofErr w:type="gramStart"/>
            <w:r w:rsidRPr="00743378">
              <w:rPr>
                <w:color w:val="000000"/>
                <w:sz w:val="18"/>
                <w:szCs w:val="18"/>
              </w:rPr>
              <w:t>déclaré</w:t>
            </w:r>
            <w:proofErr w:type="gramEnd"/>
            <w:r w:rsidRPr="00743378">
              <w:rPr>
                <w:color w:val="000000"/>
                <w:sz w:val="18"/>
                <w:szCs w:val="18"/>
              </w:rPr>
              <w:t xml:space="preserve"> payée par les sociétés minières à la DGRAD au cours des exercices précédents. (La référence légale ne nous a pas été communiquée).</w:t>
            </w:r>
          </w:p>
        </w:tc>
      </w:tr>
      <w:tr w:rsidR="00CD450A" w:rsidRPr="00743378" w:rsidTr="00155613">
        <w:trPr>
          <w:trHeight w:val="450"/>
          <w:jc w:val="center"/>
        </w:trPr>
        <w:tc>
          <w:tcPr>
            <w:tcW w:w="1255" w:type="pct"/>
            <w:vAlign w:val="center"/>
            <w:hideMark/>
          </w:tcPr>
          <w:p w:rsidR="00034CEB" w:rsidRPr="00743378" w:rsidRDefault="00034CEB" w:rsidP="004D4FD7">
            <w:pPr>
              <w:rPr>
                <w:color w:val="000000"/>
                <w:sz w:val="18"/>
                <w:szCs w:val="18"/>
                <w:lang w:eastAsia="fr-FR"/>
              </w:rPr>
            </w:pPr>
            <w:r w:rsidRPr="00743378">
              <w:rPr>
                <w:color w:val="000000"/>
                <w:sz w:val="18"/>
                <w:szCs w:val="18"/>
                <w:lang w:eastAsia="fr-FR"/>
              </w:rPr>
              <w:t>Cession d’actifs</w:t>
            </w:r>
          </w:p>
        </w:tc>
        <w:tc>
          <w:tcPr>
            <w:tcW w:w="492" w:type="pct"/>
            <w:vAlign w:val="center"/>
            <w:hideMark/>
          </w:tcPr>
          <w:p w:rsidR="00034CEB" w:rsidRPr="00743378" w:rsidRDefault="00034CEB" w:rsidP="004D4FD7">
            <w:pPr>
              <w:jc w:val="center"/>
              <w:rPr>
                <w:color w:val="000000"/>
                <w:sz w:val="18"/>
                <w:szCs w:val="18"/>
                <w:lang w:eastAsia="fr-FR"/>
              </w:rPr>
            </w:pPr>
            <w:r w:rsidRPr="00743378">
              <w:rPr>
                <w:color w:val="000000"/>
                <w:sz w:val="18"/>
                <w:szCs w:val="18"/>
                <w:lang w:eastAsia="fr-FR"/>
              </w:rPr>
              <w:t>Entreprises publiques</w:t>
            </w:r>
          </w:p>
        </w:tc>
        <w:tc>
          <w:tcPr>
            <w:tcW w:w="206" w:type="pct"/>
            <w:shd w:val="clear" w:color="auto" w:fill="8DB3E2" w:themeFill="text2" w:themeFillTint="66"/>
            <w:vAlign w:val="bottom"/>
            <w:hideMark/>
          </w:tcPr>
          <w:p w:rsidR="00034CEB" w:rsidRPr="00743378" w:rsidRDefault="00034CEB" w:rsidP="004D4FD7">
            <w:pPr>
              <w:spacing w:after="0"/>
              <w:jc w:val="left"/>
              <w:rPr>
                <w:bCs w:val="0"/>
                <w:sz w:val="18"/>
                <w:szCs w:val="18"/>
                <w:lang w:eastAsia="fr-FR"/>
              </w:rPr>
            </w:pPr>
          </w:p>
        </w:tc>
        <w:tc>
          <w:tcPr>
            <w:tcW w:w="206" w:type="pct"/>
            <w:shd w:val="clear" w:color="auto" w:fill="8DB3E2" w:themeFill="text2" w:themeFillTint="66"/>
            <w:vAlign w:val="center"/>
            <w:hideMark/>
          </w:tcPr>
          <w:p w:rsidR="00034CEB" w:rsidRPr="00743378" w:rsidRDefault="00034CEB" w:rsidP="004D4FD7">
            <w:pPr>
              <w:spacing w:after="0"/>
              <w:jc w:val="left"/>
              <w:rPr>
                <w:bCs w:val="0"/>
                <w:sz w:val="18"/>
                <w:szCs w:val="18"/>
                <w:lang w:eastAsia="fr-FR"/>
              </w:rPr>
            </w:pPr>
          </w:p>
        </w:tc>
        <w:tc>
          <w:tcPr>
            <w:tcW w:w="206" w:type="pct"/>
            <w:shd w:val="clear" w:color="auto" w:fill="8DB3E2" w:themeFill="text2" w:themeFillTint="66"/>
            <w:vAlign w:val="bottom"/>
            <w:hideMark/>
          </w:tcPr>
          <w:p w:rsidR="00034CEB" w:rsidRPr="00743378" w:rsidRDefault="00034CEB" w:rsidP="004D4FD7">
            <w:pPr>
              <w:spacing w:after="0"/>
              <w:jc w:val="left"/>
              <w:rPr>
                <w:bCs w:val="0"/>
                <w:sz w:val="18"/>
                <w:szCs w:val="18"/>
                <w:lang w:eastAsia="fr-FR"/>
              </w:rPr>
            </w:pPr>
          </w:p>
        </w:tc>
        <w:tc>
          <w:tcPr>
            <w:tcW w:w="2635" w:type="pct"/>
            <w:hideMark/>
          </w:tcPr>
          <w:p w:rsidR="00034CEB" w:rsidRPr="00743378" w:rsidRDefault="00034CEB" w:rsidP="004D4FD7">
            <w:pPr>
              <w:spacing w:before="120" w:after="120"/>
              <w:rPr>
                <w:color w:val="000000"/>
                <w:sz w:val="18"/>
                <w:szCs w:val="18"/>
              </w:rPr>
            </w:pPr>
            <w:r w:rsidRPr="00743378">
              <w:rPr>
                <w:color w:val="000000"/>
                <w:sz w:val="18"/>
                <w:szCs w:val="18"/>
              </w:rPr>
              <w:t>Sommes perçues par les entreprises publiques en contrepartie de la cession de ses actifs sur les immobilisations incorporelles ou corporelles.</w:t>
            </w:r>
          </w:p>
        </w:tc>
      </w:tr>
      <w:tr w:rsidR="00034CEB" w:rsidRPr="00743378" w:rsidTr="00155613">
        <w:trPr>
          <w:trHeight w:val="450"/>
          <w:jc w:val="center"/>
        </w:trPr>
        <w:tc>
          <w:tcPr>
            <w:tcW w:w="1255" w:type="pct"/>
            <w:vAlign w:val="center"/>
            <w:hideMark/>
          </w:tcPr>
          <w:p w:rsidR="00034CEB" w:rsidRPr="00743378" w:rsidRDefault="00034CEB" w:rsidP="004D4FD7">
            <w:pPr>
              <w:rPr>
                <w:color w:val="000000"/>
                <w:sz w:val="18"/>
                <w:szCs w:val="18"/>
                <w:lang w:eastAsia="fr-FR"/>
              </w:rPr>
            </w:pPr>
            <w:r w:rsidRPr="00743378">
              <w:rPr>
                <w:color w:val="000000"/>
                <w:sz w:val="18"/>
                <w:szCs w:val="18"/>
                <w:lang w:eastAsia="fr-FR"/>
              </w:rPr>
              <w:t>Dividendes versées aux entreprises publiques </w:t>
            </w:r>
          </w:p>
        </w:tc>
        <w:tc>
          <w:tcPr>
            <w:tcW w:w="492" w:type="pct"/>
            <w:vAlign w:val="center"/>
            <w:hideMark/>
          </w:tcPr>
          <w:p w:rsidR="00034CEB" w:rsidRPr="00743378" w:rsidRDefault="00034CEB" w:rsidP="004D4FD7">
            <w:pPr>
              <w:jc w:val="center"/>
              <w:rPr>
                <w:color w:val="000000"/>
                <w:sz w:val="18"/>
                <w:szCs w:val="18"/>
                <w:lang w:eastAsia="fr-FR"/>
              </w:rPr>
            </w:pPr>
            <w:r w:rsidRPr="00743378">
              <w:rPr>
                <w:color w:val="000000"/>
                <w:sz w:val="18"/>
                <w:szCs w:val="18"/>
                <w:lang w:eastAsia="fr-FR"/>
              </w:rPr>
              <w:t>Entreprises publiques</w:t>
            </w:r>
          </w:p>
        </w:tc>
        <w:tc>
          <w:tcPr>
            <w:tcW w:w="206" w:type="pct"/>
            <w:shd w:val="clear" w:color="auto" w:fill="95B3D7" w:themeFill="accent1" w:themeFillTint="99"/>
            <w:vAlign w:val="bottom"/>
            <w:hideMark/>
          </w:tcPr>
          <w:p w:rsidR="00034CEB" w:rsidRPr="00743378" w:rsidRDefault="00034CEB" w:rsidP="004D4FD7">
            <w:pPr>
              <w:rPr>
                <w:color w:val="000000"/>
                <w:sz w:val="18"/>
                <w:szCs w:val="18"/>
                <w:lang w:eastAsia="fr-FR"/>
              </w:rPr>
            </w:pPr>
            <w:r w:rsidRPr="00743378">
              <w:rPr>
                <w:color w:val="000000"/>
                <w:sz w:val="18"/>
                <w:szCs w:val="18"/>
                <w:lang w:eastAsia="fr-FR"/>
              </w:rPr>
              <w:t> </w:t>
            </w:r>
          </w:p>
        </w:tc>
        <w:tc>
          <w:tcPr>
            <w:tcW w:w="206" w:type="pct"/>
            <w:shd w:val="clear" w:color="auto" w:fill="8DB3E2" w:themeFill="text2" w:themeFillTint="66"/>
            <w:vAlign w:val="center"/>
            <w:hideMark/>
          </w:tcPr>
          <w:p w:rsidR="00034CEB" w:rsidRPr="00743378" w:rsidRDefault="00034CEB" w:rsidP="004D4FD7">
            <w:pPr>
              <w:ind w:firstLineChars="100" w:firstLine="180"/>
              <w:rPr>
                <w:color w:val="000000"/>
                <w:sz w:val="18"/>
                <w:szCs w:val="18"/>
                <w:lang w:eastAsia="fr-FR"/>
              </w:rPr>
            </w:pPr>
            <w:r w:rsidRPr="00743378">
              <w:rPr>
                <w:color w:val="000000"/>
                <w:sz w:val="18"/>
                <w:szCs w:val="18"/>
                <w:lang w:eastAsia="fr-FR"/>
              </w:rPr>
              <w:t> </w:t>
            </w:r>
          </w:p>
        </w:tc>
        <w:tc>
          <w:tcPr>
            <w:tcW w:w="206" w:type="pct"/>
            <w:vAlign w:val="bottom"/>
            <w:hideMark/>
          </w:tcPr>
          <w:p w:rsidR="00034CEB" w:rsidRPr="00743378" w:rsidRDefault="00034CEB" w:rsidP="004D4FD7">
            <w:pPr>
              <w:rPr>
                <w:color w:val="000000"/>
                <w:sz w:val="18"/>
                <w:szCs w:val="18"/>
                <w:lang w:eastAsia="fr-FR"/>
              </w:rPr>
            </w:pPr>
            <w:r w:rsidRPr="00743378">
              <w:rPr>
                <w:color w:val="000000"/>
                <w:sz w:val="18"/>
                <w:szCs w:val="18"/>
                <w:lang w:eastAsia="fr-FR"/>
              </w:rPr>
              <w:t> </w:t>
            </w:r>
          </w:p>
        </w:tc>
        <w:tc>
          <w:tcPr>
            <w:tcW w:w="2635" w:type="pct"/>
            <w:hideMark/>
          </w:tcPr>
          <w:p w:rsidR="00034CEB" w:rsidRPr="00743378" w:rsidRDefault="00034CEB" w:rsidP="004D4FD7">
            <w:pPr>
              <w:spacing w:before="120" w:after="120"/>
              <w:rPr>
                <w:color w:val="000000"/>
                <w:sz w:val="18"/>
                <w:szCs w:val="18"/>
                <w:lang w:eastAsia="fr-FR"/>
              </w:rPr>
            </w:pPr>
            <w:r w:rsidRPr="00743378">
              <w:rPr>
                <w:color w:val="000000"/>
                <w:sz w:val="18"/>
                <w:szCs w:val="18"/>
              </w:rPr>
              <w:t>Les Dividendes versées aux entreprises publiques sont une rémunération versée aux entreprises publiques en tant qu’actionnaires d’une entreprise privée. Les Dividendes versées aux entreprises publiques ne sont pas directement contributifs au budget de l’Etat ; ils sont une part du revenu des entreprises publiques, actionnaires pour le compte de l’Etat, de certaines entreprises privées.</w:t>
            </w:r>
          </w:p>
        </w:tc>
      </w:tr>
      <w:tr w:rsidR="00034CEB" w:rsidRPr="00743378" w:rsidTr="00155613">
        <w:trPr>
          <w:trHeight w:val="450"/>
          <w:jc w:val="center"/>
        </w:trPr>
        <w:tc>
          <w:tcPr>
            <w:tcW w:w="1255" w:type="pct"/>
            <w:vAlign w:val="center"/>
            <w:hideMark/>
          </w:tcPr>
          <w:p w:rsidR="00034CEB" w:rsidRPr="00743378" w:rsidRDefault="00034CEB" w:rsidP="004D4FD7">
            <w:pPr>
              <w:rPr>
                <w:color w:val="000000"/>
                <w:sz w:val="18"/>
                <w:szCs w:val="18"/>
                <w:lang w:eastAsia="fr-FR"/>
              </w:rPr>
            </w:pPr>
            <w:r w:rsidRPr="00743378">
              <w:rPr>
                <w:color w:val="000000"/>
                <w:sz w:val="18"/>
                <w:szCs w:val="18"/>
                <w:lang w:eastAsia="fr-FR"/>
              </w:rPr>
              <w:t>Loyers d’amodiation et/ou rente mensuelle</w:t>
            </w:r>
          </w:p>
        </w:tc>
        <w:tc>
          <w:tcPr>
            <w:tcW w:w="492" w:type="pct"/>
            <w:vAlign w:val="center"/>
            <w:hideMark/>
          </w:tcPr>
          <w:p w:rsidR="00034CEB" w:rsidRPr="00743378" w:rsidRDefault="00034CEB" w:rsidP="004D4FD7">
            <w:pPr>
              <w:jc w:val="center"/>
              <w:rPr>
                <w:color w:val="000000"/>
                <w:sz w:val="18"/>
                <w:szCs w:val="18"/>
                <w:lang w:eastAsia="fr-FR"/>
              </w:rPr>
            </w:pPr>
            <w:r w:rsidRPr="00743378">
              <w:rPr>
                <w:color w:val="000000"/>
                <w:sz w:val="18"/>
                <w:szCs w:val="18"/>
                <w:lang w:eastAsia="fr-FR"/>
              </w:rPr>
              <w:t>Entreprises publiques</w:t>
            </w:r>
          </w:p>
        </w:tc>
        <w:tc>
          <w:tcPr>
            <w:tcW w:w="206" w:type="pct"/>
            <w:vAlign w:val="bottom"/>
            <w:hideMark/>
          </w:tcPr>
          <w:p w:rsidR="00034CEB" w:rsidRPr="00743378" w:rsidRDefault="00034CEB" w:rsidP="004D4FD7">
            <w:pPr>
              <w:spacing w:after="0"/>
              <w:jc w:val="left"/>
              <w:rPr>
                <w:bCs w:val="0"/>
                <w:sz w:val="18"/>
                <w:szCs w:val="18"/>
                <w:lang w:eastAsia="fr-FR"/>
              </w:rPr>
            </w:pPr>
          </w:p>
        </w:tc>
        <w:tc>
          <w:tcPr>
            <w:tcW w:w="206" w:type="pct"/>
            <w:shd w:val="clear" w:color="auto" w:fill="8DB3E2" w:themeFill="text2" w:themeFillTint="66"/>
            <w:vAlign w:val="center"/>
            <w:hideMark/>
          </w:tcPr>
          <w:p w:rsidR="00034CEB" w:rsidRPr="00743378" w:rsidRDefault="00034CEB" w:rsidP="004D4FD7">
            <w:pPr>
              <w:spacing w:after="0"/>
              <w:jc w:val="left"/>
              <w:rPr>
                <w:bCs w:val="0"/>
                <w:sz w:val="18"/>
                <w:szCs w:val="18"/>
                <w:lang w:eastAsia="fr-FR"/>
              </w:rPr>
            </w:pPr>
          </w:p>
        </w:tc>
        <w:tc>
          <w:tcPr>
            <w:tcW w:w="206" w:type="pct"/>
            <w:shd w:val="clear" w:color="auto" w:fill="8DB3E2" w:themeFill="text2" w:themeFillTint="66"/>
            <w:vAlign w:val="center"/>
            <w:hideMark/>
          </w:tcPr>
          <w:p w:rsidR="00034CEB" w:rsidRPr="00743378" w:rsidRDefault="00034CEB" w:rsidP="004D4FD7">
            <w:pPr>
              <w:spacing w:after="0"/>
              <w:jc w:val="left"/>
              <w:rPr>
                <w:bCs w:val="0"/>
                <w:sz w:val="18"/>
                <w:szCs w:val="18"/>
                <w:lang w:eastAsia="fr-FR"/>
              </w:rPr>
            </w:pPr>
          </w:p>
        </w:tc>
        <w:tc>
          <w:tcPr>
            <w:tcW w:w="2635" w:type="pct"/>
            <w:hideMark/>
          </w:tcPr>
          <w:p w:rsidR="00034CEB" w:rsidRPr="00743378" w:rsidRDefault="00034CEB" w:rsidP="004D4FD7">
            <w:pPr>
              <w:spacing w:before="120" w:after="120"/>
              <w:rPr>
                <w:color w:val="000000"/>
                <w:sz w:val="18"/>
                <w:szCs w:val="18"/>
              </w:rPr>
            </w:pPr>
            <w:r w:rsidRPr="00743378">
              <w:rPr>
                <w:color w:val="000000"/>
                <w:sz w:val="18"/>
                <w:szCs w:val="18"/>
              </w:rPr>
              <w:t>Un louage pour une durée déterminée ou indéterminée, sans faculté de sous-louage, de tout ou partie des droits attachés à un droit minier ou une autorisation de carrière moyennant une rémunération fixée par accord entre l’amodiant et l’amodiataire.</w:t>
            </w:r>
          </w:p>
        </w:tc>
      </w:tr>
      <w:tr w:rsidR="00034CEB" w:rsidRPr="00743378" w:rsidTr="00155613">
        <w:trPr>
          <w:trHeight w:val="450"/>
          <w:jc w:val="center"/>
        </w:trPr>
        <w:tc>
          <w:tcPr>
            <w:tcW w:w="1255" w:type="pct"/>
            <w:vAlign w:val="center"/>
            <w:hideMark/>
          </w:tcPr>
          <w:p w:rsidR="00034CEB" w:rsidRPr="00743378" w:rsidRDefault="00034CEB" w:rsidP="004D4FD7">
            <w:pPr>
              <w:rPr>
                <w:color w:val="000000"/>
                <w:sz w:val="18"/>
                <w:szCs w:val="18"/>
                <w:lang w:eastAsia="fr-FR"/>
              </w:rPr>
            </w:pPr>
            <w:r w:rsidRPr="00743378">
              <w:rPr>
                <w:color w:val="000000"/>
                <w:sz w:val="18"/>
                <w:szCs w:val="18"/>
                <w:lang w:eastAsia="fr-FR"/>
              </w:rPr>
              <w:t>Pas-de-porte versés aux entreprises publiques</w:t>
            </w:r>
          </w:p>
        </w:tc>
        <w:tc>
          <w:tcPr>
            <w:tcW w:w="492" w:type="pct"/>
            <w:vAlign w:val="center"/>
            <w:hideMark/>
          </w:tcPr>
          <w:p w:rsidR="00034CEB" w:rsidRPr="00743378" w:rsidRDefault="00034CEB" w:rsidP="004D4FD7">
            <w:pPr>
              <w:jc w:val="center"/>
              <w:rPr>
                <w:color w:val="000000"/>
                <w:sz w:val="18"/>
                <w:szCs w:val="18"/>
                <w:lang w:eastAsia="fr-FR"/>
              </w:rPr>
            </w:pPr>
            <w:r w:rsidRPr="00743378">
              <w:rPr>
                <w:color w:val="000000"/>
                <w:sz w:val="18"/>
                <w:szCs w:val="18"/>
                <w:lang w:eastAsia="fr-FR"/>
              </w:rPr>
              <w:t>Entreprises publiques</w:t>
            </w:r>
          </w:p>
        </w:tc>
        <w:tc>
          <w:tcPr>
            <w:tcW w:w="206" w:type="pct"/>
            <w:vAlign w:val="bottom"/>
            <w:hideMark/>
          </w:tcPr>
          <w:p w:rsidR="00034CEB" w:rsidRPr="00743378" w:rsidRDefault="00034CEB" w:rsidP="004D4FD7">
            <w:pPr>
              <w:rPr>
                <w:color w:val="000000"/>
                <w:sz w:val="18"/>
                <w:szCs w:val="18"/>
                <w:lang w:eastAsia="fr-FR"/>
              </w:rPr>
            </w:pPr>
            <w:r w:rsidRPr="00743378">
              <w:rPr>
                <w:color w:val="000000"/>
                <w:sz w:val="18"/>
                <w:szCs w:val="18"/>
                <w:lang w:eastAsia="fr-FR"/>
              </w:rPr>
              <w:t> </w:t>
            </w:r>
          </w:p>
        </w:tc>
        <w:tc>
          <w:tcPr>
            <w:tcW w:w="206" w:type="pct"/>
            <w:shd w:val="clear" w:color="auto" w:fill="8DB3E2" w:themeFill="text2" w:themeFillTint="66"/>
            <w:vAlign w:val="center"/>
            <w:hideMark/>
          </w:tcPr>
          <w:p w:rsidR="00034CEB" w:rsidRPr="00743378" w:rsidRDefault="00034CEB" w:rsidP="004D4FD7">
            <w:pPr>
              <w:ind w:firstLineChars="100" w:firstLine="180"/>
              <w:rPr>
                <w:color w:val="000000"/>
                <w:sz w:val="18"/>
                <w:szCs w:val="18"/>
                <w:lang w:eastAsia="fr-FR"/>
              </w:rPr>
            </w:pPr>
            <w:r w:rsidRPr="00743378">
              <w:rPr>
                <w:color w:val="000000"/>
                <w:sz w:val="18"/>
                <w:szCs w:val="18"/>
                <w:lang w:eastAsia="fr-FR"/>
              </w:rPr>
              <w:t> </w:t>
            </w:r>
          </w:p>
        </w:tc>
        <w:tc>
          <w:tcPr>
            <w:tcW w:w="206" w:type="pct"/>
            <w:shd w:val="clear" w:color="auto" w:fill="8DB3E2" w:themeFill="text2" w:themeFillTint="66"/>
            <w:vAlign w:val="center"/>
            <w:hideMark/>
          </w:tcPr>
          <w:p w:rsidR="00034CEB" w:rsidRPr="00743378" w:rsidRDefault="00034CEB" w:rsidP="004D4FD7">
            <w:pPr>
              <w:ind w:firstLineChars="100" w:firstLine="180"/>
              <w:rPr>
                <w:color w:val="000000"/>
                <w:sz w:val="18"/>
                <w:szCs w:val="18"/>
                <w:lang w:eastAsia="fr-FR"/>
              </w:rPr>
            </w:pPr>
            <w:r w:rsidRPr="00743378">
              <w:rPr>
                <w:color w:val="000000"/>
                <w:sz w:val="18"/>
                <w:szCs w:val="18"/>
                <w:lang w:eastAsia="fr-FR"/>
              </w:rPr>
              <w:t> </w:t>
            </w:r>
          </w:p>
        </w:tc>
        <w:tc>
          <w:tcPr>
            <w:tcW w:w="2635" w:type="pct"/>
            <w:hideMark/>
          </w:tcPr>
          <w:p w:rsidR="00034CEB" w:rsidRPr="00743378" w:rsidRDefault="00034CEB" w:rsidP="004D4FD7">
            <w:pPr>
              <w:spacing w:before="120" w:after="120"/>
              <w:rPr>
                <w:color w:val="000000"/>
                <w:sz w:val="18"/>
                <w:szCs w:val="18"/>
                <w:lang w:eastAsia="fr-FR"/>
              </w:rPr>
            </w:pPr>
            <w:r w:rsidRPr="00743378">
              <w:rPr>
                <w:color w:val="000000"/>
                <w:sz w:val="18"/>
                <w:szCs w:val="18"/>
              </w:rPr>
              <w:t xml:space="preserve">Les Pas de portes </w:t>
            </w:r>
            <w:proofErr w:type="gramStart"/>
            <w:r w:rsidRPr="00743378">
              <w:rPr>
                <w:color w:val="000000"/>
                <w:sz w:val="18"/>
                <w:szCs w:val="18"/>
              </w:rPr>
              <w:t>versés</w:t>
            </w:r>
            <w:proofErr w:type="gramEnd"/>
            <w:r w:rsidRPr="00743378">
              <w:rPr>
                <w:color w:val="000000"/>
                <w:sz w:val="18"/>
                <w:szCs w:val="18"/>
              </w:rPr>
              <w:t xml:space="preserve"> aux entreprises publiques sont des droits de concession de permis d’exploration ou d’exploitation versés par les entreprises privées aux entreprises publiques qui en sont titulaires. Les Pas de porte versés aux entreprises publiques ne sont pas directement contributifs au budget de l’Etat ; ils sont une part du revenu des entreprises publiques titulaires de certains permis  qu’elles concèdent (ex. la GECAMINES). Le montant et les modalités de paiement des pas de porte versés aux entreprises publiques sont définis dans les contrats miniers entre les parties.</w:t>
            </w:r>
          </w:p>
        </w:tc>
      </w:tr>
      <w:tr w:rsidR="00034CEB" w:rsidRPr="00743378" w:rsidTr="00155613">
        <w:trPr>
          <w:trHeight w:val="450"/>
          <w:jc w:val="center"/>
        </w:trPr>
        <w:tc>
          <w:tcPr>
            <w:tcW w:w="1255" w:type="pct"/>
            <w:vAlign w:val="center"/>
            <w:hideMark/>
          </w:tcPr>
          <w:p w:rsidR="00034CEB" w:rsidRPr="00743378" w:rsidRDefault="00034CEB" w:rsidP="004D4FD7">
            <w:pPr>
              <w:rPr>
                <w:color w:val="000000"/>
                <w:sz w:val="18"/>
                <w:szCs w:val="18"/>
                <w:lang w:eastAsia="fr-FR"/>
              </w:rPr>
            </w:pPr>
            <w:r w:rsidRPr="00743378">
              <w:rPr>
                <w:color w:val="000000"/>
                <w:sz w:val="18"/>
                <w:szCs w:val="18"/>
                <w:lang w:eastAsia="fr-FR"/>
              </w:rPr>
              <w:t xml:space="preserve">Royalties payées aux entreprises minières </w:t>
            </w:r>
            <w:r w:rsidRPr="00743378">
              <w:rPr>
                <w:color w:val="000000"/>
                <w:sz w:val="18"/>
                <w:szCs w:val="18"/>
                <w:lang w:eastAsia="fr-FR"/>
              </w:rPr>
              <w:lastRenderedPageBreak/>
              <w:t>publiques.</w:t>
            </w:r>
          </w:p>
        </w:tc>
        <w:tc>
          <w:tcPr>
            <w:tcW w:w="492" w:type="pct"/>
            <w:vAlign w:val="center"/>
            <w:hideMark/>
          </w:tcPr>
          <w:p w:rsidR="00034CEB" w:rsidRPr="00743378" w:rsidRDefault="00034CEB" w:rsidP="004D4FD7">
            <w:pPr>
              <w:jc w:val="center"/>
              <w:rPr>
                <w:color w:val="000000"/>
                <w:sz w:val="18"/>
                <w:szCs w:val="18"/>
                <w:lang w:eastAsia="fr-FR"/>
              </w:rPr>
            </w:pPr>
            <w:r w:rsidRPr="00743378">
              <w:rPr>
                <w:color w:val="000000"/>
                <w:sz w:val="18"/>
                <w:szCs w:val="18"/>
                <w:lang w:eastAsia="fr-FR"/>
              </w:rPr>
              <w:lastRenderedPageBreak/>
              <w:t xml:space="preserve">Entreprises </w:t>
            </w:r>
            <w:r w:rsidRPr="00743378">
              <w:rPr>
                <w:color w:val="000000"/>
                <w:sz w:val="18"/>
                <w:szCs w:val="18"/>
                <w:lang w:eastAsia="fr-FR"/>
              </w:rPr>
              <w:lastRenderedPageBreak/>
              <w:t>publiques</w:t>
            </w:r>
          </w:p>
        </w:tc>
        <w:tc>
          <w:tcPr>
            <w:tcW w:w="206" w:type="pct"/>
            <w:hideMark/>
          </w:tcPr>
          <w:p w:rsidR="00034CEB" w:rsidRPr="00743378" w:rsidRDefault="00034CEB" w:rsidP="004D4FD7">
            <w:pPr>
              <w:rPr>
                <w:color w:val="000000"/>
                <w:sz w:val="18"/>
                <w:szCs w:val="18"/>
                <w:lang w:eastAsia="fr-FR"/>
              </w:rPr>
            </w:pPr>
            <w:r w:rsidRPr="00743378">
              <w:rPr>
                <w:color w:val="000000"/>
                <w:sz w:val="18"/>
                <w:szCs w:val="18"/>
                <w:lang w:eastAsia="fr-FR"/>
              </w:rPr>
              <w:lastRenderedPageBreak/>
              <w:t> </w:t>
            </w:r>
          </w:p>
        </w:tc>
        <w:tc>
          <w:tcPr>
            <w:tcW w:w="206" w:type="pct"/>
            <w:shd w:val="clear" w:color="auto" w:fill="8DB3E2" w:themeFill="text2" w:themeFillTint="66"/>
            <w:vAlign w:val="center"/>
            <w:hideMark/>
          </w:tcPr>
          <w:p w:rsidR="00034CEB" w:rsidRPr="00743378" w:rsidRDefault="00034CEB" w:rsidP="004D4FD7">
            <w:pPr>
              <w:ind w:firstLineChars="100" w:firstLine="180"/>
              <w:rPr>
                <w:color w:val="000000"/>
                <w:sz w:val="18"/>
                <w:szCs w:val="18"/>
                <w:lang w:eastAsia="fr-FR"/>
              </w:rPr>
            </w:pPr>
            <w:r w:rsidRPr="00743378">
              <w:rPr>
                <w:color w:val="000000"/>
                <w:sz w:val="18"/>
                <w:szCs w:val="18"/>
                <w:lang w:eastAsia="fr-FR"/>
              </w:rPr>
              <w:t> </w:t>
            </w:r>
          </w:p>
        </w:tc>
        <w:tc>
          <w:tcPr>
            <w:tcW w:w="206" w:type="pct"/>
            <w:hideMark/>
          </w:tcPr>
          <w:p w:rsidR="00034CEB" w:rsidRPr="00743378" w:rsidRDefault="00034CEB" w:rsidP="004D4FD7">
            <w:pPr>
              <w:rPr>
                <w:color w:val="000000"/>
                <w:sz w:val="18"/>
                <w:szCs w:val="18"/>
                <w:lang w:eastAsia="fr-FR"/>
              </w:rPr>
            </w:pPr>
            <w:r w:rsidRPr="00743378">
              <w:rPr>
                <w:color w:val="000000"/>
                <w:sz w:val="18"/>
                <w:szCs w:val="18"/>
                <w:lang w:eastAsia="fr-FR"/>
              </w:rPr>
              <w:t> </w:t>
            </w:r>
          </w:p>
        </w:tc>
        <w:tc>
          <w:tcPr>
            <w:tcW w:w="2635" w:type="pct"/>
            <w:hideMark/>
          </w:tcPr>
          <w:p w:rsidR="00034CEB" w:rsidRPr="00743378" w:rsidRDefault="00034CEB" w:rsidP="004D4FD7">
            <w:pPr>
              <w:spacing w:before="120" w:after="120"/>
              <w:rPr>
                <w:color w:val="000000"/>
                <w:sz w:val="18"/>
                <w:szCs w:val="18"/>
                <w:lang w:eastAsia="fr-FR"/>
              </w:rPr>
            </w:pPr>
            <w:r w:rsidRPr="00743378">
              <w:rPr>
                <w:color w:val="000000"/>
                <w:sz w:val="18"/>
                <w:szCs w:val="18"/>
              </w:rPr>
              <w:t xml:space="preserve">Un paiement lié à la production des mines et dont la définition dépend du contrat entre les parties.  Le montant peut être calculé sur la valeur des ventes (par exemple Convention </w:t>
            </w:r>
            <w:r w:rsidRPr="00743378">
              <w:rPr>
                <w:color w:val="000000"/>
                <w:sz w:val="18"/>
                <w:szCs w:val="18"/>
              </w:rPr>
              <w:lastRenderedPageBreak/>
              <w:t xml:space="preserve">minière </w:t>
            </w:r>
            <w:proofErr w:type="spellStart"/>
            <w:r w:rsidRPr="00743378">
              <w:rPr>
                <w:color w:val="000000"/>
                <w:sz w:val="18"/>
                <w:szCs w:val="18"/>
              </w:rPr>
              <w:t>Anglo</w:t>
            </w:r>
            <w:proofErr w:type="spellEnd"/>
            <w:r w:rsidRPr="00743378">
              <w:rPr>
                <w:color w:val="000000"/>
                <w:sz w:val="18"/>
                <w:szCs w:val="18"/>
              </w:rPr>
              <w:t xml:space="preserve"> Gold Kilo Sarl), ou une redevance supplémentaire pour des réserves additionnelles (</w:t>
            </w:r>
            <w:proofErr w:type="spellStart"/>
            <w:r w:rsidRPr="00743378">
              <w:rPr>
                <w:color w:val="000000"/>
                <w:sz w:val="18"/>
                <w:szCs w:val="18"/>
              </w:rPr>
              <w:t>Tenke</w:t>
            </w:r>
            <w:proofErr w:type="spellEnd"/>
            <w:r w:rsidRPr="00743378">
              <w:rPr>
                <w:color w:val="000000"/>
                <w:sz w:val="18"/>
                <w:szCs w:val="18"/>
              </w:rPr>
              <w:t xml:space="preserve"> </w:t>
            </w:r>
            <w:proofErr w:type="spellStart"/>
            <w:r w:rsidRPr="00743378">
              <w:rPr>
                <w:color w:val="000000"/>
                <w:sz w:val="18"/>
                <w:szCs w:val="18"/>
              </w:rPr>
              <w:t>Fungurume</w:t>
            </w:r>
            <w:proofErr w:type="spellEnd"/>
            <w:r w:rsidRPr="00743378">
              <w:rPr>
                <w:color w:val="000000"/>
                <w:sz w:val="18"/>
                <w:szCs w:val="18"/>
              </w:rPr>
              <w:t>). Ce dernier n’est pas strictement une royaltie mais a été assimilé à cette définition pour le rapport ITIE.</w:t>
            </w:r>
          </w:p>
        </w:tc>
      </w:tr>
      <w:tr w:rsidR="00034CEB" w:rsidRPr="00743378" w:rsidTr="00155613">
        <w:trPr>
          <w:trHeight w:val="448"/>
          <w:jc w:val="center"/>
        </w:trPr>
        <w:tc>
          <w:tcPr>
            <w:tcW w:w="1255" w:type="pct"/>
            <w:vAlign w:val="center"/>
            <w:hideMark/>
          </w:tcPr>
          <w:p w:rsidR="00034CEB" w:rsidRPr="00743378" w:rsidRDefault="00034CEB" w:rsidP="004D4FD7">
            <w:pPr>
              <w:rPr>
                <w:color w:val="000000"/>
                <w:sz w:val="18"/>
                <w:szCs w:val="18"/>
                <w:lang w:eastAsia="fr-FR"/>
              </w:rPr>
            </w:pPr>
            <w:r w:rsidRPr="00743378">
              <w:rPr>
                <w:color w:val="000000"/>
                <w:sz w:val="18"/>
                <w:szCs w:val="18"/>
                <w:lang w:eastAsia="fr-FR"/>
              </w:rPr>
              <w:lastRenderedPageBreak/>
              <w:t>Loyers et Prestations</w:t>
            </w:r>
          </w:p>
        </w:tc>
        <w:tc>
          <w:tcPr>
            <w:tcW w:w="492" w:type="pct"/>
            <w:vAlign w:val="center"/>
            <w:hideMark/>
          </w:tcPr>
          <w:p w:rsidR="00034CEB" w:rsidRPr="00743378" w:rsidRDefault="00034CEB" w:rsidP="004D4FD7">
            <w:pPr>
              <w:jc w:val="center"/>
              <w:rPr>
                <w:sz w:val="18"/>
                <w:szCs w:val="18"/>
              </w:rPr>
            </w:pPr>
            <w:r w:rsidRPr="00743378">
              <w:rPr>
                <w:color w:val="000000"/>
                <w:sz w:val="18"/>
                <w:szCs w:val="18"/>
                <w:lang w:eastAsia="fr-FR"/>
              </w:rPr>
              <w:t>Entreprises publique</w:t>
            </w:r>
          </w:p>
        </w:tc>
        <w:tc>
          <w:tcPr>
            <w:tcW w:w="206" w:type="pct"/>
          </w:tcPr>
          <w:p w:rsidR="00034CEB" w:rsidRPr="00743378" w:rsidRDefault="00034CEB" w:rsidP="004D4FD7">
            <w:pPr>
              <w:rPr>
                <w:sz w:val="18"/>
                <w:szCs w:val="18"/>
              </w:rPr>
            </w:pPr>
          </w:p>
        </w:tc>
        <w:tc>
          <w:tcPr>
            <w:tcW w:w="206" w:type="pct"/>
            <w:shd w:val="clear" w:color="auto" w:fill="8DB3E2" w:themeFill="text2" w:themeFillTint="66"/>
          </w:tcPr>
          <w:p w:rsidR="00034CEB" w:rsidRPr="00743378" w:rsidRDefault="00034CEB" w:rsidP="004D4FD7">
            <w:pPr>
              <w:rPr>
                <w:sz w:val="18"/>
                <w:szCs w:val="18"/>
              </w:rPr>
            </w:pPr>
          </w:p>
        </w:tc>
        <w:tc>
          <w:tcPr>
            <w:tcW w:w="206" w:type="pct"/>
            <w:shd w:val="clear" w:color="auto" w:fill="8DB3E2" w:themeFill="text2" w:themeFillTint="66"/>
          </w:tcPr>
          <w:p w:rsidR="00034CEB" w:rsidRPr="00743378" w:rsidRDefault="00034CEB" w:rsidP="004D4FD7">
            <w:pPr>
              <w:rPr>
                <w:sz w:val="18"/>
                <w:szCs w:val="18"/>
              </w:rPr>
            </w:pPr>
          </w:p>
        </w:tc>
        <w:tc>
          <w:tcPr>
            <w:tcW w:w="2635" w:type="pct"/>
            <w:hideMark/>
          </w:tcPr>
          <w:p w:rsidR="00034CEB" w:rsidRPr="00743378" w:rsidRDefault="00034CEB" w:rsidP="004D4FD7">
            <w:pPr>
              <w:spacing w:before="120" w:after="120"/>
              <w:rPr>
                <w:sz w:val="18"/>
                <w:szCs w:val="18"/>
              </w:rPr>
            </w:pPr>
            <w:r w:rsidRPr="00743378">
              <w:rPr>
                <w:color w:val="000000"/>
                <w:sz w:val="18"/>
                <w:szCs w:val="18"/>
                <w:lang w:eastAsia="fr-FR"/>
              </w:rPr>
              <w:t xml:space="preserve">Il s’agit de loyers des </w:t>
            </w:r>
            <w:r w:rsidRPr="00743378">
              <w:rPr>
                <w:color w:val="000000"/>
                <w:sz w:val="18"/>
                <w:szCs w:val="18"/>
              </w:rPr>
              <w:t>équipements</w:t>
            </w:r>
            <w:r w:rsidRPr="00743378">
              <w:rPr>
                <w:color w:val="000000"/>
                <w:sz w:val="18"/>
                <w:szCs w:val="18"/>
                <w:lang w:eastAsia="fr-FR"/>
              </w:rPr>
              <w:t xml:space="preserve"> (concentrateur) et de diverses prestations encaissés par les </w:t>
            </w:r>
            <w:r w:rsidRPr="00743378">
              <w:rPr>
                <w:color w:val="000000"/>
                <w:sz w:val="18"/>
                <w:szCs w:val="18"/>
              </w:rPr>
              <w:t>entreprises</w:t>
            </w:r>
            <w:r w:rsidRPr="00743378">
              <w:rPr>
                <w:color w:val="000000"/>
                <w:sz w:val="18"/>
                <w:szCs w:val="18"/>
                <w:lang w:eastAsia="fr-FR"/>
              </w:rPr>
              <w:t xml:space="preserve"> publiques.</w:t>
            </w:r>
          </w:p>
        </w:tc>
      </w:tr>
      <w:tr w:rsidR="00034CEB" w:rsidRPr="00743378" w:rsidTr="00155613">
        <w:trPr>
          <w:trHeight w:val="448"/>
          <w:jc w:val="center"/>
        </w:trPr>
        <w:tc>
          <w:tcPr>
            <w:tcW w:w="1255" w:type="pct"/>
            <w:vAlign w:val="center"/>
            <w:hideMark/>
          </w:tcPr>
          <w:p w:rsidR="00034CEB" w:rsidRPr="00743378" w:rsidRDefault="00034CEB" w:rsidP="004D4FD7">
            <w:pPr>
              <w:rPr>
                <w:color w:val="000000"/>
                <w:sz w:val="18"/>
                <w:szCs w:val="18"/>
                <w:lang w:eastAsia="fr-FR"/>
              </w:rPr>
            </w:pPr>
            <w:r w:rsidRPr="00743378">
              <w:rPr>
                <w:color w:val="000000"/>
                <w:sz w:val="18"/>
                <w:szCs w:val="18"/>
                <w:lang w:eastAsia="fr-FR"/>
              </w:rPr>
              <w:t>Frais d’option</w:t>
            </w:r>
          </w:p>
        </w:tc>
        <w:tc>
          <w:tcPr>
            <w:tcW w:w="492" w:type="pct"/>
            <w:vAlign w:val="center"/>
            <w:hideMark/>
          </w:tcPr>
          <w:p w:rsidR="00034CEB" w:rsidRPr="00743378" w:rsidRDefault="00034CEB" w:rsidP="004D4FD7">
            <w:pPr>
              <w:jc w:val="center"/>
              <w:rPr>
                <w:color w:val="000000"/>
                <w:sz w:val="18"/>
                <w:szCs w:val="18"/>
                <w:lang w:eastAsia="fr-FR"/>
              </w:rPr>
            </w:pPr>
            <w:r w:rsidRPr="00743378">
              <w:rPr>
                <w:color w:val="000000"/>
                <w:sz w:val="18"/>
                <w:szCs w:val="18"/>
                <w:lang w:eastAsia="fr-FR"/>
              </w:rPr>
              <w:t>Entreprise publique</w:t>
            </w:r>
          </w:p>
        </w:tc>
        <w:tc>
          <w:tcPr>
            <w:tcW w:w="206" w:type="pct"/>
          </w:tcPr>
          <w:p w:rsidR="00034CEB" w:rsidRPr="00743378" w:rsidRDefault="00034CEB" w:rsidP="004D4FD7">
            <w:pPr>
              <w:rPr>
                <w:color w:val="000000"/>
                <w:sz w:val="18"/>
                <w:szCs w:val="18"/>
                <w:lang w:eastAsia="fr-FR"/>
              </w:rPr>
            </w:pPr>
          </w:p>
        </w:tc>
        <w:tc>
          <w:tcPr>
            <w:tcW w:w="206" w:type="pct"/>
          </w:tcPr>
          <w:p w:rsidR="00034CEB" w:rsidRPr="00743378" w:rsidRDefault="00034CEB" w:rsidP="004D4FD7">
            <w:pPr>
              <w:rPr>
                <w:color w:val="000000"/>
                <w:sz w:val="18"/>
                <w:szCs w:val="18"/>
                <w:lang w:eastAsia="fr-FR"/>
              </w:rPr>
            </w:pPr>
          </w:p>
        </w:tc>
        <w:tc>
          <w:tcPr>
            <w:tcW w:w="206" w:type="pct"/>
            <w:shd w:val="clear" w:color="auto" w:fill="8DB3E2" w:themeFill="text2" w:themeFillTint="66"/>
          </w:tcPr>
          <w:p w:rsidR="00034CEB" w:rsidRPr="00743378" w:rsidRDefault="00034CEB" w:rsidP="004D4FD7">
            <w:pPr>
              <w:rPr>
                <w:color w:val="000000"/>
                <w:sz w:val="18"/>
                <w:szCs w:val="18"/>
                <w:lang w:eastAsia="fr-FR"/>
              </w:rPr>
            </w:pPr>
          </w:p>
        </w:tc>
        <w:tc>
          <w:tcPr>
            <w:tcW w:w="2635" w:type="pct"/>
            <w:hideMark/>
          </w:tcPr>
          <w:p w:rsidR="00034CEB" w:rsidRPr="00743378" w:rsidRDefault="00034CEB" w:rsidP="004D4FD7">
            <w:pPr>
              <w:spacing w:before="120" w:after="120"/>
              <w:rPr>
                <w:color w:val="000000"/>
                <w:sz w:val="18"/>
                <w:szCs w:val="18"/>
                <w:lang w:eastAsia="fr-FR"/>
              </w:rPr>
            </w:pPr>
            <w:r w:rsidRPr="00743378">
              <w:rPr>
                <w:color w:val="000000"/>
                <w:sz w:val="18"/>
                <w:szCs w:val="18"/>
                <w:lang w:eastAsia="fr-FR"/>
              </w:rPr>
              <w:t xml:space="preserve">Ce sont des frais payés aux </w:t>
            </w:r>
            <w:r w:rsidRPr="00743378">
              <w:rPr>
                <w:color w:val="000000"/>
                <w:sz w:val="18"/>
                <w:szCs w:val="18"/>
              </w:rPr>
              <w:t>termes</w:t>
            </w:r>
            <w:r w:rsidRPr="00743378">
              <w:rPr>
                <w:color w:val="000000"/>
                <w:sz w:val="18"/>
                <w:szCs w:val="18"/>
                <w:lang w:eastAsia="fr-FR"/>
              </w:rPr>
              <w:t xml:space="preserve"> d’un contrat d’option qui confère au partenaire les droits exclusifs de </w:t>
            </w:r>
            <w:r w:rsidRPr="00743378">
              <w:rPr>
                <w:color w:val="000000"/>
                <w:sz w:val="18"/>
                <w:szCs w:val="18"/>
              </w:rPr>
              <w:t>faire</w:t>
            </w:r>
            <w:r w:rsidRPr="00743378">
              <w:rPr>
                <w:color w:val="000000"/>
                <w:sz w:val="18"/>
                <w:szCs w:val="18"/>
                <w:lang w:eastAsia="fr-FR"/>
              </w:rPr>
              <w:t xml:space="preserve"> la prospection et la recherche dans un périmètre minier et à l’issue duquel (contrat) on lève l’option d’exploiter le gisement ou non.</w:t>
            </w:r>
          </w:p>
        </w:tc>
      </w:tr>
      <w:tr w:rsidR="00034CEB" w:rsidRPr="00743378" w:rsidTr="00155613">
        <w:trPr>
          <w:trHeight w:val="448"/>
          <w:jc w:val="center"/>
        </w:trPr>
        <w:tc>
          <w:tcPr>
            <w:tcW w:w="1255" w:type="pct"/>
            <w:vAlign w:val="center"/>
          </w:tcPr>
          <w:p w:rsidR="00034CEB" w:rsidRPr="00743378" w:rsidRDefault="00034CEB" w:rsidP="004D4FD7">
            <w:pPr>
              <w:rPr>
                <w:color w:val="000000"/>
                <w:sz w:val="18"/>
                <w:szCs w:val="18"/>
                <w:lang w:eastAsia="fr-FR"/>
              </w:rPr>
            </w:pPr>
            <w:r w:rsidRPr="00743378">
              <w:rPr>
                <w:color w:val="000000"/>
                <w:sz w:val="18"/>
                <w:szCs w:val="18"/>
                <w:lang w:eastAsia="fr-FR"/>
              </w:rPr>
              <w:t>Fonds versés à la GCM pour la vente des scories</w:t>
            </w:r>
          </w:p>
        </w:tc>
        <w:tc>
          <w:tcPr>
            <w:tcW w:w="492" w:type="pct"/>
            <w:vAlign w:val="center"/>
          </w:tcPr>
          <w:p w:rsidR="00034CEB" w:rsidRPr="00743378" w:rsidRDefault="00034CEB" w:rsidP="004D4FD7">
            <w:pPr>
              <w:rPr>
                <w:color w:val="000000"/>
                <w:sz w:val="18"/>
                <w:szCs w:val="18"/>
                <w:lang w:eastAsia="fr-FR"/>
              </w:rPr>
            </w:pPr>
            <w:r w:rsidRPr="00743378">
              <w:rPr>
                <w:color w:val="000000"/>
                <w:sz w:val="18"/>
                <w:szCs w:val="18"/>
                <w:lang w:eastAsia="fr-FR"/>
              </w:rPr>
              <w:t>GECAMINES</w:t>
            </w:r>
          </w:p>
        </w:tc>
        <w:tc>
          <w:tcPr>
            <w:tcW w:w="206" w:type="pct"/>
          </w:tcPr>
          <w:p w:rsidR="00034CEB" w:rsidRPr="00743378" w:rsidRDefault="00034CEB" w:rsidP="004D4FD7">
            <w:pPr>
              <w:rPr>
                <w:color w:val="000000"/>
                <w:sz w:val="18"/>
                <w:szCs w:val="18"/>
                <w:lang w:eastAsia="fr-FR"/>
              </w:rPr>
            </w:pPr>
          </w:p>
        </w:tc>
        <w:tc>
          <w:tcPr>
            <w:tcW w:w="206" w:type="pct"/>
            <w:shd w:val="clear" w:color="auto" w:fill="95B3D7" w:themeFill="accent1" w:themeFillTint="99"/>
          </w:tcPr>
          <w:p w:rsidR="00034CEB" w:rsidRPr="00743378" w:rsidRDefault="00034CEB" w:rsidP="004D4FD7">
            <w:pPr>
              <w:rPr>
                <w:color w:val="000000"/>
                <w:sz w:val="18"/>
                <w:szCs w:val="18"/>
                <w:lang w:eastAsia="fr-FR"/>
              </w:rPr>
            </w:pPr>
          </w:p>
        </w:tc>
        <w:tc>
          <w:tcPr>
            <w:tcW w:w="206" w:type="pct"/>
            <w:shd w:val="clear" w:color="auto" w:fill="95B3D7" w:themeFill="accent1" w:themeFillTint="99"/>
          </w:tcPr>
          <w:p w:rsidR="00034CEB" w:rsidRPr="00743378" w:rsidRDefault="00034CEB" w:rsidP="004D4FD7">
            <w:pPr>
              <w:rPr>
                <w:color w:val="000000"/>
                <w:sz w:val="18"/>
                <w:szCs w:val="18"/>
                <w:lang w:eastAsia="fr-FR"/>
              </w:rPr>
            </w:pPr>
          </w:p>
        </w:tc>
        <w:tc>
          <w:tcPr>
            <w:tcW w:w="2635" w:type="pct"/>
          </w:tcPr>
          <w:p w:rsidR="00034CEB" w:rsidRPr="00743378" w:rsidRDefault="00034CEB" w:rsidP="004D4FD7">
            <w:pPr>
              <w:spacing w:before="120" w:after="120"/>
              <w:rPr>
                <w:color w:val="000000"/>
                <w:sz w:val="18"/>
                <w:szCs w:val="18"/>
                <w:lang w:eastAsia="fr-FR"/>
              </w:rPr>
            </w:pPr>
            <w:r w:rsidRPr="00743378">
              <w:rPr>
                <w:color w:val="000000"/>
                <w:sz w:val="18"/>
                <w:szCs w:val="18"/>
                <w:lang w:eastAsia="fr-FR"/>
              </w:rPr>
              <w:t>Ce sont les montants perçus par la GECAMINES en contrepartie de la vente des scories.</w:t>
            </w:r>
          </w:p>
        </w:tc>
      </w:tr>
      <w:tr w:rsidR="00034CEB" w:rsidRPr="00743378" w:rsidTr="00155613">
        <w:trPr>
          <w:trHeight w:val="448"/>
          <w:jc w:val="center"/>
        </w:trPr>
        <w:tc>
          <w:tcPr>
            <w:tcW w:w="1255" w:type="pct"/>
            <w:vAlign w:val="center"/>
          </w:tcPr>
          <w:p w:rsidR="00034CEB" w:rsidRPr="00743378" w:rsidRDefault="00034CEB" w:rsidP="004D4FD7">
            <w:pPr>
              <w:rPr>
                <w:color w:val="000000"/>
                <w:sz w:val="18"/>
                <w:szCs w:val="18"/>
                <w:lang w:eastAsia="fr-FR"/>
              </w:rPr>
            </w:pPr>
            <w:r w:rsidRPr="00743378">
              <w:rPr>
                <w:color w:val="000000"/>
                <w:sz w:val="18"/>
                <w:szCs w:val="18"/>
                <w:lang w:eastAsia="fr-FR"/>
              </w:rPr>
              <w:t>Paiement contractuel sur seuil de production atteint  (500000TCU)</w:t>
            </w:r>
          </w:p>
        </w:tc>
        <w:tc>
          <w:tcPr>
            <w:tcW w:w="492" w:type="pct"/>
            <w:vAlign w:val="center"/>
          </w:tcPr>
          <w:p w:rsidR="00034CEB" w:rsidRPr="00743378" w:rsidRDefault="00034CEB" w:rsidP="004D4FD7">
            <w:pPr>
              <w:jc w:val="center"/>
              <w:rPr>
                <w:color w:val="000000"/>
                <w:sz w:val="18"/>
                <w:szCs w:val="18"/>
                <w:lang w:eastAsia="fr-FR"/>
              </w:rPr>
            </w:pPr>
            <w:r w:rsidRPr="00743378">
              <w:rPr>
                <w:color w:val="000000"/>
                <w:sz w:val="18"/>
                <w:szCs w:val="18"/>
                <w:lang w:eastAsia="fr-FR"/>
              </w:rPr>
              <w:t>GECAMINES</w:t>
            </w:r>
          </w:p>
        </w:tc>
        <w:tc>
          <w:tcPr>
            <w:tcW w:w="206" w:type="pct"/>
          </w:tcPr>
          <w:p w:rsidR="00034CEB" w:rsidRPr="00743378" w:rsidRDefault="00034CEB" w:rsidP="004D4FD7">
            <w:pPr>
              <w:rPr>
                <w:color w:val="000000"/>
                <w:sz w:val="18"/>
                <w:szCs w:val="18"/>
                <w:lang w:eastAsia="fr-FR"/>
              </w:rPr>
            </w:pPr>
          </w:p>
        </w:tc>
        <w:tc>
          <w:tcPr>
            <w:tcW w:w="206" w:type="pct"/>
            <w:shd w:val="clear" w:color="auto" w:fill="95B3D7" w:themeFill="accent1" w:themeFillTint="99"/>
          </w:tcPr>
          <w:p w:rsidR="00034CEB" w:rsidRPr="00743378" w:rsidRDefault="00034CEB" w:rsidP="004D4FD7">
            <w:pPr>
              <w:rPr>
                <w:color w:val="000000"/>
                <w:sz w:val="18"/>
                <w:szCs w:val="18"/>
                <w:lang w:eastAsia="fr-FR"/>
              </w:rPr>
            </w:pPr>
          </w:p>
        </w:tc>
        <w:tc>
          <w:tcPr>
            <w:tcW w:w="206" w:type="pct"/>
            <w:shd w:val="clear" w:color="auto" w:fill="95B3D7" w:themeFill="accent1" w:themeFillTint="99"/>
          </w:tcPr>
          <w:p w:rsidR="00034CEB" w:rsidRPr="00743378" w:rsidRDefault="00034CEB" w:rsidP="004D4FD7">
            <w:pPr>
              <w:rPr>
                <w:color w:val="000000"/>
                <w:sz w:val="18"/>
                <w:szCs w:val="18"/>
                <w:lang w:eastAsia="fr-FR"/>
              </w:rPr>
            </w:pPr>
          </w:p>
        </w:tc>
        <w:tc>
          <w:tcPr>
            <w:tcW w:w="2635" w:type="pct"/>
          </w:tcPr>
          <w:p w:rsidR="00034CEB" w:rsidRPr="00743378" w:rsidRDefault="00034CEB" w:rsidP="004D4FD7">
            <w:pPr>
              <w:spacing w:before="120" w:after="120"/>
              <w:rPr>
                <w:color w:val="000000"/>
                <w:sz w:val="18"/>
                <w:szCs w:val="18"/>
                <w:lang w:eastAsia="fr-FR"/>
              </w:rPr>
            </w:pPr>
            <w:r w:rsidRPr="00743378">
              <w:rPr>
                <w:color w:val="000000"/>
                <w:sz w:val="18"/>
                <w:szCs w:val="18"/>
                <w:lang w:eastAsia="fr-FR"/>
              </w:rPr>
              <w:t xml:space="preserve">Conformément à I ‘article 3.2.(d) (i) de la Convention d'Actionnariat Amendée et Reformulée du 28 septembre 2005, telle que modifiée par l'Avenant n'1 à la Convention d'Actionnariat Amendée et Reformulée, signé le 11 décembre 2010 (ci-après la &lt; CAAR &gt;) et l'article 4 (d) (i) de la Convention Minière Amendée et Reformulée du 28 septembre 2005, telle qu'amendée par l'Avenant n"1 à la Convention Minière Amendée et Reformulée, signé le 11 décembre 2010 (ci-après la &lt; CMAR &gt;), le montant de 5.000.000 USD (cinq millions de dollars américains) est dû lorsque la production cumulée de cuivre du Projet atteint un seuil de 500.000 </w:t>
            </w:r>
            <w:proofErr w:type="spellStart"/>
            <w:r w:rsidRPr="00743378">
              <w:rPr>
                <w:color w:val="000000"/>
                <w:sz w:val="18"/>
                <w:szCs w:val="18"/>
                <w:lang w:eastAsia="fr-FR"/>
              </w:rPr>
              <w:t>tCu</w:t>
            </w:r>
            <w:proofErr w:type="spellEnd"/>
            <w:r w:rsidRPr="00743378">
              <w:rPr>
                <w:color w:val="000000"/>
                <w:sz w:val="18"/>
                <w:szCs w:val="18"/>
                <w:lang w:eastAsia="fr-FR"/>
              </w:rPr>
              <w:t>.</w:t>
            </w:r>
          </w:p>
        </w:tc>
      </w:tr>
      <w:tr w:rsidR="00034CEB" w:rsidRPr="00743378" w:rsidTr="00155613">
        <w:trPr>
          <w:trHeight w:val="448"/>
          <w:jc w:val="center"/>
        </w:trPr>
        <w:tc>
          <w:tcPr>
            <w:tcW w:w="1255" w:type="pct"/>
            <w:vAlign w:val="center"/>
          </w:tcPr>
          <w:p w:rsidR="00034CEB" w:rsidRPr="00743378" w:rsidRDefault="00034CEB" w:rsidP="004D4FD7">
            <w:pPr>
              <w:rPr>
                <w:color w:val="000000"/>
                <w:sz w:val="18"/>
                <w:szCs w:val="18"/>
                <w:lang w:eastAsia="fr-FR"/>
              </w:rPr>
            </w:pPr>
            <w:r w:rsidRPr="00743378">
              <w:rPr>
                <w:color w:val="000000"/>
                <w:sz w:val="18"/>
                <w:szCs w:val="18"/>
                <w:lang w:eastAsia="fr-FR"/>
              </w:rPr>
              <w:t>Frais de consultance</w:t>
            </w:r>
          </w:p>
        </w:tc>
        <w:tc>
          <w:tcPr>
            <w:tcW w:w="492" w:type="pct"/>
            <w:vAlign w:val="center"/>
          </w:tcPr>
          <w:p w:rsidR="00034CEB" w:rsidRPr="00743378" w:rsidRDefault="00034CEB" w:rsidP="004D4FD7">
            <w:pPr>
              <w:jc w:val="center"/>
              <w:rPr>
                <w:color w:val="000000"/>
                <w:sz w:val="18"/>
                <w:szCs w:val="18"/>
                <w:lang w:eastAsia="fr-FR"/>
              </w:rPr>
            </w:pPr>
            <w:r w:rsidRPr="00743378">
              <w:rPr>
                <w:color w:val="000000"/>
                <w:sz w:val="18"/>
                <w:szCs w:val="18"/>
                <w:lang w:eastAsia="fr-FR"/>
              </w:rPr>
              <w:t>GECAMINES</w:t>
            </w:r>
          </w:p>
        </w:tc>
        <w:tc>
          <w:tcPr>
            <w:tcW w:w="206" w:type="pct"/>
          </w:tcPr>
          <w:p w:rsidR="00034CEB" w:rsidRPr="00743378" w:rsidRDefault="00034CEB" w:rsidP="004D4FD7">
            <w:pPr>
              <w:rPr>
                <w:color w:val="000000"/>
                <w:sz w:val="18"/>
                <w:szCs w:val="18"/>
                <w:lang w:eastAsia="fr-FR"/>
              </w:rPr>
            </w:pPr>
          </w:p>
        </w:tc>
        <w:tc>
          <w:tcPr>
            <w:tcW w:w="206" w:type="pct"/>
            <w:shd w:val="clear" w:color="auto" w:fill="95B3D7" w:themeFill="accent1" w:themeFillTint="99"/>
          </w:tcPr>
          <w:p w:rsidR="00034CEB" w:rsidRPr="00743378" w:rsidRDefault="00034CEB" w:rsidP="004D4FD7">
            <w:pPr>
              <w:rPr>
                <w:color w:val="000000"/>
                <w:sz w:val="18"/>
                <w:szCs w:val="18"/>
                <w:lang w:eastAsia="fr-FR"/>
              </w:rPr>
            </w:pPr>
          </w:p>
        </w:tc>
        <w:tc>
          <w:tcPr>
            <w:tcW w:w="206" w:type="pct"/>
            <w:shd w:val="clear" w:color="auto" w:fill="95B3D7" w:themeFill="accent1" w:themeFillTint="99"/>
          </w:tcPr>
          <w:p w:rsidR="00034CEB" w:rsidRPr="00743378" w:rsidRDefault="00034CEB" w:rsidP="004D4FD7">
            <w:pPr>
              <w:rPr>
                <w:color w:val="000000"/>
                <w:sz w:val="18"/>
                <w:szCs w:val="18"/>
                <w:lang w:eastAsia="fr-FR"/>
              </w:rPr>
            </w:pPr>
          </w:p>
        </w:tc>
        <w:tc>
          <w:tcPr>
            <w:tcW w:w="2635" w:type="pct"/>
          </w:tcPr>
          <w:p w:rsidR="00034CEB" w:rsidRPr="00743378" w:rsidRDefault="00034CEB" w:rsidP="004D4FD7">
            <w:pPr>
              <w:spacing w:before="120" w:after="120"/>
              <w:rPr>
                <w:color w:val="000000"/>
                <w:sz w:val="18"/>
                <w:szCs w:val="18"/>
                <w:lang w:eastAsia="fr-FR"/>
              </w:rPr>
            </w:pPr>
            <w:r w:rsidRPr="00743378">
              <w:rPr>
                <w:color w:val="000000"/>
                <w:sz w:val="18"/>
                <w:szCs w:val="18"/>
                <w:lang w:eastAsia="fr-FR"/>
              </w:rPr>
              <w:t xml:space="preserve">Conformément Contrat de Consultance conclu entre la société </w:t>
            </w:r>
            <w:proofErr w:type="spellStart"/>
            <w:r w:rsidRPr="00743378">
              <w:rPr>
                <w:color w:val="000000"/>
                <w:sz w:val="18"/>
                <w:szCs w:val="18"/>
                <w:lang w:eastAsia="fr-FR"/>
              </w:rPr>
              <w:t>Tenke</w:t>
            </w:r>
            <w:proofErr w:type="spellEnd"/>
            <w:r w:rsidRPr="00743378">
              <w:rPr>
                <w:color w:val="000000"/>
                <w:sz w:val="18"/>
                <w:szCs w:val="18"/>
                <w:lang w:eastAsia="fr-FR"/>
              </w:rPr>
              <w:t xml:space="preserve"> </w:t>
            </w:r>
            <w:proofErr w:type="spellStart"/>
            <w:r w:rsidRPr="00743378">
              <w:rPr>
                <w:color w:val="000000"/>
                <w:sz w:val="18"/>
                <w:szCs w:val="18"/>
                <w:lang w:eastAsia="fr-FR"/>
              </w:rPr>
              <w:t>Fungurume</w:t>
            </w:r>
            <w:proofErr w:type="spellEnd"/>
            <w:r w:rsidRPr="00743378">
              <w:rPr>
                <w:color w:val="000000"/>
                <w:sz w:val="18"/>
                <w:szCs w:val="18"/>
                <w:lang w:eastAsia="fr-FR"/>
              </w:rPr>
              <w:t xml:space="preserve"> </w:t>
            </w:r>
            <w:proofErr w:type="spellStart"/>
            <w:r w:rsidRPr="00743378">
              <w:rPr>
                <w:color w:val="000000"/>
                <w:sz w:val="18"/>
                <w:szCs w:val="18"/>
                <w:lang w:eastAsia="fr-FR"/>
              </w:rPr>
              <w:t>Mining</w:t>
            </w:r>
            <w:proofErr w:type="spellEnd"/>
            <w:r w:rsidRPr="00743378">
              <w:rPr>
                <w:color w:val="000000"/>
                <w:sz w:val="18"/>
                <w:szCs w:val="18"/>
                <w:lang w:eastAsia="fr-FR"/>
              </w:rPr>
              <w:t xml:space="preserve"> (TFM Sarl) et la Générale des Carrières et des Mines (GCM Sarl) en date du 26 mars 2013, des frais de consultance sont versés mensuellement à la GECAMINES. </w:t>
            </w:r>
          </w:p>
        </w:tc>
      </w:tr>
      <w:tr w:rsidR="00034CEB" w:rsidRPr="00743378" w:rsidTr="00155613">
        <w:trPr>
          <w:trHeight w:val="448"/>
          <w:jc w:val="center"/>
        </w:trPr>
        <w:tc>
          <w:tcPr>
            <w:tcW w:w="1255" w:type="pct"/>
            <w:vAlign w:val="center"/>
          </w:tcPr>
          <w:p w:rsidR="00034CEB" w:rsidRPr="00743378" w:rsidRDefault="00034CEB" w:rsidP="004D4FD7">
            <w:pPr>
              <w:rPr>
                <w:color w:val="000000"/>
                <w:sz w:val="18"/>
                <w:szCs w:val="18"/>
                <w:lang w:eastAsia="fr-FR"/>
              </w:rPr>
            </w:pPr>
            <w:r w:rsidRPr="00743378">
              <w:rPr>
                <w:color w:val="000000"/>
                <w:sz w:val="18"/>
                <w:szCs w:val="18"/>
                <w:lang w:eastAsia="fr-FR"/>
              </w:rPr>
              <w:t>Remboursement de Prestations</w:t>
            </w:r>
          </w:p>
        </w:tc>
        <w:tc>
          <w:tcPr>
            <w:tcW w:w="492" w:type="pct"/>
            <w:vAlign w:val="center"/>
          </w:tcPr>
          <w:p w:rsidR="00034CEB" w:rsidRPr="00743378" w:rsidRDefault="00034CEB" w:rsidP="004D4FD7">
            <w:pPr>
              <w:jc w:val="center"/>
              <w:rPr>
                <w:color w:val="000000"/>
                <w:sz w:val="18"/>
                <w:szCs w:val="18"/>
                <w:lang w:eastAsia="fr-FR"/>
              </w:rPr>
            </w:pPr>
            <w:r w:rsidRPr="00743378">
              <w:rPr>
                <w:color w:val="000000"/>
                <w:sz w:val="18"/>
                <w:szCs w:val="18"/>
                <w:lang w:eastAsia="fr-FR"/>
              </w:rPr>
              <w:t>GECAMINES</w:t>
            </w:r>
          </w:p>
        </w:tc>
        <w:tc>
          <w:tcPr>
            <w:tcW w:w="206" w:type="pct"/>
          </w:tcPr>
          <w:p w:rsidR="00034CEB" w:rsidRPr="00743378" w:rsidRDefault="00034CEB" w:rsidP="004D4FD7">
            <w:pPr>
              <w:rPr>
                <w:color w:val="000000"/>
                <w:sz w:val="18"/>
                <w:szCs w:val="18"/>
                <w:lang w:eastAsia="fr-FR"/>
              </w:rPr>
            </w:pPr>
          </w:p>
        </w:tc>
        <w:tc>
          <w:tcPr>
            <w:tcW w:w="206" w:type="pct"/>
            <w:shd w:val="clear" w:color="auto" w:fill="95B3D7" w:themeFill="accent1" w:themeFillTint="99"/>
          </w:tcPr>
          <w:p w:rsidR="00034CEB" w:rsidRPr="00743378" w:rsidRDefault="00034CEB" w:rsidP="004D4FD7">
            <w:pPr>
              <w:rPr>
                <w:color w:val="000000"/>
                <w:sz w:val="18"/>
                <w:szCs w:val="18"/>
                <w:lang w:eastAsia="fr-FR"/>
              </w:rPr>
            </w:pPr>
          </w:p>
        </w:tc>
        <w:tc>
          <w:tcPr>
            <w:tcW w:w="206" w:type="pct"/>
            <w:shd w:val="clear" w:color="auto" w:fill="95B3D7" w:themeFill="accent1" w:themeFillTint="99"/>
          </w:tcPr>
          <w:p w:rsidR="00034CEB" w:rsidRPr="00743378" w:rsidRDefault="00034CEB" w:rsidP="004D4FD7">
            <w:pPr>
              <w:rPr>
                <w:color w:val="000000"/>
                <w:sz w:val="18"/>
                <w:szCs w:val="18"/>
                <w:lang w:eastAsia="fr-FR"/>
              </w:rPr>
            </w:pPr>
          </w:p>
        </w:tc>
        <w:tc>
          <w:tcPr>
            <w:tcW w:w="2635" w:type="pct"/>
          </w:tcPr>
          <w:p w:rsidR="00034CEB" w:rsidRPr="00743378" w:rsidRDefault="00034CEB" w:rsidP="004D4FD7">
            <w:pPr>
              <w:spacing w:before="120" w:after="120"/>
              <w:rPr>
                <w:color w:val="000000"/>
                <w:sz w:val="18"/>
                <w:szCs w:val="18"/>
                <w:lang w:eastAsia="fr-FR"/>
              </w:rPr>
            </w:pPr>
            <w:r w:rsidRPr="00743378">
              <w:rPr>
                <w:color w:val="000000"/>
                <w:sz w:val="18"/>
                <w:szCs w:val="18"/>
                <w:lang w:eastAsia="fr-FR"/>
              </w:rPr>
              <w:t>Dépenses engagées par le GECAMINES au nom de KIPUSHI CORPORATION identifiées parmi les recettes déclarées par la GECAMINES.</w:t>
            </w:r>
          </w:p>
        </w:tc>
      </w:tr>
      <w:tr w:rsidR="00034CEB" w:rsidRPr="00743378" w:rsidTr="00155613">
        <w:trPr>
          <w:trHeight w:val="448"/>
          <w:jc w:val="center"/>
        </w:trPr>
        <w:tc>
          <w:tcPr>
            <w:tcW w:w="1255" w:type="pct"/>
            <w:vAlign w:val="center"/>
          </w:tcPr>
          <w:p w:rsidR="00034CEB" w:rsidRPr="00743378" w:rsidRDefault="00034CEB" w:rsidP="004D4FD7">
            <w:pPr>
              <w:rPr>
                <w:color w:val="000000"/>
                <w:sz w:val="18"/>
                <w:szCs w:val="18"/>
                <w:lang w:eastAsia="fr-FR"/>
              </w:rPr>
            </w:pPr>
            <w:r w:rsidRPr="00743378">
              <w:rPr>
                <w:color w:val="000000"/>
                <w:sz w:val="18"/>
                <w:szCs w:val="18"/>
                <w:lang w:eastAsia="fr-FR"/>
              </w:rPr>
              <w:t>Avance contractuelle</w:t>
            </w:r>
          </w:p>
        </w:tc>
        <w:tc>
          <w:tcPr>
            <w:tcW w:w="492" w:type="pct"/>
            <w:vAlign w:val="center"/>
          </w:tcPr>
          <w:p w:rsidR="00034CEB" w:rsidRPr="00743378" w:rsidRDefault="00034CEB" w:rsidP="004D4FD7">
            <w:pPr>
              <w:jc w:val="center"/>
              <w:rPr>
                <w:color w:val="000000"/>
                <w:sz w:val="18"/>
                <w:szCs w:val="18"/>
                <w:lang w:eastAsia="fr-FR"/>
              </w:rPr>
            </w:pPr>
            <w:r w:rsidRPr="00743378">
              <w:rPr>
                <w:color w:val="000000"/>
                <w:sz w:val="18"/>
                <w:szCs w:val="18"/>
                <w:lang w:eastAsia="fr-FR"/>
              </w:rPr>
              <w:t xml:space="preserve">Entreprise </w:t>
            </w:r>
            <w:r w:rsidRPr="00743378">
              <w:rPr>
                <w:color w:val="000000"/>
                <w:sz w:val="18"/>
                <w:szCs w:val="18"/>
                <w:lang w:eastAsia="fr-FR"/>
              </w:rPr>
              <w:lastRenderedPageBreak/>
              <w:t>publique</w:t>
            </w:r>
          </w:p>
        </w:tc>
        <w:tc>
          <w:tcPr>
            <w:tcW w:w="206" w:type="pct"/>
          </w:tcPr>
          <w:p w:rsidR="00034CEB" w:rsidRPr="00743378" w:rsidRDefault="00034CEB" w:rsidP="004D4FD7">
            <w:pPr>
              <w:rPr>
                <w:color w:val="000000"/>
                <w:sz w:val="18"/>
                <w:szCs w:val="18"/>
                <w:lang w:eastAsia="fr-FR"/>
              </w:rPr>
            </w:pPr>
          </w:p>
        </w:tc>
        <w:tc>
          <w:tcPr>
            <w:tcW w:w="206" w:type="pct"/>
            <w:shd w:val="clear" w:color="auto" w:fill="95B3D7" w:themeFill="accent1" w:themeFillTint="99"/>
          </w:tcPr>
          <w:p w:rsidR="00034CEB" w:rsidRPr="00743378" w:rsidRDefault="00034CEB" w:rsidP="004D4FD7">
            <w:pPr>
              <w:rPr>
                <w:color w:val="000000"/>
                <w:sz w:val="18"/>
                <w:szCs w:val="18"/>
                <w:lang w:eastAsia="fr-FR"/>
              </w:rPr>
            </w:pPr>
          </w:p>
        </w:tc>
        <w:tc>
          <w:tcPr>
            <w:tcW w:w="206" w:type="pct"/>
            <w:shd w:val="clear" w:color="auto" w:fill="95B3D7" w:themeFill="accent1" w:themeFillTint="99"/>
          </w:tcPr>
          <w:p w:rsidR="00034CEB" w:rsidRPr="00743378" w:rsidRDefault="00034CEB" w:rsidP="004D4FD7">
            <w:pPr>
              <w:rPr>
                <w:color w:val="000000"/>
                <w:sz w:val="18"/>
                <w:szCs w:val="18"/>
                <w:lang w:eastAsia="fr-FR"/>
              </w:rPr>
            </w:pPr>
          </w:p>
        </w:tc>
        <w:tc>
          <w:tcPr>
            <w:tcW w:w="2635" w:type="pct"/>
          </w:tcPr>
          <w:p w:rsidR="00034CEB" w:rsidRPr="00743378" w:rsidRDefault="00034CEB" w:rsidP="004D4FD7">
            <w:pPr>
              <w:spacing w:before="120" w:after="120"/>
              <w:rPr>
                <w:color w:val="000000"/>
                <w:sz w:val="18"/>
                <w:szCs w:val="18"/>
                <w:lang w:eastAsia="fr-FR"/>
              </w:rPr>
            </w:pPr>
            <w:r w:rsidRPr="00743378">
              <w:rPr>
                <w:color w:val="000000"/>
                <w:sz w:val="18"/>
                <w:szCs w:val="18"/>
                <w:lang w:eastAsia="fr-FR"/>
              </w:rPr>
              <w:t xml:space="preserve">Ce sont des avances perçues par les EPE et prévues au niveau des contrats signés avec </w:t>
            </w:r>
            <w:r w:rsidRPr="00743378">
              <w:rPr>
                <w:color w:val="000000"/>
                <w:sz w:val="18"/>
                <w:szCs w:val="18"/>
                <w:lang w:eastAsia="fr-FR"/>
              </w:rPr>
              <w:lastRenderedPageBreak/>
              <w:t>leurs partenaires.</w:t>
            </w:r>
          </w:p>
        </w:tc>
      </w:tr>
      <w:tr w:rsidR="00034CEB" w:rsidRPr="00743378" w:rsidTr="00155613">
        <w:trPr>
          <w:trHeight w:val="448"/>
          <w:jc w:val="center"/>
        </w:trPr>
        <w:tc>
          <w:tcPr>
            <w:tcW w:w="1255" w:type="pct"/>
            <w:vAlign w:val="center"/>
            <w:hideMark/>
          </w:tcPr>
          <w:p w:rsidR="00034CEB" w:rsidRPr="00743378" w:rsidRDefault="00034CEB" w:rsidP="004D4FD7">
            <w:pPr>
              <w:rPr>
                <w:color w:val="000000"/>
                <w:sz w:val="18"/>
                <w:szCs w:val="18"/>
                <w:lang w:eastAsia="fr-FR"/>
              </w:rPr>
            </w:pPr>
            <w:r w:rsidRPr="00743378">
              <w:rPr>
                <w:color w:val="000000"/>
                <w:sz w:val="18"/>
                <w:szCs w:val="18"/>
                <w:lang w:eastAsia="fr-FR"/>
              </w:rPr>
              <w:lastRenderedPageBreak/>
              <w:t>Frais de renonciation au droit de préemption</w:t>
            </w:r>
          </w:p>
        </w:tc>
        <w:tc>
          <w:tcPr>
            <w:tcW w:w="492" w:type="pct"/>
            <w:vAlign w:val="center"/>
            <w:hideMark/>
          </w:tcPr>
          <w:p w:rsidR="00034CEB" w:rsidRPr="00743378" w:rsidRDefault="00034CEB" w:rsidP="004D4FD7">
            <w:pPr>
              <w:jc w:val="center"/>
              <w:rPr>
                <w:color w:val="000000"/>
                <w:sz w:val="18"/>
                <w:szCs w:val="18"/>
                <w:lang w:eastAsia="fr-FR"/>
              </w:rPr>
            </w:pPr>
            <w:r w:rsidRPr="00743378">
              <w:rPr>
                <w:color w:val="000000"/>
                <w:sz w:val="18"/>
                <w:szCs w:val="18"/>
                <w:lang w:eastAsia="fr-FR"/>
              </w:rPr>
              <w:t>Entreprise publique</w:t>
            </w:r>
          </w:p>
        </w:tc>
        <w:tc>
          <w:tcPr>
            <w:tcW w:w="206" w:type="pct"/>
          </w:tcPr>
          <w:p w:rsidR="00034CEB" w:rsidRPr="00743378" w:rsidRDefault="00034CEB" w:rsidP="004D4FD7">
            <w:pPr>
              <w:rPr>
                <w:color w:val="000000"/>
                <w:sz w:val="18"/>
                <w:szCs w:val="18"/>
                <w:lang w:eastAsia="fr-FR"/>
              </w:rPr>
            </w:pPr>
          </w:p>
        </w:tc>
        <w:tc>
          <w:tcPr>
            <w:tcW w:w="206" w:type="pct"/>
            <w:tcBorders>
              <w:bottom w:val="single" w:sz="4" w:space="0" w:color="4F81BD" w:themeColor="accent1"/>
            </w:tcBorders>
          </w:tcPr>
          <w:p w:rsidR="00034CEB" w:rsidRPr="00743378" w:rsidRDefault="00034CEB" w:rsidP="004D4FD7">
            <w:pPr>
              <w:rPr>
                <w:color w:val="000000"/>
                <w:sz w:val="18"/>
                <w:szCs w:val="18"/>
                <w:lang w:eastAsia="fr-FR"/>
              </w:rPr>
            </w:pPr>
          </w:p>
        </w:tc>
        <w:tc>
          <w:tcPr>
            <w:tcW w:w="206" w:type="pct"/>
            <w:shd w:val="clear" w:color="auto" w:fill="8DB3E2" w:themeFill="text2" w:themeFillTint="66"/>
          </w:tcPr>
          <w:p w:rsidR="00034CEB" w:rsidRPr="00743378" w:rsidRDefault="00034CEB" w:rsidP="004D4FD7">
            <w:pPr>
              <w:rPr>
                <w:color w:val="000000"/>
                <w:sz w:val="18"/>
                <w:szCs w:val="18"/>
                <w:lang w:eastAsia="fr-FR"/>
              </w:rPr>
            </w:pPr>
          </w:p>
        </w:tc>
        <w:tc>
          <w:tcPr>
            <w:tcW w:w="2635" w:type="pct"/>
            <w:hideMark/>
          </w:tcPr>
          <w:p w:rsidR="00034CEB" w:rsidRPr="00743378" w:rsidRDefault="00034CEB" w:rsidP="004D4FD7">
            <w:pPr>
              <w:spacing w:before="120" w:after="120"/>
              <w:rPr>
                <w:color w:val="000000"/>
                <w:sz w:val="18"/>
                <w:szCs w:val="18"/>
                <w:lang w:eastAsia="fr-FR"/>
              </w:rPr>
            </w:pPr>
            <w:r w:rsidRPr="00743378">
              <w:rPr>
                <w:color w:val="000000"/>
                <w:sz w:val="18"/>
                <w:szCs w:val="18"/>
                <w:lang w:eastAsia="fr-FR"/>
              </w:rPr>
              <w:t xml:space="preserve">Ce sont les </w:t>
            </w:r>
            <w:r w:rsidRPr="00743378">
              <w:rPr>
                <w:color w:val="000000"/>
                <w:sz w:val="18"/>
                <w:szCs w:val="18"/>
              </w:rPr>
              <w:t>frais</w:t>
            </w:r>
            <w:r w:rsidRPr="00743378">
              <w:rPr>
                <w:color w:val="000000"/>
                <w:sz w:val="18"/>
                <w:szCs w:val="18"/>
                <w:lang w:eastAsia="fr-FR"/>
              </w:rPr>
              <w:t xml:space="preserve"> perçus </w:t>
            </w:r>
            <w:r w:rsidRPr="00743378">
              <w:rPr>
                <w:color w:val="000000"/>
                <w:sz w:val="18"/>
                <w:szCs w:val="18"/>
              </w:rPr>
              <w:t>par</w:t>
            </w:r>
            <w:r w:rsidRPr="00743378">
              <w:rPr>
                <w:color w:val="000000"/>
                <w:sz w:val="18"/>
                <w:szCs w:val="18"/>
                <w:lang w:eastAsia="fr-FR"/>
              </w:rPr>
              <w:t xml:space="preserve"> les entreprises publiques en compensation de la renonciation à l’exercice de leur droit de préemption.</w:t>
            </w:r>
          </w:p>
        </w:tc>
      </w:tr>
      <w:tr w:rsidR="00034CEB" w:rsidRPr="00743378" w:rsidTr="00155613">
        <w:trPr>
          <w:trHeight w:val="450"/>
          <w:jc w:val="center"/>
        </w:trPr>
        <w:tc>
          <w:tcPr>
            <w:tcW w:w="1255" w:type="pct"/>
            <w:vAlign w:val="center"/>
          </w:tcPr>
          <w:p w:rsidR="00034CEB" w:rsidRPr="00743378" w:rsidRDefault="00034CEB" w:rsidP="004D4FD7">
            <w:pPr>
              <w:rPr>
                <w:color w:val="000000"/>
                <w:sz w:val="18"/>
                <w:szCs w:val="18"/>
                <w:lang w:eastAsia="fr-FR"/>
              </w:rPr>
            </w:pPr>
            <w:proofErr w:type="gramStart"/>
            <w:r w:rsidRPr="00743378">
              <w:rPr>
                <w:color w:val="000000"/>
                <w:sz w:val="18"/>
                <w:szCs w:val="18"/>
                <w:lang w:eastAsia="fr-FR"/>
              </w:rPr>
              <w:t>Redevance supplémentaires sur les réserves additionnelles</w:t>
            </w:r>
            <w:proofErr w:type="gramEnd"/>
          </w:p>
        </w:tc>
        <w:tc>
          <w:tcPr>
            <w:tcW w:w="492" w:type="pct"/>
            <w:vAlign w:val="center"/>
          </w:tcPr>
          <w:p w:rsidR="00034CEB" w:rsidRPr="00743378" w:rsidRDefault="00034CEB" w:rsidP="004D4FD7">
            <w:pPr>
              <w:jc w:val="center"/>
              <w:rPr>
                <w:color w:val="000000"/>
                <w:sz w:val="18"/>
                <w:szCs w:val="18"/>
                <w:lang w:eastAsia="fr-FR"/>
              </w:rPr>
            </w:pPr>
            <w:r w:rsidRPr="00743378">
              <w:rPr>
                <w:color w:val="000000"/>
                <w:sz w:val="18"/>
                <w:szCs w:val="18"/>
                <w:lang w:eastAsia="fr-FR"/>
              </w:rPr>
              <w:t>GECAMINES</w:t>
            </w:r>
          </w:p>
        </w:tc>
        <w:tc>
          <w:tcPr>
            <w:tcW w:w="206" w:type="pct"/>
            <w:vAlign w:val="center"/>
          </w:tcPr>
          <w:p w:rsidR="00034CEB" w:rsidRPr="00743378" w:rsidRDefault="00034CEB" w:rsidP="004D4FD7">
            <w:pPr>
              <w:rPr>
                <w:color w:val="000000"/>
                <w:sz w:val="18"/>
                <w:szCs w:val="18"/>
                <w:lang w:eastAsia="fr-FR"/>
              </w:rPr>
            </w:pPr>
          </w:p>
        </w:tc>
        <w:tc>
          <w:tcPr>
            <w:tcW w:w="206" w:type="pct"/>
            <w:shd w:val="clear" w:color="auto" w:fill="95B3D7" w:themeFill="accent1" w:themeFillTint="99"/>
            <w:vAlign w:val="center"/>
          </w:tcPr>
          <w:p w:rsidR="00034CEB" w:rsidRPr="00743378" w:rsidRDefault="00034CEB" w:rsidP="004D4FD7">
            <w:pPr>
              <w:ind w:firstLineChars="100" w:firstLine="180"/>
              <w:rPr>
                <w:color w:val="000000"/>
                <w:sz w:val="18"/>
                <w:szCs w:val="18"/>
                <w:lang w:eastAsia="fr-FR"/>
              </w:rPr>
            </w:pPr>
          </w:p>
        </w:tc>
        <w:tc>
          <w:tcPr>
            <w:tcW w:w="206" w:type="pct"/>
            <w:vAlign w:val="center"/>
          </w:tcPr>
          <w:p w:rsidR="00034CEB" w:rsidRPr="00743378" w:rsidRDefault="00034CEB" w:rsidP="004D4FD7">
            <w:pPr>
              <w:rPr>
                <w:color w:val="000000"/>
                <w:sz w:val="18"/>
                <w:szCs w:val="18"/>
                <w:lang w:eastAsia="fr-FR"/>
              </w:rPr>
            </w:pPr>
          </w:p>
        </w:tc>
        <w:tc>
          <w:tcPr>
            <w:tcW w:w="2635" w:type="pct"/>
            <w:vAlign w:val="center"/>
          </w:tcPr>
          <w:p w:rsidR="00034CEB" w:rsidRPr="00743378" w:rsidRDefault="00034CEB" w:rsidP="004D4FD7">
            <w:pPr>
              <w:spacing w:before="120" w:after="120"/>
              <w:rPr>
                <w:color w:val="000000"/>
                <w:sz w:val="18"/>
                <w:szCs w:val="18"/>
              </w:rPr>
            </w:pPr>
            <w:r w:rsidRPr="00743378">
              <w:rPr>
                <w:color w:val="000000"/>
                <w:sz w:val="18"/>
                <w:szCs w:val="18"/>
              </w:rPr>
              <w:t xml:space="preserve">Cette redevance est prévue par la procédure de </w:t>
            </w:r>
            <w:proofErr w:type="spellStart"/>
            <w:r w:rsidRPr="00743378">
              <w:rPr>
                <w:color w:val="000000"/>
                <w:sz w:val="18"/>
                <w:szCs w:val="18"/>
              </w:rPr>
              <w:t>revisitation</w:t>
            </w:r>
            <w:proofErr w:type="spellEnd"/>
            <w:r w:rsidRPr="00743378">
              <w:rPr>
                <w:color w:val="000000"/>
                <w:sz w:val="18"/>
                <w:szCs w:val="18"/>
              </w:rPr>
              <w:t xml:space="preserve"> du contrat de TFM, Laquelle procédure prévoit un paiement par TFM d’une redevance supplémentaire de 1,2 millions USD pour toutes réserves additionnelles de 100.000 t/Cu au-delà des réserves de 2,5 millions t/Cu déclarées.</w:t>
            </w:r>
          </w:p>
        </w:tc>
      </w:tr>
      <w:tr w:rsidR="00034CEB" w:rsidRPr="00743378" w:rsidTr="00155613">
        <w:trPr>
          <w:trHeight w:val="450"/>
          <w:jc w:val="center"/>
        </w:trPr>
        <w:tc>
          <w:tcPr>
            <w:tcW w:w="1255" w:type="pct"/>
            <w:vAlign w:val="center"/>
            <w:hideMark/>
          </w:tcPr>
          <w:p w:rsidR="00034CEB" w:rsidRPr="00743378" w:rsidRDefault="00034CEB" w:rsidP="004D4FD7">
            <w:pPr>
              <w:rPr>
                <w:color w:val="000000"/>
                <w:sz w:val="18"/>
                <w:szCs w:val="18"/>
                <w:lang w:eastAsia="fr-FR"/>
              </w:rPr>
            </w:pPr>
            <w:r w:rsidRPr="00743378">
              <w:rPr>
                <w:color w:val="000000"/>
                <w:sz w:val="18"/>
                <w:szCs w:val="18"/>
                <w:lang w:eastAsia="fr-FR"/>
              </w:rPr>
              <w:t>Taxe voiries et drainage</w:t>
            </w:r>
          </w:p>
        </w:tc>
        <w:tc>
          <w:tcPr>
            <w:tcW w:w="492" w:type="pct"/>
            <w:vAlign w:val="center"/>
            <w:hideMark/>
          </w:tcPr>
          <w:p w:rsidR="00034CEB" w:rsidRPr="00743378" w:rsidRDefault="00034CEB" w:rsidP="004D4FD7">
            <w:pPr>
              <w:jc w:val="center"/>
              <w:rPr>
                <w:color w:val="000000"/>
                <w:sz w:val="18"/>
                <w:szCs w:val="18"/>
                <w:lang w:eastAsia="fr-FR"/>
              </w:rPr>
            </w:pPr>
            <w:r w:rsidRPr="00743378">
              <w:rPr>
                <w:color w:val="000000"/>
                <w:sz w:val="18"/>
                <w:szCs w:val="18"/>
                <w:lang w:eastAsia="fr-FR"/>
              </w:rPr>
              <w:t>DRKAT</w:t>
            </w:r>
          </w:p>
        </w:tc>
        <w:tc>
          <w:tcPr>
            <w:tcW w:w="206" w:type="pct"/>
            <w:hideMark/>
          </w:tcPr>
          <w:p w:rsidR="00034CEB" w:rsidRPr="00743378" w:rsidRDefault="00034CEB" w:rsidP="004D4FD7">
            <w:pPr>
              <w:rPr>
                <w:color w:val="000000"/>
                <w:sz w:val="18"/>
                <w:szCs w:val="18"/>
                <w:lang w:eastAsia="fr-FR"/>
              </w:rPr>
            </w:pPr>
            <w:r w:rsidRPr="00743378">
              <w:rPr>
                <w:color w:val="000000"/>
                <w:sz w:val="18"/>
                <w:szCs w:val="18"/>
                <w:lang w:eastAsia="fr-FR"/>
              </w:rPr>
              <w:t> </w:t>
            </w:r>
          </w:p>
        </w:tc>
        <w:tc>
          <w:tcPr>
            <w:tcW w:w="206" w:type="pct"/>
            <w:shd w:val="clear" w:color="auto" w:fill="8DB3E2" w:themeFill="text2" w:themeFillTint="66"/>
            <w:vAlign w:val="center"/>
            <w:hideMark/>
          </w:tcPr>
          <w:p w:rsidR="00034CEB" w:rsidRPr="00743378" w:rsidRDefault="00034CEB" w:rsidP="004D4FD7">
            <w:pPr>
              <w:ind w:firstLineChars="100" w:firstLine="180"/>
              <w:rPr>
                <w:color w:val="000000"/>
                <w:sz w:val="18"/>
                <w:szCs w:val="18"/>
                <w:lang w:eastAsia="fr-FR"/>
              </w:rPr>
            </w:pPr>
            <w:r w:rsidRPr="00743378">
              <w:rPr>
                <w:color w:val="000000"/>
                <w:sz w:val="18"/>
                <w:szCs w:val="18"/>
                <w:lang w:eastAsia="fr-FR"/>
              </w:rPr>
              <w:t> </w:t>
            </w:r>
          </w:p>
        </w:tc>
        <w:tc>
          <w:tcPr>
            <w:tcW w:w="206" w:type="pct"/>
            <w:hideMark/>
          </w:tcPr>
          <w:p w:rsidR="00034CEB" w:rsidRPr="00743378" w:rsidRDefault="00034CEB" w:rsidP="004D4FD7">
            <w:pPr>
              <w:rPr>
                <w:color w:val="000000"/>
                <w:sz w:val="18"/>
                <w:szCs w:val="18"/>
                <w:lang w:eastAsia="fr-FR"/>
              </w:rPr>
            </w:pPr>
            <w:r w:rsidRPr="00743378">
              <w:rPr>
                <w:color w:val="000000"/>
                <w:sz w:val="18"/>
                <w:szCs w:val="18"/>
                <w:lang w:eastAsia="fr-FR"/>
              </w:rPr>
              <w:t> </w:t>
            </w:r>
          </w:p>
        </w:tc>
        <w:tc>
          <w:tcPr>
            <w:tcW w:w="2635" w:type="pct"/>
            <w:vAlign w:val="center"/>
            <w:hideMark/>
          </w:tcPr>
          <w:p w:rsidR="00034CEB" w:rsidRPr="00743378" w:rsidRDefault="00034CEB" w:rsidP="004D4FD7">
            <w:pPr>
              <w:spacing w:before="120" w:after="120"/>
              <w:rPr>
                <w:color w:val="000000"/>
                <w:sz w:val="18"/>
                <w:szCs w:val="18"/>
              </w:rPr>
            </w:pPr>
            <w:r w:rsidRPr="00743378">
              <w:rPr>
                <w:color w:val="000000"/>
                <w:sz w:val="18"/>
                <w:szCs w:val="18"/>
              </w:rPr>
              <w:t>Taxe provinciale d’intervention en matière de réhabilitation des infrastructures urbaines de voiries et de drainage ainsi que des routes d’intérêt provincial.</w:t>
            </w:r>
          </w:p>
        </w:tc>
      </w:tr>
      <w:tr w:rsidR="00034CEB" w:rsidRPr="00743378" w:rsidTr="00155613">
        <w:trPr>
          <w:trHeight w:val="450"/>
          <w:jc w:val="center"/>
        </w:trPr>
        <w:tc>
          <w:tcPr>
            <w:tcW w:w="1255" w:type="pct"/>
            <w:vAlign w:val="center"/>
            <w:hideMark/>
          </w:tcPr>
          <w:p w:rsidR="00034CEB" w:rsidRPr="00743378" w:rsidRDefault="00034CEB" w:rsidP="004D4FD7">
            <w:pPr>
              <w:rPr>
                <w:color w:val="000000"/>
                <w:sz w:val="18"/>
                <w:szCs w:val="18"/>
                <w:lang w:eastAsia="fr-FR"/>
              </w:rPr>
            </w:pPr>
            <w:r w:rsidRPr="00743378">
              <w:rPr>
                <w:color w:val="000000"/>
                <w:sz w:val="18"/>
                <w:szCs w:val="18"/>
                <w:lang w:eastAsia="fr-FR"/>
              </w:rPr>
              <w:t>Taxe concentrés</w:t>
            </w:r>
          </w:p>
        </w:tc>
        <w:tc>
          <w:tcPr>
            <w:tcW w:w="492" w:type="pct"/>
            <w:vAlign w:val="center"/>
            <w:hideMark/>
          </w:tcPr>
          <w:p w:rsidR="00034CEB" w:rsidRPr="00743378" w:rsidRDefault="00034CEB" w:rsidP="004D4FD7">
            <w:pPr>
              <w:jc w:val="center"/>
              <w:rPr>
                <w:color w:val="000000"/>
                <w:sz w:val="18"/>
                <w:szCs w:val="18"/>
                <w:lang w:eastAsia="fr-FR"/>
              </w:rPr>
            </w:pPr>
            <w:r w:rsidRPr="00743378">
              <w:rPr>
                <w:color w:val="000000"/>
                <w:sz w:val="18"/>
                <w:szCs w:val="18"/>
                <w:lang w:eastAsia="fr-FR"/>
              </w:rPr>
              <w:t>DRKAT</w:t>
            </w:r>
          </w:p>
        </w:tc>
        <w:tc>
          <w:tcPr>
            <w:tcW w:w="206" w:type="pct"/>
            <w:hideMark/>
          </w:tcPr>
          <w:p w:rsidR="00034CEB" w:rsidRPr="00743378" w:rsidRDefault="00034CEB" w:rsidP="004D4FD7">
            <w:pPr>
              <w:rPr>
                <w:color w:val="000000"/>
                <w:sz w:val="18"/>
                <w:szCs w:val="18"/>
                <w:lang w:eastAsia="fr-FR"/>
              </w:rPr>
            </w:pPr>
            <w:r w:rsidRPr="00743378">
              <w:rPr>
                <w:color w:val="000000"/>
                <w:sz w:val="18"/>
                <w:szCs w:val="18"/>
                <w:lang w:eastAsia="fr-FR"/>
              </w:rPr>
              <w:t> </w:t>
            </w:r>
          </w:p>
        </w:tc>
        <w:tc>
          <w:tcPr>
            <w:tcW w:w="206" w:type="pct"/>
            <w:shd w:val="clear" w:color="auto" w:fill="8DB3E2" w:themeFill="text2" w:themeFillTint="66"/>
            <w:vAlign w:val="center"/>
            <w:hideMark/>
          </w:tcPr>
          <w:p w:rsidR="00034CEB" w:rsidRPr="00743378" w:rsidRDefault="00034CEB" w:rsidP="004D4FD7">
            <w:pPr>
              <w:ind w:firstLineChars="100" w:firstLine="180"/>
              <w:rPr>
                <w:color w:val="000000"/>
                <w:sz w:val="18"/>
                <w:szCs w:val="18"/>
                <w:lang w:eastAsia="fr-FR"/>
              </w:rPr>
            </w:pPr>
            <w:r w:rsidRPr="00743378">
              <w:rPr>
                <w:color w:val="000000"/>
                <w:sz w:val="18"/>
                <w:szCs w:val="18"/>
                <w:lang w:eastAsia="fr-FR"/>
              </w:rPr>
              <w:t> </w:t>
            </w:r>
          </w:p>
        </w:tc>
        <w:tc>
          <w:tcPr>
            <w:tcW w:w="206" w:type="pct"/>
            <w:hideMark/>
          </w:tcPr>
          <w:p w:rsidR="00034CEB" w:rsidRPr="00743378" w:rsidRDefault="00034CEB" w:rsidP="004D4FD7">
            <w:pPr>
              <w:rPr>
                <w:color w:val="000000"/>
                <w:sz w:val="18"/>
                <w:szCs w:val="18"/>
                <w:lang w:eastAsia="fr-FR"/>
              </w:rPr>
            </w:pPr>
            <w:r w:rsidRPr="00743378">
              <w:rPr>
                <w:color w:val="000000"/>
                <w:sz w:val="18"/>
                <w:szCs w:val="18"/>
                <w:lang w:eastAsia="fr-FR"/>
              </w:rPr>
              <w:t> </w:t>
            </w:r>
          </w:p>
        </w:tc>
        <w:tc>
          <w:tcPr>
            <w:tcW w:w="2635" w:type="pct"/>
            <w:vAlign w:val="center"/>
            <w:hideMark/>
          </w:tcPr>
          <w:p w:rsidR="00034CEB" w:rsidRPr="00743378" w:rsidRDefault="00034CEB" w:rsidP="004D4FD7">
            <w:pPr>
              <w:spacing w:before="120" w:after="120"/>
              <w:rPr>
                <w:color w:val="000000"/>
                <w:sz w:val="18"/>
                <w:szCs w:val="18"/>
              </w:rPr>
            </w:pPr>
            <w:r w:rsidRPr="00743378">
              <w:rPr>
                <w:color w:val="000000"/>
                <w:sz w:val="18"/>
                <w:szCs w:val="18"/>
              </w:rPr>
              <w:t>Taxe incitative à la création des unités locales de transformation des concentrés.</w:t>
            </w:r>
          </w:p>
        </w:tc>
      </w:tr>
      <w:tr w:rsidR="00034CEB" w:rsidRPr="00743378" w:rsidTr="00155613">
        <w:trPr>
          <w:trHeight w:val="450"/>
          <w:jc w:val="center"/>
        </w:trPr>
        <w:tc>
          <w:tcPr>
            <w:tcW w:w="1255" w:type="pct"/>
            <w:vAlign w:val="center"/>
            <w:hideMark/>
          </w:tcPr>
          <w:p w:rsidR="00034CEB" w:rsidRPr="00743378" w:rsidRDefault="00034CEB" w:rsidP="004D4FD7">
            <w:pPr>
              <w:rPr>
                <w:color w:val="000000"/>
                <w:sz w:val="18"/>
                <w:szCs w:val="18"/>
                <w:lang w:eastAsia="fr-FR"/>
              </w:rPr>
            </w:pPr>
            <w:r w:rsidRPr="00743378">
              <w:rPr>
                <w:color w:val="000000"/>
                <w:sz w:val="18"/>
                <w:szCs w:val="18"/>
                <w:lang w:eastAsia="fr-FR"/>
              </w:rPr>
              <w:t>Impôt sur la superficie des concessions minières et des hydrocarbures.</w:t>
            </w:r>
          </w:p>
        </w:tc>
        <w:tc>
          <w:tcPr>
            <w:tcW w:w="492" w:type="pct"/>
            <w:vAlign w:val="center"/>
            <w:hideMark/>
          </w:tcPr>
          <w:p w:rsidR="00034CEB" w:rsidRPr="00743378" w:rsidRDefault="00034CEB" w:rsidP="004D4FD7">
            <w:pPr>
              <w:jc w:val="center"/>
              <w:rPr>
                <w:color w:val="000000"/>
                <w:sz w:val="18"/>
                <w:szCs w:val="18"/>
                <w:lang w:eastAsia="fr-FR"/>
              </w:rPr>
            </w:pPr>
            <w:r w:rsidRPr="00743378">
              <w:rPr>
                <w:color w:val="000000"/>
                <w:sz w:val="18"/>
                <w:szCs w:val="18"/>
                <w:lang w:eastAsia="fr-FR"/>
              </w:rPr>
              <w:t>DRKAT</w:t>
            </w:r>
          </w:p>
        </w:tc>
        <w:tc>
          <w:tcPr>
            <w:tcW w:w="206" w:type="pct"/>
            <w:hideMark/>
          </w:tcPr>
          <w:p w:rsidR="00034CEB" w:rsidRPr="00743378" w:rsidRDefault="00034CEB" w:rsidP="004D4FD7">
            <w:pPr>
              <w:rPr>
                <w:color w:val="000000"/>
                <w:sz w:val="18"/>
                <w:szCs w:val="18"/>
                <w:lang w:eastAsia="fr-FR"/>
              </w:rPr>
            </w:pPr>
            <w:r w:rsidRPr="00743378">
              <w:rPr>
                <w:color w:val="000000"/>
                <w:sz w:val="18"/>
                <w:szCs w:val="18"/>
                <w:lang w:eastAsia="fr-FR"/>
              </w:rPr>
              <w:t> </w:t>
            </w:r>
          </w:p>
        </w:tc>
        <w:tc>
          <w:tcPr>
            <w:tcW w:w="206" w:type="pct"/>
            <w:shd w:val="clear" w:color="auto" w:fill="8DB3E2" w:themeFill="text2" w:themeFillTint="66"/>
            <w:vAlign w:val="center"/>
            <w:hideMark/>
          </w:tcPr>
          <w:p w:rsidR="00034CEB" w:rsidRPr="00743378" w:rsidRDefault="00034CEB" w:rsidP="004D4FD7">
            <w:pPr>
              <w:ind w:firstLineChars="100" w:firstLine="180"/>
              <w:rPr>
                <w:color w:val="000000"/>
                <w:sz w:val="18"/>
                <w:szCs w:val="18"/>
                <w:lang w:eastAsia="fr-FR"/>
              </w:rPr>
            </w:pPr>
            <w:r w:rsidRPr="00743378">
              <w:rPr>
                <w:color w:val="000000"/>
                <w:sz w:val="18"/>
                <w:szCs w:val="18"/>
                <w:lang w:eastAsia="fr-FR"/>
              </w:rPr>
              <w:t> </w:t>
            </w:r>
          </w:p>
        </w:tc>
        <w:tc>
          <w:tcPr>
            <w:tcW w:w="206" w:type="pct"/>
            <w:shd w:val="clear" w:color="auto" w:fill="8DB3E2" w:themeFill="text2" w:themeFillTint="66"/>
            <w:hideMark/>
          </w:tcPr>
          <w:p w:rsidR="00034CEB" w:rsidRPr="00743378" w:rsidRDefault="00034CEB" w:rsidP="004D4FD7">
            <w:pPr>
              <w:rPr>
                <w:color w:val="000000"/>
                <w:sz w:val="18"/>
                <w:szCs w:val="18"/>
                <w:lang w:eastAsia="fr-FR"/>
              </w:rPr>
            </w:pPr>
            <w:r w:rsidRPr="00743378">
              <w:rPr>
                <w:color w:val="000000"/>
                <w:sz w:val="18"/>
                <w:szCs w:val="18"/>
                <w:lang w:eastAsia="fr-FR"/>
              </w:rPr>
              <w:t> </w:t>
            </w:r>
          </w:p>
        </w:tc>
        <w:tc>
          <w:tcPr>
            <w:tcW w:w="2635" w:type="pct"/>
            <w:vAlign w:val="center"/>
            <w:hideMark/>
          </w:tcPr>
          <w:p w:rsidR="00034CEB" w:rsidRPr="00743378" w:rsidRDefault="00034CEB" w:rsidP="004D4FD7">
            <w:pPr>
              <w:spacing w:before="120" w:after="120"/>
              <w:rPr>
                <w:color w:val="000000"/>
                <w:sz w:val="18"/>
                <w:szCs w:val="18"/>
              </w:rPr>
            </w:pPr>
            <w:r w:rsidRPr="00743378">
              <w:rPr>
                <w:color w:val="000000"/>
                <w:sz w:val="18"/>
                <w:szCs w:val="18"/>
              </w:rPr>
              <w:t>Cet impôt est régi par l’Article 238 du Code Minier. L'impôt est dû par ceux qui sont titulaires d'une concession accordée soit pour l'exploitation, soit pour la recherche à titre exclusif.</w:t>
            </w:r>
          </w:p>
          <w:p w:rsidR="00034CEB" w:rsidRPr="00743378" w:rsidRDefault="00034CEB" w:rsidP="004D4FD7">
            <w:pPr>
              <w:spacing w:before="120" w:after="120"/>
              <w:rPr>
                <w:color w:val="000000"/>
                <w:sz w:val="18"/>
                <w:szCs w:val="18"/>
              </w:rPr>
            </w:pPr>
            <w:r w:rsidRPr="00743378">
              <w:rPr>
                <w:color w:val="000000"/>
                <w:sz w:val="18"/>
                <w:szCs w:val="18"/>
              </w:rPr>
              <w:t>L'impôt est dû pour l'année entière si les éléments imposables existent dès le mois de janvier. Aucun impôt n'est dû pour les concessions accordées après le 31 janvier.</w:t>
            </w:r>
          </w:p>
          <w:p w:rsidR="00034CEB" w:rsidRPr="00743378" w:rsidRDefault="00034CEB" w:rsidP="004D4FD7">
            <w:pPr>
              <w:spacing w:before="120" w:after="120"/>
              <w:rPr>
                <w:color w:val="000000"/>
                <w:sz w:val="18"/>
                <w:szCs w:val="18"/>
              </w:rPr>
            </w:pPr>
            <w:r w:rsidRPr="00743378">
              <w:rPr>
                <w:color w:val="000000"/>
                <w:sz w:val="18"/>
                <w:szCs w:val="18"/>
              </w:rPr>
              <w:t>Le titulaire d’un Permis de Recherches est redevable de la contribution sur la superficie des concessions minières et d’hydrocarbures aux taux en francs congolais équivalent à :</w:t>
            </w:r>
          </w:p>
          <w:p w:rsidR="00034CEB" w:rsidRPr="00743378" w:rsidRDefault="00034CEB" w:rsidP="00F77566">
            <w:pPr>
              <w:pStyle w:val="ListParagraph"/>
              <w:numPr>
                <w:ilvl w:val="0"/>
                <w:numId w:val="52"/>
              </w:numPr>
              <w:spacing w:after="0"/>
              <w:contextualSpacing/>
              <w:jc w:val="left"/>
              <w:rPr>
                <w:color w:val="000000"/>
                <w:sz w:val="18"/>
                <w:szCs w:val="18"/>
              </w:rPr>
            </w:pPr>
            <w:r w:rsidRPr="00743378">
              <w:rPr>
                <w:color w:val="000000"/>
                <w:sz w:val="18"/>
                <w:szCs w:val="18"/>
              </w:rPr>
              <w:t xml:space="preserve">0,02 USD par hectare pour la première année, </w:t>
            </w:r>
          </w:p>
          <w:p w:rsidR="00034CEB" w:rsidRPr="00743378" w:rsidRDefault="00034CEB" w:rsidP="00F77566">
            <w:pPr>
              <w:pStyle w:val="ListParagraph"/>
              <w:numPr>
                <w:ilvl w:val="0"/>
                <w:numId w:val="52"/>
              </w:numPr>
              <w:spacing w:after="0"/>
              <w:contextualSpacing/>
              <w:jc w:val="left"/>
              <w:rPr>
                <w:color w:val="000000"/>
                <w:sz w:val="18"/>
                <w:szCs w:val="18"/>
              </w:rPr>
            </w:pPr>
            <w:r w:rsidRPr="00743378">
              <w:rPr>
                <w:color w:val="000000"/>
                <w:sz w:val="18"/>
                <w:szCs w:val="18"/>
              </w:rPr>
              <w:t xml:space="preserve">0,03 USD par hectare pour la deuxième année, </w:t>
            </w:r>
          </w:p>
          <w:p w:rsidR="00034CEB" w:rsidRPr="00743378" w:rsidRDefault="00034CEB" w:rsidP="00F77566">
            <w:pPr>
              <w:pStyle w:val="ListParagraph"/>
              <w:numPr>
                <w:ilvl w:val="0"/>
                <w:numId w:val="52"/>
              </w:numPr>
              <w:spacing w:after="0"/>
              <w:contextualSpacing/>
              <w:jc w:val="left"/>
              <w:rPr>
                <w:color w:val="000000"/>
                <w:sz w:val="18"/>
                <w:szCs w:val="18"/>
              </w:rPr>
            </w:pPr>
            <w:r w:rsidRPr="00743378">
              <w:rPr>
                <w:color w:val="000000"/>
                <w:sz w:val="18"/>
                <w:szCs w:val="18"/>
              </w:rPr>
              <w:t xml:space="preserve">0,035 USD par hectare pour la troisième année </w:t>
            </w:r>
          </w:p>
          <w:p w:rsidR="00034CEB" w:rsidRPr="00743378" w:rsidRDefault="00034CEB" w:rsidP="00F77566">
            <w:pPr>
              <w:pStyle w:val="ListParagraph"/>
              <w:numPr>
                <w:ilvl w:val="0"/>
                <w:numId w:val="52"/>
              </w:numPr>
              <w:spacing w:after="0"/>
              <w:contextualSpacing/>
              <w:jc w:val="left"/>
              <w:rPr>
                <w:color w:val="000000"/>
                <w:sz w:val="18"/>
                <w:szCs w:val="18"/>
              </w:rPr>
            </w:pPr>
            <w:r w:rsidRPr="00743378">
              <w:rPr>
                <w:color w:val="000000"/>
                <w:sz w:val="18"/>
                <w:szCs w:val="18"/>
              </w:rPr>
              <w:t>0,04 USD par hectare pour les autres années suivantes.</w:t>
            </w:r>
          </w:p>
          <w:p w:rsidR="00034CEB" w:rsidRPr="00743378" w:rsidRDefault="00034CEB" w:rsidP="004D4FD7">
            <w:pPr>
              <w:spacing w:before="120" w:after="120"/>
              <w:rPr>
                <w:color w:val="000000"/>
                <w:sz w:val="18"/>
                <w:szCs w:val="18"/>
              </w:rPr>
            </w:pPr>
            <w:r w:rsidRPr="00743378">
              <w:rPr>
                <w:color w:val="000000"/>
                <w:sz w:val="18"/>
                <w:szCs w:val="18"/>
              </w:rPr>
              <w:t>Le titulaire d’un droit minier d’exploitation est redevable de la contribution sur la superficie des concessions minières et d’hydrocarbures aux taux en francs congolais équivalent à :</w:t>
            </w:r>
          </w:p>
          <w:p w:rsidR="00034CEB" w:rsidRPr="00743378" w:rsidRDefault="00034CEB" w:rsidP="00F77566">
            <w:pPr>
              <w:pStyle w:val="ListParagraph"/>
              <w:numPr>
                <w:ilvl w:val="0"/>
                <w:numId w:val="53"/>
              </w:numPr>
              <w:spacing w:after="0"/>
              <w:contextualSpacing/>
              <w:jc w:val="left"/>
              <w:rPr>
                <w:color w:val="000000"/>
                <w:sz w:val="18"/>
                <w:szCs w:val="18"/>
              </w:rPr>
            </w:pPr>
            <w:r w:rsidRPr="00743378">
              <w:rPr>
                <w:color w:val="000000"/>
                <w:sz w:val="18"/>
                <w:szCs w:val="18"/>
              </w:rPr>
              <w:t>0,04 USD par hectare pour la première année,</w:t>
            </w:r>
          </w:p>
          <w:p w:rsidR="00034CEB" w:rsidRPr="00743378" w:rsidRDefault="00034CEB" w:rsidP="00F77566">
            <w:pPr>
              <w:pStyle w:val="ListParagraph"/>
              <w:numPr>
                <w:ilvl w:val="0"/>
                <w:numId w:val="53"/>
              </w:numPr>
              <w:spacing w:after="0"/>
              <w:contextualSpacing/>
              <w:jc w:val="left"/>
              <w:rPr>
                <w:color w:val="000000"/>
                <w:sz w:val="18"/>
                <w:szCs w:val="18"/>
              </w:rPr>
            </w:pPr>
            <w:r w:rsidRPr="00743378">
              <w:rPr>
                <w:color w:val="000000"/>
                <w:sz w:val="18"/>
                <w:szCs w:val="18"/>
              </w:rPr>
              <w:lastRenderedPageBreak/>
              <w:t xml:space="preserve">0,06 USD par hectare pour la deuxième année, </w:t>
            </w:r>
          </w:p>
          <w:p w:rsidR="00034CEB" w:rsidRPr="00743378" w:rsidRDefault="00034CEB" w:rsidP="00F77566">
            <w:pPr>
              <w:pStyle w:val="ListParagraph"/>
              <w:numPr>
                <w:ilvl w:val="0"/>
                <w:numId w:val="53"/>
              </w:numPr>
              <w:spacing w:after="0"/>
              <w:contextualSpacing/>
              <w:jc w:val="left"/>
              <w:rPr>
                <w:color w:val="000000"/>
                <w:sz w:val="18"/>
                <w:szCs w:val="18"/>
              </w:rPr>
            </w:pPr>
            <w:r w:rsidRPr="00743378">
              <w:rPr>
                <w:color w:val="000000"/>
                <w:sz w:val="18"/>
                <w:szCs w:val="18"/>
              </w:rPr>
              <w:t>0,07 USD par hectare pour la troisième année,</w:t>
            </w:r>
          </w:p>
          <w:p w:rsidR="00034CEB" w:rsidRPr="00743378" w:rsidRDefault="00034CEB" w:rsidP="00F77566">
            <w:pPr>
              <w:pStyle w:val="ListParagraph"/>
              <w:numPr>
                <w:ilvl w:val="0"/>
                <w:numId w:val="52"/>
              </w:numPr>
              <w:spacing w:after="120"/>
              <w:contextualSpacing/>
              <w:jc w:val="left"/>
              <w:rPr>
                <w:color w:val="000000"/>
                <w:sz w:val="18"/>
                <w:szCs w:val="18"/>
              </w:rPr>
            </w:pPr>
            <w:r w:rsidRPr="00743378">
              <w:rPr>
                <w:color w:val="000000"/>
                <w:sz w:val="18"/>
                <w:szCs w:val="18"/>
              </w:rPr>
              <w:t>0,08 USD par hectare pour les autres années suivantes.</w:t>
            </w:r>
          </w:p>
        </w:tc>
      </w:tr>
      <w:tr w:rsidR="00CD450A" w:rsidRPr="00743378" w:rsidTr="00155613">
        <w:trPr>
          <w:trHeight w:val="450"/>
          <w:jc w:val="center"/>
        </w:trPr>
        <w:tc>
          <w:tcPr>
            <w:tcW w:w="1255" w:type="pct"/>
            <w:vAlign w:val="center"/>
          </w:tcPr>
          <w:p w:rsidR="00034CEB" w:rsidRPr="00743378" w:rsidRDefault="00034CEB" w:rsidP="004D4FD7">
            <w:pPr>
              <w:rPr>
                <w:color w:val="000000"/>
                <w:sz w:val="18"/>
                <w:szCs w:val="18"/>
                <w:lang w:eastAsia="fr-FR"/>
              </w:rPr>
            </w:pPr>
            <w:r w:rsidRPr="00743378">
              <w:rPr>
                <w:color w:val="000000"/>
                <w:sz w:val="18"/>
                <w:szCs w:val="18"/>
                <w:lang w:eastAsia="fr-FR"/>
              </w:rPr>
              <w:lastRenderedPageBreak/>
              <w:t>Préfinancement Contrats</w:t>
            </w:r>
          </w:p>
        </w:tc>
        <w:tc>
          <w:tcPr>
            <w:tcW w:w="492" w:type="pct"/>
            <w:vAlign w:val="center"/>
          </w:tcPr>
          <w:p w:rsidR="00034CEB" w:rsidRPr="00743378" w:rsidRDefault="00034CEB" w:rsidP="004D4FD7">
            <w:pPr>
              <w:jc w:val="center"/>
              <w:rPr>
                <w:color w:val="000000"/>
                <w:sz w:val="18"/>
                <w:szCs w:val="18"/>
                <w:lang w:eastAsia="fr-FR"/>
              </w:rPr>
            </w:pPr>
          </w:p>
        </w:tc>
        <w:tc>
          <w:tcPr>
            <w:tcW w:w="206" w:type="pct"/>
            <w:shd w:val="clear" w:color="auto" w:fill="FFFFFF" w:themeFill="background1"/>
          </w:tcPr>
          <w:p w:rsidR="00034CEB" w:rsidRPr="00743378" w:rsidRDefault="00034CEB" w:rsidP="004D4FD7">
            <w:pPr>
              <w:rPr>
                <w:color w:val="000000"/>
                <w:sz w:val="18"/>
                <w:szCs w:val="18"/>
                <w:lang w:eastAsia="fr-FR"/>
              </w:rPr>
            </w:pPr>
          </w:p>
        </w:tc>
        <w:tc>
          <w:tcPr>
            <w:tcW w:w="206" w:type="pct"/>
            <w:shd w:val="clear" w:color="auto" w:fill="95B3D7" w:themeFill="accent1" w:themeFillTint="99"/>
            <w:vAlign w:val="center"/>
          </w:tcPr>
          <w:p w:rsidR="00034CEB" w:rsidRPr="00743378" w:rsidRDefault="00034CEB" w:rsidP="004D4FD7">
            <w:pPr>
              <w:ind w:firstLineChars="100" w:firstLine="180"/>
              <w:rPr>
                <w:color w:val="000000"/>
                <w:sz w:val="18"/>
                <w:szCs w:val="18"/>
                <w:lang w:eastAsia="fr-FR"/>
              </w:rPr>
            </w:pPr>
          </w:p>
        </w:tc>
        <w:tc>
          <w:tcPr>
            <w:tcW w:w="206" w:type="pct"/>
            <w:shd w:val="clear" w:color="auto" w:fill="95B3D7" w:themeFill="accent1" w:themeFillTint="99"/>
          </w:tcPr>
          <w:p w:rsidR="00034CEB" w:rsidRPr="00743378" w:rsidRDefault="00034CEB" w:rsidP="004D4FD7">
            <w:pPr>
              <w:rPr>
                <w:color w:val="000000"/>
                <w:sz w:val="18"/>
                <w:szCs w:val="18"/>
                <w:lang w:eastAsia="fr-FR"/>
              </w:rPr>
            </w:pPr>
          </w:p>
        </w:tc>
        <w:tc>
          <w:tcPr>
            <w:tcW w:w="2635" w:type="pct"/>
            <w:vAlign w:val="center"/>
          </w:tcPr>
          <w:p w:rsidR="00034CEB" w:rsidRPr="00743378" w:rsidRDefault="00034CEB" w:rsidP="004D4FD7">
            <w:pPr>
              <w:spacing w:before="120" w:after="120"/>
              <w:rPr>
                <w:color w:val="000000"/>
                <w:sz w:val="18"/>
                <w:szCs w:val="18"/>
              </w:rPr>
            </w:pPr>
            <w:r w:rsidRPr="00743378">
              <w:rPr>
                <w:color w:val="000000"/>
                <w:sz w:val="18"/>
                <w:szCs w:val="18"/>
              </w:rPr>
              <w:t>Ce sont des avances perçues par la DRKAT au titre de la taxe concentrés et la taxe voiries et drainage. Ce flux ne doit pas être considéré comme un flux à part puisque la DRKAT a fourni  un fichier qui distingue nettement  les deux  taxes. Ce dernier est en fait une modalité de paiement des deux taxes (TC et TVD).</w:t>
            </w:r>
          </w:p>
        </w:tc>
      </w:tr>
      <w:tr w:rsidR="00034CEB" w:rsidRPr="00743378" w:rsidTr="00155613">
        <w:trPr>
          <w:trHeight w:val="450"/>
          <w:jc w:val="center"/>
        </w:trPr>
        <w:tc>
          <w:tcPr>
            <w:tcW w:w="1255" w:type="pct"/>
            <w:vAlign w:val="center"/>
            <w:hideMark/>
          </w:tcPr>
          <w:p w:rsidR="00034CEB" w:rsidRPr="00743378" w:rsidRDefault="00034CEB" w:rsidP="004D4FD7">
            <w:pPr>
              <w:rPr>
                <w:color w:val="000000"/>
                <w:sz w:val="18"/>
                <w:szCs w:val="18"/>
                <w:lang w:eastAsia="fr-FR"/>
              </w:rPr>
            </w:pPr>
            <w:r w:rsidRPr="00743378">
              <w:rPr>
                <w:color w:val="000000"/>
                <w:sz w:val="18"/>
                <w:szCs w:val="18"/>
                <w:lang w:eastAsia="fr-FR"/>
              </w:rPr>
              <w:t>Amendes pour non-exécution de Programme</w:t>
            </w:r>
          </w:p>
        </w:tc>
        <w:tc>
          <w:tcPr>
            <w:tcW w:w="492" w:type="pct"/>
            <w:vAlign w:val="center"/>
            <w:hideMark/>
          </w:tcPr>
          <w:p w:rsidR="00034CEB" w:rsidRPr="00743378" w:rsidRDefault="00034CEB" w:rsidP="004D4FD7">
            <w:pPr>
              <w:jc w:val="center"/>
              <w:rPr>
                <w:color w:val="000000"/>
                <w:sz w:val="18"/>
                <w:szCs w:val="18"/>
                <w:lang w:eastAsia="fr-FR"/>
              </w:rPr>
            </w:pPr>
            <w:r w:rsidRPr="00743378">
              <w:rPr>
                <w:color w:val="000000"/>
                <w:sz w:val="18"/>
                <w:szCs w:val="18"/>
                <w:lang w:eastAsia="fr-FR"/>
              </w:rPr>
              <w:t>SG des Hydrocarbures</w:t>
            </w:r>
          </w:p>
        </w:tc>
        <w:tc>
          <w:tcPr>
            <w:tcW w:w="206" w:type="pct"/>
            <w:shd w:val="clear" w:color="auto" w:fill="95B3D7" w:themeFill="accent1" w:themeFillTint="99"/>
          </w:tcPr>
          <w:p w:rsidR="00034CEB" w:rsidRPr="00743378" w:rsidRDefault="00034CEB" w:rsidP="004D4FD7">
            <w:pPr>
              <w:rPr>
                <w:color w:val="000000"/>
                <w:sz w:val="18"/>
                <w:szCs w:val="18"/>
                <w:lang w:eastAsia="fr-FR"/>
              </w:rPr>
            </w:pPr>
          </w:p>
        </w:tc>
        <w:tc>
          <w:tcPr>
            <w:tcW w:w="206" w:type="pct"/>
            <w:vAlign w:val="center"/>
          </w:tcPr>
          <w:p w:rsidR="00034CEB" w:rsidRPr="00743378" w:rsidRDefault="00034CEB" w:rsidP="004D4FD7">
            <w:pPr>
              <w:ind w:firstLineChars="100" w:firstLine="180"/>
              <w:rPr>
                <w:color w:val="000000"/>
                <w:sz w:val="18"/>
                <w:szCs w:val="18"/>
                <w:lang w:eastAsia="fr-FR"/>
              </w:rPr>
            </w:pPr>
          </w:p>
        </w:tc>
        <w:tc>
          <w:tcPr>
            <w:tcW w:w="206" w:type="pct"/>
          </w:tcPr>
          <w:p w:rsidR="00034CEB" w:rsidRPr="00743378" w:rsidRDefault="00034CEB" w:rsidP="004D4FD7">
            <w:pPr>
              <w:rPr>
                <w:color w:val="000000"/>
                <w:sz w:val="18"/>
                <w:szCs w:val="18"/>
                <w:lang w:eastAsia="fr-FR"/>
              </w:rPr>
            </w:pPr>
          </w:p>
        </w:tc>
        <w:tc>
          <w:tcPr>
            <w:tcW w:w="2635" w:type="pct"/>
            <w:vAlign w:val="center"/>
            <w:hideMark/>
          </w:tcPr>
          <w:p w:rsidR="00034CEB" w:rsidRPr="00743378" w:rsidRDefault="00034CEB" w:rsidP="004D4FD7">
            <w:pPr>
              <w:spacing w:before="120" w:after="120"/>
              <w:rPr>
                <w:color w:val="000000"/>
                <w:sz w:val="18"/>
                <w:szCs w:val="18"/>
              </w:rPr>
            </w:pPr>
            <w:r w:rsidRPr="00743378">
              <w:rPr>
                <w:color w:val="000000"/>
                <w:sz w:val="18"/>
                <w:szCs w:val="18"/>
              </w:rPr>
              <w:t xml:space="preserve">C’est une amende à payer par le contractant lorsqu’il y a constatation d’une non-exécution du programme convenu, selon le Secrétariat Générale des hydrocarbures cette amende est </w:t>
            </w:r>
            <w:proofErr w:type="gramStart"/>
            <w:r w:rsidRPr="00743378">
              <w:rPr>
                <w:color w:val="000000"/>
                <w:sz w:val="18"/>
                <w:szCs w:val="18"/>
              </w:rPr>
              <w:t>prévu</w:t>
            </w:r>
            <w:proofErr w:type="gramEnd"/>
            <w:r w:rsidRPr="00743378">
              <w:rPr>
                <w:color w:val="000000"/>
                <w:sz w:val="18"/>
                <w:szCs w:val="18"/>
              </w:rPr>
              <w:t xml:space="preserve"> dans les CPP. </w:t>
            </w:r>
          </w:p>
        </w:tc>
      </w:tr>
      <w:tr w:rsidR="00034CEB" w:rsidRPr="00743378" w:rsidTr="00155613">
        <w:trPr>
          <w:trHeight w:val="450"/>
          <w:jc w:val="center"/>
        </w:trPr>
        <w:tc>
          <w:tcPr>
            <w:tcW w:w="1255" w:type="pct"/>
            <w:vAlign w:val="center"/>
            <w:hideMark/>
          </w:tcPr>
          <w:p w:rsidR="00034CEB" w:rsidRPr="00743378" w:rsidRDefault="00034CEB" w:rsidP="004D4FD7">
            <w:pPr>
              <w:rPr>
                <w:color w:val="000000"/>
                <w:sz w:val="18"/>
                <w:szCs w:val="18"/>
                <w:lang w:eastAsia="fr-FR"/>
              </w:rPr>
            </w:pPr>
            <w:r w:rsidRPr="00743378">
              <w:rPr>
                <w:color w:val="000000"/>
                <w:sz w:val="18"/>
                <w:szCs w:val="18"/>
                <w:lang w:eastAsia="fr-FR"/>
              </w:rPr>
              <w:t>Renouvellement de Permis d'exploitation</w:t>
            </w:r>
          </w:p>
        </w:tc>
        <w:tc>
          <w:tcPr>
            <w:tcW w:w="492" w:type="pct"/>
            <w:vAlign w:val="center"/>
            <w:hideMark/>
          </w:tcPr>
          <w:p w:rsidR="00034CEB" w:rsidRPr="00743378" w:rsidRDefault="00034CEB" w:rsidP="004D4FD7">
            <w:pPr>
              <w:jc w:val="center"/>
              <w:rPr>
                <w:color w:val="000000"/>
                <w:sz w:val="18"/>
                <w:szCs w:val="18"/>
                <w:lang w:eastAsia="fr-FR"/>
              </w:rPr>
            </w:pPr>
            <w:r w:rsidRPr="00743378">
              <w:rPr>
                <w:color w:val="000000"/>
                <w:sz w:val="18"/>
                <w:szCs w:val="18"/>
                <w:lang w:eastAsia="fr-FR"/>
              </w:rPr>
              <w:t>SG des Hydrocarbures</w:t>
            </w:r>
          </w:p>
        </w:tc>
        <w:tc>
          <w:tcPr>
            <w:tcW w:w="206" w:type="pct"/>
            <w:shd w:val="clear" w:color="auto" w:fill="95B3D7" w:themeFill="accent1" w:themeFillTint="99"/>
          </w:tcPr>
          <w:p w:rsidR="00034CEB" w:rsidRPr="00743378" w:rsidRDefault="00034CEB" w:rsidP="004D4FD7">
            <w:pPr>
              <w:rPr>
                <w:color w:val="000000"/>
                <w:sz w:val="18"/>
                <w:szCs w:val="18"/>
                <w:lang w:eastAsia="fr-FR"/>
              </w:rPr>
            </w:pPr>
          </w:p>
        </w:tc>
        <w:tc>
          <w:tcPr>
            <w:tcW w:w="206" w:type="pct"/>
            <w:vAlign w:val="center"/>
          </w:tcPr>
          <w:p w:rsidR="00034CEB" w:rsidRPr="00743378" w:rsidRDefault="00034CEB" w:rsidP="004D4FD7">
            <w:pPr>
              <w:ind w:firstLineChars="100" w:firstLine="180"/>
              <w:rPr>
                <w:color w:val="000000"/>
                <w:sz w:val="18"/>
                <w:szCs w:val="18"/>
                <w:lang w:eastAsia="fr-FR"/>
              </w:rPr>
            </w:pPr>
          </w:p>
        </w:tc>
        <w:tc>
          <w:tcPr>
            <w:tcW w:w="206" w:type="pct"/>
          </w:tcPr>
          <w:p w:rsidR="00034CEB" w:rsidRPr="00743378" w:rsidRDefault="00034CEB" w:rsidP="004D4FD7">
            <w:pPr>
              <w:rPr>
                <w:color w:val="000000"/>
                <w:sz w:val="18"/>
                <w:szCs w:val="18"/>
                <w:lang w:eastAsia="fr-FR"/>
              </w:rPr>
            </w:pPr>
          </w:p>
        </w:tc>
        <w:tc>
          <w:tcPr>
            <w:tcW w:w="2635" w:type="pct"/>
            <w:vAlign w:val="center"/>
            <w:hideMark/>
          </w:tcPr>
          <w:p w:rsidR="00034CEB" w:rsidRPr="00743378" w:rsidRDefault="00034CEB" w:rsidP="004D4FD7">
            <w:pPr>
              <w:spacing w:before="120" w:after="120"/>
              <w:rPr>
                <w:color w:val="000000"/>
                <w:sz w:val="18"/>
                <w:szCs w:val="18"/>
              </w:rPr>
            </w:pPr>
            <w:r w:rsidRPr="00743378">
              <w:rPr>
                <w:color w:val="000000"/>
                <w:sz w:val="18"/>
                <w:szCs w:val="18"/>
              </w:rPr>
              <w:t xml:space="preserve">C’est le montant payé par le contractant lors du renouvellement du permis d’exploitation, il est prévu dans les CPP signé avec l’Etat. </w:t>
            </w:r>
          </w:p>
        </w:tc>
      </w:tr>
      <w:tr w:rsidR="00034CEB" w:rsidRPr="00743378" w:rsidTr="00155613">
        <w:trPr>
          <w:trHeight w:val="450"/>
          <w:jc w:val="center"/>
        </w:trPr>
        <w:tc>
          <w:tcPr>
            <w:tcW w:w="1255" w:type="pct"/>
            <w:vAlign w:val="center"/>
            <w:hideMark/>
          </w:tcPr>
          <w:p w:rsidR="00034CEB" w:rsidRPr="00743378" w:rsidRDefault="00034CEB" w:rsidP="004D4FD7">
            <w:pPr>
              <w:rPr>
                <w:color w:val="000000"/>
                <w:sz w:val="18"/>
                <w:szCs w:val="18"/>
                <w:lang w:eastAsia="fr-FR"/>
              </w:rPr>
            </w:pPr>
            <w:r w:rsidRPr="00743378">
              <w:rPr>
                <w:color w:val="000000"/>
                <w:sz w:val="18"/>
                <w:szCs w:val="18"/>
                <w:lang w:eastAsia="fr-FR"/>
              </w:rPr>
              <w:t>Banque de données</w:t>
            </w:r>
          </w:p>
        </w:tc>
        <w:tc>
          <w:tcPr>
            <w:tcW w:w="492" w:type="pct"/>
            <w:vAlign w:val="center"/>
            <w:hideMark/>
          </w:tcPr>
          <w:p w:rsidR="00034CEB" w:rsidRPr="00743378" w:rsidRDefault="00034CEB" w:rsidP="004D4FD7">
            <w:pPr>
              <w:jc w:val="center"/>
              <w:rPr>
                <w:color w:val="000000"/>
                <w:sz w:val="18"/>
                <w:szCs w:val="18"/>
                <w:lang w:eastAsia="fr-FR"/>
              </w:rPr>
            </w:pPr>
            <w:r w:rsidRPr="00743378">
              <w:rPr>
                <w:color w:val="000000"/>
                <w:sz w:val="18"/>
                <w:szCs w:val="18"/>
                <w:lang w:eastAsia="fr-FR"/>
              </w:rPr>
              <w:t>SG des Hydrocarbures</w:t>
            </w:r>
          </w:p>
        </w:tc>
        <w:tc>
          <w:tcPr>
            <w:tcW w:w="206" w:type="pct"/>
            <w:shd w:val="clear" w:color="auto" w:fill="95B3D7" w:themeFill="accent1" w:themeFillTint="99"/>
          </w:tcPr>
          <w:p w:rsidR="00034CEB" w:rsidRPr="00743378" w:rsidRDefault="00034CEB" w:rsidP="004D4FD7">
            <w:pPr>
              <w:rPr>
                <w:color w:val="000000"/>
                <w:sz w:val="18"/>
                <w:szCs w:val="18"/>
                <w:lang w:eastAsia="fr-FR"/>
              </w:rPr>
            </w:pPr>
          </w:p>
        </w:tc>
        <w:tc>
          <w:tcPr>
            <w:tcW w:w="206" w:type="pct"/>
            <w:vAlign w:val="center"/>
          </w:tcPr>
          <w:p w:rsidR="00034CEB" w:rsidRPr="00743378" w:rsidRDefault="00034CEB" w:rsidP="004D4FD7">
            <w:pPr>
              <w:ind w:firstLineChars="100" w:firstLine="180"/>
              <w:rPr>
                <w:color w:val="000000"/>
                <w:sz w:val="18"/>
                <w:szCs w:val="18"/>
                <w:lang w:eastAsia="fr-FR"/>
              </w:rPr>
            </w:pPr>
          </w:p>
        </w:tc>
        <w:tc>
          <w:tcPr>
            <w:tcW w:w="206" w:type="pct"/>
          </w:tcPr>
          <w:p w:rsidR="00034CEB" w:rsidRPr="00743378" w:rsidRDefault="00034CEB" w:rsidP="004D4FD7">
            <w:pPr>
              <w:rPr>
                <w:color w:val="000000"/>
                <w:sz w:val="18"/>
                <w:szCs w:val="18"/>
                <w:lang w:eastAsia="fr-FR"/>
              </w:rPr>
            </w:pPr>
          </w:p>
        </w:tc>
        <w:tc>
          <w:tcPr>
            <w:tcW w:w="2635" w:type="pct"/>
            <w:vAlign w:val="center"/>
            <w:hideMark/>
          </w:tcPr>
          <w:p w:rsidR="00034CEB" w:rsidRPr="00743378" w:rsidRDefault="00034CEB" w:rsidP="004D4FD7">
            <w:pPr>
              <w:spacing w:before="120" w:after="120"/>
              <w:rPr>
                <w:color w:val="000000"/>
                <w:sz w:val="18"/>
                <w:szCs w:val="18"/>
              </w:rPr>
            </w:pPr>
            <w:r w:rsidRPr="00743378">
              <w:rPr>
                <w:color w:val="000000"/>
                <w:sz w:val="18"/>
                <w:szCs w:val="18"/>
              </w:rPr>
              <w:t>C’est une contribution, prévue au niveau des CPP, à la mise en place de la banque de données du Secrétariat Générale des Hydrocarbures et la formation du personnel à la gestion de cette banque de données.</w:t>
            </w:r>
          </w:p>
        </w:tc>
      </w:tr>
      <w:tr w:rsidR="00034CEB" w:rsidRPr="00743378" w:rsidTr="00155613">
        <w:trPr>
          <w:trHeight w:val="450"/>
          <w:jc w:val="center"/>
        </w:trPr>
        <w:tc>
          <w:tcPr>
            <w:tcW w:w="1255" w:type="pct"/>
            <w:vAlign w:val="center"/>
            <w:hideMark/>
          </w:tcPr>
          <w:p w:rsidR="00034CEB" w:rsidRPr="00743378" w:rsidRDefault="00034CEB" w:rsidP="004D4FD7">
            <w:pPr>
              <w:rPr>
                <w:color w:val="000000"/>
                <w:sz w:val="18"/>
                <w:szCs w:val="18"/>
                <w:lang w:eastAsia="fr-FR"/>
              </w:rPr>
            </w:pPr>
            <w:r w:rsidRPr="00743378">
              <w:rPr>
                <w:color w:val="000000"/>
                <w:sz w:val="18"/>
                <w:szCs w:val="18"/>
                <w:lang w:eastAsia="fr-FR"/>
              </w:rPr>
              <w:t>Contribution aux droits payables à l’Association des Pays Africains Producteurs de Pétrole (APPA)</w:t>
            </w:r>
          </w:p>
        </w:tc>
        <w:tc>
          <w:tcPr>
            <w:tcW w:w="492" w:type="pct"/>
            <w:vAlign w:val="center"/>
            <w:hideMark/>
          </w:tcPr>
          <w:p w:rsidR="00034CEB" w:rsidRPr="00743378" w:rsidRDefault="00034CEB" w:rsidP="004D4FD7">
            <w:pPr>
              <w:jc w:val="center"/>
              <w:rPr>
                <w:color w:val="000000"/>
                <w:sz w:val="18"/>
                <w:szCs w:val="18"/>
                <w:lang w:eastAsia="fr-FR"/>
              </w:rPr>
            </w:pPr>
            <w:r w:rsidRPr="00743378">
              <w:rPr>
                <w:color w:val="000000"/>
                <w:sz w:val="18"/>
                <w:szCs w:val="18"/>
                <w:lang w:eastAsia="fr-FR"/>
              </w:rPr>
              <w:t>SG des Hydrocarbures</w:t>
            </w:r>
          </w:p>
        </w:tc>
        <w:tc>
          <w:tcPr>
            <w:tcW w:w="206" w:type="pct"/>
            <w:shd w:val="clear" w:color="auto" w:fill="95B3D7" w:themeFill="accent1" w:themeFillTint="99"/>
          </w:tcPr>
          <w:p w:rsidR="00034CEB" w:rsidRPr="00743378" w:rsidRDefault="00034CEB" w:rsidP="004D4FD7">
            <w:pPr>
              <w:rPr>
                <w:color w:val="000000"/>
                <w:sz w:val="18"/>
                <w:szCs w:val="18"/>
                <w:lang w:eastAsia="fr-FR"/>
              </w:rPr>
            </w:pPr>
          </w:p>
        </w:tc>
        <w:tc>
          <w:tcPr>
            <w:tcW w:w="206" w:type="pct"/>
            <w:vAlign w:val="center"/>
          </w:tcPr>
          <w:p w:rsidR="00034CEB" w:rsidRPr="00743378" w:rsidRDefault="00034CEB" w:rsidP="004D4FD7">
            <w:pPr>
              <w:ind w:firstLineChars="100" w:firstLine="180"/>
              <w:rPr>
                <w:color w:val="000000"/>
                <w:sz w:val="18"/>
                <w:szCs w:val="18"/>
                <w:lang w:eastAsia="fr-FR"/>
              </w:rPr>
            </w:pPr>
          </w:p>
        </w:tc>
        <w:tc>
          <w:tcPr>
            <w:tcW w:w="206" w:type="pct"/>
          </w:tcPr>
          <w:p w:rsidR="00034CEB" w:rsidRPr="00743378" w:rsidRDefault="00034CEB" w:rsidP="004D4FD7">
            <w:pPr>
              <w:rPr>
                <w:color w:val="000000"/>
                <w:sz w:val="18"/>
                <w:szCs w:val="18"/>
                <w:lang w:eastAsia="fr-FR"/>
              </w:rPr>
            </w:pPr>
          </w:p>
        </w:tc>
        <w:tc>
          <w:tcPr>
            <w:tcW w:w="2635" w:type="pct"/>
            <w:vAlign w:val="center"/>
            <w:hideMark/>
          </w:tcPr>
          <w:p w:rsidR="00034CEB" w:rsidRPr="00743378" w:rsidRDefault="00034CEB" w:rsidP="004D4FD7">
            <w:pPr>
              <w:spacing w:before="120" w:after="120"/>
              <w:rPr>
                <w:color w:val="000000"/>
                <w:sz w:val="18"/>
                <w:szCs w:val="18"/>
              </w:rPr>
            </w:pPr>
            <w:r w:rsidRPr="00743378">
              <w:rPr>
                <w:color w:val="000000"/>
                <w:sz w:val="18"/>
                <w:szCs w:val="18"/>
              </w:rPr>
              <w:t>C’est une contribution payée par les sociétés au Secrétariat Générale des Hydrocarbures au titre de droits payable à l’APPA.</w:t>
            </w:r>
          </w:p>
        </w:tc>
      </w:tr>
      <w:tr w:rsidR="00034CEB" w:rsidRPr="00743378" w:rsidTr="00155613">
        <w:trPr>
          <w:trHeight w:val="450"/>
          <w:jc w:val="center"/>
        </w:trPr>
        <w:tc>
          <w:tcPr>
            <w:tcW w:w="1255" w:type="pct"/>
            <w:vAlign w:val="center"/>
            <w:hideMark/>
          </w:tcPr>
          <w:p w:rsidR="00034CEB" w:rsidRPr="00743378" w:rsidRDefault="00034CEB" w:rsidP="004D4FD7">
            <w:pPr>
              <w:rPr>
                <w:color w:val="000000"/>
                <w:sz w:val="18"/>
                <w:szCs w:val="18"/>
                <w:lang w:eastAsia="fr-FR"/>
              </w:rPr>
            </w:pPr>
            <w:r w:rsidRPr="00743378">
              <w:rPr>
                <w:color w:val="000000"/>
                <w:sz w:val="18"/>
                <w:szCs w:val="18"/>
                <w:lang w:eastAsia="fr-FR"/>
              </w:rPr>
              <w:t>Participation à l’effort de reconstruction nationale</w:t>
            </w:r>
          </w:p>
        </w:tc>
        <w:tc>
          <w:tcPr>
            <w:tcW w:w="492" w:type="pct"/>
            <w:vAlign w:val="center"/>
            <w:hideMark/>
          </w:tcPr>
          <w:p w:rsidR="00034CEB" w:rsidRPr="00743378" w:rsidRDefault="00034CEB" w:rsidP="004D4FD7">
            <w:pPr>
              <w:jc w:val="center"/>
              <w:rPr>
                <w:color w:val="000000"/>
                <w:sz w:val="18"/>
                <w:szCs w:val="18"/>
                <w:lang w:eastAsia="fr-FR"/>
              </w:rPr>
            </w:pPr>
            <w:r w:rsidRPr="00743378">
              <w:rPr>
                <w:color w:val="000000"/>
                <w:sz w:val="18"/>
                <w:szCs w:val="18"/>
                <w:lang w:eastAsia="fr-FR"/>
              </w:rPr>
              <w:t>SG des Hydrocarbures</w:t>
            </w:r>
          </w:p>
        </w:tc>
        <w:tc>
          <w:tcPr>
            <w:tcW w:w="206" w:type="pct"/>
            <w:shd w:val="clear" w:color="auto" w:fill="95B3D7" w:themeFill="accent1" w:themeFillTint="99"/>
          </w:tcPr>
          <w:p w:rsidR="00034CEB" w:rsidRPr="00743378" w:rsidRDefault="00034CEB" w:rsidP="004D4FD7">
            <w:pPr>
              <w:rPr>
                <w:color w:val="000000"/>
                <w:sz w:val="18"/>
                <w:szCs w:val="18"/>
                <w:lang w:eastAsia="fr-FR"/>
              </w:rPr>
            </w:pPr>
          </w:p>
        </w:tc>
        <w:tc>
          <w:tcPr>
            <w:tcW w:w="206" w:type="pct"/>
            <w:vAlign w:val="center"/>
          </w:tcPr>
          <w:p w:rsidR="00034CEB" w:rsidRPr="00743378" w:rsidRDefault="00034CEB" w:rsidP="004D4FD7">
            <w:pPr>
              <w:ind w:firstLineChars="100" w:firstLine="180"/>
              <w:rPr>
                <w:color w:val="000000"/>
                <w:sz w:val="18"/>
                <w:szCs w:val="18"/>
                <w:lang w:eastAsia="fr-FR"/>
              </w:rPr>
            </w:pPr>
          </w:p>
        </w:tc>
        <w:tc>
          <w:tcPr>
            <w:tcW w:w="206" w:type="pct"/>
          </w:tcPr>
          <w:p w:rsidR="00034CEB" w:rsidRPr="00743378" w:rsidRDefault="00034CEB" w:rsidP="004D4FD7">
            <w:pPr>
              <w:rPr>
                <w:color w:val="000000"/>
                <w:sz w:val="18"/>
                <w:szCs w:val="18"/>
                <w:lang w:eastAsia="fr-FR"/>
              </w:rPr>
            </w:pPr>
          </w:p>
        </w:tc>
        <w:tc>
          <w:tcPr>
            <w:tcW w:w="2635" w:type="pct"/>
            <w:vAlign w:val="center"/>
            <w:hideMark/>
          </w:tcPr>
          <w:p w:rsidR="00034CEB" w:rsidRPr="00743378" w:rsidRDefault="00034CEB" w:rsidP="004D4FD7">
            <w:pPr>
              <w:spacing w:before="120" w:after="120"/>
              <w:rPr>
                <w:color w:val="000000"/>
                <w:sz w:val="18"/>
                <w:szCs w:val="18"/>
              </w:rPr>
            </w:pPr>
            <w:r w:rsidRPr="00743378">
              <w:rPr>
                <w:color w:val="000000"/>
                <w:sz w:val="18"/>
                <w:szCs w:val="18"/>
              </w:rPr>
              <w:t xml:space="preserve">Cette participation est prévue au niveau de l’Avenant n°8 de la convention du 11 </w:t>
            </w:r>
            <w:r w:rsidRPr="004E05C8">
              <w:rPr>
                <w:szCs w:val="20"/>
              </w:rPr>
              <w:t>août</w:t>
            </w:r>
            <w:r w:rsidRPr="00743378">
              <w:rPr>
                <w:color w:val="000000"/>
                <w:sz w:val="18"/>
                <w:szCs w:val="18"/>
              </w:rPr>
              <w:t xml:space="preserve"> 1969 régissant la recherche et l’exploitation des hydrocarbures dans la zone terrestre de la RDC, L’article 4 de ladite convention stipule que les sociétés paieront à l’Etat un montant de 4.000.000 USD au titre de participation à l’effort de reconstitution nationale.</w:t>
            </w:r>
          </w:p>
        </w:tc>
      </w:tr>
      <w:tr w:rsidR="00034CEB" w:rsidRPr="00743378" w:rsidTr="00155613">
        <w:trPr>
          <w:trHeight w:val="450"/>
          <w:jc w:val="center"/>
        </w:trPr>
        <w:tc>
          <w:tcPr>
            <w:tcW w:w="1255" w:type="pct"/>
            <w:vAlign w:val="center"/>
            <w:hideMark/>
          </w:tcPr>
          <w:p w:rsidR="00034CEB" w:rsidRPr="00743378" w:rsidRDefault="00034CEB" w:rsidP="004D4FD7">
            <w:pPr>
              <w:rPr>
                <w:color w:val="000000"/>
                <w:sz w:val="18"/>
                <w:szCs w:val="18"/>
                <w:lang w:eastAsia="fr-FR"/>
              </w:rPr>
            </w:pPr>
            <w:r w:rsidRPr="00743378">
              <w:rPr>
                <w:color w:val="000000"/>
                <w:sz w:val="18"/>
                <w:szCs w:val="18"/>
                <w:lang w:eastAsia="fr-FR"/>
              </w:rPr>
              <w:t>Contribution à l'effort pour l'exploration de la Cuvette Centrale</w:t>
            </w:r>
          </w:p>
        </w:tc>
        <w:tc>
          <w:tcPr>
            <w:tcW w:w="492" w:type="pct"/>
            <w:vAlign w:val="center"/>
            <w:hideMark/>
          </w:tcPr>
          <w:p w:rsidR="00034CEB" w:rsidRPr="00743378" w:rsidRDefault="00034CEB" w:rsidP="004D4FD7">
            <w:pPr>
              <w:jc w:val="center"/>
              <w:rPr>
                <w:color w:val="000000"/>
                <w:sz w:val="18"/>
                <w:szCs w:val="18"/>
                <w:lang w:eastAsia="fr-FR"/>
              </w:rPr>
            </w:pPr>
            <w:r w:rsidRPr="00743378">
              <w:rPr>
                <w:color w:val="000000"/>
                <w:sz w:val="18"/>
                <w:szCs w:val="18"/>
                <w:lang w:eastAsia="fr-FR"/>
              </w:rPr>
              <w:t>SG des Hydrocarbures</w:t>
            </w:r>
          </w:p>
        </w:tc>
        <w:tc>
          <w:tcPr>
            <w:tcW w:w="206" w:type="pct"/>
            <w:shd w:val="clear" w:color="auto" w:fill="95B3D7" w:themeFill="accent1" w:themeFillTint="99"/>
          </w:tcPr>
          <w:p w:rsidR="00034CEB" w:rsidRPr="00743378" w:rsidRDefault="00034CEB" w:rsidP="004D4FD7">
            <w:pPr>
              <w:rPr>
                <w:color w:val="000000"/>
                <w:sz w:val="18"/>
                <w:szCs w:val="18"/>
                <w:lang w:eastAsia="fr-FR"/>
              </w:rPr>
            </w:pPr>
          </w:p>
        </w:tc>
        <w:tc>
          <w:tcPr>
            <w:tcW w:w="206" w:type="pct"/>
            <w:vAlign w:val="center"/>
          </w:tcPr>
          <w:p w:rsidR="00034CEB" w:rsidRPr="00743378" w:rsidRDefault="00034CEB" w:rsidP="004D4FD7">
            <w:pPr>
              <w:ind w:firstLineChars="100" w:firstLine="180"/>
              <w:rPr>
                <w:color w:val="000000"/>
                <w:sz w:val="18"/>
                <w:szCs w:val="18"/>
                <w:lang w:eastAsia="fr-FR"/>
              </w:rPr>
            </w:pPr>
          </w:p>
        </w:tc>
        <w:tc>
          <w:tcPr>
            <w:tcW w:w="206" w:type="pct"/>
          </w:tcPr>
          <w:p w:rsidR="00034CEB" w:rsidRPr="00743378" w:rsidRDefault="00034CEB" w:rsidP="004D4FD7">
            <w:pPr>
              <w:rPr>
                <w:color w:val="000000"/>
                <w:sz w:val="18"/>
                <w:szCs w:val="18"/>
                <w:lang w:eastAsia="fr-FR"/>
              </w:rPr>
            </w:pPr>
          </w:p>
        </w:tc>
        <w:tc>
          <w:tcPr>
            <w:tcW w:w="2635" w:type="pct"/>
            <w:vAlign w:val="center"/>
            <w:hideMark/>
          </w:tcPr>
          <w:p w:rsidR="00034CEB" w:rsidRPr="00743378" w:rsidRDefault="00034CEB" w:rsidP="004D4FD7">
            <w:pPr>
              <w:spacing w:before="120" w:after="120"/>
              <w:rPr>
                <w:color w:val="000000"/>
                <w:sz w:val="18"/>
                <w:szCs w:val="18"/>
              </w:rPr>
            </w:pPr>
            <w:r w:rsidRPr="00743378">
              <w:rPr>
                <w:color w:val="000000"/>
                <w:sz w:val="18"/>
                <w:szCs w:val="18"/>
              </w:rPr>
              <w:t xml:space="preserve">C’est une contribution, prévue au niveau des CPP, en effet le contractant participera à l’effort d’exploration des bassins sédimentaires de la RDC lors de la phase d’exploration et lors de </w:t>
            </w:r>
            <w:r w:rsidRPr="00743378">
              <w:rPr>
                <w:color w:val="000000"/>
                <w:sz w:val="18"/>
                <w:szCs w:val="18"/>
              </w:rPr>
              <w:lastRenderedPageBreak/>
              <w:t>celle de l’exploitation.</w:t>
            </w:r>
          </w:p>
        </w:tc>
      </w:tr>
      <w:tr w:rsidR="00034CEB" w:rsidRPr="00BD46C9" w:rsidTr="00155613">
        <w:trPr>
          <w:trHeight w:val="450"/>
          <w:jc w:val="center"/>
        </w:trPr>
        <w:tc>
          <w:tcPr>
            <w:tcW w:w="1255" w:type="pct"/>
            <w:vAlign w:val="center"/>
            <w:hideMark/>
          </w:tcPr>
          <w:p w:rsidR="00034CEB" w:rsidRPr="00743378" w:rsidRDefault="00034CEB" w:rsidP="004D4FD7">
            <w:pPr>
              <w:rPr>
                <w:color w:val="000000"/>
                <w:sz w:val="18"/>
                <w:szCs w:val="18"/>
                <w:lang w:eastAsia="fr-FR"/>
              </w:rPr>
            </w:pPr>
            <w:r w:rsidRPr="00743378">
              <w:rPr>
                <w:color w:val="000000"/>
                <w:sz w:val="18"/>
                <w:szCs w:val="18"/>
                <w:lang w:eastAsia="fr-FR"/>
              </w:rPr>
              <w:lastRenderedPageBreak/>
              <w:t>Frais de formation des cadres Congolais</w:t>
            </w:r>
          </w:p>
        </w:tc>
        <w:tc>
          <w:tcPr>
            <w:tcW w:w="492" w:type="pct"/>
            <w:vAlign w:val="center"/>
            <w:hideMark/>
          </w:tcPr>
          <w:p w:rsidR="00034CEB" w:rsidRPr="00743378" w:rsidRDefault="00034CEB" w:rsidP="004D4FD7">
            <w:pPr>
              <w:jc w:val="center"/>
              <w:rPr>
                <w:color w:val="000000"/>
                <w:sz w:val="18"/>
                <w:szCs w:val="18"/>
                <w:lang w:eastAsia="fr-FR"/>
              </w:rPr>
            </w:pPr>
            <w:r w:rsidRPr="00743378">
              <w:rPr>
                <w:color w:val="000000"/>
                <w:sz w:val="18"/>
                <w:szCs w:val="18"/>
                <w:lang w:eastAsia="fr-FR"/>
              </w:rPr>
              <w:t>SG des Hydrocarbures/COHYDRO SA</w:t>
            </w:r>
          </w:p>
        </w:tc>
        <w:tc>
          <w:tcPr>
            <w:tcW w:w="206" w:type="pct"/>
            <w:shd w:val="clear" w:color="auto" w:fill="95B3D7" w:themeFill="accent1" w:themeFillTint="99"/>
          </w:tcPr>
          <w:p w:rsidR="00034CEB" w:rsidRPr="00743378" w:rsidRDefault="00034CEB" w:rsidP="004D4FD7">
            <w:pPr>
              <w:rPr>
                <w:color w:val="000000"/>
                <w:sz w:val="18"/>
                <w:szCs w:val="18"/>
                <w:lang w:eastAsia="fr-FR"/>
              </w:rPr>
            </w:pPr>
          </w:p>
        </w:tc>
        <w:tc>
          <w:tcPr>
            <w:tcW w:w="206" w:type="pct"/>
            <w:vAlign w:val="center"/>
          </w:tcPr>
          <w:p w:rsidR="00034CEB" w:rsidRPr="00743378" w:rsidRDefault="00034CEB" w:rsidP="004D4FD7">
            <w:pPr>
              <w:ind w:firstLineChars="100" w:firstLine="180"/>
              <w:rPr>
                <w:color w:val="000000"/>
                <w:sz w:val="18"/>
                <w:szCs w:val="18"/>
                <w:lang w:eastAsia="fr-FR"/>
              </w:rPr>
            </w:pPr>
          </w:p>
        </w:tc>
        <w:tc>
          <w:tcPr>
            <w:tcW w:w="206" w:type="pct"/>
          </w:tcPr>
          <w:p w:rsidR="00034CEB" w:rsidRPr="00743378" w:rsidRDefault="00034CEB" w:rsidP="004D4FD7">
            <w:pPr>
              <w:rPr>
                <w:color w:val="000000"/>
                <w:sz w:val="18"/>
                <w:szCs w:val="18"/>
                <w:lang w:eastAsia="fr-FR"/>
              </w:rPr>
            </w:pPr>
          </w:p>
        </w:tc>
        <w:tc>
          <w:tcPr>
            <w:tcW w:w="2635" w:type="pct"/>
            <w:vAlign w:val="center"/>
            <w:hideMark/>
          </w:tcPr>
          <w:p w:rsidR="00034CEB" w:rsidRPr="00743378" w:rsidRDefault="00034CEB" w:rsidP="004D4FD7">
            <w:pPr>
              <w:spacing w:before="120" w:after="120"/>
              <w:rPr>
                <w:color w:val="000000"/>
                <w:sz w:val="18"/>
                <w:szCs w:val="18"/>
              </w:rPr>
            </w:pPr>
            <w:r w:rsidRPr="00743378">
              <w:rPr>
                <w:color w:val="000000"/>
                <w:sz w:val="18"/>
                <w:szCs w:val="18"/>
              </w:rPr>
              <w:t>Ces frais sont prévues au niveau de l’Avenant n°8 de la convention du 11 août 1969 régissant la recherche et l’exploitation des hydrocarbures dans la zone terrestre de la RDC, L’Article 5 de ladite convention stipule que les sociétés alloueront annuellement un montant de 150.000 USD, déductible avant impôt, pour la formation des cadres des services publics de l’Etat concernés par la gestion des conventions pétrolières.</w:t>
            </w:r>
          </w:p>
        </w:tc>
      </w:tr>
    </w:tbl>
    <w:p w:rsidR="00870104" w:rsidRPr="004122CF" w:rsidRDefault="00870104" w:rsidP="004122CF">
      <w:pPr>
        <w:rPr>
          <w:lang w:bidi="ar-TN"/>
        </w:rPr>
      </w:pPr>
    </w:p>
    <w:sectPr w:rsidR="00870104" w:rsidRPr="004122CF" w:rsidSect="00CD450A">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rsidR="00D12B31" w:rsidRDefault="00D12B31" w:rsidP="00A81382">
      <w:pPr>
        <w:spacing w:after="0"/>
      </w:pPr>
      <w:r>
        <w:separator/>
      </w:r>
    </w:p>
  </w:endnote>
  <w:endnote w:type="continuationSeparator" w:id="0">
    <w:p w:rsidR="00D12B31" w:rsidRDefault="00D12B31" w:rsidP="00A813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ヒラギノ角ゴ Pro W3">
    <w:charset w:val="4E"/>
    <w:family w:val="auto"/>
    <w:pitch w:val="variable"/>
    <w:sig w:usb0="E00002FF" w:usb1="7AC7FFFF" w:usb2="00000012" w:usb3="00000000" w:csb0="0002000D" w:csb1="00000000"/>
  </w:font>
  <w:font w:name="Tahoma">
    <w:panose1 w:val="020B0604030504040204"/>
    <w:charset w:val="00"/>
    <w:family w:val="auto"/>
    <w:pitch w:val="variable"/>
    <w:sig w:usb0="00000003" w:usb1="00000000" w:usb2="00000000" w:usb3="00000000" w:csb0="00000001" w:csb1="00000000"/>
  </w:font>
  <w:font w:name="Calibri Bold">
    <w:panose1 w:val="020F0702030404030204"/>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Arial Narrow">
    <w:panose1 w:val="020B0506020202030204"/>
    <w:charset w:val="00"/>
    <w:family w:val="auto"/>
    <w:pitch w:val="variable"/>
    <w:sig w:usb0="00000003" w:usb1="00000000" w:usb2="00000000" w:usb3="00000000" w:csb0="00000001" w:csb1="00000000"/>
  </w:font>
  <w:font w:name="Book Antiqua">
    <w:panose1 w:val="02040602050305030304"/>
    <w:charset w:val="00"/>
    <w:family w:val="auto"/>
    <w:pitch w:val="variable"/>
    <w:sig w:usb0="00000003" w:usb1="00000000" w:usb2="00000000" w:usb3="00000000" w:csb0="00000001" w:csb1="00000000"/>
  </w:font>
  <w:font w:name="Myriad Pro SemiCond">
    <w:altName w:val="Corbel"/>
    <w:panose1 w:val="00000000000000000000"/>
    <w:charset w:val="00"/>
    <w:family w:val="swiss"/>
    <w:notTrueType/>
    <w:pitch w:val="variable"/>
    <w:sig w:usb0="A00002AF" w:usb1="5000204B" w:usb2="00000000" w:usb3="00000000" w:csb0="0000009F" w:csb1="00000000"/>
  </w:font>
  <w:font w:name="+mn-ea">
    <w:altName w:val="Times New Roman"/>
    <w:panose1 w:val="00000000000000000000"/>
    <w:charset w:val="00"/>
    <w:family w:val="roman"/>
    <w:notTrueType/>
    <w:pitch w:val="default"/>
  </w:font>
  <w:font w:name="TimesNewRoman">
    <w:altName w:val="Cambria"/>
    <w:panose1 w:val="00000000000000000000"/>
    <w:charset w:val="00"/>
    <w:family w:val="roman"/>
    <w:notTrueType/>
    <w:pitch w:val="default"/>
    <w:sig w:usb0="00000003" w:usb1="00000000" w:usb2="00000000" w:usb3="00000000" w:csb0="00000001" w:csb1="00000000"/>
  </w:font>
  <w:font w:name="PMingLiU">
    <w:altName w:val="新細明體"/>
    <w:charset w:val="88"/>
    <w:family w:val="roman"/>
    <w:pitch w:val="variable"/>
    <w:sig w:usb0="A00002FF" w:usb1="28CFFCFA" w:usb2="00000016" w:usb3="00000000" w:csb0="00100001" w:csb1="00000000"/>
  </w:font>
  <w:font w:name="Garamond">
    <w:panose1 w:val="02020404030301010803"/>
    <w:charset w:val="00"/>
    <w:family w:val="auto"/>
    <w:pitch w:val="variable"/>
    <w:sig w:usb0="00000003" w:usb1="00000000" w:usb2="00000000" w:usb3="00000000" w:csb0="00000001" w:csb1="00000000"/>
  </w:font>
  <w:font w:name="Arial Black">
    <w:panose1 w:val="020B0A04020102020204"/>
    <w:charset w:val="00"/>
    <w:family w:val="auto"/>
    <w:pitch w:val="variable"/>
    <w:sig w:usb0="00000003" w:usb1="00000000" w:usb2="00000000" w:usb3="00000000" w:csb0="00000001" w:csb1="00000000"/>
  </w:font>
  <w:font w:name="NimbusRomNo9L">
    <w:altName w:val="Cambri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B31" w:rsidRDefault="00D12B31">
    <w:pPr>
      <w:pStyle w:val="Footer"/>
      <w:pBdr>
        <w:top w:val="thinThickSmallGap" w:sz="24" w:space="1" w:color="622423" w:themeColor="accent2" w:themeShade="7F"/>
      </w:pBdr>
      <w:rPr>
        <w:rFonts w:asciiTheme="majorHAnsi" w:hAnsiTheme="majorHAnsi"/>
      </w:rPr>
    </w:pPr>
    <w:r>
      <w:rPr>
        <w:rFonts w:asciiTheme="majorHAnsi" w:hAnsiTheme="majorHAnsi"/>
      </w:rPr>
      <w:t>Projet de Rapport de  Cadrage ITIE-RDC 2015</w:t>
    </w:r>
    <w:r>
      <w:rPr>
        <w:rFonts w:asciiTheme="majorHAnsi" w:hAnsiTheme="majorHAnsi"/>
      </w:rPr>
      <w:ptab w:relativeTo="margin" w:alignment="right" w:leader="none"/>
    </w:r>
    <w:r>
      <w:rPr>
        <w:rFonts w:asciiTheme="majorHAnsi" w:hAnsiTheme="majorHAnsi"/>
      </w:rPr>
      <w:t xml:space="preserve">Page </w:t>
    </w:r>
    <w:r>
      <w:fldChar w:fldCharType="begin"/>
    </w:r>
    <w:r>
      <w:instrText xml:space="preserve"> PAGE   \* MERGEFORMAT </w:instrText>
    </w:r>
    <w:r>
      <w:fldChar w:fldCharType="separate"/>
    </w:r>
    <w:r w:rsidR="00863DF7" w:rsidRPr="00863DF7">
      <w:rPr>
        <w:rFonts w:asciiTheme="majorHAnsi" w:hAnsiTheme="majorHAnsi"/>
        <w:noProof/>
      </w:rPr>
      <w:t>1</w:t>
    </w:r>
    <w:r>
      <w:rPr>
        <w:rFonts w:asciiTheme="majorHAnsi" w:hAnsiTheme="majorHAnsi"/>
        <w:noProof/>
      </w:rPr>
      <w:fldChar w:fldCharType="end"/>
    </w:r>
  </w:p>
  <w:p w:rsidR="00D12B31" w:rsidRDefault="00D12B3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rsidR="00D12B31" w:rsidRDefault="00D12B31" w:rsidP="00A81382">
      <w:pPr>
        <w:spacing w:after="0"/>
      </w:pPr>
      <w:r>
        <w:separator/>
      </w:r>
    </w:p>
  </w:footnote>
  <w:footnote w:type="continuationSeparator" w:id="0">
    <w:p w:rsidR="00D12B31" w:rsidRDefault="00D12B31" w:rsidP="00A81382">
      <w:pPr>
        <w:spacing w:after="0"/>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FFFFFF7F"/>
    <w:multiLevelType w:val="singleLevel"/>
    <w:tmpl w:val="23B89006"/>
    <w:lvl w:ilvl="0">
      <w:start w:val="1"/>
      <w:numFmt w:val="decimal"/>
      <w:pStyle w:val="ListNumber2"/>
      <w:lvlText w:val="%1."/>
      <w:lvlJc w:val="left"/>
      <w:pPr>
        <w:tabs>
          <w:tab w:val="num" w:pos="-295"/>
        </w:tabs>
        <w:ind w:left="-295" w:hanging="360"/>
      </w:pPr>
      <w:rPr>
        <w:rFonts w:cs="Times New Roman"/>
      </w:rPr>
    </w:lvl>
  </w:abstractNum>
  <w:abstractNum w:abstractNumId="1">
    <w:nsid w:val="06046E77"/>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7AA39A0"/>
    <w:multiLevelType w:val="hybridMultilevel"/>
    <w:tmpl w:val="0B225BD6"/>
    <w:lvl w:ilvl="0" w:tplc="4790C960">
      <w:start w:val="1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8125BF6"/>
    <w:multiLevelType w:val="multilevel"/>
    <w:tmpl w:val="422ADA02"/>
    <w:styleLink w:val="Listeencours1"/>
    <w:lvl w:ilvl="0">
      <w:start w:val="3"/>
      <w:numFmt w:val="decimal"/>
      <w:lvlText w:val="%1"/>
      <w:lvlJc w:val="left"/>
      <w:pPr>
        <w:tabs>
          <w:tab w:val="num" w:pos="360"/>
        </w:tabs>
        <w:ind w:left="360" w:hanging="360"/>
      </w:pPr>
      <w:rPr>
        <w:rFonts w:cs="Times New Roman" w:hint="default"/>
      </w:rPr>
    </w:lvl>
    <w:lvl w:ilvl="1">
      <w:start w:val="4"/>
      <w:numFmt w:val="decimal"/>
      <w:lvlText w:val="%2"/>
      <w:lvlJc w:val="left"/>
      <w:pPr>
        <w:tabs>
          <w:tab w:val="num" w:pos="840"/>
        </w:tabs>
        <w:ind w:left="840" w:hanging="360"/>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nsid w:val="099837A4"/>
    <w:multiLevelType w:val="multilevel"/>
    <w:tmpl w:val="D95E6C80"/>
    <w:lvl w:ilvl="0">
      <w:start w:val="1"/>
      <w:numFmt w:val="decimal"/>
      <w:pStyle w:val="Heading1"/>
      <w:lvlText w:val="%1."/>
      <w:lvlJc w:val="left"/>
      <w:pPr>
        <w:ind w:left="360" w:hanging="360"/>
      </w:pPr>
      <w:rPr>
        <w:rFonts w:ascii="Arial" w:hAnsi="Arial"/>
        <w:color w:val="auto"/>
        <w:sz w:val="24"/>
      </w:r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9BD361C"/>
    <w:multiLevelType w:val="hybridMultilevel"/>
    <w:tmpl w:val="E48C575E"/>
    <w:lvl w:ilvl="0" w:tplc="040C0011">
      <w:start w:val="1"/>
      <w:numFmt w:val="decimal"/>
      <w:lvlText w:val="%1)"/>
      <w:lvlJc w:val="left"/>
      <w:pPr>
        <w:ind w:left="360" w:hanging="360"/>
      </w:pPr>
    </w:lvl>
    <w:lvl w:ilvl="1" w:tplc="200CAEE6">
      <w:start w:val="1"/>
      <w:numFmt w:val="lowerLetter"/>
      <w:lvlText w:val="%2)"/>
      <w:lvlJc w:val="left"/>
      <w:pPr>
        <w:ind w:left="1080" w:hanging="360"/>
      </w:pPr>
      <w:rPr>
        <w:rFonts w:hint="default"/>
      </w:r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nsid w:val="0B752F18"/>
    <w:multiLevelType w:val="hybridMultilevel"/>
    <w:tmpl w:val="DC4037B8"/>
    <w:lvl w:ilvl="0" w:tplc="04090017">
      <w:start w:val="1"/>
      <w:numFmt w:val="lowerLetter"/>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0F88146A"/>
    <w:multiLevelType w:val="hybridMultilevel"/>
    <w:tmpl w:val="D5E68A14"/>
    <w:lvl w:ilvl="0" w:tplc="1FE4C5D6">
      <w:start w:val="1"/>
      <w:numFmt w:val="lowerLetter"/>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0163D07"/>
    <w:multiLevelType w:val="hybridMultilevel"/>
    <w:tmpl w:val="EC843BF8"/>
    <w:lvl w:ilvl="0" w:tplc="040C0017">
      <w:start w:val="1"/>
      <w:numFmt w:val="low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nsid w:val="19D075E7"/>
    <w:multiLevelType w:val="hybridMultilevel"/>
    <w:tmpl w:val="ABF45460"/>
    <w:lvl w:ilvl="0" w:tplc="BC127464">
      <w:start w:val="1"/>
      <w:numFmt w:val="decimal"/>
      <w:lvlText w:val="%1."/>
      <w:lvlJc w:val="left"/>
      <w:pPr>
        <w:ind w:left="540" w:hanging="54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1CD13F4A"/>
    <w:multiLevelType w:val="hybridMultilevel"/>
    <w:tmpl w:val="6EF2CFA8"/>
    <w:lvl w:ilvl="0" w:tplc="040C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1D8E0C23"/>
    <w:multiLevelType w:val="hybridMultilevel"/>
    <w:tmpl w:val="A30ECFA8"/>
    <w:lvl w:ilvl="0" w:tplc="BBDC76D6">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1DE7574B"/>
    <w:multiLevelType w:val="hybridMultilevel"/>
    <w:tmpl w:val="6638E48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0174C8C"/>
    <w:multiLevelType w:val="multilevel"/>
    <w:tmpl w:val="BB809E9E"/>
    <w:lvl w:ilvl="0">
      <w:start w:val="1"/>
      <w:numFmt w:val="bullet"/>
      <w:lvlText w:val=""/>
      <w:lvlJc w:val="left"/>
      <w:pPr>
        <w:tabs>
          <w:tab w:val="num" w:pos="567"/>
        </w:tabs>
        <w:ind w:left="567" w:hanging="567"/>
      </w:pPr>
      <w:rPr>
        <w:rFonts w:ascii="Symbol" w:hAnsi="Symbol" w:hint="default"/>
      </w:rPr>
    </w:lvl>
    <w:lvl w:ilvl="1">
      <w:start w:val="1"/>
      <w:numFmt w:val="bullet"/>
      <w:pStyle w:val="MSBulletLevel2"/>
      <w:lvlText w:val="♦"/>
      <w:lvlJc w:val="left"/>
      <w:pPr>
        <w:tabs>
          <w:tab w:val="num" w:pos="1134"/>
        </w:tabs>
        <w:ind w:left="1134" w:hanging="567"/>
      </w:pPr>
      <w:rPr>
        <w:rFonts w:ascii="Times New Roman" w:hint="default"/>
      </w:rPr>
    </w:lvl>
    <w:lvl w:ilvl="2">
      <w:start w:val="1"/>
      <w:numFmt w:val="bullet"/>
      <w:pStyle w:val="MSBulletLevel3"/>
      <w:lvlText w:val="-"/>
      <w:lvlJc w:val="left"/>
      <w:pPr>
        <w:tabs>
          <w:tab w:val="num" w:pos="1701"/>
        </w:tabs>
        <w:ind w:left="1701" w:hanging="567"/>
      </w:pPr>
      <w:rPr>
        <w:rFonts w:ascii="Times New Roman"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Wingdings" w:hAnsi="Wingdings" w:hint="default"/>
      </w:rPr>
    </w:lvl>
    <w:lvl w:ilvl="6">
      <w:start w:val="1"/>
      <w:numFmt w:val="bullet"/>
      <w:lvlText w:val=""/>
      <w:lvlJc w:val="left"/>
      <w:pPr>
        <w:tabs>
          <w:tab w:val="num" w:pos="3969"/>
        </w:tabs>
        <w:ind w:left="3969" w:hanging="567"/>
      </w:pPr>
      <w:rPr>
        <w:rFonts w:ascii="Wingdings" w:hAnsi="Wingdings"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14">
    <w:nsid w:val="20A509BA"/>
    <w:multiLevelType w:val="hybridMultilevel"/>
    <w:tmpl w:val="B9BCEAEC"/>
    <w:lvl w:ilvl="0" w:tplc="60364E44">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5">
    <w:nsid w:val="225960B8"/>
    <w:multiLevelType w:val="multilevel"/>
    <w:tmpl w:val="5686A7DC"/>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hint="default"/>
      </w:rPr>
    </w:lvl>
    <w:lvl w:ilvl="2">
      <w:start w:val="1"/>
      <w:numFmt w:val="lowerLetter"/>
      <w:lvlText w:val="%3)"/>
      <w:lvlJc w:val="left"/>
      <w:pPr>
        <w:ind w:left="720" w:hanging="720"/>
      </w:pPr>
      <w:rPr>
        <w:rFonts w:hint="default"/>
      </w:rPr>
    </w:lvl>
    <w:lvl w:ilvl="3">
      <w:start w:val="1"/>
      <w:numFmt w:val="decimal"/>
      <w:isLgl/>
      <w:lvlText w:val="%1.%2.%3.%4"/>
      <w:lvlJc w:val="left"/>
      <w:pPr>
        <w:ind w:left="1440" w:hanging="1080"/>
      </w:pPr>
      <w:rPr>
        <w:rFonts w:cs="Times New Roman" w:hint="default"/>
      </w:rPr>
    </w:lvl>
    <w:lvl w:ilvl="4">
      <w:start w:val="1"/>
      <w:numFmt w:val="lowerLetter"/>
      <w:lvlText w:val="%5)"/>
      <w:lvlJc w:val="left"/>
      <w:pPr>
        <w:ind w:left="1440" w:hanging="1080"/>
      </w:pPr>
      <w:rPr>
        <w:rFonts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6">
    <w:nsid w:val="2319346F"/>
    <w:multiLevelType w:val="hybridMultilevel"/>
    <w:tmpl w:val="22662B4E"/>
    <w:lvl w:ilvl="0" w:tplc="AA26145A">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287969A6"/>
    <w:multiLevelType w:val="hybridMultilevel"/>
    <w:tmpl w:val="C60AF28C"/>
    <w:lvl w:ilvl="0" w:tplc="593236DC">
      <w:start w:val="1"/>
      <w:numFmt w:val="bullet"/>
      <w:lvlText w:val="–"/>
      <w:lvlJc w:val="left"/>
      <w:pPr>
        <w:ind w:left="720" w:hanging="360"/>
      </w:pPr>
      <w:rPr>
        <w:rFonts w:ascii="Calibri" w:hAnsi="Calibri"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2A320455"/>
    <w:multiLevelType w:val="hybridMultilevel"/>
    <w:tmpl w:val="9D5C74DE"/>
    <w:lvl w:ilvl="0" w:tplc="593236DC">
      <w:start w:val="1"/>
      <w:numFmt w:val="bullet"/>
      <w:lvlText w:val="–"/>
      <w:lvlJc w:val="left"/>
      <w:pPr>
        <w:ind w:left="720" w:hanging="360"/>
      </w:pPr>
      <w:rPr>
        <w:rFonts w:ascii="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2B064FA0"/>
    <w:multiLevelType w:val="hybridMultilevel"/>
    <w:tmpl w:val="F1B43DBA"/>
    <w:lvl w:ilvl="0" w:tplc="6FDEF510">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21">
    <w:nsid w:val="307C5368"/>
    <w:multiLevelType w:val="hybridMultilevel"/>
    <w:tmpl w:val="0B2C0EBE"/>
    <w:lvl w:ilvl="0" w:tplc="EE4C5880">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1E60482"/>
    <w:multiLevelType w:val="multilevel"/>
    <w:tmpl w:val="674E9008"/>
    <w:styleLink w:val="Style2"/>
    <w:lvl w:ilvl="0">
      <w:start w:val="3"/>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nsid w:val="32B46874"/>
    <w:multiLevelType w:val="multilevel"/>
    <w:tmpl w:val="81A2B286"/>
    <w:lvl w:ilvl="0">
      <w:start w:val="1"/>
      <w:numFmt w:val="bullet"/>
      <w:pStyle w:val="MSBulletLevel1"/>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Times New Roman" w:hint="default"/>
      </w:rPr>
    </w:lvl>
    <w:lvl w:ilvl="2">
      <w:start w:val="1"/>
      <w:numFmt w:val="bullet"/>
      <w:lvlText w:val="-"/>
      <w:lvlJc w:val="left"/>
      <w:pPr>
        <w:tabs>
          <w:tab w:val="num" w:pos="1701"/>
        </w:tabs>
        <w:ind w:left="1701" w:hanging="567"/>
      </w:pPr>
      <w:rPr>
        <w:rFonts w:ascii="Times New Roman"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Wingdings" w:hAnsi="Wingdings" w:hint="default"/>
      </w:rPr>
    </w:lvl>
    <w:lvl w:ilvl="6">
      <w:start w:val="1"/>
      <w:numFmt w:val="bullet"/>
      <w:lvlText w:val=""/>
      <w:lvlJc w:val="left"/>
      <w:pPr>
        <w:tabs>
          <w:tab w:val="num" w:pos="3969"/>
        </w:tabs>
        <w:ind w:left="3969" w:hanging="567"/>
      </w:pPr>
      <w:rPr>
        <w:rFonts w:ascii="Wingdings" w:hAnsi="Wingdings"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24">
    <w:nsid w:val="340A2C72"/>
    <w:multiLevelType w:val="multilevel"/>
    <w:tmpl w:val="AFE809BE"/>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bullet"/>
      <w:lvlText w:val=""/>
      <w:lvlJc w:val="left"/>
      <w:pPr>
        <w:ind w:left="1440" w:hanging="1080"/>
      </w:pPr>
      <w:rPr>
        <w:rFonts w:ascii="Symbol" w:hAnsi="Symbol" w:hint="default"/>
      </w:rPr>
    </w:lvl>
    <w:lvl w:ilvl="5">
      <w:start w:val="1"/>
      <w:numFmt w:val="bullet"/>
      <w:lvlText w:val=""/>
      <w:lvlJc w:val="left"/>
      <w:pPr>
        <w:ind w:left="1800" w:hanging="1440"/>
      </w:pPr>
      <w:rPr>
        <w:rFonts w:ascii="Symbol" w:hAnsi="Symbol"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5">
    <w:nsid w:val="35DE4AB4"/>
    <w:multiLevelType w:val="hybridMultilevel"/>
    <w:tmpl w:val="A78297D4"/>
    <w:lvl w:ilvl="0" w:tplc="15942A4E">
      <w:start w:val="1"/>
      <w:numFmt w:val="bullet"/>
      <w:lvlText w:val=""/>
      <w:lvlJc w:val="left"/>
      <w:pPr>
        <w:ind w:left="1146" w:hanging="360"/>
      </w:pPr>
      <w:rPr>
        <w:rFonts w:ascii="Wingdings" w:hAnsi="Wingdings" w:hint="default"/>
        <w:b w:val="0"/>
        <w:i w:val="0"/>
        <w:color w:val="auto"/>
        <w:sz w:val="20"/>
      </w:rPr>
    </w:lvl>
    <w:lvl w:ilvl="1" w:tplc="48A0B7F2" w:tentative="1">
      <w:start w:val="1"/>
      <w:numFmt w:val="bullet"/>
      <w:lvlText w:val="o"/>
      <w:lvlJc w:val="left"/>
      <w:pPr>
        <w:ind w:left="1800" w:hanging="360"/>
      </w:pPr>
      <w:rPr>
        <w:rFonts w:ascii="Courier New" w:hAnsi="Courier New" w:cs="Courier New" w:hint="default"/>
      </w:rPr>
    </w:lvl>
    <w:lvl w:ilvl="2" w:tplc="55EA77C4" w:tentative="1">
      <w:start w:val="1"/>
      <w:numFmt w:val="bullet"/>
      <w:lvlText w:val=""/>
      <w:lvlJc w:val="left"/>
      <w:pPr>
        <w:ind w:left="2520" w:hanging="360"/>
      </w:pPr>
      <w:rPr>
        <w:rFonts w:ascii="Wingdings" w:hAnsi="Wingdings" w:hint="default"/>
      </w:rPr>
    </w:lvl>
    <w:lvl w:ilvl="3" w:tplc="3DB26446" w:tentative="1">
      <w:start w:val="1"/>
      <w:numFmt w:val="bullet"/>
      <w:lvlText w:val=""/>
      <w:lvlJc w:val="left"/>
      <w:pPr>
        <w:ind w:left="3240" w:hanging="360"/>
      </w:pPr>
      <w:rPr>
        <w:rFonts w:ascii="Symbol" w:hAnsi="Symbol" w:hint="default"/>
      </w:rPr>
    </w:lvl>
    <w:lvl w:ilvl="4" w:tplc="5CB62CEE" w:tentative="1">
      <w:start w:val="1"/>
      <w:numFmt w:val="bullet"/>
      <w:lvlText w:val="o"/>
      <w:lvlJc w:val="left"/>
      <w:pPr>
        <w:ind w:left="3960" w:hanging="360"/>
      </w:pPr>
      <w:rPr>
        <w:rFonts w:ascii="Courier New" w:hAnsi="Courier New" w:cs="Courier New" w:hint="default"/>
      </w:rPr>
    </w:lvl>
    <w:lvl w:ilvl="5" w:tplc="35F418DC" w:tentative="1">
      <w:start w:val="1"/>
      <w:numFmt w:val="bullet"/>
      <w:lvlText w:val=""/>
      <w:lvlJc w:val="left"/>
      <w:pPr>
        <w:ind w:left="4680" w:hanging="360"/>
      </w:pPr>
      <w:rPr>
        <w:rFonts w:ascii="Wingdings" w:hAnsi="Wingdings" w:hint="default"/>
      </w:rPr>
    </w:lvl>
    <w:lvl w:ilvl="6" w:tplc="20AA5A70" w:tentative="1">
      <w:start w:val="1"/>
      <w:numFmt w:val="bullet"/>
      <w:lvlText w:val=""/>
      <w:lvlJc w:val="left"/>
      <w:pPr>
        <w:ind w:left="5400" w:hanging="360"/>
      </w:pPr>
      <w:rPr>
        <w:rFonts w:ascii="Symbol" w:hAnsi="Symbol" w:hint="default"/>
      </w:rPr>
    </w:lvl>
    <w:lvl w:ilvl="7" w:tplc="0B3C729C" w:tentative="1">
      <w:start w:val="1"/>
      <w:numFmt w:val="bullet"/>
      <w:lvlText w:val="o"/>
      <w:lvlJc w:val="left"/>
      <w:pPr>
        <w:ind w:left="6120" w:hanging="360"/>
      </w:pPr>
      <w:rPr>
        <w:rFonts w:ascii="Courier New" w:hAnsi="Courier New" w:cs="Courier New" w:hint="default"/>
      </w:rPr>
    </w:lvl>
    <w:lvl w:ilvl="8" w:tplc="5D5ACB74" w:tentative="1">
      <w:start w:val="1"/>
      <w:numFmt w:val="bullet"/>
      <w:lvlText w:val=""/>
      <w:lvlJc w:val="left"/>
      <w:pPr>
        <w:ind w:left="6840" w:hanging="360"/>
      </w:pPr>
      <w:rPr>
        <w:rFonts w:ascii="Wingdings" w:hAnsi="Wingdings" w:hint="default"/>
      </w:rPr>
    </w:lvl>
  </w:abstractNum>
  <w:abstractNum w:abstractNumId="26">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27">
    <w:nsid w:val="3CCE692E"/>
    <w:multiLevelType w:val="hybridMultilevel"/>
    <w:tmpl w:val="0BD403C4"/>
    <w:lvl w:ilvl="0" w:tplc="15942A4E">
      <w:start w:val="1"/>
      <w:numFmt w:val="bullet"/>
      <w:lvlText w:val=""/>
      <w:lvlJc w:val="left"/>
      <w:pPr>
        <w:ind w:left="720" w:hanging="360"/>
      </w:pPr>
      <w:rPr>
        <w:rFonts w:ascii="Wingdings" w:hAnsi="Wingdings" w:hint="default"/>
        <w:b w:val="0"/>
        <w:i w:val="0"/>
        <w:color w:val="auto"/>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3EFD20F5"/>
    <w:multiLevelType w:val="hybridMultilevel"/>
    <w:tmpl w:val="74CE8C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46683FD9"/>
    <w:multiLevelType w:val="hybridMultilevel"/>
    <w:tmpl w:val="4024F320"/>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46CD6349"/>
    <w:multiLevelType w:val="hybridMultilevel"/>
    <w:tmpl w:val="F22C40D2"/>
    <w:lvl w:ilvl="0" w:tplc="4BA8F9C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4B3D253F"/>
    <w:multiLevelType w:val="hybridMultilevel"/>
    <w:tmpl w:val="2048C6D0"/>
    <w:lvl w:ilvl="0" w:tplc="BBDC76D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4D237D07"/>
    <w:multiLevelType w:val="hybridMultilevel"/>
    <w:tmpl w:val="F2CAD510"/>
    <w:lvl w:ilvl="0" w:tplc="60364E4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4DA87CE4"/>
    <w:multiLevelType w:val="hybridMultilevel"/>
    <w:tmpl w:val="39E0914E"/>
    <w:lvl w:ilvl="0" w:tplc="60364E44">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4">
    <w:nsid w:val="558B0B3B"/>
    <w:multiLevelType w:val="hybridMultilevel"/>
    <w:tmpl w:val="0476911A"/>
    <w:lvl w:ilvl="0" w:tplc="593236DC">
      <w:start w:val="1"/>
      <w:numFmt w:val="bullet"/>
      <w:lvlText w:val="–"/>
      <w:lvlJc w:val="left"/>
      <w:pPr>
        <w:ind w:left="720" w:hanging="360"/>
      </w:pPr>
      <w:rPr>
        <w:rFonts w:ascii="Calibri" w:hAnsi="Calibri"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nsid w:val="57CC691C"/>
    <w:multiLevelType w:val="hybridMultilevel"/>
    <w:tmpl w:val="6B783B44"/>
    <w:lvl w:ilvl="0" w:tplc="6FD0087E">
      <w:start w:val="1"/>
      <w:numFmt w:val="lowerRoman"/>
      <w:lvlText w:val="%1."/>
      <w:lvlJc w:val="right"/>
      <w:pPr>
        <w:ind w:left="1440" w:hanging="360"/>
      </w:pPr>
      <w:rPr>
        <w:rFonts w:hint="default"/>
        <w:b w:val="0"/>
        <w:i w:val="0"/>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580D4505"/>
    <w:multiLevelType w:val="multilevel"/>
    <w:tmpl w:val="194499BE"/>
    <w:lvl w:ilvl="0">
      <w:start w:val="1"/>
      <w:numFmt w:val="decimal"/>
      <w:lvlText w:val="%1."/>
      <w:lvlJc w:val="left"/>
      <w:pPr>
        <w:tabs>
          <w:tab w:val="num" w:pos="850"/>
        </w:tabs>
        <w:ind w:left="850" w:hanging="850"/>
      </w:pPr>
      <w:rPr>
        <w:rFonts w:cs="Times New Roman"/>
      </w:rPr>
    </w:lvl>
    <w:lvl w:ilvl="1">
      <w:start w:val="1"/>
      <w:numFmt w:val="decimal"/>
      <w:pStyle w:val="ReportHead2"/>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lowerRoman"/>
      <w:lvlText w:val="%4."/>
      <w:lvlJc w:val="left"/>
      <w:pPr>
        <w:tabs>
          <w:tab w:val="num" w:pos="851"/>
        </w:tabs>
        <w:ind w:left="851" w:hanging="851"/>
      </w:pPr>
      <w:rPr>
        <w:rFonts w:cs="Times New Roman"/>
      </w:rPr>
    </w:lvl>
    <w:lvl w:ilvl="4">
      <w:start w:val="1"/>
      <w:numFmt w:val="bullet"/>
      <w:lvlText w:val=""/>
      <w:lvlJc w:val="left"/>
      <w:pPr>
        <w:tabs>
          <w:tab w:val="num" w:pos="850"/>
        </w:tabs>
        <w:ind w:left="850" w:hanging="850"/>
      </w:pPr>
      <w:rPr>
        <w:rFonts w:ascii="Symbol" w:hAnsi="Symbol" w:hint="default"/>
      </w:rPr>
    </w:lvl>
    <w:lvl w:ilvl="5">
      <w:start w:val="1"/>
      <w:numFmt w:val="bullet"/>
      <w:lvlText w:val=""/>
      <w:lvlJc w:val="left"/>
      <w:pPr>
        <w:tabs>
          <w:tab w:val="num" w:pos="1417"/>
        </w:tabs>
        <w:ind w:left="1417" w:hanging="567"/>
      </w:pPr>
      <w:rPr>
        <w:rFonts w:ascii="Symbol" w:hAnsi="Symbol" w:hint="default"/>
        <w:sz w:val="22"/>
      </w:rPr>
    </w:lvl>
    <w:lvl w:ilvl="6">
      <w:start w:val="1"/>
      <w:numFmt w:val="bullet"/>
      <w:lvlText w:val=""/>
      <w:lvlJc w:val="left"/>
      <w:pPr>
        <w:tabs>
          <w:tab w:val="num" w:pos="1984"/>
        </w:tabs>
        <w:ind w:left="1984" w:hanging="567"/>
      </w:pPr>
      <w:rPr>
        <w:rFonts w:ascii="Symbol" w:hAnsi="Symbol" w:hint="default"/>
        <w:sz w:val="12"/>
      </w:rPr>
    </w:lvl>
    <w:lvl w:ilvl="7">
      <w:start w:val="1"/>
      <w:numFmt w:val="none"/>
      <w:lvlText w:val=""/>
      <w:lvlJc w:val="left"/>
      <w:pPr>
        <w:tabs>
          <w:tab w:val="num" w:pos="1984"/>
        </w:tabs>
        <w:ind w:left="1984" w:hanging="567"/>
      </w:pPr>
      <w:rPr>
        <w:rFonts w:cs="Times New Roman"/>
      </w:rPr>
    </w:lvl>
    <w:lvl w:ilvl="8">
      <w:start w:val="1"/>
      <w:numFmt w:val="none"/>
      <w:lvlText w:val=""/>
      <w:lvlJc w:val="left"/>
      <w:pPr>
        <w:tabs>
          <w:tab w:val="num" w:pos="2551"/>
        </w:tabs>
        <w:ind w:left="2551" w:hanging="567"/>
      </w:pPr>
      <w:rPr>
        <w:rFonts w:cs="Times New Roman"/>
      </w:rPr>
    </w:lvl>
  </w:abstractNum>
  <w:abstractNum w:abstractNumId="37">
    <w:nsid w:val="582C5638"/>
    <w:multiLevelType w:val="hybridMultilevel"/>
    <w:tmpl w:val="7B2CCA56"/>
    <w:lvl w:ilvl="0" w:tplc="14D6D324">
      <w:start w:val="1"/>
      <w:numFmt w:val="bullet"/>
      <w:pStyle w:val="ProposalBullet1"/>
      <w:lvlText w:val=""/>
      <w:lvlJc w:val="left"/>
      <w:pPr>
        <w:tabs>
          <w:tab w:val="num" w:pos="360"/>
        </w:tabs>
        <w:ind w:left="284" w:hanging="284"/>
      </w:pPr>
      <w:rPr>
        <w:rFonts w:ascii="Wingdings" w:hAnsi="Wingdings" w:hint="default"/>
        <w:sz w:val="14"/>
      </w:rPr>
    </w:lvl>
    <w:lvl w:ilvl="1" w:tplc="C9E02C86" w:tentative="1">
      <w:start w:val="1"/>
      <w:numFmt w:val="bullet"/>
      <w:lvlText w:val="o"/>
      <w:lvlJc w:val="left"/>
      <w:pPr>
        <w:tabs>
          <w:tab w:val="num" w:pos="1440"/>
        </w:tabs>
        <w:ind w:left="1440" w:hanging="360"/>
      </w:pPr>
      <w:rPr>
        <w:rFonts w:ascii="Courier New" w:hAnsi="Courier New" w:hint="default"/>
      </w:rPr>
    </w:lvl>
    <w:lvl w:ilvl="2" w:tplc="8B06C6B8" w:tentative="1">
      <w:start w:val="1"/>
      <w:numFmt w:val="bullet"/>
      <w:lvlText w:val=""/>
      <w:lvlJc w:val="left"/>
      <w:pPr>
        <w:tabs>
          <w:tab w:val="num" w:pos="2160"/>
        </w:tabs>
        <w:ind w:left="2160" w:hanging="360"/>
      </w:pPr>
      <w:rPr>
        <w:rFonts w:ascii="Wingdings" w:hAnsi="Wingdings" w:hint="default"/>
      </w:rPr>
    </w:lvl>
    <w:lvl w:ilvl="3" w:tplc="08C4BF86" w:tentative="1">
      <w:start w:val="1"/>
      <w:numFmt w:val="bullet"/>
      <w:lvlText w:val=""/>
      <w:lvlJc w:val="left"/>
      <w:pPr>
        <w:tabs>
          <w:tab w:val="num" w:pos="2880"/>
        </w:tabs>
        <w:ind w:left="2880" w:hanging="360"/>
      </w:pPr>
      <w:rPr>
        <w:rFonts w:ascii="Symbol" w:hAnsi="Symbol" w:hint="default"/>
      </w:rPr>
    </w:lvl>
    <w:lvl w:ilvl="4" w:tplc="22B61536" w:tentative="1">
      <w:start w:val="1"/>
      <w:numFmt w:val="bullet"/>
      <w:lvlText w:val="o"/>
      <w:lvlJc w:val="left"/>
      <w:pPr>
        <w:tabs>
          <w:tab w:val="num" w:pos="3600"/>
        </w:tabs>
        <w:ind w:left="3600" w:hanging="360"/>
      </w:pPr>
      <w:rPr>
        <w:rFonts w:ascii="Courier New" w:hAnsi="Courier New" w:hint="default"/>
      </w:rPr>
    </w:lvl>
    <w:lvl w:ilvl="5" w:tplc="2640D7D4" w:tentative="1">
      <w:start w:val="1"/>
      <w:numFmt w:val="bullet"/>
      <w:lvlText w:val=""/>
      <w:lvlJc w:val="left"/>
      <w:pPr>
        <w:tabs>
          <w:tab w:val="num" w:pos="4320"/>
        </w:tabs>
        <w:ind w:left="4320" w:hanging="360"/>
      </w:pPr>
      <w:rPr>
        <w:rFonts w:ascii="Wingdings" w:hAnsi="Wingdings" w:hint="default"/>
      </w:rPr>
    </w:lvl>
    <w:lvl w:ilvl="6" w:tplc="6CA09B2E" w:tentative="1">
      <w:start w:val="1"/>
      <w:numFmt w:val="bullet"/>
      <w:lvlText w:val=""/>
      <w:lvlJc w:val="left"/>
      <w:pPr>
        <w:tabs>
          <w:tab w:val="num" w:pos="5040"/>
        </w:tabs>
        <w:ind w:left="5040" w:hanging="360"/>
      </w:pPr>
      <w:rPr>
        <w:rFonts w:ascii="Symbol" w:hAnsi="Symbol" w:hint="default"/>
      </w:rPr>
    </w:lvl>
    <w:lvl w:ilvl="7" w:tplc="98AA274E" w:tentative="1">
      <w:start w:val="1"/>
      <w:numFmt w:val="bullet"/>
      <w:lvlText w:val="o"/>
      <w:lvlJc w:val="left"/>
      <w:pPr>
        <w:tabs>
          <w:tab w:val="num" w:pos="5760"/>
        </w:tabs>
        <w:ind w:left="5760" w:hanging="360"/>
      </w:pPr>
      <w:rPr>
        <w:rFonts w:ascii="Courier New" w:hAnsi="Courier New" w:hint="default"/>
      </w:rPr>
    </w:lvl>
    <w:lvl w:ilvl="8" w:tplc="3912F6E0" w:tentative="1">
      <w:start w:val="1"/>
      <w:numFmt w:val="bullet"/>
      <w:lvlText w:val=""/>
      <w:lvlJc w:val="left"/>
      <w:pPr>
        <w:tabs>
          <w:tab w:val="num" w:pos="6480"/>
        </w:tabs>
        <w:ind w:left="6480" w:hanging="360"/>
      </w:pPr>
      <w:rPr>
        <w:rFonts w:ascii="Wingdings" w:hAnsi="Wingdings" w:hint="default"/>
      </w:rPr>
    </w:lvl>
  </w:abstractNum>
  <w:abstractNum w:abstractNumId="38">
    <w:nsid w:val="5A7A56A8"/>
    <w:multiLevelType w:val="hybridMultilevel"/>
    <w:tmpl w:val="84CC0632"/>
    <w:lvl w:ilvl="0" w:tplc="040C001B">
      <w:start w:val="1"/>
      <w:numFmt w:val="lowerRoman"/>
      <w:lvlText w:val="%1."/>
      <w:lvlJc w:val="right"/>
      <w:pPr>
        <w:ind w:left="216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9">
    <w:nsid w:val="5ADD1D0D"/>
    <w:multiLevelType w:val="hybridMultilevel"/>
    <w:tmpl w:val="FABA6B3C"/>
    <w:lvl w:ilvl="0" w:tplc="15942A4E">
      <w:start w:val="1"/>
      <w:numFmt w:val="lowerLetter"/>
      <w:lvlText w:val="%1)"/>
      <w:lvlJc w:val="left"/>
      <w:pPr>
        <w:ind w:left="1440" w:hanging="360"/>
      </w:pPr>
      <w:rPr>
        <w:rFonts w:hint="default"/>
      </w:rPr>
    </w:lvl>
    <w:lvl w:ilvl="1" w:tplc="384E5BFE">
      <w:start w:val="3"/>
      <w:numFmt w:val="bullet"/>
      <w:lvlText w:val="•"/>
      <w:lvlJc w:val="left"/>
      <w:pPr>
        <w:ind w:left="1440" w:hanging="360"/>
      </w:pPr>
      <w:rPr>
        <w:rFonts w:ascii="Arial" w:eastAsia="Times New Roman" w:hAnsi="Arial" w:cs="Arial" w:hint="default"/>
      </w:r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40">
    <w:nsid w:val="607B098F"/>
    <w:multiLevelType w:val="hybridMultilevel"/>
    <w:tmpl w:val="BA0E248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nsid w:val="60E205E0"/>
    <w:multiLevelType w:val="hybridMultilevel"/>
    <w:tmpl w:val="44EA4042"/>
    <w:lvl w:ilvl="0" w:tplc="90A0CD88">
      <w:start w:val="1"/>
      <w:numFmt w:val="bullet"/>
      <w:lvlText w:val=""/>
      <w:lvlJc w:val="left"/>
      <w:pPr>
        <w:ind w:left="720" w:hanging="360"/>
      </w:pPr>
      <w:rPr>
        <w:rFonts w:ascii="Wingdings" w:hAnsi="Wingdings" w:hint="default"/>
        <w:b w:val="0"/>
        <w:i w:val="0"/>
        <w:color w:val="auto"/>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61802A6E"/>
    <w:multiLevelType w:val="multilevel"/>
    <w:tmpl w:val="9DFAF364"/>
    <w:lvl w:ilvl="0">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3">
    <w:nsid w:val="61CB0284"/>
    <w:multiLevelType w:val="hybridMultilevel"/>
    <w:tmpl w:val="6D76C10E"/>
    <w:lvl w:ilvl="0" w:tplc="040C0017">
      <w:start w:val="1"/>
      <w:numFmt w:val="lowerLetter"/>
      <w:lvlText w:val="%1)"/>
      <w:lvlJc w:val="left"/>
      <w:pPr>
        <w:ind w:left="1440" w:hanging="360"/>
      </w:pPr>
    </w:lvl>
    <w:lvl w:ilvl="1" w:tplc="040C0019">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4">
    <w:nsid w:val="65C16738"/>
    <w:multiLevelType w:val="hybridMultilevel"/>
    <w:tmpl w:val="4904A3D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5">
    <w:nsid w:val="65D26BB3"/>
    <w:multiLevelType w:val="multilevel"/>
    <w:tmpl w:val="351CF70E"/>
    <w:lvl w:ilvl="0">
      <w:start w:val="1"/>
      <w:numFmt w:val="decimal"/>
      <w:pStyle w:val="ReportHead1"/>
      <w:lvlText w:val="%1."/>
      <w:lvlJc w:val="left"/>
      <w:pPr>
        <w:tabs>
          <w:tab w:val="num" w:pos="850"/>
        </w:tabs>
        <w:ind w:left="850" w:hanging="850"/>
      </w:pPr>
      <w:rPr>
        <w:rFonts w:cs="Times New Roman"/>
      </w:rPr>
    </w:lvl>
    <w:lvl w:ilvl="1">
      <w:start w:val="1"/>
      <w:numFmt w:val="decimal"/>
      <w:pStyle w:val="ReportHead3"/>
      <w:lvlText w:val="%1.%2."/>
      <w:lvlJc w:val="left"/>
      <w:pPr>
        <w:tabs>
          <w:tab w:val="num" w:pos="850"/>
        </w:tabs>
        <w:ind w:left="850" w:hanging="850"/>
      </w:pPr>
      <w:rPr>
        <w:rFonts w:cs="Times New Roman"/>
      </w:rPr>
    </w:lvl>
    <w:lvl w:ilvl="2">
      <w:start w:val="1"/>
      <w:numFmt w:val="decimal"/>
      <w:pStyle w:val="ReportHead4"/>
      <w:lvlText w:val="%1.%2.%3."/>
      <w:lvlJc w:val="left"/>
      <w:pPr>
        <w:tabs>
          <w:tab w:val="num" w:pos="850"/>
        </w:tabs>
        <w:ind w:left="850" w:hanging="850"/>
      </w:pPr>
      <w:rPr>
        <w:rFonts w:cs="Times New Roman"/>
      </w:rPr>
    </w:lvl>
    <w:lvl w:ilvl="3">
      <w:start w:val="1"/>
      <w:numFmt w:val="lowerRoman"/>
      <w:lvlText w:val="%4."/>
      <w:lvlJc w:val="left"/>
      <w:pPr>
        <w:tabs>
          <w:tab w:val="num" w:pos="851"/>
        </w:tabs>
        <w:ind w:left="851" w:hanging="851"/>
      </w:pPr>
      <w:rPr>
        <w:rFonts w:cs="Times New Roman"/>
      </w:rPr>
    </w:lvl>
    <w:lvl w:ilvl="4">
      <w:start w:val="1"/>
      <w:numFmt w:val="bullet"/>
      <w:lvlText w:val=""/>
      <w:lvlJc w:val="left"/>
      <w:pPr>
        <w:tabs>
          <w:tab w:val="num" w:pos="850"/>
        </w:tabs>
        <w:ind w:left="850" w:hanging="850"/>
      </w:pPr>
      <w:rPr>
        <w:rFonts w:ascii="Symbol" w:hAnsi="Symbol" w:hint="default"/>
      </w:rPr>
    </w:lvl>
    <w:lvl w:ilvl="5">
      <w:start w:val="1"/>
      <w:numFmt w:val="bullet"/>
      <w:lvlText w:val=""/>
      <w:lvlJc w:val="left"/>
      <w:pPr>
        <w:tabs>
          <w:tab w:val="num" w:pos="1417"/>
        </w:tabs>
        <w:ind w:left="1417" w:hanging="567"/>
      </w:pPr>
      <w:rPr>
        <w:rFonts w:ascii="Symbol" w:hAnsi="Symbol" w:hint="default"/>
        <w:sz w:val="22"/>
      </w:rPr>
    </w:lvl>
    <w:lvl w:ilvl="6">
      <w:start w:val="1"/>
      <w:numFmt w:val="bullet"/>
      <w:lvlText w:val=""/>
      <w:lvlJc w:val="left"/>
      <w:pPr>
        <w:tabs>
          <w:tab w:val="num" w:pos="1984"/>
        </w:tabs>
        <w:ind w:left="1984" w:hanging="567"/>
      </w:pPr>
      <w:rPr>
        <w:rFonts w:ascii="Symbol" w:hAnsi="Symbol" w:hint="default"/>
        <w:sz w:val="12"/>
      </w:rPr>
    </w:lvl>
    <w:lvl w:ilvl="7">
      <w:start w:val="1"/>
      <w:numFmt w:val="none"/>
      <w:lvlText w:val=""/>
      <w:lvlJc w:val="left"/>
      <w:pPr>
        <w:tabs>
          <w:tab w:val="num" w:pos="1984"/>
        </w:tabs>
        <w:ind w:left="1984" w:hanging="567"/>
      </w:pPr>
      <w:rPr>
        <w:rFonts w:cs="Times New Roman"/>
      </w:rPr>
    </w:lvl>
    <w:lvl w:ilvl="8">
      <w:start w:val="1"/>
      <w:numFmt w:val="none"/>
      <w:lvlText w:val=""/>
      <w:lvlJc w:val="left"/>
      <w:pPr>
        <w:tabs>
          <w:tab w:val="num" w:pos="2551"/>
        </w:tabs>
        <w:ind w:left="2551" w:hanging="567"/>
      </w:pPr>
      <w:rPr>
        <w:rFonts w:cs="Times New Roman"/>
      </w:rPr>
    </w:lvl>
  </w:abstractNum>
  <w:abstractNum w:abstractNumId="46">
    <w:nsid w:val="65E37561"/>
    <w:multiLevelType w:val="hybridMultilevel"/>
    <w:tmpl w:val="A7E8EC00"/>
    <w:lvl w:ilvl="0" w:tplc="80CC7D60">
      <w:start w:val="1"/>
      <w:numFmt w:val="lowerLetter"/>
      <w:pStyle w:val="TOCHeading"/>
      <w:lvlText w:val="%1)"/>
      <w:lvlJc w:val="left"/>
      <w:pPr>
        <w:ind w:left="1440" w:hanging="360"/>
      </w:pPr>
      <w:rPr>
        <w:rFonts w:hint="default"/>
      </w:rPr>
    </w:lvl>
    <w:lvl w:ilvl="1" w:tplc="3AD6AB34" w:tentative="1">
      <w:start w:val="1"/>
      <w:numFmt w:val="lowerLetter"/>
      <w:lvlText w:val="%2."/>
      <w:lvlJc w:val="left"/>
      <w:pPr>
        <w:ind w:left="1440" w:hanging="360"/>
      </w:pPr>
    </w:lvl>
    <w:lvl w:ilvl="2" w:tplc="7F04329C" w:tentative="1">
      <w:start w:val="1"/>
      <w:numFmt w:val="lowerRoman"/>
      <w:lvlText w:val="%3."/>
      <w:lvlJc w:val="right"/>
      <w:pPr>
        <w:ind w:left="2160" w:hanging="180"/>
      </w:pPr>
    </w:lvl>
    <w:lvl w:ilvl="3" w:tplc="051E9A50" w:tentative="1">
      <w:start w:val="1"/>
      <w:numFmt w:val="decimal"/>
      <w:lvlText w:val="%4."/>
      <w:lvlJc w:val="left"/>
      <w:pPr>
        <w:ind w:left="2880" w:hanging="360"/>
      </w:pPr>
    </w:lvl>
    <w:lvl w:ilvl="4" w:tplc="6A1E781E" w:tentative="1">
      <w:start w:val="1"/>
      <w:numFmt w:val="lowerLetter"/>
      <w:lvlText w:val="%5."/>
      <w:lvlJc w:val="left"/>
      <w:pPr>
        <w:ind w:left="3600" w:hanging="360"/>
      </w:pPr>
    </w:lvl>
    <w:lvl w:ilvl="5" w:tplc="A1A0100C" w:tentative="1">
      <w:start w:val="1"/>
      <w:numFmt w:val="lowerRoman"/>
      <w:lvlText w:val="%6."/>
      <w:lvlJc w:val="right"/>
      <w:pPr>
        <w:ind w:left="4320" w:hanging="180"/>
      </w:pPr>
    </w:lvl>
    <w:lvl w:ilvl="6" w:tplc="0E925EB0" w:tentative="1">
      <w:start w:val="1"/>
      <w:numFmt w:val="decimal"/>
      <w:lvlText w:val="%7."/>
      <w:lvlJc w:val="left"/>
      <w:pPr>
        <w:ind w:left="5040" w:hanging="360"/>
      </w:pPr>
    </w:lvl>
    <w:lvl w:ilvl="7" w:tplc="FA949170" w:tentative="1">
      <w:start w:val="1"/>
      <w:numFmt w:val="lowerLetter"/>
      <w:lvlText w:val="%8."/>
      <w:lvlJc w:val="left"/>
      <w:pPr>
        <w:ind w:left="5760" w:hanging="360"/>
      </w:pPr>
    </w:lvl>
    <w:lvl w:ilvl="8" w:tplc="EBDE6258" w:tentative="1">
      <w:start w:val="1"/>
      <w:numFmt w:val="lowerRoman"/>
      <w:lvlText w:val="%9."/>
      <w:lvlJc w:val="right"/>
      <w:pPr>
        <w:ind w:left="6480" w:hanging="180"/>
      </w:pPr>
    </w:lvl>
  </w:abstractNum>
  <w:abstractNum w:abstractNumId="47">
    <w:nsid w:val="660C1E7C"/>
    <w:multiLevelType w:val="multilevel"/>
    <w:tmpl w:val="C0CAA6A2"/>
    <w:styleLink w:val="Style1"/>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48">
    <w:nsid w:val="695B1C12"/>
    <w:multiLevelType w:val="multilevel"/>
    <w:tmpl w:val="6F243736"/>
    <w:lvl w:ilvl="0">
      <w:start w:val="1"/>
      <w:numFmt w:val="decimal"/>
      <w:pStyle w:val="1Arial"/>
      <w:lvlText w:val="%1"/>
      <w:lvlJc w:val="left"/>
      <w:pPr>
        <w:tabs>
          <w:tab w:val="num" w:pos="360"/>
        </w:tabs>
        <w:ind w:left="360" w:hanging="360"/>
      </w:pPr>
      <w:rPr>
        <w:rFonts w:cs="Times New Roman" w:hint="default"/>
      </w:rPr>
    </w:lvl>
    <w:lvl w:ilvl="1">
      <w:start w:val="1"/>
      <w:numFmt w:val="decimal"/>
      <w:lvlText w:val="4.%2."/>
      <w:lvlJc w:val="left"/>
      <w:pPr>
        <w:tabs>
          <w:tab w:val="num" w:pos="1080"/>
        </w:tabs>
        <w:ind w:left="792" w:hanging="432"/>
      </w:pPr>
      <w:rPr>
        <w:rFonts w:cs="Times New Roman" w:hint="default"/>
      </w:rPr>
    </w:lvl>
    <w:lvl w:ilvl="2">
      <w:start w:val="1"/>
      <w:numFmt w:val="decimal"/>
      <w:lvlText w:val="4.%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9">
    <w:nsid w:val="70913564"/>
    <w:multiLevelType w:val="hybridMultilevel"/>
    <w:tmpl w:val="F81E5624"/>
    <w:lvl w:ilvl="0" w:tplc="040C0019">
      <w:start w:val="1"/>
      <w:numFmt w:val="lowerLetter"/>
      <w:lvlText w:val="%1."/>
      <w:lvlJc w:val="left"/>
      <w:pPr>
        <w:ind w:left="360" w:hanging="360"/>
      </w:p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0">
    <w:nsid w:val="75B613AE"/>
    <w:multiLevelType w:val="multilevel"/>
    <w:tmpl w:val="9EC436F8"/>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pStyle w:val="Heading4"/>
      <w:lvlText w:val="(%4)"/>
      <w:lvlJc w:val="right"/>
      <w:pPr>
        <w:tabs>
          <w:tab w:val="num" w:pos="864"/>
        </w:tabs>
        <w:ind w:left="864" w:hanging="144"/>
      </w:pPr>
      <w:rPr>
        <w:rFonts w:cs="Times New Roman"/>
      </w:rPr>
    </w:lvl>
    <w:lvl w:ilvl="4">
      <w:start w:val="1"/>
      <w:numFmt w:val="decimal"/>
      <w:pStyle w:val="Heading5"/>
      <w:lvlText w:val="%5)"/>
      <w:lvlJc w:val="left"/>
      <w:pPr>
        <w:tabs>
          <w:tab w:val="num" w:pos="1008"/>
        </w:tabs>
        <w:ind w:left="1008" w:hanging="432"/>
      </w:pPr>
      <w:rPr>
        <w:rFonts w:cs="Times New Roman"/>
      </w:rPr>
    </w:lvl>
    <w:lvl w:ilvl="5">
      <w:start w:val="1"/>
      <w:numFmt w:val="lowerLetter"/>
      <w:pStyle w:val="Heading6"/>
      <w:lvlText w:val="%6)"/>
      <w:lvlJc w:val="left"/>
      <w:pPr>
        <w:tabs>
          <w:tab w:val="num" w:pos="1152"/>
        </w:tabs>
        <w:ind w:left="1152" w:hanging="432"/>
      </w:pPr>
      <w:rPr>
        <w:rFonts w:cs="Times New Roman"/>
      </w:rPr>
    </w:lvl>
    <w:lvl w:ilvl="6">
      <w:start w:val="1"/>
      <w:numFmt w:val="lowerRoman"/>
      <w:pStyle w:val="Heading7"/>
      <w:lvlText w:val="%7)"/>
      <w:lvlJc w:val="right"/>
      <w:pPr>
        <w:tabs>
          <w:tab w:val="num" w:pos="1296"/>
        </w:tabs>
        <w:ind w:left="1296" w:hanging="288"/>
      </w:pPr>
      <w:rPr>
        <w:rFonts w:cs="Times New Roman"/>
      </w:rPr>
    </w:lvl>
    <w:lvl w:ilvl="7">
      <w:start w:val="1"/>
      <w:numFmt w:val="lowerLetter"/>
      <w:pStyle w:val="Heading8"/>
      <w:lvlText w:val="%8."/>
      <w:lvlJc w:val="left"/>
      <w:pPr>
        <w:tabs>
          <w:tab w:val="num" w:pos="1440"/>
        </w:tabs>
        <w:ind w:left="1440" w:hanging="432"/>
      </w:pPr>
      <w:rPr>
        <w:rFonts w:cs="Times New Roman"/>
      </w:rPr>
    </w:lvl>
    <w:lvl w:ilvl="8">
      <w:start w:val="1"/>
      <w:numFmt w:val="lowerRoman"/>
      <w:pStyle w:val="Heading9"/>
      <w:lvlText w:val="%9."/>
      <w:lvlJc w:val="right"/>
      <w:pPr>
        <w:tabs>
          <w:tab w:val="num" w:pos="1584"/>
        </w:tabs>
        <w:ind w:left="1584" w:hanging="144"/>
      </w:pPr>
      <w:rPr>
        <w:rFonts w:cs="Times New Roman"/>
      </w:rPr>
    </w:lvl>
  </w:abstractNum>
  <w:abstractNum w:abstractNumId="51">
    <w:nsid w:val="79690CEF"/>
    <w:multiLevelType w:val="hybridMultilevel"/>
    <w:tmpl w:val="9B5C8342"/>
    <w:lvl w:ilvl="0" w:tplc="BBDC76D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nsid w:val="79D418FE"/>
    <w:multiLevelType w:val="hybridMultilevel"/>
    <w:tmpl w:val="1ECAB1DC"/>
    <w:lvl w:ilvl="0" w:tplc="040C0017">
      <w:start w:val="1"/>
      <w:numFmt w:val="lowerLetter"/>
      <w:lvlText w:val="%1)"/>
      <w:lvlJc w:val="left"/>
      <w:pPr>
        <w:ind w:left="1160" w:hanging="360"/>
      </w:pPr>
    </w:lvl>
    <w:lvl w:ilvl="1" w:tplc="040C0019">
      <w:start w:val="1"/>
      <w:numFmt w:val="lowerLetter"/>
      <w:lvlText w:val="%2."/>
      <w:lvlJc w:val="left"/>
      <w:pPr>
        <w:ind w:left="1880" w:hanging="360"/>
      </w:pPr>
    </w:lvl>
    <w:lvl w:ilvl="2" w:tplc="040C001B" w:tentative="1">
      <w:start w:val="1"/>
      <w:numFmt w:val="lowerRoman"/>
      <w:lvlText w:val="%3."/>
      <w:lvlJc w:val="right"/>
      <w:pPr>
        <w:ind w:left="2600" w:hanging="180"/>
      </w:pPr>
    </w:lvl>
    <w:lvl w:ilvl="3" w:tplc="040C000F" w:tentative="1">
      <w:start w:val="1"/>
      <w:numFmt w:val="decimal"/>
      <w:lvlText w:val="%4."/>
      <w:lvlJc w:val="left"/>
      <w:pPr>
        <w:ind w:left="3320" w:hanging="360"/>
      </w:pPr>
    </w:lvl>
    <w:lvl w:ilvl="4" w:tplc="040C0019" w:tentative="1">
      <w:start w:val="1"/>
      <w:numFmt w:val="lowerLetter"/>
      <w:lvlText w:val="%5."/>
      <w:lvlJc w:val="left"/>
      <w:pPr>
        <w:ind w:left="4040" w:hanging="360"/>
      </w:pPr>
    </w:lvl>
    <w:lvl w:ilvl="5" w:tplc="040C001B" w:tentative="1">
      <w:start w:val="1"/>
      <w:numFmt w:val="lowerRoman"/>
      <w:lvlText w:val="%6."/>
      <w:lvlJc w:val="right"/>
      <w:pPr>
        <w:ind w:left="4760" w:hanging="180"/>
      </w:pPr>
    </w:lvl>
    <w:lvl w:ilvl="6" w:tplc="040C000F" w:tentative="1">
      <w:start w:val="1"/>
      <w:numFmt w:val="decimal"/>
      <w:lvlText w:val="%7."/>
      <w:lvlJc w:val="left"/>
      <w:pPr>
        <w:ind w:left="5480" w:hanging="360"/>
      </w:pPr>
    </w:lvl>
    <w:lvl w:ilvl="7" w:tplc="040C0019" w:tentative="1">
      <w:start w:val="1"/>
      <w:numFmt w:val="lowerLetter"/>
      <w:lvlText w:val="%8."/>
      <w:lvlJc w:val="left"/>
      <w:pPr>
        <w:ind w:left="6200" w:hanging="360"/>
      </w:pPr>
    </w:lvl>
    <w:lvl w:ilvl="8" w:tplc="040C001B" w:tentative="1">
      <w:start w:val="1"/>
      <w:numFmt w:val="lowerRoman"/>
      <w:lvlText w:val="%9."/>
      <w:lvlJc w:val="right"/>
      <w:pPr>
        <w:ind w:left="6920" w:hanging="180"/>
      </w:pPr>
    </w:lvl>
  </w:abstractNum>
  <w:abstractNum w:abstractNumId="53">
    <w:nsid w:val="7BEE25E0"/>
    <w:multiLevelType w:val="hybridMultilevel"/>
    <w:tmpl w:val="5C66214A"/>
    <w:lvl w:ilvl="0" w:tplc="BBDC76D6">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4">
    <w:nsid w:val="7C7563C9"/>
    <w:multiLevelType w:val="multilevel"/>
    <w:tmpl w:val="040C001F"/>
    <w:styleLink w:val="111111"/>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5">
    <w:nsid w:val="7DC2484C"/>
    <w:multiLevelType w:val="hybridMultilevel"/>
    <w:tmpl w:val="214A59E0"/>
    <w:lvl w:ilvl="0" w:tplc="7A1AC3C6">
      <w:start w:val="1"/>
      <w:numFmt w:val="lowerRoman"/>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42"/>
  </w:num>
  <w:num w:numId="3">
    <w:abstractNumId w:val="32"/>
  </w:num>
  <w:num w:numId="4">
    <w:abstractNumId w:val="12"/>
  </w:num>
  <w:num w:numId="5">
    <w:abstractNumId w:val="27"/>
  </w:num>
  <w:num w:numId="6">
    <w:abstractNumId w:val="21"/>
  </w:num>
  <w:num w:numId="7">
    <w:abstractNumId w:val="2"/>
  </w:num>
  <w:num w:numId="8">
    <w:abstractNumId w:val="7"/>
  </w:num>
  <w:num w:numId="9">
    <w:abstractNumId w:val="28"/>
  </w:num>
  <w:num w:numId="10">
    <w:abstractNumId w:val="39"/>
  </w:num>
  <w:num w:numId="11">
    <w:abstractNumId w:val="46"/>
  </w:num>
  <w:num w:numId="12">
    <w:abstractNumId w:val="0"/>
  </w:num>
  <w:num w:numId="13">
    <w:abstractNumId w:val="45"/>
  </w:num>
  <w:num w:numId="14">
    <w:abstractNumId w:val="36"/>
  </w:num>
  <w:num w:numId="15">
    <w:abstractNumId w:val="26"/>
  </w:num>
  <w:num w:numId="16">
    <w:abstractNumId w:val="20"/>
  </w:num>
  <w:num w:numId="17">
    <w:abstractNumId w:val="23"/>
  </w:num>
  <w:num w:numId="18">
    <w:abstractNumId w:val="13"/>
  </w:num>
  <w:num w:numId="19">
    <w:abstractNumId w:val="54"/>
  </w:num>
  <w:num w:numId="20">
    <w:abstractNumId w:val="47"/>
  </w:num>
  <w:num w:numId="21">
    <w:abstractNumId w:val="22"/>
  </w:num>
  <w:num w:numId="22">
    <w:abstractNumId w:val="50"/>
  </w:num>
  <w:num w:numId="23">
    <w:abstractNumId w:val="3"/>
  </w:num>
  <w:num w:numId="24">
    <w:abstractNumId w:val="48"/>
    <w:lvlOverride w:ilvl="0">
      <w:lvl w:ilvl="0">
        <w:start w:val="1"/>
        <w:numFmt w:val="decimal"/>
        <w:pStyle w:val="1Arial"/>
        <w:lvlText w:val="%1"/>
        <w:lvlJc w:val="left"/>
        <w:pPr>
          <w:tabs>
            <w:tab w:val="num" w:pos="360"/>
          </w:tabs>
          <w:ind w:left="360" w:hanging="360"/>
        </w:pPr>
        <w:rPr>
          <w:rFonts w:cs="Times New Roman" w:hint="default"/>
        </w:rPr>
      </w:lvl>
    </w:lvlOverride>
    <w:lvlOverride w:ilvl="1">
      <w:lvl w:ilvl="1">
        <w:start w:val="1"/>
        <w:numFmt w:val="decimal"/>
        <w:lvlText w:val="4.%2."/>
        <w:lvlJc w:val="left"/>
        <w:pPr>
          <w:tabs>
            <w:tab w:val="num" w:pos="1080"/>
          </w:tabs>
          <w:ind w:left="792" w:hanging="432"/>
        </w:pPr>
        <w:rPr>
          <w:rFonts w:cs="Times New Roman" w:hint="default"/>
        </w:rPr>
      </w:lvl>
    </w:lvlOverride>
    <w:lvlOverride w:ilvl="2">
      <w:lvl w:ilvl="2">
        <w:start w:val="1"/>
        <w:numFmt w:val="decimal"/>
        <w:lvlText w:val="4.%2.%3."/>
        <w:lvlJc w:val="left"/>
        <w:pPr>
          <w:tabs>
            <w:tab w:val="num" w:pos="1440"/>
          </w:tabs>
          <w:ind w:left="1224" w:hanging="504"/>
        </w:pPr>
        <w:rPr>
          <w:rFonts w:cs="Times New Roman" w:hint="default"/>
        </w:rPr>
      </w:lvl>
    </w:lvlOverride>
    <w:lvlOverride w:ilvl="3">
      <w:lvl w:ilvl="3">
        <w:start w:val="1"/>
        <w:numFmt w:val="decimal"/>
        <w:lvlText w:val="%1.%2.%3.%4."/>
        <w:lvlJc w:val="left"/>
        <w:pPr>
          <w:tabs>
            <w:tab w:val="num" w:pos="2160"/>
          </w:tabs>
          <w:ind w:left="1728" w:hanging="648"/>
        </w:pPr>
        <w:rPr>
          <w:rFonts w:cs="Times New Roman" w:hint="default"/>
        </w:rPr>
      </w:lvl>
    </w:lvlOverride>
    <w:lvlOverride w:ilvl="4">
      <w:lvl w:ilvl="4">
        <w:start w:val="1"/>
        <w:numFmt w:val="decimal"/>
        <w:lvlText w:val="%1.%2.%3.%4.%5."/>
        <w:lvlJc w:val="left"/>
        <w:pPr>
          <w:tabs>
            <w:tab w:val="num" w:pos="2880"/>
          </w:tabs>
          <w:ind w:left="2232" w:hanging="792"/>
        </w:pPr>
        <w:rPr>
          <w:rFonts w:cs="Times New Roman" w:hint="default"/>
        </w:rPr>
      </w:lvl>
    </w:lvlOverride>
    <w:lvlOverride w:ilvl="5">
      <w:lvl w:ilvl="5">
        <w:start w:val="1"/>
        <w:numFmt w:val="decimal"/>
        <w:lvlText w:val="%1.%2.%3.%4.%5.%6."/>
        <w:lvlJc w:val="left"/>
        <w:pPr>
          <w:tabs>
            <w:tab w:val="num" w:pos="3240"/>
          </w:tabs>
          <w:ind w:left="2736" w:hanging="936"/>
        </w:pPr>
        <w:rPr>
          <w:rFonts w:cs="Times New Roman" w:hint="default"/>
        </w:rPr>
      </w:lvl>
    </w:lvlOverride>
    <w:lvlOverride w:ilvl="6">
      <w:lvl w:ilvl="6">
        <w:start w:val="1"/>
        <w:numFmt w:val="decimal"/>
        <w:lvlText w:val="%1.%2.%3.%4.%5.%6.%7."/>
        <w:lvlJc w:val="left"/>
        <w:pPr>
          <w:tabs>
            <w:tab w:val="num" w:pos="3960"/>
          </w:tabs>
          <w:ind w:left="3240" w:hanging="1080"/>
        </w:pPr>
        <w:rPr>
          <w:rFonts w:cs="Times New Roman" w:hint="default"/>
        </w:rPr>
      </w:lvl>
    </w:lvlOverride>
    <w:lvlOverride w:ilvl="7">
      <w:lvl w:ilvl="7">
        <w:start w:val="1"/>
        <w:numFmt w:val="decimal"/>
        <w:lvlText w:val="%1.%2.%3.%4.%5.%6.%7.%8."/>
        <w:lvlJc w:val="left"/>
        <w:pPr>
          <w:tabs>
            <w:tab w:val="num" w:pos="4680"/>
          </w:tabs>
          <w:ind w:left="3744" w:hanging="1224"/>
        </w:pPr>
        <w:rPr>
          <w:rFonts w:cs="Times New Roman" w:hint="default"/>
        </w:rPr>
      </w:lvl>
    </w:lvlOverride>
    <w:lvlOverride w:ilvl="8">
      <w:lvl w:ilvl="8">
        <w:start w:val="1"/>
        <w:numFmt w:val="decimal"/>
        <w:lvlText w:val="%1.%2.%3.%4.%5.%6.%7.%8.%9."/>
        <w:lvlJc w:val="left"/>
        <w:pPr>
          <w:tabs>
            <w:tab w:val="num" w:pos="5040"/>
          </w:tabs>
          <w:ind w:left="4320" w:hanging="1440"/>
        </w:pPr>
        <w:rPr>
          <w:rFonts w:cs="Times New Roman" w:hint="default"/>
        </w:rPr>
      </w:lvl>
    </w:lvlOverride>
  </w:num>
  <w:num w:numId="25">
    <w:abstractNumId w:val="37"/>
  </w:num>
  <w:num w:numId="26">
    <w:abstractNumId w:val="25"/>
  </w:num>
  <w:num w:numId="27">
    <w:abstractNumId w:val="41"/>
  </w:num>
  <w:num w:numId="28">
    <w:abstractNumId w:val="19"/>
  </w:num>
  <w:num w:numId="29">
    <w:abstractNumId w:val="10"/>
  </w:num>
  <w:num w:numId="30">
    <w:abstractNumId w:val="33"/>
  </w:num>
  <w:num w:numId="31">
    <w:abstractNumId w:val="14"/>
  </w:num>
  <w:num w:numId="32">
    <w:abstractNumId w:val="16"/>
  </w:num>
  <w:num w:numId="33">
    <w:abstractNumId w:val="30"/>
  </w:num>
  <w:num w:numId="34">
    <w:abstractNumId w:val="1"/>
  </w:num>
  <w:num w:numId="35">
    <w:abstractNumId w:val="5"/>
  </w:num>
  <w:num w:numId="36">
    <w:abstractNumId w:val="51"/>
  </w:num>
  <w:num w:numId="37">
    <w:abstractNumId w:val="24"/>
  </w:num>
  <w:num w:numId="38">
    <w:abstractNumId w:val="52"/>
  </w:num>
  <w:num w:numId="39">
    <w:abstractNumId w:val="15"/>
  </w:num>
  <w:num w:numId="40">
    <w:abstractNumId w:val="38"/>
  </w:num>
  <w:num w:numId="41">
    <w:abstractNumId w:val="35"/>
  </w:num>
  <w:num w:numId="42">
    <w:abstractNumId w:val="40"/>
  </w:num>
  <w:num w:numId="43">
    <w:abstractNumId w:val="43"/>
  </w:num>
  <w:num w:numId="44">
    <w:abstractNumId w:val="49"/>
  </w:num>
  <w:num w:numId="45">
    <w:abstractNumId w:val="29"/>
  </w:num>
  <w:num w:numId="46">
    <w:abstractNumId w:val="11"/>
  </w:num>
  <w:num w:numId="47">
    <w:abstractNumId w:val="44"/>
  </w:num>
  <w:num w:numId="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8"/>
  </w:num>
  <w:num w:numId="51">
    <w:abstractNumId w:val="55"/>
  </w:num>
  <w:num w:numId="5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3"/>
  </w:num>
  <w:num w:numId="55">
    <w:abstractNumId w:val="8"/>
  </w:num>
  <w:num w:numId="56">
    <w:abstractNumId w:val="31"/>
  </w:num>
  <w:num w:numId="57">
    <w:abstractNumId w:val="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382"/>
    <w:rsid w:val="000014FE"/>
    <w:rsid w:val="000022F4"/>
    <w:rsid w:val="00013776"/>
    <w:rsid w:val="00024F60"/>
    <w:rsid w:val="000333FE"/>
    <w:rsid w:val="00034CEB"/>
    <w:rsid w:val="00036743"/>
    <w:rsid w:val="00040C55"/>
    <w:rsid w:val="000430A7"/>
    <w:rsid w:val="00046919"/>
    <w:rsid w:val="000576C1"/>
    <w:rsid w:val="000578F6"/>
    <w:rsid w:val="000704E3"/>
    <w:rsid w:val="0007194B"/>
    <w:rsid w:val="0007276A"/>
    <w:rsid w:val="0008467D"/>
    <w:rsid w:val="000A1C21"/>
    <w:rsid w:val="000B006B"/>
    <w:rsid w:val="000B24AA"/>
    <w:rsid w:val="000B50D0"/>
    <w:rsid w:val="000B6F97"/>
    <w:rsid w:val="000C1BB0"/>
    <w:rsid w:val="000C2564"/>
    <w:rsid w:val="000C29C9"/>
    <w:rsid w:val="000C5D22"/>
    <w:rsid w:val="000C7662"/>
    <w:rsid w:val="000C7EC2"/>
    <w:rsid w:val="000E79F9"/>
    <w:rsid w:val="000F0835"/>
    <w:rsid w:val="000F3828"/>
    <w:rsid w:val="000F4288"/>
    <w:rsid w:val="00100EFD"/>
    <w:rsid w:val="001032F2"/>
    <w:rsid w:val="00105539"/>
    <w:rsid w:val="00105B92"/>
    <w:rsid w:val="00112558"/>
    <w:rsid w:val="00112666"/>
    <w:rsid w:val="00112CAA"/>
    <w:rsid w:val="001169EA"/>
    <w:rsid w:val="00126001"/>
    <w:rsid w:val="00132C94"/>
    <w:rsid w:val="001352C2"/>
    <w:rsid w:val="00137994"/>
    <w:rsid w:val="00147B1C"/>
    <w:rsid w:val="001541A1"/>
    <w:rsid w:val="00155613"/>
    <w:rsid w:val="00161652"/>
    <w:rsid w:val="001625BA"/>
    <w:rsid w:val="00164A0E"/>
    <w:rsid w:val="00165570"/>
    <w:rsid w:val="001710B7"/>
    <w:rsid w:val="00180E6A"/>
    <w:rsid w:val="00184C9B"/>
    <w:rsid w:val="00186294"/>
    <w:rsid w:val="00186C91"/>
    <w:rsid w:val="0018755E"/>
    <w:rsid w:val="00193822"/>
    <w:rsid w:val="00194792"/>
    <w:rsid w:val="00195115"/>
    <w:rsid w:val="001A470D"/>
    <w:rsid w:val="001B16B6"/>
    <w:rsid w:val="001B4348"/>
    <w:rsid w:val="001C08AB"/>
    <w:rsid w:val="001C18F2"/>
    <w:rsid w:val="001D3A95"/>
    <w:rsid w:val="001D4913"/>
    <w:rsid w:val="001D7569"/>
    <w:rsid w:val="00204FE2"/>
    <w:rsid w:val="002054C4"/>
    <w:rsid w:val="00206058"/>
    <w:rsid w:val="002067B5"/>
    <w:rsid w:val="002068FC"/>
    <w:rsid w:val="00207583"/>
    <w:rsid w:val="00211C34"/>
    <w:rsid w:val="0021311B"/>
    <w:rsid w:val="0023091D"/>
    <w:rsid w:val="002309A2"/>
    <w:rsid w:val="002370EA"/>
    <w:rsid w:val="00237B09"/>
    <w:rsid w:val="0024510C"/>
    <w:rsid w:val="00256654"/>
    <w:rsid w:val="00260A59"/>
    <w:rsid w:val="0026238E"/>
    <w:rsid w:val="002636D7"/>
    <w:rsid w:val="0026770B"/>
    <w:rsid w:val="00267B06"/>
    <w:rsid w:val="00282D3E"/>
    <w:rsid w:val="002871A0"/>
    <w:rsid w:val="002A02C6"/>
    <w:rsid w:val="002A1146"/>
    <w:rsid w:val="002A1C02"/>
    <w:rsid w:val="002B029F"/>
    <w:rsid w:val="002B214C"/>
    <w:rsid w:val="002B56F0"/>
    <w:rsid w:val="002B69F7"/>
    <w:rsid w:val="002C160A"/>
    <w:rsid w:val="002C2C2A"/>
    <w:rsid w:val="002C7A08"/>
    <w:rsid w:val="002D256C"/>
    <w:rsid w:val="002D3E23"/>
    <w:rsid w:val="002D499C"/>
    <w:rsid w:val="002D522B"/>
    <w:rsid w:val="002E0B8D"/>
    <w:rsid w:val="002E13B7"/>
    <w:rsid w:val="002E5B55"/>
    <w:rsid w:val="002F0625"/>
    <w:rsid w:val="002F4256"/>
    <w:rsid w:val="002F74C0"/>
    <w:rsid w:val="003061F2"/>
    <w:rsid w:val="003212B5"/>
    <w:rsid w:val="003234B1"/>
    <w:rsid w:val="00324639"/>
    <w:rsid w:val="00326878"/>
    <w:rsid w:val="00330F59"/>
    <w:rsid w:val="00341248"/>
    <w:rsid w:val="00346E15"/>
    <w:rsid w:val="00352909"/>
    <w:rsid w:val="003566E0"/>
    <w:rsid w:val="003705B3"/>
    <w:rsid w:val="00370680"/>
    <w:rsid w:val="00373A67"/>
    <w:rsid w:val="0037403E"/>
    <w:rsid w:val="003814E0"/>
    <w:rsid w:val="003879CA"/>
    <w:rsid w:val="003922A6"/>
    <w:rsid w:val="0039583F"/>
    <w:rsid w:val="00397796"/>
    <w:rsid w:val="003A0B29"/>
    <w:rsid w:val="003A305A"/>
    <w:rsid w:val="003A3A9E"/>
    <w:rsid w:val="003C298A"/>
    <w:rsid w:val="003C4F19"/>
    <w:rsid w:val="003C65E3"/>
    <w:rsid w:val="003C6EE4"/>
    <w:rsid w:val="003C7857"/>
    <w:rsid w:val="003C7D48"/>
    <w:rsid w:val="003C7FA4"/>
    <w:rsid w:val="003D03AB"/>
    <w:rsid w:val="003D3CEB"/>
    <w:rsid w:val="003D7E1F"/>
    <w:rsid w:val="003E1635"/>
    <w:rsid w:val="003E42CE"/>
    <w:rsid w:val="003F2BDE"/>
    <w:rsid w:val="0040236D"/>
    <w:rsid w:val="0040423C"/>
    <w:rsid w:val="004054E5"/>
    <w:rsid w:val="004122CF"/>
    <w:rsid w:val="00416ADE"/>
    <w:rsid w:val="00417B24"/>
    <w:rsid w:val="00417E60"/>
    <w:rsid w:val="00423A5A"/>
    <w:rsid w:val="00427A20"/>
    <w:rsid w:val="00432CDE"/>
    <w:rsid w:val="00433066"/>
    <w:rsid w:val="00433AE7"/>
    <w:rsid w:val="00440C06"/>
    <w:rsid w:val="00441691"/>
    <w:rsid w:val="0045059C"/>
    <w:rsid w:val="00451921"/>
    <w:rsid w:val="004536FB"/>
    <w:rsid w:val="00455F67"/>
    <w:rsid w:val="00462A6C"/>
    <w:rsid w:val="004635D8"/>
    <w:rsid w:val="004660B1"/>
    <w:rsid w:val="0046653E"/>
    <w:rsid w:val="00470816"/>
    <w:rsid w:val="0047590F"/>
    <w:rsid w:val="00481692"/>
    <w:rsid w:val="004838CC"/>
    <w:rsid w:val="0048542E"/>
    <w:rsid w:val="004928BB"/>
    <w:rsid w:val="004B43DA"/>
    <w:rsid w:val="004C089B"/>
    <w:rsid w:val="004C459A"/>
    <w:rsid w:val="004D0BD6"/>
    <w:rsid w:val="004D2BF6"/>
    <w:rsid w:val="004D4FD7"/>
    <w:rsid w:val="004E005E"/>
    <w:rsid w:val="004E0E39"/>
    <w:rsid w:val="004F0075"/>
    <w:rsid w:val="004F612E"/>
    <w:rsid w:val="004F628B"/>
    <w:rsid w:val="00502C3F"/>
    <w:rsid w:val="00506D0B"/>
    <w:rsid w:val="00507243"/>
    <w:rsid w:val="00510108"/>
    <w:rsid w:val="00511DE3"/>
    <w:rsid w:val="00512473"/>
    <w:rsid w:val="00516C4E"/>
    <w:rsid w:val="005200A8"/>
    <w:rsid w:val="00520A32"/>
    <w:rsid w:val="005236B7"/>
    <w:rsid w:val="005251D1"/>
    <w:rsid w:val="00526A7C"/>
    <w:rsid w:val="005346D3"/>
    <w:rsid w:val="005367E0"/>
    <w:rsid w:val="00547DA6"/>
    <w:rsid w:val="0055745D"/>
    <w:rsid w:val="00561ADC"/>
    <w:rsid w:val="00570C4F"/>
    <w:rsid w:val="00572035"/>
    <w:rsid w:val="00572909"/>
    <w:rsid w:val="005838D4"/>
    <w:rsid w:val="00587970"/>
    <w:rsid w:val="00591EBE"/>
    <w:rsid w:val="00592208"/>
    <w:rsid w:val="0059513A"/>
    <w:rsid w:val="00595CA6"/>
    <w:rsid w:val="005A1ED9"/>
    <w:rsid w:val="005B0A90"/>
    <w:rsid w:val="005B44AE"/>
    <w:rsid w:val="005C6454"/>
    <w:rsid w:val="005C6EB5"/>
    <w:rsid w:val="005D369E"/>
    <w:rsid w:val="005D6654"/>
    <w:rsid w:val="005E5166"/>
    <w:rsid w:val="005F0370"/>
    <w:rsid w:val="005F4862"/>
    <w:rsid w:val="005F5FBB"/>
    <w:rsid w:val="005F6AD3"/>
    <w:rsid w:val="0060280E"/>
    <w:rsid w:val="0060704D"/>
    <w:rsid w:val="0061073D"/>
    <w:rsid w:val="006153B8"/>
    <w:rsid w:val="00623CE0"/>
    <w:rsid w:val="0063104A"/>
    <w:rsid w:val="006336B2"/>
    <w:rsid w:val="00642505"/>
    <w:rsid w:val="006522EA"/>
    <w:rsid w:val="00665DD2"/>
    <w:rsid w:val="00670916"/>
    <w:rsid w:val="00674A4E"/>
    <w:rsid w:val="0067513F"/>
    <w:rsid w:val="0068022D"/>
    <w:rsid w:val="00682AF0"/>
    <w:rsid w:val="00694BC0"/>
    <w:rsid w:val="00695B2D"/>
    <w:rsid w:val="006A19BD"/>
    <w:rsid w:val="006A3ED2"/>
    <w:rsid w:val="006A5ACC"/>
    <w:rsid w:val="006B62CA"/>
    <w:rsid w:val="006B7421"/>
    <w:rsid w:val="006B775E"/>
    <w:rsid w:val="006D59BB"/>
    <w:rsid w:val="006E1AA4"/>
    <w:rsid w:val="006E3938"/>
    <w:rsid w:val="006E4A8F"/>
    <w:rsid w:val="006F22B2"/>
    <w:rsid w:val="006F69C3"/>
    <w:rsid w:val="007011FA"/>
    <w:rsid w:val="00702064"/>
    <w:rsid w:val="00707AE1"/>
    <w:rsid w:val="007108C0"/>
    <w:rsid w:val="00712273"/>
    <w:rsid w:val="00713289"/>
    <w:rsid w:val="00725E17"/>
    <w:rsid w:val="00726B7F"/>
    <w:rsid w:val="007317A0"/>
    <w:rsid w:val="00744FE0"/>
    <w:rsid w:val="00746A33"/>
    <w:rsid w:val="00750302"/>
    <w:rsid w:val="00756E28"/>
    <w:rsid w:val="00766866"/>
    <w:rsid w:val="0076745A"/>
    <w:rsid w:val="00771075"/>
    <w:rsid w:val="00771BEC"/>
    <w:rsid w:val="007770FD"/>
    <w:rsid w:val="007A3A61"/>
    <w:rsid w:val="007B06E6"/>
    <w:rsid w:val="007B0F6C"/>
    <w:rsid w:val="007B43F9"/>
    <w:rsid w:val="007C1B90"/>
    <w:rsid w:val="007C2D22"/>
    <w:rsid w:val="007D49F8"/>
    <w:rsid w:val="007E0252"/>
    <w:rsid w:val="007E09BA"/>
    <w:rsid w:val="007E1277"/>
    <w:rsid w:val="007E348B"/>
    <w:rsid w:val="007F2BB3"/>
    <w:rsid w:val="007F5F1B"/>
    <w:rsid w:val="00801BF0"/>
    <w:rsid w:val="00801C23"/>
    <w:rsid w:val="00804AAB"/>
    <w:rsid w:val="0080532F"/>
    <w:rsid w:val="00806EB1"/>
    <w:rsid w:val="00810E49"/>
    <w:rsid w:val="00814849"/>
    <w:rsid w:val="00815622"/>
    <w:rsid w:val="00815D66"/>
    <w:rsid w:val="00816AF4"/>
    <w:rsid w:val="00821848"/>
    <w:rsid w:val="0082343B"/>
    <w:rsid w:val="008304E5"/>
    <w:rsid w:val="00837C94"/>
    <w:rsid w:val="00841A5E"/>
    <w:rsid w:val="0084680E"/>
    <w:rsid w:val="0085278C"/>
    <w:rsid w:val="00852FA2"/>
    <w:rsid w:val="008566FD"/>
    <w:rsid w:val="00857949"/>
    <w:rsid w:val="008623D1"/>
    <w:rsid w:val="008639FD"/>
    <w:rsid w:val="00863DF7"/>
    <w:rsid w:val="008640A8"/>
    <w:rsid w:val="00865FAE"/>
    <w:rsid w:val="0086604C"/>
    <w:rsid w:val="00867ED0"/>
    <w:rsid w:val="00870104"/>
    <w:rsid w:val="00870470"/>
    <w:rsid w:val="00870FB3"/>
    <w:rsid w:val="0088065A"/>
    <w:rsid w:val="00881178"/>
    <w:rsid w:val="00894C1D"/>
    <w:rsid w:val="008A2E1F"/>
    <w:rsid w:val="008B0804"/>
    <w:rsid w:val="008C3D61"/>
    <w:rsid w:val="008D577A"/>
    <w:rsid w:val="008D6ABB"/>
    <w:rsid w:val="008E08F2"/>
    <w:rsid w:val="008E49D3"/>
    <w:rsid w:val="008E5C66"/>
    <w:rsid w:val="008F2D4F"/>
    <w:rsid w:val="008F2D82"/>
    <w:rsid w:val="008F4F32"/>
    <w:rsid w:val="008F5085"/>
    <w:rsid w:val="00900388"/>
    <w:rsid w:val="00907B8A"/>
    <w:rsid w:val="00911A73"/>
    <w:rsid w:val="0092412B"/>
    <w:rsid w:val="00935DA5"/>
    <w:rsid w:val="009369C2"/>
    <w:rsid w:val="00941FAB"/>
    <w:rsid w:val="00944948"/>
    <w:rsid w:val="00945313"/>
    <w:rsid w:val="009454A9"/>
    <w:rsid w:val="009470C7"/>
    <w:rsid w:val="00962491"/>
    <w:rsid w:val="009743F4"/>
    <w:rsid w:val="0097762C"/>
    <w:rsid w:val="009808BC"/>
    <w:rsid w:val="00983326"/>
    <w:rsid w:val="0098366A"/>
    <w:rsid w:val="00983765"/>
    <w:rsid w:val="00993C85"/>
    <w:rsid w:val="0099721C"/>
    <w:rsid w:val="009A1B0B"/>
    <w:rsid w:val="009A5592"/>
    <w:rsid w:val="009B49F9"/>
    <w:rsid w:val="009C06BF"/>
    <w:rsid w:val="009C0859"/>
    <w:rsid w:val="009D4EA4"/>
    <w:rsid w:val="009D58FD"/>
    <w:rsid w:val="009D7DDB"/>
    <w:rsid w:val="009E05EF"/>
    <w:rsid w:val="009E1962"/>
    <w:rsid w:val="009E2C97"/>
    <w:rsid w:val="009E6E55"/>
    <w:rsid w:val="009F27CA"/>
    <w:rsid w:val="00A01C20"/>
    <w:rsid w:val="00A079F7"/>
    <w:rsid w:val="00A100ED"/>
    <w:rsid w:val="00A112C3"/>
    <w:rsid w:val="00A1501F"/>
    <w:rsid w:val="00A15ECD"/>
    <w:rsid w:val="00A15F84"/>
    <w:rsid w:val="00A16B73"/>
    <w:rsid w:val="00A176F7"/>
    <w:rsid w:val="00A22CAA"/>
    <w:rsid w:val="00A33067"/>
    <w:rsid w:val="00A3494B"/>
    <w:rsid w:val="00A41866"/>
    <w:rsid w:val="00A43E80"/>
    <w:rsid w:val="00A44C86"/>
    <w:rsid w:val="00A46530"/>
    <w:rsid w:val="00A510E8"/>
    <w:rsid w:val="00A51819"/>
    <w:rsid w:val="00A544C0"/>
    <w:rsid w:val="00A5493B"/>
    <w:rsid w:val="00A55D62"/>
    <w:rsid w:val="00A6145C"/>
    <w:rsid w:val="00A61E2B"/>
    <w:rsid w:val="00A62C95"/>
    <w:rsid w:val="00A74952"/>
    <w:rsid w:val="00A757E9"/>
    <w:rsid w:val="00A81382"/>
    <w:rsid w:val="00A84FC5"/>
    <w:rsid w:val="00A8736E"/>
    <w:rsid w:val="00A94AA2"/>
    <w:rsid w:val="00AA038E"/>
    <w:rsid w:val="00AA4AC3"/>
    <w:rsid w:val="00AB2AA2"/>
    <w:rsid w:val="00AB2EC6"/>
    <w:rsid w:val="00AC00E3"/>
    <w:rsid w:val="00AC45F8"/>
    <w:rsid w:val="00AD0DD6"/>
    <w:rsid w:val="00AD5B89"/>
    <w:rsid w:val="00AD6C74"/>
    <w:rsid w:val="00AE3767"/>
    <w:rsid w:val="00AE4DA6"/>
    <w:rsid w:val="00AF7B79"/>
    <w:rsid w:val="00B023DC"/>
    <w:rsid w:val="00B11C49"/>
    <w:rsid w:val="00B22856"/>
    <w:rsid w:val="00B30F20"/>
    <w:rsid w:val="00B31883"/>
    <w:rsid w:val="00B338C2"/>
    <w:rsid w:val="00B351CC"/>
    <w:rsid w:val="00B37300"/>
    <w:rsid w:val="00B41292"/>
    <w:rsid w:val="00B4138A"/>
    <w:rsid w:val="00B45C7E"/>
    <w:rsid w:val="00B47577"/>
    <w:rsid w:val="00B51A3A"/>
    <w:rsid w:val="00B52BF2"/>
    <w:rsid w:val="00B55654"/>
    <w:rsid w:val="00B55C1F"/>
    <w:rsid w:val="00B61338"/>
    <w:rsid w:val="00B756A5"/>
    <w:rsid w:val="00B86121"/>
    <w:rsid w:val="00B902D3"/>
    <w:rsid w:val="00B929F2"/>
    <w:rsid w:val="00B9679E"/>
    <w:rsid w:val="00B96E6C"/>
    <w:rsid w:val="00BA4282"/>
    <w:rsid w:val="00BB1DE1"/>
    <w:rsid w:val="00BB352A"/>
    <w:rsid w:val="00BB6B84"/>
    <w:rsid w:val="00BC3CF2"/>
    <w:rsid w:val="00BC3E0C"/>
    <w:rsid w:val="00BD009A"/>
    <w:rsid w:val="00BD296D"/>
    <w:rsid w:val="00BD2E73"/>
    <w:rsid w:val="00BD75DA"/>
    <w:rsid w:val="00BE3775"/>
    <w:rsid w:val="00BF11EB"/>
    <w:rsid w:val="00BF7B6A"/>
    <w:rsid w:val="00C0034D"/>
    <w:rsid w:val="00C052F6"/>
    <w:rsid w:val="00C055A1"/>
    <w:rsid w:val="00C13EDB"/>
    <w:rsid w:val="00C144E5"/>
    <w:rsid w:val="00C15BF9"/>
    <w:rsid w:val="00C210A2"/>
    <w:rsid w:val="00C3438E"/>
    <w:rsid w:val="00C439C7"/>
    <w:rsid w:val="00C44956"/>
    <w:rsid w:val="00C450B7"/>
    <w:rsid w:val="00C52967"/>
    <w:rsid w:val="00C5318E"/>
    <w:rsid w:val="00C623F9"/>
    <w:rsid w:val="00C625CB"/>
    <w:rsid w:val="00C64964"/>
    <w:rsid w:val="00C77446"/>
    <w:rsid w:val="00C8372F"/>
    <w:rsid w:val="00C83A3F"/>
    <w:rsid w:val="00C85578"/>
    <w:rsid w:val="00C87388"/>
    <w:rsid w:val="00C902EC"/>
    <w:rsid w:val="00CA17C9"/>
    <w:rsid w:val="00CA20A3"/>
    <w:rsid w:val="00CA5F7E"/>
    <w:rsid w:val="00CB1906"/>
    <w:rsid w:val="00CC1DBF"/>
    <w:rsid w:val="00CC4233"/>
    <w:rsid w:val="00CC6D88"/>
    <w:rsid w:val="00CC7B22"/>
    <w:rsid w:val="00CD450A"/>
    <w:rsid w:val="00CD6BA8"/>
    <w:rsid w:val="00CE5625"/>
    <w:rsid w:val="00CF3015"/>
    <w:rsid w:val="00CF4A91"/>
    <w:rsid w:val="00D018DE"/>
    <w:rsid w:val="00D02760"/>
    <w:rsid w:val="00D039E6"/>
    <w:rsid w:val="00D05127"/>
    <w:rsid w:val="00D12B31"/>
    <w:rsid w:val="00D21A9D"/>
    <w:rsid w:val="00D238F2"/>
    <w:rsid w:val="00D25044"/>
    <w:rsid w:val="00D3490A"/>
    <w:rsid w:val="00D42985"/>
    <w:rsid w:val="00D44506"/>
    <w:rsid w:val="00D57EBA"/>
    <w:rsid w:val="00D629E8"/>
    <w:rsid w:val="00D650D7"/>
    <w:rsid w:val="00D675AE"/>
    <w:rsid w:val="00D70E97"/>
    <w:rsid w:val="00D72163"/>
    <w:rsid w:val="00D72BCF"/>
    <w:rsid w:val="00D7559B"/>
    <w:rsid w:val="00D76BAA"/>
    <w:rsid w:val="00D814D0"/>
    <w:rsid w:val="00D81D8D"/>
    <w:rsid w:val="00D81E99"/>
    <w:rsid w:val="00D86B11"/>
    <w:rsid w:val="00D91988"/>
    <w:rsid w:val="00D94CDC"/>
    <w:rsid w:val="00DA4900"/>
    <w:rsid w:val="00DB0D48"/>
    <w:rsid w:val="00DC10EF"/>
    <w:rsid w:val="00DD64B5"/>
    <w:rsid w:val="00DE0F90"/>
    <w:rsid w:val="00DE5183"/>
    <w:rsid w:val="00DF4217"/>
    <w:rsid w:val="00DF423E"/>
    <w:rsid w:val="00DF42E4"/>
    <w:rsid w:val="00E03089"/>
    <w:rsid w:val="00E0562B"/>
    <w:rsid w:val="00E06208"/>
    <w:rsid w:val="00E075E8"/>
    <w:rsid w:val="00E10BE5"/>
    <w:rsid w:val="00E12BBC"/>
    <w:rsid w:val="00E1624F"/>
    <w:rsid w:val="00E17229"/>
    <w:rsid w:val="00E2060F"/>
    <w:rsid w:val="00E20AF4"/>
    <w:rsid w:val="00E26BD4"/>
    <w:rsid w:val="00E301B7"/>
    <w:rsid w:val="00E30EAD"/>
    <w:rsid w:val="00E3307B"/>
    <w:rsid w:val="00E340CE"/>
    <w:rsid w:val="00E41DE8"/>
    <w:rsid w:val="00E4599E"/>
    <w:rsid w:val="00E514F4"/>
    <w:rsid w:val="00E542AB"/>
    <w:rsid w:val="00E552C5"/>
    <w:rsid w:val="00E563FC"/>
    <w:rsid w:val="00E57DA5"/>
    <w:rsid w:val="00E60486"/>
    <w:rsid w:val="00E66EB5"/>
    <w:rsid w:val="00E70384"/>
    <w:rsid w:val="00E74B2E"/>
    <w:rsid w:val="00E761A7"/>
    <w:rsid w:val="00E764A7"/>
    <w:rsid w:val="00E81660"/>
    <w:rsid w:val="00E8293E"/>
    <w:rsid w:val="00E83F5D"/>
    <w:rsid w:val="00E85066"/>
    <w:rsid w:val="00E94DC2"/>
    <w:rsid w:val="00EA25E5"/>
    <w:rsid w:val="00EA4650"/>
    <w:rsid w:val="00EA6A89"/>
    <w:rsid w:val="00EA6BCE"/>
    <w:rsid w:val="00EB03F7"/>
    <w:rsid w:val="00EB3CC2"/>
    <w:rsid w:val="00EB4864"/>
    <w:rsid w:val="00EC656C"/>
    <w:rsid w:val="00EC6624"/>
    <w:rsid w:val="00ED1353"/>
    <w:rsid w:val="00ED2C13"/>
    <w:rsid w:val="00ED39EC"/>
    <w:rsid w:val="00ED5329"/>
    <w:rsid w:val="00ED5343"/>
    <w:rsid w:val="00ED6977"/>
    <w:rsid w:val="00ED76A6"/>
    <w:rsid w:val="00EE0A5F"/>
    <w:rsid w:val="00EE1DBC"/>
    <w:rsid w:val="00EE3A24"/>
    <w:rsid w:val="00EE3A6B"/>
    <w:rsid w:val="00EF38FC"/>
    <w:rsid w:val="00F03DF5"/>
    <w:rsid w:val="00F1116A"/>
    <w:rsid w:val="00F12462"/>
    <w:rsid w:val="00F142B1"/>
    <w:rsid w:val="00F14BA2"/>
    <w:rsid w:val="00F160E0"/>
    <w:rsid w:val="00F167E0"/>
    <w:rsid w:val="00F176C4"/>
    <w:rsid w:val="00F20790"/>
    <w:rsid w:val="00F20AED"/>
    <w:rsid w:val="00F239A7"/>
    <w:rsid w:val="00F240B2"/>
    <w:rsid w:val="00F26DB6"/>
    <w:rsid w:val="00F30269"/>
    <w:rsid w:val="00F30B06"/>
    <w:rsid w:val="00F30F8E"/>
    <w:rsid w:val="00F3143E"/>
    <w:rsid w:val="00F32A8F"/>
    <w:rsid w:val="00F32FD5"/>
    <w:rsid w:val="00F3564B"/>
    <w:rsid w:val="00F36EE3"/>
    <w:rsid w:val="00F407BA"/>
    <w:rsid w:val="00F458F8"/>
    <w:rsid w:val="00F511FC"/>
    <w:rsid w:val="00F52B50"/>
    <w:rsid w:val="00F63E58"/>
    <w:rsid w:val="00F64242"/>
    <w:rsid w:val="00F7326E"/>
    <w:rsid w:val="00F74DFA"/>
    <w:rsid w:val="00F76A73"/>
    <w:rsid w:val="00F77566"/>
    <w:rsid w:val="00F86384"/>
    <w:rsid w:val="00F93790"/>
    <w:rsid w:val="00F93BA7"/>
    <w:rsid w:val="00FA22C3"/>
    <w:rsid w:val="00FA660B"/>
    <w:rsid w:val="00FA6816"/>
    <w:rsid w:val="00FB0EEA"/>
    <w:rsid w:val="00FB2DF5"/>
    <w:rsid w:val="00FB40DB"/>
    <w:rsid w:val="00FB62F2"/>
    <w:rsid w:val="00FC11AA"/>
    <w:rsid w:val="00FE348D"/>
    <w:rsid w:val="00FE587D"/>
    <w:rsid w:val="00FE5B16"/>
    <w:rsid w:val="00FE621D"/>
    <w:rsid w:val="00FE7A35"/>
    <w:rsid w:val="00FF1B2C"/>
    <w:rsid w:val="00FF2793"/>
    <w:rsid w:val="00FF2DE0"/>
    <w:rsid w:val="00FF355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1382"/>
    <w:pPr>
      <w:spacing w:after="240" w:line="240" w:lineRule="auto"/>
      <w:jc w:val="both"/>
    </w:pPr>
    <w:rPr>
      <w:rFonts w:ascii="Arial" w:eastAsia="Times New Roman" w:hAnsi="Arial" w:cs="Arial"/>
      <w:bCs/>
      <w:sz w:val="20"/>
    </w:rPr>
  </w:style>
  <w:style w:type="paragraph" w:styleId="Heading1">
    <w:name w:val="heading 1"/>
    <w:aliases w:val="1,Heading 1 Char,Heading 1 Char1 Char,Heading 1 Char Char Char,Heading 1 Char1 Char Char Char,Heading 1 Char Char Char Char Char,Heading 1 Char1 Char Char Char Char Char,Heading 1 Char Char Char Char Char Char Char,Heading 1 Char1 Char1"/>
    <w:basedOn w:val="Title"/>
    <w:next w:val="Normal"/>
    <w:link w:val="Heading1Char1"/>
    <w:uiPriority w:val="9"/>
    <w:qFormat/>
    <w:rsid w:val="00A81382"/>
    <w:pPr>
      <w:numPr>
        <w:numId w:val="1"/>
      </w:numPr>
      <w:pBdr>
        <w:bottom w:val="none" w:sz="0" w:space="0" w:color="auto"/>
      </w:pBdr>
      <w:shd w:val="clear" w:color="auto" w:fill="002060"/>
      <w:spacing w:after="240"/>
      <w:contextualSpacing w:val="0"/>
      <w:outlineLvl w:val="0"/>
    </w:pPr>
    <w:rPr>
      <w:rFonts w:ascii="Arial" w:eastAsia="Times New Roman" w:hAnsi="Arial" w:cs="Times New Roman"/>
      <w:b/>
      <w:color w:val="auto"/>
      <w:spacing w:val="0"/>
      <w:sz w:val="24"/>
      <w:szCs w:val="24"/>
      <w:lang w:val="en-GB"/>
    </w:rPr>
  </w:style>
  <w:style w:type="paragraph" w:styleId="Heading2">
    <w:name w:val="heading 2"/>
    <w:basedOn w:val="Normal"/>
    <w:next w:val="Normal"/>
    <w:link w:val="Heading2Char"/>
    <w:uiPriority w:val="9"/>
    <w:qFormat/>
    <w:rsid w:val="00A81382"/>
    <w:pPr>
      <w:numPr>
        <w:ilvl w:val="1"/>
        <w:numId w:val="1"/>
      </w:numPr>
      <w:outlineLvl w:val="1"/>
    </w:pPr>
    <w:rPr>
      <w:rFonts w:cs="Times New Roman"/>
      <w:b/>
      <w:bCs w:val="0"/>
    </w:rPr>
  </w:style>
  <w:style w:type="paragraph" w:styleId="Heading3">
    <w:name w:val="heading 3"/>
    <w:basedOn w:val="Normal"/>
    <w:next w:val="Normal"/>
    <w:link w:val="Heading3Char"/>
    <w:uiPriority w:val="9"/>
    <w:qFormat/>
    <w:rsid w:val="00A81382"/>
    <w:pPr>
      <w:numPr>
        <w:ilvl w:val="2"/>
        <w:numId w:val="1"/>
      </w:numPr>
      <w:outlineLvl w:val="2"/>
    </w:pPr>
    <w:rPr>
      <w:rFonts w:cs="Times New Roman"/>
      <w:i/>
      <w:iCs/>
    </w:rPr>
  </w:style>
  <w:style w:type="paragraph" w:styleId="Heading4">
    <w:name w:val="heading 4"/>
    <w:basedOn w:val="Normal"/>
    <w:next w:val="Normal"/>
    <w:link w:val="Heading4Char"/>
    <w:uiPriority w:val="9"/>
    <w:qFormat/>
    <w:rsid w:val="00A079F7"/>
    <w:pPr>
      <w:keepNext/>
      <w:numPr>
        <w:ilvl w:val="3"/>
        <w:numId w:val="22"/>
      </w:numPr>
      <w:spacing w:after="0"/>
      <w:outlineLvl w:val="3"/>
    </w:pPr>
    <w:rPr>
      <w:rFonts w:cs="Times New Roman"/>
      <w:szCs w:val="20"/>
      <w:u w:val="single"/>
      <w:lang w:val="en-GB"/>
    </w:rPr>
  </w:style>
  <w:style w:type="paragraph" w:styleId="Heading5">
    <w:name w:val="heading 5"/>
    <w:basedOn w:val="Normal"/>
    <w:next w:val="Normal"/>
    <w:link w:val="Heading5Char"/>
    <w:uiPriority w:val="9"/>
    <w:qFormat/>
    <w:rsid w:val="00A079F7"/>
    <w:pPr>
      <w:keepNext/>
      <w:numPr>
        <w:ilvl w:val="4"/>
        <w:numId w:val="22"/>
      </w:numPr>
      <w:spacing w:after="0"/>
      <w:outlineLvl w:val="4"/>
    </w:pPr>
    <w:rPr>
      <w:rFonts w:cs="Times New Roman"/>
      <w:b/>
      <w:color w:val="000000"/>
      <w:szCs w:val="20"/>
      <w:lang w:val="en-GB"/>
    </w:rPr>
  </w:style>
  <w:style w:type="paragraph" w:styleId="Heading6">
    <w:name w:val="heading 6"/>
    <w:basedOn w:val="Normal"/>
    <w:next w:val="Normal"/>
    <w:link w:val="Heading6Char"/>
    <w:uiPriority w:val="9"/>
    <w:qFormat/>
    <w:rsid w:val="00A079F7"/>
    <w:pPr>
      <w:keepNext/>
      <w:numPr>
        <w:ilvl w:val="5"/>
        <w:numId w:val="22"/>
      </w:numPr>
      <w:spacing w:after="0"/>
      <w:jc w:val="center"/>
      <w:outlineLvl w:val="5"/>
    </w:pPr>
    <w:rPr>
      <w:rFonts w:cs="Times New Roman"/>
      <w:b/>
      <w:szCs w:val="20"/>
      <w:lang w:val="en-GB"/>
    </w:rPr>
  </w:style>
  <w:style w:type="paragraph" w:styleId="Heading7">
    <w:name w:val="heading 7"/>
    <w:basedOn w:val="Normal"/>
    <w:next w:val="Normal"/>
    <w:link w:val="Heading7Char"/>
    <w:uiPriority w:val="9"/>
    <w:qFormat/>
    <w:rsid w:val="00A079F7"/>
    <w:pPr>
      <w:keepNext/>
      <w:keepLines/>
      <w:numPr>
        <w:ilvl w:val="6"/>
        <w:numId w:val="22"/>
      </w:numPr>
      <w:spacing w:after="0" w:line="240" w:lineRule="atLeast"/>
      <w:outlineLvl w:val="6"/>
    </w:pPr>
    <w:rPr>
      <w:rFonts w:cs="Times New Roman"/>
      <w:b/>
      <w:szCs w:val="20"/>
      <w:lang w:val="en-GB"/>
    </w:rPr>
  </w:style>
  <w:style w:type="paragraph" w:styleId="Heading8">
    <w:name w:val="heading 8"/>
    <w:basedOn w:val="Normal"/>
    <w:next w:val="Normal"/>
    <w:link w:val="Heading8Char"/>
    <w:uiPriority w:val="9"/>
    <w:qFormat/>
    <w:rsid w:val="00A079F7"/>
    <w:pPr>
      <w:keepNext/>
      <w:numPr>
        <w:ilvl w:val="7"/>
        <w:numId w:val="22"/>
      </w:numPr>
      <w:tabs>
        <w:tab w:val="left" w:pos="571"/>
        <w:tab w:val="left" w:pos="1164"/>
        <w:tab w:val="left" w:pos="6480"/>
        <w:tab w:val="left" w:pos="8568"/>
      </w:tabs>
      <w:suppressAutoHyphens/>
      <w:spacing w:after="0" w:line="360" w:lineRule="auto"/>
      <w:outlineLvl w:val="7"/>
    </w:pPr>
    <w:rPr>
      <w:rFonts w:cs="Times New Roman"/>
      <w:b/>
      <w:spacing w:val="-2"/>
      <w:sz w:val="24"/>
      <w:szCs w:val="20"/>
      <w:lang w:val="en-GB"/>
    </w:rPr>
  </w:style>
  <w:style w:type="paragraph" w:styleId="Heading9">
    <w:name w:val="heading 9"/>
    <w:basedOn w:val="Normal"/>
    <w:next w:val="Normal"/>
    <w:link w:val="Heading9Char"/>
    <w:uiPriority w:val="9"/>
    <w:qFormat/>
    <w:rsid w:val="00A079F7"/>
    <w:pPr>
      <w:keepNext/>
      <w:keepLines/>
      <w:numPr>
        <w:ilvl w:val="8"/>
        <w:numId w:val="22"/>
      </w:numPr>
      <w:spacing w:after="0" w:line="240" w:lineRule="atLeast"/>
      <w:jc w:val="right"/>
      <w:outlineLvl w:val="8"/>
    </w:pPr>
    <w:rPr>
      <w:rFonts w:cs="Times New Roman"/>
      <w:b/>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1 Char,Heading 1 Char Char,Heading 1 Char1 Char Char,Heading 1 Char Char Char Char,Heading 1 Char1 Char Char Char Char,Heading 1 Char Char Char Char Char Char,Heading 1 Char1 Char Char Char Char Char Char,Heading 1 Char1 Char1 Char"/>
    <w:basedOn w:val="DefaultParagraphFont"/>
    <w:link w:val="Heading1"/>
    <w:uiPriority w:val="9"/>
    <w:rsid w:val="00A81382"/>
    <w:rPr>
      <w:rFonts w:ascii="Arial" w:eastAsia="Times New Roman" w:hAnsi="Arial" w:cs="Times New Roman"/>
      <w:b/>
      <w:bCs/>
      <w:kern w:val="28"/>
      <w:sz w:val="24"/>
      <w:szCs w:val="24"/>
      <w:shd w:val="clear" w:color="auto" w:fill="002060"/>
      <w:lang w:val="en-GB"/>
    </w:rPr>
  </w:style>
  <w:style w:type="character" w:customStyle="1" w:styleId="Heading2Char">
    <w:name w:val="Heading 2 Char"/>
    <w:basedOn w:val="DefaultParagraphFont"/>
    <w:link w:val="Heading2"/>
    <w:uiPriority w:val="9"/>
    <w:rsid w:val="00A81382"/>
    <w:rPr>
      <w:rFonts w:ascii="Arial" w:eastAsia="Times New Roman" w:hAnsi="Arial" w:cs="Times New Roman"/>
      <w:b/>
      <w:sz w:val="20"/>
    </w:rPr>
  </w:style>
  <w:style w:type="character" w:customStyle="1" w:styleId="Heading3Char">
    <w:name w:val="Heading 3 Char"/>
    <w:basedOn w:val="DefaultParagraphFont"/>
    <w:link w:val="Heading3"/>
    <w:uiPriority w:val="9"/>
    <w:rsid w:val="00A81382"/>
    <w:rPr>
      <w:rFonts w:ascii="Arial" w:eastAsia="Times New Roman" w:hAnsi="Arial" w:cs="Times New Roman"/>
      <w:bCs/>
      <w:i/>
      <w:iCs/>
      <w:sz w:val="20"/>
    </w:rPr>
  </w:style>
  <w:style w:type="paragraph" w:styleId="ListParagraph">
    <w:name w:val="List Paragraph"/>
    <w:basedOn w:val="Normal"/>
    <w:uiPriority w:val="34"/>
    <w:qFormat/>
    <w:rsid w:val="00A81382"/>
    <w:pPr>
      <w:ind w:left="708"/>
    </w:pPr>
  </w:style>
  <w:style w:type="paragraph" w:styleId="Title">
    <w:name w:val="Title"/>
    <w:basedOn w:val="Normal"/>
    <w:next w:val="Normal"/>
    <w:link w:val="TitleChar"/>
    <w:qFormat/>
    <w:rsid w:val="00A8138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A81382"/>
    <w:rPr>
      <w:rFonts w:asciiTheme="majorHAnsi" w:eastAsiaTheme="majorEastAsia" w:hAnsiTheme="majorHAnsi" w:cstheme="majorBidi"/>
      <w:bCs/>
      <w:color w:val="17365D" w:themeColor="text2" w:themeShade="BF"/>
      <w:spacing w:val="5"/>
      <w:kern w:val="28"/>
      <w:sz w:val="52"/>
      <w:szCs w:val="52"/>
    </w:rPr>
  </w:style>
  <w:style w:type="paragraph" w:styleId="FootnoteText">
    <w:name w:val="footnote text"/>
    <w:aliases w:val="FOOTNOTES,fn,single space,footnote text,Char Char Char,Char Char"/>
    <w:basedOn w:val="Normal"/>
    <w:link w:val="FootnoteTextChar"/>
    <w:rsid w:val="00A81382"/>
    <w:pPr>
      <w:spacing w:after="0"/>
      <w:jc w:val="left"/>
    </w:pPr>
    <w:rPr>
      <w:rFonts w:ascii="Calibri" w:eastAsia="ヒラギノ角ゴ Pro W3" w:hAnsi="Calibri" w:cs="Times New Roman"/>
      <w:bCs w:val="0"/>
      <w:color w:val="000000"/>
      <w:szCs w:val="20"/>
      <w:lang w:val="en-GB"/>
    </w:rPr>
  </w:style>
  <w:style w:type="character" w:customStyle="1" w:styleId="FootnoteTextChar">
    <w:name w:val="Footnote Text Char"/>
    <w:aliases w:val="FOOTNOTES Char,fn Char,single space Char,footnote text Char,Char Char Char Char,Char Char Char1"/>
    <w:basedOn w:val="DefaultParagraphFont"/>
    <w:link w:val="FootnoteText"/>
    <w:rsid w:val="00A81382"/>
    <w:rPr>
      <w:rFonts w:ascii="Calibri" w:eastAsia="ヒラギノ角ゴ Pro W3" w:hAnsi="Calibri" w:cs="Times New Roman"/>
      <w:color w:val="000000"/>
      <w:sz w:val="20"/>
      <w:szCs w:val="20"/>
      <w:lang w:val="en-GB"/>
    </w:rPr>
  </w:style>
  <w:style w:type="character" w:styleId="FootnoteReference">
    <w:name w:val="footnote reference"/>
    <w:aliases w:val="Error-Fußnotenzeichen5,Error-Fußnotenzeichen6,Error-Fußnotenzeichen3"/>
    <w:uiPriority w:val="99"/>
    <w:unhideWhenUsed/>
    <w:rsid w:val="00A81382"/>
    <w:rPr>
      <w:vertAlign w:val="superscript"/>
    </w:rPr>
  </w:style>
  <w:style w:type="paragraph" w:customStyle="1" w:styleId="onecomwebmail-msonormal">
    <w:name w:val="onecomwebmail-msonormal"/>
    <w:basedOn w:val="Normal"/>
    <w:rsid w:val="00A81382"/>
    <w:pPr>
      <w:spacing w:before="100" w:beforeAutospacing="1" w:after="100" w:afterAutospacing="1"/>
      <w:jc w:val="left"/>
    </w:pPr>
    <w:rPr>
      <w:rFonts w:ascii="Times New Roman" w:hAnsi="Times New Roman" w:cs="Times New Roman"/>
      <w:bCs w:val="0"/>
      <w:sz w:val="24"/>
      <w:szCs w:val="24"/>
      <w:lang w:eastAsia="fr-FR"/>
    </w:rPr>
  </w:style>
  <w:style w:type="paragraph" w:styleId="BalloonText">
    <w:name w:val="Balloon Text"/>
    <w:basedOn w:val="Normal"/>
    <w:link w:val="BalloonTextChar"/>
    <w:uiPriority w:val="99"/>
    <w:semiHidden/>
    <w:unhideWhenUsed/>
    <w:rsid w:val="00A8138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1382"/>
    <w:rPr>
      <w:rFonts w:ascii="Tahoma" w:eastAsia="Times New Roman" w:hAnsi="Tahoma" w:cs="Tahoma"/>
      <w:bCs/>
      <w:sz w:val="16"/>
      <w:szCs w:val="16"/>
    </w:rPr>
  </w:style>
  <w:style w:type="character" w:styleId="Hyperlink">
    <w:name w:val="Hyperlink"/>
    <w:uiPriority w:val="99"/>
    <w:rsid w:val="00A079F7"/>
    <w:rPr>
      <w:rFonts w:cs="Times New Roman"/>
      <w:color w:val="0000FF"/>
      <w:u w:val="single"/>
    </w:rPr>
  </w:style>
  <w:style w:type="character" w:customStyle="1" w:styleId="Heading4Char">
    <w:name w:val="Heading 4 Char"/>
    <w:basedOn w:val="DefaultParagraphFont"/>
    <w:link w:val="Heading4"/>
    <w:uiPriority w:val="9"/>
    <w:rsid w:val="00A079F7"/>
    <w:rPr>
      <w:rFonts w:ascii="Arial" w:eastAsia="Times New Roman" w:hAnsi="Arial" w:cs="Times New Roman"/>
      <w:bCs/>
      <w:sz w:val="20"/>
      <w:szCs w:val="20"/>
      <w:u w:val="single"/>
      <w:lang w:val="en-GB"/>
    </w:rPr>
  </w:style>
  <w:style w:type="character" w:customStyle="1" w:styleId="Heading5Char">
    <w:name w:val="Heading 5 Char"/>
    <w:basedOn w:val="DefaultParagraphFont"/>
    <w:link w:val="Heading5"/>
    <w:uiPriority w:val="9"/>
    <w:rsid w:val="00A079F7"/>
    <w:rPr>
      <w:rFonts w:ascii="Arial" w:eastAsia="Times New Roman" w:hAnsi="Arial" w:cs="Times New Roman"/>
      <w:b/>
      <w:bCs/>
      <w:color w:val="000000"/>
      <w:sz w:val="20"/>
      <w:szCs w:val="20"/>
      <w:lang w:val="en-GB"/>
    </w:rPr>
  </w:style>
  <w:style w:type="character" w:customStyle="1" w:styleId="Heading6Char">
    <w:name w:val="Heading 6 Char"/>
    <w:basedOn w:val="DefaultParagraphFont"/>
    <w:link w:val="Heading6"/>
    <w:uiPriority w:val="9"/>
    <w:rsid w:val="00A079F7"/>
    <w:rPr>
      <w:rFonts w:ascii="Arial" w:eastAsia="Times New Roman" w:hAnsi="Arial" w:cs="Times New Roman"/>
      <w:b/>
      <w:bCs/>
      <w:sz w:val="20"/>
      <w:szCs w:val="20"/>
      <w:lang w:val="en-GB"/>
    </w:rPr>
  </w:style>
  <w:style w:type="character" w:customStyle="1" w:styleId="Heading7Char">
    <w:name w:val="Heading 7 Char"/>
    <w:basedOn w:val="DefaultParagraphFont"/>
    <w:link w:val="Heading7"/>
    <w:uiPriority w:val="9"/>
    <w:rsid w:val="00A079F7"/>
    <w:rPr>
      <w:rFonts w:ascii="Arial" w:eastAsia="Times New Roman" w:hAnsi="Arial" w:cs="Times New Roman"/>
      <w:b/>
      <w:bCs/>
      <w:sz w:val="20"/>
      <w:szCs w:val="20"/>
      <w:lang w:val="en-GB"/>
    </w:rPr>
  </w:style>
  <w:style w:type="character" w:customStyle="1" w:styleId="Heading8Char">
    <w:name w:val="Heading 8 Char"/>
    <w:basedOn w:val="DefaultParagraphFont"/>
    <w:link w:val="Heading8"/>
    <w:uiPriority w:val="9"/>
    <w:rsid w:val="00A079F7"/>
    <w:rPr>
      <w:rFonts w:ascii="Arial" w:eastAsia="Times New Roman" w:hAnsi="Arial" w:cs="Times New Roman"/>
      <w:b/>
      <w:bCs/>
      <w:spacing w:val="-2"/>
      <w:sz w:val="24"/>
      <w:szCs w:val="20"/>
      <w:lang w:val="en-GB"/>
    </w:rPr>
  </w:style>
  <w:style w:type="character" w:customStyle="1" w:styleId="Heading9Char">
    <w:name w:val="Heading 9 Char"/>
    <w:basedOn w:val="DefaultParagraphFont"/>
    <w:link w:val="Heading9"/>
    <w:uiPriority w:val="9"/>
    <w:rsid w:val="00A079F7"/>
    <w:rPr>
      <w:rFonts w:ascii="Arial" w:eastAsia="Times New Roman" w:hAnsi="Arial" w:cs="Times New Roman"/>
      <w:b/>
      <w:bCs/>
      <w:sz w:val="20"/>
      <w:szCs w:val="20"/>
      <w:lang w:val="en-GB"/>
    </w:rPr>
  </w:style>
  <w:style w:type="paragraph" w:styleId="Header">
    <w:name w:val="header"/>
    <w:basedOn w:val="Normal"/>
    <w:link w:val="HeaderChar"/>
    <w:uiPriority w:val="99"/>
    <w:unhideWhenUsed/>
    <w:rsid w:val="00A079F7"/>
    <w:pPr>
      <w:tabs>
        <w:tab w:val="center" w:pos="4536"/>
        <w:tab w:val="right" w:pos="9072"/>
      </w:tabs>
      <w:spacing w:after="0"/>
    </w:pPr>
    <w:rPr>
      <w:rFonts w:ascii="Calibri" w:hAnsi="Calibri" w:cs="Times New Roman"/>
      <w:bCs w:val="0"/>
      <w:szCs w:val="20"/>
    </w:rPr>
  </w:style>
  <w:style w:type="character" w:customStyle="1" w:styleId="HeaderChar">
    <w:name w:val="Header Char"/>
    <w:basedOn w:val="DefaultParagraphFont"/>
    <w:link w:val="Header"/>
    <w:uiPriority w:val="99"/>
    <w:rsid w:val="00A079F7"/>
    <w:rPr>
      <w:rFonts w:ascii="Calibri" w:eastAsia="Times New Roman" w:hAnsi="Calibri" w:cs="Times New Roman"/>
      <w:sz w:val="20"/>
      <w:szCs w:val="20"/>
    </w:rPr>
  </w:style>
  <w:style w:type="paragraph" w:styleId="Footer">
    <w:name w:val="footer"/>
    <w:basedOn w:val="Normal"/>
    <w:link w:val="FooterChar"/>
    <w:uiPriority w:val="99"/>
    <w:unhideWhenUsed/>
    <w:rsid w:val="00A079F7"/>
    <w:pPr>
      <w:tabs>
        <w:tab w:val="center" w:pos="4536"/>
        <w:tab w:val="right" w:pos="9072"/>
      </w:tabs>
      <w:spacing w:after="0"/>
    </w:pPr>
    <w:rPr>
      <w:rFonts w:ascii="Calibri" w:hAnsi="Calibri" w:cs="Times New Roman"/>
      <w:bCs w:val="0"/>
      <w:szCs w:val="20"/>
    </w:rPr>
  </w:style>
  <w:style w:type="character" w:customStyle="1" w:styleId="FooterChar">
    <w:name w:val="Footer Char"/>
    <w:basedOn w:val="DefaultParagraphFont"/>
    <w:link w:val="Footer"/>
    <w:uiPriority w:val="99"/>
    <w:rsid w:val="00A079F7"/>
    <w:rPr>
      <w:rFonts w:ascii="Calibri" w:eastAsia="Times New Roman" w:hAnsi="Calibri" w:cs="Times New Roman"/>
      <w:sz w:val="20"/>
      <w:szCs w:val="20"/>
    </w:rPr>
  </w:style>
  <w:style w:type="paragraph" w:customStyle="1" w:styleId="BodySingle">
    <w:name w:val="Body Single"/>
    <w:basedOn w:val="Footer"/>
    <w:link w:val="BodySingleChar"/>
    <w:rsid w:val="00A079F7"/>
    <w:pPr>
      <w:tabs>
        <w:tab w:val="clear" w:pos="4536"/>
        <w:tab w:val="clear" w:pos="9072"/>
      </w:tabs>
      <w:spacing w:line="290" w:lineRule="atLeast"/>
    </w:pPr>
    <w:rPr>
      <w:rFonts w:ascii="Times New Roman" w:hAnsi="Times New Roman"/>
      <w:bCs/>
      <w:lang w:val="en-GB"/>
    </w:rPr>
  </w:style>
  <w:style w:type="character" w:customStyle="1" w:styleId="BodySingleChar">
    <w:name w:val="Body Single Char"/>
    <w:link w:val="BodySingle"/>
    <w:locked/>
    <w:rsid w:val="00A079F7"/>
    <w:rPr>
      <w:rFonts w:ascii="Times New Roman" w:eastAsia="Times New Roman" w:hAnsi="Times New Roman" w:cs="Times New Roman"/>
      <w:bCs/>
      <w:sz w:val="20"/>
      <w:szCs w:val="20"/>
      <w:lang w:val="en-GB"/>
    </w:rPr>
  </w:style>
  <w:style w:type="paragraph" w:styleId="BodyText">
    <w:name w:val="Body Text"/>
    <w:basedOn w:val="Normal"/>
    <w:link w:val="BodyTextChar"/>
    <w:unhideWhenUsed/>
    <w:rsid w:val="00A079F7"/>
    <w:pPr>
      <w:spacing w:after="120"/>
    </w:pPr>
    <w:rPr>
      <w:rFonts w:ascii="Calibri" w:hAnsi="Calibri" w:cs="Times New Roman"/>
      <w:bCs w:val="0"/>
      <w:szCs w:val="20"/>
    </w:rPr>
  </w:style>
  <w:style w:type="character" w:customStyle="1" w:styleId="BodyTextChar">
    <w:name w:val="Body Text Char"/>
    <w:basedOn w:val="DefaultParagraphFont"/>
    <w:link w:val="BodyText"/>
    <w:rsid w:val="00A079F7"/>
    <w:rPr>
      <w:rFonts w:ascii="Calibri" w:eastAsia="Times New Roman" w:hAnsi="Calibri" w:cs="Times New Roman"/>
      <w:sz w:val="20"/>
      <w:szCs w:val="20"/>
    </w:rPr>
  </w:style>
  <w:style w:type="character" w:styleId="PageNumber">
    <w:name w:val="page number"/>
    <w:rsid w:val="00A079F7"/>
    <w:rPr>
      <w:rFonts w:cs="Times New Roman"/>
    </w:rPr>
  </w:style>
  <w:style w:type="paragraph" w:customStyle="1" w:styleId="TableText">
    <w:name w:val="Table Text"/>
    <w:rsid w:val="00A079F7"/>
    <w:pPr>
      <w:spacing w:after="0" w:line="240" w:lineRule="auto"/>
    </w:pPr>
    <w:rPr>
      <w:rFonts w:ascii="Times New Roman" w:eastAsia="Times New Roman" w:hAnsi="Times New Roman" w:cs="Times New Roman"/>
      <w:color w:val="000000"/>
      <w:sz w:val="24"/>
      <w:szCs w:val="20"/>
      <w:lang w:val="en-GB"/>
    </w:rPr>
  </w:style>
  <w:style w:type="paragraph" w:styleId="BlockText">
    <w:name w:val="Block Text"/>
    <w:basedOn w:val="Normal"/>
    <w:uiPriority w:val="99"/>
    <w:rsid w:val="00A079F7"/>
    <w:pPr>
      <w:spacing w:after="0"/>
      <w:ind w:left="426" w:right="-335"/>
    </w:pPr>
    <w:rPr>
      <w:rFonts w:ascii="Times New Roman" w:hAnsi="Times New Roman" w:cs="Times New Roman"/>
      <w:sz w:val="24"/>
      <w:szCs w:val="20"/>
      <w:lang w:val="en-GB"/>
    </w:rPr>
  </w:style>
  <w:style w:type="paragraph" w:styleId="BodyTextIndent2">
    <w:name w:val="Body Text Indent 2"/>
    <w:basedOn w:val="Normal"/>
    <w:link w:val="BodyTextIndent2Char"/>
    <w:uiPriority w:val="99"/>
    <w:rsid w:val="00A079F7"/>
    <w:pPr>
      <w:spacing w:after="0"/>
      <w:ind w:left="360"/>
    </w:pPr>
    <w:rPr>
      <w:rFonts w:ascii="Times New Roman" w:hAnsi="Times New Roman" w:cs="Times New Roman"/>
      <w:bCs w:val="0"/>
      <w:szCs w:val="20"/>
      <w:lang w:val="en-US"/>
    </w:rPr>
  </w:style>
  <w:style w:type="character" w:customStyle="1" w:styleId="BodyTextIndent2Char">
    <w:name w:val="Body Text Indent 2 Char"/>
    <w:basedOn w:val="DefaultParagraphFont"/>
    <w:link w:val="BodyTextIndent2"/>
    <w:uiPriority w:val="99"/>
    <w:rsid w:val="00A079F7"/>
    <w:rPr>
      <w:rFonts w:ascii="Times New Roman" w:eastAsia="Times New Roman" w:hAnsi="Times New Roman" w:cs="Times New Roman"/>
      <w:sz w:val="20"/>
      <w:szCs w:val="20"/>
      <w:lang w:val="en-US"/>
    </w:rPr>
  </w:style>
  <w:style w:type="paragraph" w:styleId="BodyTextIndent">
    <w:name w:val="Body Text Indent"/>
    <w:basedOn w:val="Normal"/>
    <w:link w:val="BodyTextIndentChar"/>
    <w:rsid w:val="00A079F7"/>
    <w:pPr>
      <w:spacing w:after="0"/>
      <w:ind w:left="720"/>
    </w:pPr>
    <w:rPr>
      <w:rFonts w:ascii="Times New Roman" w:hAnsi="Times New Roman" w:cs="Times New Roman"/>
      <w:bCs w:val="0"/>
      <w:szCs w:val="20"/>
      <w:lang w:val="en-GB"/>
    </w:rPr>
  </w:style>
  <w:style w:type="character" w:customStyle="1" w:styleId="BodyTextIndentChar">
    <w:name w:val="Body Text Indent Char"/>
    <w:basedOn w:val="DefaultParagraphFont"/>
    <w:link w:val="BodyTextIndent"/>
    <w:rsid w:val="00A079F7"/>
    <w:rPr>
      <w:rFonts w:ascii="Times New Roman" w:eastAsia="Times New Roman" w:hAnsi="Times New Roman" w:cs="Times New Roman"/>
      <w:sz w:val="20"/>
      <w:szCs w:val="20"/>
      <w:lang w:val="en-GB"/>
    </w:rPr>
  </w:style>
  <w:style w:type="paragraph" w:styleId="DocumentMap">
    <w:name w:val="Document Map"/>
    <w:basedOn w:val="Normal"/>
    <w:link w:val="DocumentMapChar"/>
    <w:uiPriority w:val="99"/>
    <w:semiHidden/>
    <w:rsid w:val="00A079F7"/>
    <w:pPr>
      <w:shd w:val="clear" w:color="auto" w:fill="000080"/>
      <w:spacing w:after="0"/>
    </w:pPr>
    <w:rPr>
      <w:rFonts w:ascii="Tahoma" w:hAnsi="Tahoma" w:cs="Times New Roman"/>
      <w:bCs w:val="0"/>
      <w:sz w:val="24"/>
      <w:szCs w:val="20"/>
      <w:lang w:val="en-GB"/>
    </w:rPr>
  </w:style>
  <w:style w:type="character" w:customStyle="1" w:styleId="DocumentMapChar">
    <w:name w:val="Document Map Char"/>
    <w:basedOn w:val="DefaultParagraphFont"/>
    <w:link w:val="DocumentMap"/>
    <w:uiPriority w:val="99"/>
    <w:semiHidden/>
    <w:rsid w:val="00A079F7"/>
    <w:rPr>
      <w:rFonts w:ascii="Tahoma" w:eastAsia="Times New Roman" w:hAnsi="Tahoma" w:cs="Times New Roman"/>
      <w:sz w:val="24"/>
      <w:szCs w:val="20"/>
      <w:shd w:val="clear" w:color="auto" w:fill="000080"/>
      <w:lang w:val="en-GB"/>
    </w:rPr>
  </w:style>
  <w:style w:type="paragraph" w:styleId="EnvelopeReturn">
    <w:name w:val="envelope return"/>
    <w:basedOn w:val="Normal"/>
    <w:uiPriority w:val="99"/>
    <w:rsid w:val="00A079F7"/>
    <w:pPr>
      <w:spacing w:after="0"/>
    </w:pPr>
    <w:rPr>
      <w:rFonts w:cs="Times New Roman"/>
      <w:szCs w:val="20"/>
      <w:lang w:val="en-GB"/>
    </w:rPr>
  </w:style>
  <w:style w:type="paragraph" w:styleId="BodyTextIndent3">
    <w:name w:val="Body Text Indent 3"/>
    <w:basedOn w:val="Normal"/>
    <w:link w:val="BodyTextIndent3Char"/>
    <w:rsid w:val="00A079F7"/>
    <w:pPr>
      <w:tabs>
        <w:tab w:val="left" w:pos="0"/>
        <w:tab w:val="left" w:pos="540"/>
        <w:tab w:val="left" w:pos="851"/>
        <w:tab w:val="left" w:pos="9072"/>
        <w:tab w:val="left" w:pos="9360"/>
      </w:tabs>
      <w:suppressAutoHyphens/>
      <w:spacing w:after="0"/>
      <w:ind w:left="993" w:hanging="284"/>
    </w:pPr>
    <w:rPr>
      <w:rFonts w:cs="Times New Roman"/>
      <w:bCs w:val="0"/>
      <w:spacing w:val="-3"/>
      <w:szCs w:val="20"/>
      <w:lang w:val="en-GB"/>
    </w:rPr>
  </w:style>
  <w:style w:type="character" w:customStyle="1" w:styleId="BodyTextIndent3Char">
    <w:name w:val="Body Text Indent 3 Char"/>
    <w:basedOn w:val="DefaultParagraphFont"/>
    <w:link w:val="BodyTextIndent3"/>
    <w:rsid w:val="00A079F7"/>
    <w:rPr>
      <w:rFonts w:ascii="Arial" w:eastAsia="Times New Roman" w:hAnsi="Arial" w:cs="Times New Roman"/>
      <w:spacing w:val="-3"/>
      <w:sz w:val="20"/>
      <w:szCs w:val="20"/>
      <w:lang w:val="en-GB"/>
    </w:rPr>
  </w:style>
  <w:style w:type="paragraph" w:styleId="BodyText2">
    <w:name w:val="Body Text 2"/>
    <w:basedOn w:val="Normal"/>
    <w:link w:val="BodyText2Char"/>
    <w:uiPriority w:val="99"/>
    <w:rsid w:val="00A079F7"/>
    <w:pPr>
      <w:tabs>
        <w:tab w:val="left" w:pos="0"/>
        <w:tab w:val="left" w:pos="2028"/>
        <w:tab w:val="left" w:pos="6084"/>
        <w:tab w:val="left" w:pos="9356"/>
      </w:tabs>
      <w:suppressAutoHyphens/>
      <w:spacing w:after="0"/>
      <w:ind w:right="-383"/>
    </w:pPr>
    <w:rPr>
      <w:rFonts w:cs="Times New Roman"/>
      <w:bCs w:val="0"/>
      <w:spacing w:val="-3"/>
      <w:szCs w:val="20"/>
      <w:lang w:val="en-GB"/>
    </w:rPr>
  </w:style>
  <w:style w:type="character" w:customStyle="1" w:styleId="BodyText2Char">
    <w:name w:val="Body Text 2 Char"/>
    <w:basedOn w:val="DefaultParagraphFont"/>
    <w:link w:val="BodyText2"/>
    <w:uiPriority w:val="99"/>
    <w:rsid w:val="00A079F7"/>
    <w:rPr>
      <w:rFonts w:ascii="Arial" w:eastAsia="Times New Roman" w:hAnsi="Arial" w:cs="Times New Roman"/>
      <w:spacing w:val="-3"/>
      <w:sz w:val="20"/>
      <w:szCs w:val="20"/>
      <w:lang w:val="en-GB"/>
    </w:rPr>
  </w:style>
  <w:style w:type="paragraph" w:styleId="BodyText3">
    <w:name w:val="Body Text 3"/>
    <w:basedOn w:val="Normal"/>
    <w:link w:val="BodyText3Char"/>
    <w:uiPriority w:val="99"/>
    <w:rsid w:val="00A079F7"/>
    <w:pPr>
      <w:spacing w:after="0"/>
    </w:pPr>
    <w:rPr>
      <w:rFonts w:cs="Times New Roman"/>
      <w:bCs w:val="0"/>
      <w:szCs w:val="20"/>
      <w:lang w:val="en-GB"/>
    </w:rPr>
  </w:style>
  <w:style w:type="character" w:customStyle="1" w:styleId="BodyText3Char">
    <w:name w:val="Body Text 3 Char"/>
    <w:basedOn w:val="DefaultParagraphFont"/>
    <w:link w:val="BodyText3"/>
    <w:uiPriority w:val="99"/>
    <w:rsid w:val="00A079F7"/>
    <w:rPr>
      <w:rFonts w:ascii="Arial" w:eastAsia="Times New Roman" w:hAnsi="Arial" w:cs="Times New Roman"/>
      <w:sz w:val="20"/>
      <w:szCs w:val="20"/>
      <w:lang w:val="en-GB"/>
    </w:rPr>
  </w:style>
  <w:style w:type="paragraph" w:customStyle="1" w:styleId="ReportBodyText">
    <w:name w:val="Report Body Text"/>
    <w:basedOn w:val="Normal"/>
    <w:rsid w:val="00A079F7"/>
    <w:pPr>
      <w:spacing w:after="120"/>
    </w:pPr>
    <w:rPr>
      <w:rFonts w:cs="Times New Roman"/>
      <w:szCs w:val="20"/>
      <w:lang w:val="en-GB"/>
    </w:rPr>
  </w:style>
  <w:style w:type="paragraph" w:customStyle="1" w:styleId="ReportHead1">
    <w:name w:val="Report Head 1"/>
    <w:basedOn w:val="Normal"/>
    <w:next w:val="Normal"/>
    <w:rsid w:val="00A079F7"/>
    <w:pPr>
      <w:numPr>
        <w:numId w:val="13"/>
      </w:numPr>
      <w:outlineLvl w:val="0"/>
    </w:pPr>
    <w:rPr>
      <w:rFonts w:cs="Times New Roman"/>
      <w:b/>
      <w:caps/>
      <w:sz w:val="24"/>
      <w:szCs w:val="20"/>
      <w:lang w:val="en-GB"/>
    </w:rPr>
  </w:style>
  <w:style w:type="paragraph" w:styleId="ListNumber2">
    <w:name w:val="List Number 2"/>
    <w:basedOn w:val="Normal"/>
    <w:uiPriority w:val="99"/>
    <w:rsid w:val="00A079F7"/>
    <w:pPr>
      <w:numPr>
        <w:numId w:val="12"/>
      </w:numPr>
      <w:spacing w:after="0"/>
    </w:pPr>
    <w:rPr>
      <w:rFonts w:cs="Times New Roman"/>
      <w:szCs w:val="20"/>
      <w:lang w:val="en-GB"/>
    </w:rPr>
  </w:style>
  <w:style w:type="paragraph" w:customStyle="1" w:styleId="ReportHead2">
    <w:name w:val="Report Head 2"/>
    <w:basedOn w:val="Normal"/>
    <w:next w:val="Normal"/>
    <w:rsid w:val="00A079F7"/>
    <w:pPr>
      <w:numPr>
        <w:ilvl w:val="1"/>
        <w:numId w:val="14"/>
      </w:numPr>
      <w:outlineLvl w:val="1"/>
    </w:pPr>
    <w:rPr>
      <w:rFonts w:cs="Times New Roman"/>
      <w:b/>
      <w:sz w:val="24"/>
      <w:szCs w:val="20"/>
      <w:lang w:val="en-GB"/>
    </w:rPr>
  </w:style>
  <w:style w:type="paragraph" w:customStyle="1" w:styleId="ReportHead3">
    <w:name w:val="Report Head 3"/>
    <w:basedOn w:val="Normal"/>
    <w:next w:val="Normal"/>
    <w:rsid w:val="00A079F7"/>
    <w:pPr>
      <w:numPr>
        <w:ilvl w:val="1"/>
        <w:numId w:val="13"/>
      </w:numPr>
      <w:spacing w:after="120"/>
      <w:outlineLvl w:val="1"/>
    </w:pPr>
    <w:rPr>
      <w:rFonts w:cs="Times New Roman"/>
      <w:szCs w:val="20"/>
      <w:lang w:val="en-GB"/>
    </w:rPr>
  </w:style>
  <w:style w:type="paragraph" w:customStyle="1" w:styleId="ReportHead4">
    <w:name w:val="Report Head 4"/>
    <w:basedOn w:val="Normal"/>
    <w:rsid w:val="00A079F7"/>
    <w:pPr>
      <w:numPr>
        <w:ilvl w:val="2"/>
        <w:numId w:val="13"/>
      </w:numPr>
      <w:spacing w:after="120"/>
      <w:outlineLvl w:val="2"/>
    </w:pPr>
    <w:rPr>
      <w:rFonts w:cs="Times New Roman"/>
      <w:szCs w:val="20"/>
      <w:lang w:val="en-GB"/>
    </w:rPr>
  </w:style>
  <w:style w:type="paragraph" w:customStyle="1" w:styleId="ReportHead5">
    <w:name w:val="Report Head 5"/>
    <w:basedOn w:val="Normal"/>
    <w:rsid w:val="00A079F7"/>
    <w:pPr>
      <w:tabs>
        <w:tab w:val="num" w:pos="851"/>
      </w:tabs>
      <w:spacing w:after="120"/>
      <w:ind w:left="851" w:hanging="851"/>
      <w:outlineLvl w:val="3"/>
    </w:pPr>
    <w:rPr>
      <w:rFonts w:cs="Times New Roman"/>
      <w:szCs w:val="20"/>
      <w:lang w:val="en-GB"/>
    </w:rPr>
  </w:style>
  <w:style w:type="paragraph" w:customStyle="1" w:styleId="ReportHead6">
    <w:name w:val="Report Head 6"/>
    <w:basedOn w:val="Normal"/>
    <w:rsid w:val="00A079F7"/>
    <w:pPr>
      <w:tabs>
        <w:tab w:val="num" w:pos="850"/>
      </w:tabs>
      <w:spacing w:after="120"/>
      <w:ind w:left="850" w:hanging="850"/>
      <w:outlineLvl w:val="4"/>
    </w:pPr>
    <w:rPr>
      <w:rFonts w:cs="Times New Roman"/>
      <w:szCs w:val="20"/>
      <w:lang w:val="en-GB"/>
    </w:rPr>
  </w:style>
  <w:style w:type="character" w:styleId="FollowedHyperlink">
    <w:name w:val="FollowedHyperlink"/>
    <w:uiPriority w:val="99"/>
    <w:rsid w:val="00A079F7"/>
    <w:rPr>
      <w:rFonts w:cs="Times New Roman"/>
      <w:color w:val="800080"/>
      <w:u w:val="single"/>
    </w:rPr>
  </w:style>
  <w:style w:type="paragraph" w:customStyle="1" w:styleId="lefttext">
    <w:name w:val="lefttext"/>
    <w:basedOn w:val="Normal"/>
    <w:rsid w:val="00A079F7"/>
    <w:pPr>
      <w:spacing w:before="100" w:beforeAutospacing="1" w:after="100" w:afterAutospacing="1"/>
    </w:pPr>
    <w:rPr>
      <w:rFonts w:ascii="Times New Roman" w:hAnsi="Times New Roman" w:cs="Times New Roman"/>
      <w:sz w:val="24"/>
      <w:szCs w:val="24"/>
      <w:lang w:val="nl-BE" w:eastAsia="nl-BE"/>
    </w:rPr>
  </w:style>
  <w:style w:type="paragraph" w:customStyle="1" w:styleId="ListBullet1">
    <w:name w:val="List Bullet 1"/>
    <w:basedOn w:val="Normal"/>
    <w:rsid w:val="00A079F7"/>
    <w:pPr>
      <w:numPr>
        <w:numId w:val="15"/>
      </w:numPr>
    </w:pPr>
    <w:rPr>
      <w:rFonts w:ascii="Times New Roman" w:hAnsi="Times New Roman" w:cs="Times New Roman"/>
      <w:sz w:val="24"/>
      <w:szCs w:val="20"/>
      <w:lang w:val="en-GB"/>
    </w:rPr>
  </w:style>
  <w:style w:type="paragraph" w:customStyle="1" w:styleId="Text1">
    <w:name w:val="Text 1"/>
    <w:basedOn w:val="Normal"/>
    <w:rsid w:val="00A079F7"/>
    <w:pPr>
      <w:ind w:left="482"/>
    </w:pPr>
    <w:rPr>
      <w:rFonts w:ascii="Times New Roman" w:hAnsi="Times New Roman" w:cs="Times New Roman"/>
      <w:sz w:val="24"/>
      <w:szCs w:val="20"/>
      <w:lang w:val="en-GB"/>
    </w:rPr>
  </w:style>
  <w:style w:type="paragraph" w:customStyle="1" w:styleId="Text3">
    <w:name w:val="Text 3"/>
    <w:basedOn w:val="Normal"/>
    <w:rsid w:val="00A079F7"/>
    <w:pPr>
      <w:tabs>
        <w:tab w:val="left" w:pos="2302"/>
      </w:tabs>
      <w:ind w:left="1916"/>
    </w:pPr>
    <w:rPr>
      <w:rFonts w:ascii="Times New Roman" w:hAnsi="Times New Roman" w:cs="Times New Roman"/>
      <w:sz w:val="24"/>
      <w:szCs w:val="20"/>
      <w:lang w:val="en-GB"/>
    </w:rPr>
  </w:style>
  <w:style w:type="paragraph" w:styleId="ListBullet2">
    <w:name w:val="List Bullet 2"/>
    <w:basedOn w:val="Normal"/>
    <w:uiPriority w:val="99"/>
    <w:rsid w:val="00A079F7"/>
    <w:pPr>
      <w:numPr>
        <w:numId w:val="16"/>
      </w:numPr>
    </w:pPr>
    <w:rPr>
      <w:rFonts w:ascii="Times New Roman" w:hAnsi="Times New Roman" w:cs="Times New Roman"/>
      <w:sz w:val="24"/>
      <w:szCs w:val="20"/>
      <w:lang w:val="en-GB"/>
    </w:rPr>
  </w:style>
  <w:style w:type="paragraph" w:styleId="TOC1">
    <w:name w:val="toc 1"/>
    <w:aliases w:val="TM"/>
    <w:basedOn w:val="Normal"/>
    <w:next w:val="Normal"/>
    <w:autoRedefine/>
    <w:uiPriority w:val="39"/>
    <w:rsid w:val="00A079F7"/>
    <w:pPr>
      <w:tabs>
        <w:tab w:val="left" w:pos="500"/>
        <w:tab w:val="right" w:leader="dot" w:pos="8800"/>
      </w:tabs>
      <w:spacing w:before="240" w:after="120"/>
      <w:ind w:left="499" w:right="301" w:hanging="499"/>
    </w:pPr>
    <w:rPr>
      <w:b/>
      <w:caps/>
      <w:noProof/>
      <w:kern w:val="32"/>
      <w:szCs w:val="20"/>
      <w:lang w:bidi="ar-TN"/>
    </w:rPr>
  </w:style>
  <w:style w:type="paragraph" w:customStyle="1" w:styleId="questionsub">
    <w:name w:val="question sub"/>
    <w:basedOn w:val="Normal"/>
    <w:rsid w:val="00A079F7"/>
    <w:pPr>
      <w:spacing w:after="120"/>
      <w:ind w:left="576" w:hanging="288"/>
    </w:pPr>
    <w:rPr>
      <w:rFonts w:ascii="Times New Roman" w:hAnsi="Times New Roman" w:cs="Times New Roman"/>
      <w:szCs w:val="20"/>
      <w:lang w:val="en-US"/>
    </w:rPr>
  </w:style>
  <w:style w:type="paragraph" w:customStyle="1" w:styleId="TableNormal1">
    <w:name w:val="Table Normal1"/>
    <w:basedOn w:val="Header"/>
    <w:rsid w:val="00A079F7"/>
    <w:pPr>
      <w:tabs>
        <w:tab w:val="clear" w:pos="4536"/>
        <w:tab w:val="clear" w:pos="9072"/>
        <w:tab w:val="center" w:pos="4253"/>
        <w:tab w:val="right" w:pos="8505"/>
      </w:tabs>
      <w:spacing w:before="60" w:after="60"/>
    </w:pPr>
    <w:rPr>
      <w:rFonts w:ascii="Times New Roman" w:hAnsi="Times New Roman"/>
      <w:sz w:val="16"/>
      <w:lang w:val="en-GB"/>
    </w:rPr>
  </w:style>
  <w:style w:type="paragraph" w:styleId="TOC2">
    <w:name w:val="toc 2"/>
    <w:basedOn w:val="Normal"/>
    <w:next w:val="Normal"/>
    <w:autoRedefine/>
    <w:uiPriority w:val="39"/>
    <w:rsid w:val="00A079F7"/>
    <w:pPr>
      <w:tabs>
        <w:tab w:val="left" w:pos="709"/>
        <w:tab w:val="right" w:leader="dot" w:pos="8800"/>
      </w:tabs>
      <w:spacing w:before="120" w:after="120"/>
      <w:ind w:left="1276" w:right="281" w:hanging="1078"/>
    </w:pPr>
    <w:rPr>
      <w:noProof/>
      <w:kern w:val="28"/>
      <w:szCs w:val="20"/>
    </w:rPr>
  </w:style>
  <w:style w:type="paragraph" w:customStyle="1" w:styleId="Ballontekst">
    <w:name w:val="Ballontekst"/>
    <w:basedOn w:val="Normal"/>
    <w:semiHidden/>
    <w:rsid w:val="00A079F7"/>
    <w:pPr>
      <w:spacing w:after="0"/>
    </w:pPr>
    <w:rPr>
      <w:rFonts w:ascii="Tahoma" w:hAnsi="Tahoma" w:cs="Tahoma"/>
      <w:sz w:val="16"/>
      <w:szCs w:val="16"/>
      <w:lang w:val="en-GB"/>
    </w:rPr>
  </w:style>
  <w:style w:type="paragraph" w:customStyle="1" w:styleId="MSStandardLevel2">
    <w:name w:val="MS Standard Level 2"/>
    <w:basedOn w:val="Normal"/>
    <w:rsid w:val="00A079F7"/>
    <w:pPr>
      <w:tabs>
        <w:tab w:val="num" w:pos="850"/>
      </w:tabs>
      <w:spacing w:after="120"/>
      <w:ind w:left="850" w:hanging="850"/>
      <w:outlineLvl w:val="1"/>
    </w:pPr>
    <w:rPr>
      <w:rFonts w:cs="Times New Roman"/>
      <w:szCs w:val="20"/>
      <w:lang w:val="en-GB"/>
    </w:rPr>
  </w:style>
  <w:style w:type="paragraph" w:customStyle="1" w:styleId="MSStandardLevel3">
    <w:name w:val="MS Standard Level 3"/>
    <w:basedOn w:val="Normal"/>
    <w:rsid w:val="00A079F7"/>
    <w:pPr>
      <w:tabs>
        <w:tab w:val="num" w:pos="850"/>
      </w:tabs>
      <w:spacing w:after="120"/>
      <w:ind w:left="850" w:hanging="850"/>
      <w:outlineLvl w:val="2"/>
    </w:pPr>
    <w:rPr>
      <w:rFonts w:cs="Times New Roman"/>
      <w:szCs w:val="20"/>
      <w:lang w:val="en-GB"/>
    </w:rPr>
  </w:style>
  <w:style w:type="paragraph" w:customStyle="1" w:styleId="MSStandardLevel4">
    <w:name w:val="MS Standard Level 4"/>
    <w:basedOn w:val="Normal"/>
    <w:rsid w:val="00A079F7"/>
    <w:pPr>
      <w:tabs>
        <w:tab w:val="num" w:pos="1134"/>
      </w:tabs>
      <w:spacing w:after="120"/>
      <w:ind w:left="1134" w:hanging="1134"/>
      <w:outlineLvl w:val="3"/>
    </w:pPr>
    <w:rPr>
      <w:rFonts w:cs="Times New Roman"/>
      <w:szCs w:val="20"/>
      <w:lang w:val="en-GB"/>
    </w:rPr>
  </w:style>
  <w:style w:type="paragraph" w:customStyle="1" w:styleId="MSStandardLevel5">
    <w:name w:val="MS Standard Level 5"/>
    <w:basedOn w:val="Normal"/>
    <w:rsid w:val="00A079F7"/>
    <w:pPr>
      <w:tabs>
        <w:tab w:val="left" w:pos="1134"/>
        <w:tab w:val="num" w:pos="1440"/>
      </w:tabs>
      <w:spacing w:after="120"/>
      <w:ind w:left="1134" w:hanging="1134"/>
      <w:outlineLvl w:val="4"/>
    </w:pPr>
    <w:rPr>
      <w:rFonts w:cs="Times New Roman"/>
      <w:szCs w:val="20"/>
      <w:lang w:val="en-GB"/>
    </w:rPr>
  </w:style>
  <w:style w:type="paragraph" w:customStyle="1" w:styleId="MSStandardLevel6">
    <w:name w:val="MS Standard Level 6"/>
    <w:basedOn w:val="Normal"/>
    <w:rsid w:val="00A079F7"/>
    <w:pPr>
      <w:tabs>
        <w:tab w:val="left" w:pos="1134"/>
        <w:tab w:val="num" w:pos="1440"/>
      </w:tabs>
      <w:spacing w:after="120"/>
      <w:ind w:left="1134" w:hanging="1134"/>
      <w:outlineLvl w:val="5"/>
    </w:pPr>
    <w:rPr>
      <w:rFonts w:cs="Times New Roman"/>
      <w:szCs w:val="20"/>
      <w:lang w:val="en-GB"/>
    </w:rPr>
  </w:style>
  <w:style w:type="paragraph" w:customStyle="1" w:styleId="MSStandardLevel7">
    <w:name w:val="MS Standard Level 7"/>
    <w:basedOn w:val="Normal"/>
    <w:rsid w:val="00A079F7"/>
    <w:pPr>
      <w:tabs>
        <w:tab w:val="left" w:pos="1418"/>
        <w:tab w:val="num" w:pos="1797"/>
      </w:tabs>
      <w:spacing w:after="120"/>
      <w:ind w:left="1417" w:hanging="1417"/>
      <w:outlineLvl w:val="6"/>
    </w:pPr>
    <w:rPr>
      <w:rFonts w:cs="Times New Roman"/>
      <w:szCs w:val="20"/>
      <w:lang w:val="en-GB"/>
    </w:rPr>
  </w:style>
  <w:style w:type="paragraph" w:customStyle="1" w:styleId="MSHouseLevel2">
    <w:name w:val="MS House Level 2"/>
    <w:basedOn w:val="Normal"/>
    <w:rsid w:val="00A079F7"/>
    <w:pPr>
      <w:spacing w:after="120"/>
      <w:outlineLvl w:val="1"/>
    </w:pPr>
    <w:rPr>
      <w:rFonts w:cs="Times New Roman"/>
      <w:szCs w:val="20"/>
      <w:lang w:val="en-GB"/>
    </w:rPr>
  </w:style>
  <w:style w:type="paragraph" w:customStyle="1" w:styleId="MSHouseLevel3">
    <w:name w:val="MS House Level 3"/>
    <w:basedOn w:val="Normal"/>
    <w:rsid w:val="00A079F7"/>
    <w:pPr>
      <w:spacing w:after="120"/>
      <w:outlineLvl w:val="2"/>
    </w:pPr>
    <w:rPr>
      <w:rFonts w:cs="Times New Roman"/>
      <w:szCs w:val="20"/>
      <w:lang w:val="en-GB"/>
    </w:rPr>
  </w:style>
  <w:style w:type="paragraph" w:customStyle="1" w:styleId="MSHouseLevel4">
    <w:name w:val="MS House Level 4"/>
    <w:basedOn w:val="Normal"/>
    <w:rsid w:val="00A079F7"/>
    <w:pPr>
      <w:tabs>
        <w:tab w:val="num" w:pos="851"/>
      </w:tabs>
      <w:spacing w:after="120"/>
      <w:ind w:left="851" w:hanging="851"/>
      <w:outlineLvl w:val="3"/>
    </w:pPr>
    <w:rPr>
      <w:rFonts w:cs="Times New Roman"/>
      <w:szCs w:val="20"/>
      <w:lang w:val="en-GB"/>
    </w:rPr>
  </w:style>
  <w:style w:type="paragraph" w:customStyle="1" w:styleId="MSHouseLevel5">
    <w:name w:val="MS House Level 5"/>
    <w:basedOn w:val="Normal"/>
    <w:rsid w:val="00A079F7"/>
    <w:pPr>
      <w:tabs>
        <w:tab w:val="num" w:pos="851"/>
      </w:tabs>
      <w:spacing w:after="120"/>
      <w:ind w:left="851" w:hanging="851"/>
      <w:outlineLvl w:val="4"/>
    </w:pPr>
    <w:rPr>
      <w:rFonts w:cs="Times New Roman"/>
      <w:szCs w:val="20"/>
      <w:lang w:val="en-GB"/>
    </w:rPr>
  </w:style>
  <w:style w:type="paragraph" w:customStyle="1" w:styleId="MSHouseLevel6">
    <w:name w:val="MS House Level 6"/>
    <w:basedOn w:val="Normal"/>
    <w:rsid w:val="00A079F7"/>
    <w:pPr>
      <w:tabs>
        <w:tab w:val="num" w:pos="1418"/>
      </w:tabs>
      <w:spacing w:after="120"/>
      <w:ind w:left="1418" w:hanging="567"/>
      <w:outlineLvl w:val="5"/>
    </w:pPr>
    <w:rPr>
      <w:rFonts w:cs="Times New Roman"/>
      <w:szCs w:val="20"/>
      <w:lang w:val="en-GB"/>
    </w:rPr>
  </w:style>
  <w:style w:type="paragraph" w:customStyle="1" w:styleId="MSHouseLevel7">
    <w:name w:val="MS House Level 7"/>
    <w:basedOn w:val="Normal"/>
    <w:rsid w:val="00A079F7"/>
    <w:pPr>
      <w:tabs>
        <w:tab w:val="num" w:pos="1985"/>
      </w:tabs>
      <w:spacing w:after="120"/>
      <w:ind w:left="1985" w:hanging="567"/>
      <w:outlineLvl w:val="6"/>
    </w:pPr>
    <w:rPr>
      <w:rFonts w:cs="Times New Roman"/>
      <w:szCs w:val="20"/>
      <w:lang w:val="en-GB"/>
    </w:rPr>
  </w:style>
  <w:style w:type="paragraph" w:customStyle="1" w:styleId="MSLetterLevel2">
    <w:name w:val="MS Letter Level 2"/>
    <w:basedOn w:val="MSLetterLevel1"/>
    <w:rsid w:val="00A079F7"/>
  </w:style>
  <w:style w:type="paragraph" w:customStyle="1" w:styleId="MSLetterLevel1">
    <w:name w:val="MS Letter Level 1"/>
    <w:basedOn w:val="Normal"/>
    <w:rsid w:val="00A079F7"/>
    <w:pPr>
      <w:tabs>
        <w:tab w:val="num" w:pos="360"/>
      </w:tabs>
      <w:spacing w:after="120"/>
      <w:ind w:left="360" w:hanging="360"/>
    </w:pPr>
    <w:rPr>
      <w:rFonts w:cs="Times New Roman"/>
      <w:szCs w:val="20"/>
      <w:lang w:val="en-GB"/>
    </w:rPr>
  </w:style>
  <w:style w:type="paragraph" w:customStyle="1" w:styleId="MSLetterLevel3">
    <w:name w:val="MS Letter Level 3"/>
    <w:basedOn w:val="MSLetterLevel2"/>
    <w:rsid w:val="00A079F7"/>
    <w:pPr>
      <w:tabs>
        <w:tab w:val="left" w:pos="1134"/>
      </w:tabs>
    </w:pPr>
  </w:style>
  <w:style w:type="paragraph" w:customStyle="1" w:styleId="NoteHead">
    <w:name w:val="NoteHead"/>
    <w:basedOn w:val="Normal"/>
    <w:next w:val="Subject"/>
    <w:rsid w:val="00A079F7"/>
    <w:pPr>
      <w:spacing w:before="720" w:after="720"/>
      <w:jc w:val="center"/>
    </w:pPr>
    <w:rPr>
      <w:rFonts w:ascii="Times New Roman" w:hAnsi="Times New Roman" w:cs="Times New Roman"/>
      <w:b/>
      <w:smallCaps/>
      <w:sz w:val="24"/>
      <w:szCs w:val="20"/>
      <w:lang w:val="en-GB"/>
    </w:rPr>
  </w:style>
  <w:style w:type="paragraph" w:customStyle="1" w:styleId="Subject">
    <w:name w:val="Subject"/>
    <w:basedOn w:val="Normal"/>
    <w:next w:val="Normal"/>
    <w:rsid w:val="00A079F7"/>
    <w:pPr>
      <w:spacing w:after="480"/>
      <w:ind w:left="1191" w:hanging="1191"/>
    </w:pPr>
    <w:rPr>
      <w:rFonts w:ascii="Times New Roman" w:hAnsi="Times New Roman" w:cs="Times New Roman"/>
      <w:b/>
      <w:sz w:val="24"/>
      <w:szCs w:val="20"/>
      <w:lang w:val="en-GB"/>
    </w:rPr>
  </w:style>
  <w:style w:type="paragraph" w:styleId="CommentText">
    <w:name w:val="annotation text"/>
    <w:basedOn w:val="Normal"/>
    <w:link w:val="CommentTextChar"/>
    <w:semiHidden/>
    <w:rsid w:val="00A079F7"/>
    <w:rPr>
      <w:rFonts w:ascii="Times New Roman" w:hAnsi="Times New Roman" w:cs="Times New Roman"/>
      <w:bCs w:val="0"/>
      <w:szCs w:val="20"/>
      <w:lang w:val="en-GB"/>
    </w:rPr>
  </w:style>
  <w:style w:type="character" w:customStyle="1" w:styleId="CommentTextChar">
    <w:name w:val="Comment Text Char"/>
    <w:basedOn w:val="DefaultParagraphFont"/>
    <w:link w:val="CommentText"/>
    <w:semiHidden/>
    <w:rsid w:val="00A079F7"/>
    <w:rPr>
      <w:rFonts w:ascii="Times New Roman" w:eastAsia="Times New Roman" w:hAnsi="Times New Roman" w:cs="Times New Roman"/>
      <w:sz w:val="20"/>
      <w:szCs w:val="20"/>
      <w:lang w:val="en-GB"/>
    </w:rPr>
  </w:style>
  <w:style w:type="paragraph" w:customStyle="1" w:styleId="References">
    <w:name w:val="References"/>
    <w:basedOn w:val="Normal"/>
    <w:next w:val="AddressTR"/>
    <w:rsid w:val="00A079F7"/>
    <w:pPr>
      <w:ind w:left="5103"/>
    </w:pPr>
    <w:rPr>
      <w:rFonts w:ascii="Times New Roman" w:hAnsi="Times New Roman" w:cs="Times New Roman"/>
      <w:szCs w:val="20"/>
      <w:lang w:val="en-GB"/>
    </w:rPr>
  </w:style>
  <w:style w:type="paragraph" w:customStyle="1" w:styleId="AddressTR">
    <w:name w:val="AddressTR"/>
    <w:basedOn w:val="Normal"/>
    <w:next w:val="Normal"/>
    <w:rsid w:val="00A079F7"/>
    <w:pPr>
      <w:spacing w:after="720"/>
      <w:ind w:left="5103"/>
    </w:pPr>
    <w:rPr>
      <w:rFonts w:ascii="Times New Roman" w:hAnsi="Times New Roman" w:cs="Times New Roman"/>
      <w:sz w:val="24"/>
      <w:szCs w:val="20"/>
      <w:lang w:val="en-GB"/>
    </w:rPr>
  </w:style>
  <w:style w:type="paragraph" w:styleId="PlainText">
    <w:name w:val="Plain Text"/>
    <w:basedOn w:val="Normal"/>
    <w:link w:val="PlainTextChar"/>
    <w:uiPriority w:val="99"/>
    <w:rsid w:val="00A079F7"/>
    <w:rPr>
      <w:rFonts w:ascii="Courier New" w:hAnsi="Courier New" w:cs="Times New Roman"/>
      <w:bCs w:val="0"/>
      <w:szCs w:val="20"/>
      <w:lang w:val="en-GB"/>
    </w:rPr>
  </w:style>
  <w:style w:type="character" w:customStyle="1" w:styleId="PlainTextChar">
    <w:name w:val="Plain Text Char"/>
    <w:basedOn w:val="DefaultParagraphFont"/>
    <w:link w:val="PlainText"/>
    <w:uiPriority w:val="99"/>
    <w:rsid w:val="00A079F7"/>
    <w:rPr>
      <w:rFonts w:ascii="Courier New" w:eastAsia="Times New Roman" w:hAnsi="Courier New" w:cs="Times New Roman"/>
      <w:sz w:val="20"/>
      <w:szCs w:val="20"/>
      <w:lang w:val="en-GB"/>
    </w:rPr>
  </w:style>
  <w:style w:type="paragraph" w:customStyle="1" w:styleId="SubTitle1">
    <w:name w:val="SubTitle 1"/>
    <w:basedOn w:val="Normal"/>
    <w:next w:val="SubTitle2"/>
    <w:rsid w:val="00A079F7"/>
    <w:pPr>
      <w:jc w:val="center"/>
    </w:pPr>
    <w:rPr>
      <w:rFonts w:ascii="Times New Roman" w:hAnsi="Times New Roman" w:cs="Times New Roman"/>
      <w:b/>
      <w:sz w:val="40"/>
      <w:szCs w:val="20"/>
      <w:lang w:val="en-GB"/>
    </w:rPr>
  </w:style>
  <w:style w:type="paragraph" w:customStyle="1" w:styleId="SubTitle2">
    <w:name w:val="SubTitle 2"/>
    <w:basedOn w:val="Normal"/>
    <w:rsid w:val="00A079F7"/>
    <w:pPr>
      <w:jc w:val="center"/>
    </w:pPr>
    <w:rPr>
      <w:rFonts w:ascii="Times New Roman" w:hAnsi="Times New Roman" w:cs="Times New Roman"/>
      <w:b/>
      <w:sz w:val="32"/>
      <w:szCs w:val="20"/>
      <w:lang w:val="en-GB"/>
    </w:rPr>
  </w:style>
  <w:style w:type="paragraph" w:customStyle="1" w:styleId="Text2">
    <w:name w:val="Text 2"/>
    <w:basedOn w:val="Normal"/>
    <w:rsid w:val="00A079F7"/>
    <w:pPr>
      <w:tabs>
        <w:tab w:val="left" w:pos="2161"/>
      </w:tabs>
      <w:ind w:left="1202"/>
    </w:pPr>
    <w:rPr>
      <w:rFonts w:ascii="Times New Roman" w:hAnsi="Times New Roman" w:cs="Times New Roman"/>
      <w:sz w:val="24"/>
      <w:szCs w:val="20"/>
      <w:lang w:val="en-GB"/>
    </w:rPr>
  </w:style>
  <w:style w:type="paragraph" w:customStyle="1" w:styleId="ChapterTitle">
    <w:name w:val="ChapterTitle"/>
    <w:basedOn w:val="Normal"/>
    <w:next w:val="SectionTitle"/>
    <w:rsid w:val="00A079F7"/>
    <w:pPr>
      <w:keepNext/>
      <w:spacing w:after="480"/>
      <w:jc w:val="center"/>
    </w:pPr>
    <w:rPr>
      <w:rFonts w:ascii="Times New Roman" w:hAnsi="Times New Roman" w:cs="Times New Roman"/>
      <w:b/>
      <w:sz w:val="32"/>
      <w:szCs w:val="20"/>
      <w:lang w:val="en-GB"/>
    </w:rPr>
  </w:style>
  <w:style w:type="paragraph" w:customStyle="1" w:styleId="SectionTitle">
    <w:name w:val="SectionTitle"/>
    <w:basedOn w:val="Normal"/>
    <w:next w:val="Heading1"/>
    <w:rsid w:val="00A079F7"/>
    <w:pPr>
      <w:keepNext/>
      <w:spacing w:after="480"/>
      <w:jc w:val="center"/>
    </w:pPr>
    <w:rPr>
      <w:rFonts w:ascii="Times New Roman" w:hAnsi="Times New Roman" w:cs="Times New Roman"/>
      <w:b/>
      <w:smallCaps/>
      <w:sz w:val="28"/>
      <w:szCs w:val="20"/>
      <w:lang w:val="en-GB"/>
    </w:rPr>
  </w:style>
  <w:style w:type="paragraph" w:styleId="Index7">
    <w:name w:val="index 7"/>
    <w:basedOn w:val="Normal"/>
    <w:next w:val="Normal"/>
    <w:autoRedefine/>
    <w:uiPriority w:val="99"/>
    <w:semiHidden/>
    <w:rsid w:val="00A079F7"/>
    <w:pPr>
      <w:ind w:left="1680" w:hanging="240"/>
    </w:pPr>
    <w:rPr>
      <w:rFonts w:ascii="Times New Roman" w:hAnsi="Times New Roman" w:cs="Times New Roman"/>
      <w:sz w:val="24"/>
      <w:szCs w:val="20"/>
      <w:lang w:val="en-GB"/>
    </w:rPr>
  </w:style>
  <w:style w:type="paragraph" w:styleId="Index9">
    <w:name w:val="index 9"/>
    <w:basedOn w:val="Normal"/>
    <w:next w:val="Normal"/>
    <w:autoRedefine/>
    <w:uiPriority w:val="99"/>
    <w:semiHidden/>
    <w:rsid w:val="00A079F7"/>
    <w:pPr>
      <w:ind w:left="2160" w:hanging="240"/>
    </w:pPr>
    <w:rPr>
      <w:rFonts w:ascii="Times New Roman" w:hAnsi="Times New Roman" w:cs="Times New Roman"/>
      <w:sz w:val="24"/>
      <w:szCs w:val="20"/>
      <w:lang w:val="en-GB"/>
    </w:rPr>
  </w:style>
  <w:style w:type="paragraph" w:customStyle="1" w:styleId="MSHouseLevel1">
    <w:name w:val="MS House Level 1"/>
    <w:basedOn w:val="Normal"/>
    <w:rsid w:val="00A079F7"/>
    <w:pPr>
      <w:outlineLvl w:val="0"/>
    </w:pPr>
    <w:rPr>
      <w:rFonts w:cs="Times New Roman"/>
      <w:b/>
      <w:caps/>
      <w:szCs w:val="20"/>
      <w:lang w:val="en-GB"/>
    </w:rPr>
  </w:style>
  <w:style w:type="paragraph" w:styleId="TOC3">
    <w:name w:val="toc 3"/>
    <w:basedOn w:val="Normal"/>
    <w:next w:val="Normal"/>
    <w:autoRedefine/>
    <w:uiPriority w:val="39"/>
    <w:rsid w:val="00A079F7"/>
    <w:pPr>
      <w:tabs>
        <w:tab w:val="left" w:pos="1200"/>
        <w:tab w:val="right" w:leader="dot" w:pos="8493"/>
      </w:tabs>
      <w:spacing w:after="0"/>
      <w:ind w:left="300"/>
    </w:pPr>
    <w:rPr>
      <w:rFonts w:ascii="Times New Roman" w:hAnsi="Times New Roman" w:cs="Times New Roman"/>
      <w:sz w:val="24"/>
      <w:szCs w:val="20"/>
      <w:lang w:val="en-GB"/>
    </w:rPr>
  </w:style>
  <w:style w:type="paragraph" w:styleId="TOC4">
    <w:name w:val="toc 4"/>
    <w:basedOn w:val="Normal"/>
    <w:next w:val="Normal"/>
    <w:autoRedefine/>
    <w:uiPriority w:val="39"/>
    <w:semiHidden/>
    <w:rsid w:val="00A079F7"/>
    <w:pPr>
      <w:spacing w:after="0"/>
      <w:ind w:left="720"/>
    </w:pPr>
    <w:rPr>
      <w:rFonts w:ascii="Times New Roman" w:hAnsi="Times New Roman" w:cs="Times New Roman"/>
      <w:sz w:val="24"/>
      <w:szCs w:val="24"/>
      <w:lang w:val="en-GB"/>
    </w:rPr>
  </w:style>
  <w:style w:type="paragraph" w:styleId="TOC5">
    <w:name w:val="toc 5"/>
    <w:basedOn w:val="Normal"/>
    <w:next w:val="Normal"/>
    <w:autoRedefine/>
    <w:uiPriority w:val="39"/>
    <w:semiHidden/>
    <w:rsid w:val="00A079F7"/>
    <w:pPr>
      <w:spacing w:after="0"/>
      <w:ind w:left="960"/>
    </w:pPr>
    <w:rPr>
      <w:rFonts w:ascii="Times New Roman" w:hAnsi="Times New Roman" w:cs="Times New Roman"/>
      <w:sz w:val="24"/>
      <w:szCs w:val="24"/>
      <w:lang w:val="en-GB"/>
    </w:rPr>
  </w:style>
  <w:style w:type="paragraph" w:styleId="TOC6">
    <w:name w:val="toc 6"/>
    <w:basedOn w:val="Normal"/>
    <w:next w:val="Normal"/>
    <w:autoRedefine/>
    <w:uiPriority w:val="39"/>
    <w:semiHidden/>
    <w:rsid w:val="00A079F7"/>
    <w:pPr>
      <w:spacing w:after="0"/>
      <w:ind w:left="1200"/>
    </w:pPr>
    <w:rPr>
      <w:rFonts w:ascii="Times New Roman" w:hAnsi="Times New Roman" w:cs="Times New Roman"/>
      <w:sz w:val="24"/>
      <w:szCs w:val="24"/>
      <w:lang w:val="en-GB"/>
    </w:rPr>
  </w:style>
  <w:style w:type="paragraph" w:styleId="TOC7">
    <w:name w:val="toc 7"/>
    <w:basedOn w:val="Normal"/>
    <w:next w:val="Normal"/>
    <w:autoRedefine/>
    <w:uiPriority w:val="39"/>
    <w:semiHidden/>
    <w:rsid w:val="00A079F7"/>
    <w:pPr>
      <w:spacing w:after="0"/>
      <w:ind w:left="1440"/>
    </w:pPr>
    <w:rPr>
      <w:rFonts w:ascii="Times New Roman" w:hAnsi="Times New Roman" w:cs="Times New Roman"/>
      <w:sz w:val="24"/>
      <w:szCs w:val="24"/>
      <w:lang w:val="en-GB"/>
    </w:rPr>
  </w:style>
  <w:style w:type="paragraph" w:styleId="TOC8">
    <w:name w:val="toc 8"/>
    <w:basedOn w:val="Normal"/>
    <w:next w:val="Normal"/>
    <w:autoRedefine/>
    <w:uiPriority w:val="39"/>
    <w:semiHidden/>
    <w:rsid w:val="00A079F7"/>
    <w:pPr>
      <w:spacing w:after="0"/>
      <w:ind w:left="1680"/>
    </w:pPr>
    <w:rPr>
      <w:rFonts w:ascii="Times New Roman" w:hAnsi="Times New Roman" w:cs="Times New Roman"/>
      <w:sz w:val="24"/>
      <w:szCs w:val="24"/>
      <w:lang w:val="en-GB"/>
    </w:rPr>
  </w:style>
  <w:style w:type="paragraph" w:styleId="TOC9">
    <w:name w:val="toc 9"/>
    <w:basedOn w:val="Normal"/>
    <w:next w:val="Normal"/>
    <w:autoRedefine/>
    <w:uiPriority w:val="39"/>
    <w:semiHidden/>
    <w:rsid w:val="00A079F7"/>
    <w:pPr>
      <w:spacing w:after="0"/>
      <w:ind w:left="1920"/>
    </w:pPr>
    <w:rPr>
      <w:rFonts w:ascii="Times New Roman" w:hAnsi="Times New Roman" w:cs="Times New Roman"/>
      <w:sz w:val="24"/>
      <w:szCs w:val="24"/>
      <w:lang w:val="en-GB"/>
    </w:rPr>
  </w:style>
  <w:style w:type="paragraph" w:customStyle="1" w:styleId="MSBulletLevel1">
    <w:name w:val="MS Bullet Level 1"/>
    <w:basedOn w:val="Normal"/>
    <w:rsid w:val="00A079F7"/>
    <w:pPr>
      <w:numPr>
        <w:numId w:val="17"/>
      </w:numPr>
      <w:spacing w:after="120"/>
    </w:pPr>
    <w:rPr>
      <w:rFonts w:cs="Times New Roman"/>
      <w:szCs w:val="20"/>
      <w:lang w:val="en-GB"/>
    </w:rPr>
  </w:style>
  <w:style w:type="paragraph" w:styleId="Caption">
    <w:name w:val="caption"/>
    <w:basedOn w:val="Normal"/>
    <w:next w:val="Normal"/>
    <w:qFormat/>
    <w:rsid w:val="00A079F7"/>
    <w:pPr>
      <w:spacing w:before="120" w:after="120"/>
    </w:pPr>
    <w:rPr>
      <w:rFonts w:ascii="Times New Roman" w:hAnsi="Times New Roman" w:cs="Times New Roman"/>
      <w:b/>
      <w:sz w:val="24"/>
      <w:szCs w:val="20"/>
      <w:lang w:val="en-GB"/>
    </w:rPr>
  </w:style>
  <w:style w:type="paragraph" w:styleId="List">
    <w:name w:val="List"/>
    <w:basedOn w:val="Normal"/>
    <w:uiPriority w:val="99"/>
    <w:rsid w:val="00A079F7"/>
    <w:pPr>
      <w:ind w:left="283" w:hanging="283"/>
    </w:pPr>
    <w:rPr>
      <w:rFonts w:ascii="Times New Roman" w:hAnsi="Times New Roman" w:cs="Times New Roman"/>
      <w:sz w:val="24"/>
      <w:szCs w:val="20"/>
      <w:lang w:val="en-GB"/>
    </w:rPr>
  </w:style>
  <w:style w:type="paragraph" w:styleId="NoteHeading">
    <w:name w:val="Note Heading"/>
    <w:basedOn w:val="Normal"/>
    <w:next w:val="Normal"/>
    <w:link w:val="NoteHeadingChar"/>
    <w:uiPriority w:val="99"/>
    <w:rsid w:val="00A079F7"/>
    <w:rPr>
      <w:rFonts w:ascii="Times New Roman" w:hAnsi="Times New Roman" w:cs="Times New Roman"/>
      <w:bCs w:val="0"/>
      <w:sz w:val="24"/>
      <w:szCs w:val="20"/>
      <w:lang w:val="en-GB"/>
    </w:rPr>
  </w:style>
  <w:style w:type="character" w:customStyle="1" w:styleId="NoteHeadingChar">
    <w:name w:val="Note Heading Char"/>
    <w:basedOn w:val="DefaultParagraphFont"/>
    <w:link w:val="NoteHeading"/>
    <w:uiPriority w:val="99"/>
    <w:rsid w:val="00A079F7"/>
    <w:rPr>
      <w:rFonts w:ascii="Times New Roman" w:eastAsia="Times New Roman" w:hAnsi="Times New Roman" w:cs="Times New Roman"/>
      <w:sz w:val="24"/>
      <w:szCs w:val="20"/>
      <w:lang w:val="en-GB"/>
    </w:rPr>
  </w:style>
  <w:style w:type="paragraph" w:customStyle="1" w:styleId="MSBulletLevel2">
    <w:name w:val="MS Bullet Level 2"/>
    <w:basedOn w:val="Normal"/>
    <w:rsid w:val="00A079F7"/>
    <w:pPr>
      <w:numPr>
        <w:ilvl w:val="1"/>
        <w:numId w:val="18"/>
      </w:numPr>
      <w:spacing w:after="120"/>
    </w:pPr>
    <w:rPr>
      <w:rFonts w:cs="Times New Roman"/>
      <w:szCs w:val="20"/>
      <w:lang w:val="en-GB"/>
    </w:rPr>
  </w:style>
  <w:style w:type="paragraph" w:customStyle="1" w:styleId="MSBulletLevel3">
    <w:name w:val="MS Bullet Level 3"/>
    <w:basedOn w:val="Normal"/>
    <w:rsid w:val="00A079F7"/>
    <w:pPr>
      <w:numPr>
        <w:ilvl w:val="2"/>
        <w:numId w:val="18"/>
      </w:numPr>
      <w:spacing w:after="120"/>
    </w:pPr>
    <w:rPr>
      <w:rFonts w:cs="Times New Roman"/>
      <w:szCs w:val="20"/>
      <w:lang w:val="en-GB"/>
    </w:rPr>
  </w:style>
  <w:style w:type="paragraph" w:styleId="NormalWeb">
    <w:name w:val="Normal (Web)"/>
    <w:basedOn w:val="Normal"/>
    <w:uiPriority w:val="99"/>
    <w:rsid w:val="00A079F7"/>
    <w:pPr>
      <w:spacing w:before="100" w:beforeAutospacing="1" w:after="100" w:afterAutospacing="1"/>
    </w:pPr>
    <w:rPr>
      <w:rFonts w:ascii="Times New Roman" w:hAnsi="Times New Roman" w:cs="Times New Roman"/>
      <w:sz w:val="24"/>
      <w:szCs w:val="24"/>
      <w:lang w:val="en-GB"/>
    </w:rPr>
  </w:style>
  <w:style w:type="table" w:styleId="TableGrid">
    <w:name w:val="Table Grid"/>
    <w:basedOn w:val="TableNormal"/>
    <w:uiPriority w:val="59"/>
    <w:rsid w:val="00A079F7"/>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Number3">
    <w:name w:val="List Number 3"/>
    <w:basedOn w:val="Text3"/>
    <w:uiPriority w:val="99"/>
    <w:rsid w:val="00A079F7"/>
    <w:pPr>
      <w:tabs>
        <w:tab w:val="clear" w:pos="2302"/>
      </w:tabs>
      <w:ind w:left="0"/>
    </w:pPr>
  </w:style>
  <w:style w:type="paragraph" w:customStyle="1" w:styleId="ListNumber3Level2">
    <w:name w:val="List Number 3 (Level 2)"/>
    <w:basedOn w:val="Text3"/>
    <w:rsid w:val="00A079F7"/>
    <w:pPr>
      <w:tabs>
        <w:tab w:val="clear" w:pos="2302"/>
      </w:tabs>
      <w:ind w:left="0"/>
    </w:pPr>
  </w:style>
  <w:style w:type="paragraph" w:customStyle="1" w:styleId="ListNumber3Level3">
    <w:name w:val="List Number 3 (Level 3)"/>
    <w:basedOn w:val="Text3"/>
    <w:rsid w:val="00A079F7"/>
    <w:pPr>
      <w:tabs>
        <w:tab w:val="clear" w:pos="2302"/>
      </w:tabs>
      <w:ind w:left="0"/>
    </w:pPr>
  </w:style>
  <w:style w:type="paragraph" w:customStyle="1" w:styleId="ListNumber3Level4">
    <w:name w:val="List Number 3 (Level 4)"/>
    <w:basedOn w:val="Text3"/>
    <w:rsid w:val="00A079F7"/>
    <w:pPr>
      <w:tabs>
        <w:tab w:val="clear" w:pos="2302"/>
      </w:tabs>
      <w:ind w:left="0"/>
    </w:pPr>
  </w:style>
  <w:style w:type="paragraph" w:customStyle="1" w:styleId="ListParagraph1">
    <w:name w:val="List Paragraph1"/>
    <w:basedOn w:val="Normal"/>
    <w:uiPriority w:val="34"/>
    <w:qFormat/>
    <w:rsid w:val="00A079F7"/>
    <w:pPr>
      <w:ind w:left="720"/>
      <w:contextualSpacing/>
    </w:pPr>
    <w:rPr>
      <w:rFonts w:cs="Times New Roman"/>
      <w:lang w:val="en-GB"/>
    </w:rPr>
  </w:style>
  <w:style w:type="paragraph" w:customStyle="1" w:styleId="Heading">
    <w:name w:val="Heading"/>
    <w:next w:val="Normal"/>
    <w:rsid w:val="00A079F7"/>
    <w:pPr>
      <w:keepNext/>
      <w:spacing w:after="0" w:line="240" w:lineRule="auto"/>
    </w:pPr>
    <w:rPr>
      <w:rFonts w:ascii="Calibri Bold" w:eastAsia="ヒラギノ角ゴ Pro W3" w:hAnsi="Calibri Bold" w:cs="Times New Roman"/>
      <w:color w:val="000000"/>
      <w:sz w:val="28"/>
      <w:szCs w:val="20"/>
      <w:lang w:val="en-GB"/>
    </w:rPr>
  </w:style>
  <w:style w:type="paragraph" w:customStyle="1" w:styleId="Body">
    <w:name w:val="Body"/>
    <w:rsid w:val="00A079F7"/>
    <w:pPr>
      <w:spacing w:after="0" w:line="240" w:lineRule="auto"/>
      <w:jc w:val="both"/>
    </w:pPr>
    <w:rPr>
      <w:rFonts w:ascii="Calibri" w:eastAsia="ヒラギノ角ゴ Pro W3" w:hAnsi="Calibri" w:cs="Times New Roman"/>
      <w:color w:val="000000"/>
      <w:szCs w:val="20"/>
      <w:lang w:val="en-GB"/>
    </w:rPr>
  </w:style>
  <w:style w:type="character" w:styleId="CommentReference">
    <w:name w:val="annotation reference"/>
    <w:uiPriority w:val="99"/>
    <w:unhideWhenUsed/>
    <w:rsid w:val="00A079F7"/>
    <w:rPr>
      <w:rFonts w:cs="Times New Roman"/>
      <w:sz w:val="18"/>
      <w:szCs w:val="18"/>
    </w:rPr>
  </w:style>
  <w:style w:type="paragraph" w:styleId="MacroText">
    <w:name w:val="macro"/>
    <w:link w:val="MacroTextChar"/>
    <w:uiPriority w:val="99"/>
    <w:rsid w:val="00A079F7"/>
    <w:pPr>
      <w:tabs>
        <w:tab w:val="left" w:pos="480"/>
        <w:tab w:val="left" w:pos="960"/>
        <w:tab w:val="left" w:pos="1440"/>
        <w:tab w:val="left" w:pos="1920"/>
        <w:tab w:val="left" w:pos="2400"/>
        <w:tab w:val="left" w:pos="2880"/>
        <w:tab w:val="left" w:pos="3360"/>
        <w:tab w:val="left" w:pos="3840"/>
        <w:tab w:val="left" w:pos="4320"/>
      </w:tabs>
      <w:spacing w:after="240" w:line="240" w:lineRule="auto"/>
      <w:jc w:val="both"/>
    </w:pPr>
    <w:rPr>
      <w:rFonts w:ascii="Courier New" w:eastAsia="Times New Roman" w:hAnsi="Courier New" w:cs="Times New Roman"/>
      <w:sz w:val="20"/>
      <w:szCs w:val="20"/>
      <w:lang w:val="en-GB"/>
    </w:rPr>
  </w:style>
  <w:style w:type="character" w:customStyle="1" w:styleId="MacroTextChar">
    <w:name w:val="Macro Text Char"/>
    <w:basedOn w:val="DefaultParagraphFont"/>
    <w:link w:val="MacroText"/>
    <w:uiPriority w:val="99"/>
    <w:rsid w:val="00A079F7"/>
    <w:rPr>
      <w:rFonts w:ascii="Courier New" w:eastAsia="Times New Roman" w:hAnsi="Courier New" w:cs="Times New Roman"/>
      <w:sz w:val="20"/>
      <w:szCs w:val="20"/>
      <w:lang w:val="en-GB"/>
    </w:rPr>
  </w:style>
  <w:style w:type="paragraph" w:styleId="CommentSubject">
    <w:name w:val="annotation subject"/>
    <w:basedOn w:val="CommentText"/>
    <w:next w:val="CommentText"/>
    <w:link w:val="CommentSubjectChar"/>
    <w:uiPriority w:val="99"/>
    <w:semiHidden/>
    <w:rsid w:val="00A079F7"/>
    <w:pPr>
      <w:spacing w:after="0"/>
      <w:jc w:val="left"/>
    </w:pPr>
    <w:rPr>
      <w:b/>
    </w:rPr>
  </w:style>
  <w:style w:type="character" w:customStyle="1" w:styleId="CommentSubjectChar">
    <w:name w:val="Comment Subject Char"/>
    <w:basedOn w:val="CommentTextChar"/>
    <w:link w:val="CommentSubject"/>
    <w:uiPriority w:val="99"/>
    <w:semiHidden/>
    <w:rsid w:val="00A079F7"/>
    <w:rPr>
      <w:rFonts w:ascii="Times New Roman" w:eastAsia="Times New Roman" w:hAnsi="Times New Roman" w:cs="Times New Roman"/>
      <w:b/>
      <w:sz w:val="20"/>
      <w:szCs w:val="20"/>
      <w:lang w:val="en-GB"/>
    </w:rPr>
  </w:style>
  <w:style w:type="paragraph" w:customStyle="1" w:styleId="1Arial">
    <w:name w:val="1 + Arial"/>
    <w:aliases w:val="14 pt"/>
    <w:basedOn w:val="Heading1"/>
    <w:rsid w:val="00A079F7"/>
    <w:pPr>
      <w:numPr>
        <w:numId w:val="24"/>
      </w:numPr>
    </w:pPr>
    <w:rPr>
      <w:sz w:val="28"/>
      <w:szCs w:val="28"/>
    </w:rPr>
  </w:style>
  <w:style w:type="character" w:styleId="Strong">
    <w:name w:val="Strong"/>
    <w:uiPriority w:val="22"/>
    <w:qFormat/>
    <w:rsid w:val="00A079F7"/>
    <w:rPr>
      <w:rFonts w:cs="Times New Roman"/>
      <w:b/>
      <w:bCs/>
    </w:rPr>
  </w:style>
  <w:style w:type="paragraph" w:customStyle="1" w:styleId="ProposalBullet1">
    <w:name w:val="Proposal Bullet 1"/>
    <w:basedOn w:val="Normal"/>
    <w:rsid w:val="00A079F7"/>
    <w:pPr>
      <w:numPr>
        <w:numId w:val="25"/>
      </w:numPr>
      <w:tabs>
        <w:tab w:val="left" w:pos="284"/>
        <w:tab w:val="left" w:pos="567"/>
        <w:tab w:val="left" w:pos="851"/>
        <w:tab w:val="left" w:pos="1134"/>
        <w:tab w:val="left" w:pos="1418"/>
      </w:tabs>
      <w:suppressAutoHyphens/>
      <w:spacing w:after="0" w:line="300" w:lineRule="exact"/>
      <w:jc w:val="left"/>
    </w:pPr>
    <w:rPr>
      <w:rFonts w:ascii="Tahoma" w:hAnsi="Tahoma" w:cs="Times New Roman"/>
      <w:bCs w:val="0"/>
      <w:sz w:val="16"/>
      <w:szCs w:val="20"/>
      <w:lang w:val="en-GB"/>
    </w:rPr>
  </w:style>
  <w:style w:type="paragraph" w:customStyle="1" w:styleId="Default">
    <w:name w:val="Default"/>
    <w:rsid w:val="00A079F7"/>
    <w:pPr>
      <w:autoSpaceDE w:val="0"/>
      <w:autoSpaceDN w:val="0"/>
      <w:adjustRightInd w:val="0"/>
      <w:spacing w:after="0" w:line="240" w:lineRule="auto"/>
    </w:pPr>
    <w:rPr>
      <w:rFonts w:ascii="Georgia" w:eastAsia="Times New Roman" w:hAnsi="Georgia" w:cs="Georgia"/>
      <w:color w:val="000000"/>
      <w:sz w:val="24"/>
      <w:szCs w:val="24"/>
      <w:lang w:eastAsia="fr-FR"/>
    </w:rPr>
  </w:style>
  <w:style w:type="paragraph" w:styleId="TOCHeading">
    <w:name w:val="TOC Heading"/>
    <w:basedOn w:val="Heading1"/>
    <w:next w:val="Normal"/>
    <w:uiPriority w:val="39"/>
    <w:qFormat/>
    <w:rsid w:val="00A079F7"/>
    <w:pPr>
      <w:keepLines/>
      <w:numPr>
        <w:numId w:val="11"/>
      </w:numPr>
      <w:spacing w:before="480" w:line="276" w:lineRule="auto"/>
      <w:jc w:val="left"/>
      <w:outlineLvl w:val="9"/>
    </w:pPr>
    <w:rPr>
      <w:rFonts w:ascii="Cambria" w:hAnsi="Cambria"/>
      <w:color w:val="365F91"/>
      <w:sz w:val="28"/>
      <w:szCs w:val="28"/>
    </w:rPr>
  </w:style>
  <w:style w:type="numbering" w:customStyle="1" w:styleId="Listeencours1">
    <w:name w:val="Liste en cours1"/>
    <w:rsid w:val="00A079F7"/>
    <w:pPr>
      <w:numPr>
        <w:numId w:val="23"/>
      </w:numPr>
    </w:pPr>
  </w:style>
  <w:style w:type="numbering" w:customStyle="1" w:styleId="Style2">
    <w:name w:val="Style2"/>
    <w:rsid w:val="00A079F7"/>
    <w:pPr>
      <w:numPr>
        <w:numId w:val="21"/>
      </w:numPr>
    </w:pPr>
  </w:style>
  <w:style w:type="numbering" w:customStyle="1" w:styleId="Style1">
    <w:name w:val="Style1"/>
    <w:rsid w:val="00A079F7"/>
    <w:pPr>
      <w:numPr>
        <w:numId w:val="20"/>
      </w:numPr>
    </w:pPr>
  </w:style>
  <w:style w:type="numbering" w:styleId="111111">
    <w:name w:val="Outline List 2"/>
    <w:aliases w:val="1.1.1"/>
    <w:basedOn w:val="NoList"/>
    <w:uiPriority w:val="99"/>
    <w:semiHidden/>
    <w:unhideWhenUsed/>
    <w:rsid w:val="00A079F7"/>
    <w:pPr>
      <w:numPr>
        <w:numId w:val="19"/>
      </w:numPr>
    </w:pPr>
  </w:style>
  <w:style w:type="character" w:customStyle="1" w:styleId="apple-style-span">
    <w:name w:val="apple-style-span"/>
    <w:basedOn w:val="DefaultParagraphFont"/>
    <w:rsid w:val="00A079F7"/>
  </w:style>
  <w:style w:type="table" w:customStyle="1" w:styleId="Grilleclaire-Accent11">
    <w:name w:val="Grille claire - Accent 11"/>
    <w:basedOn w:val="TableNormal"/>
    <w:uiPriority w:val="62"/>
    <w:rsid w:val="00A079F7"/>
    <w:pPr>
      <w:spacing w:after="0" w:line="240" w:lineRule="auto"/>
    </w:pPr>
    <w:rPr>
      <w:rFonts w:ascii="Calibri" w:eastAsia="Times New Roman" w:hAnsi="Calibri" w:cs="Times New Roman"/>
      <w:sz w:val="20"/>
      <w:szCs w:val="20"/>
      <w:lang w:eastAsia="fr-F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eclaire-Accent11">
    <w:name w:val="Liste claire - Accent 11"/>
    <w:basedOn w:val="TableNormal"/>
    <w:uiPriority w:val="61"/>
    <w:rsid w:val="00A079F7"/>
    <w:pPr>
      <w:spacing w:after="0" w:line="240" w:lineRule="auto"/>
    </w:pPr>
    <w:rPr>
      <w:rFonts w:ascii="Calibri" w:eastAsia="Times New Roman" w:hAnsi="Calibri" w:cs="Times New Roman"/>
      <w:sz w:val="20"/>
      <w:szCs w:val="20"/>
      <w:lang w:eastAsia="fr-F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Shading-Accent5">
    <w:name w:val="Light Shading Accent 5"/>
    <w:basedOn w:val="TableNormal"/>
    <w:uiPriority w:val="60"/>
    <w:rsid w:val="00A079F7"/>
    <w:pPr>
      <w:spacing w:after="0" w:line="240" w:lineRule="auto"/>
    </w:pPr>
    <w:rPr>
      <w:rFonts w:ascii="Calibri" w:eastAsia="Times New Roman" w:hAnsi="Calibri" w:cs="Times New Roman"/>
      <w:color w:val="31849B"/>
      <w:sz w:val="20"/>
      <w:szCs w:val="20"/>
      <w:lang w:eastAsia="fr-F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List-Accent5">
    <w:name w:val="Light List Accent 5"/>
    <w:basedOn w:val="TableNormal"/>
    <w:uiPriority w:val="61"/>
    <w:rsid w:val="00A079F7"/>
    <w:pPr>
      <w:spacing w:after="0" w:line="240" w:lineRule="auto"/>
    </w:pPr>
    <w:rPr>
      <w:rFonts w:ascii="Calibri" w:eastAsia="Times New Roman" w:hAnsi="Calibri" w:cs="Times New Roman"/>
      <w:sz w:val="20"/>
      <w:szCs w:val="20"/>
      <w:lang w:eastAsia="fr-FR"/>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ramemoyenne1-Accent11">
    <w:name w:val="Trame moyenne 1 - Accent 11"/>
    <w:basedOn w:val="TableNormal"/>
    <w:uiPriority w:val="63"/>
    <w:rsid w:val="00A079F7"/>
    <w:pPr>
      <w:spacing w:after="0" w:line="240" w:lineRule="auto"/>
    </w:pPr>
    <w:rPr>
      <w:rFonts w:ascii="Calibri" w:eastAsia="Times New Roman" w:hAnsi="Calibri" w:cs="Times New Roman"/>
      <w:sz w:val="20"/>
      <w:szCs w:val="20"/>
      <w:lang w:eastAsia="fr-F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List1-Accent5">
    <w:name w:val="Medium List 1 Accent 5"/>
    <w:basedOn w:val="TableNormal"/>
    <w:uiPriority w:val="65"/>
    <w:rsid w:val="00A079F7"/>
    <w:pPr>
      <w:spacing w:after="0" w:line="240" w:lineRule="auto"/>
    </w:pPr>
    <w:rPr>
      <w:rFonts w:ascii="Calibri" w:eastAsia="Times New Roman" w:hAnsi="Calibri" w:cs="Times New Roman"/>
      <w:color w:val="000000"/>
      <w:sz w:val="20"/>
      <w:szCs w:val="20"/>
      <w:lang w:eastAsia="fr-F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paragraph" w:styleId="Revision">
    <w:name w:val="Revision"/>
    <w:hidden/>
    <w:uiPriority w:val="99"/>
    <w:semiHidden/>
    <w:rsid w:val="00A079F7"/>
    <w:pPr>
      <w:spacing w:after="0" w:line="240" w:lineRule="auto"/>
    </w:pPr>
    <w:rPr>
      <w:rFonts w:ascii="Arial" w:eastAsia="Times New Roman" w:hAnsi="Arial" w:cs="Arial"/>
      <w:bCs/>
      <w:sz w:val="20"/>
    </w:rPr>
  </w:style>
  <w:style w:type="character" w:customStyle="1" w:styleId="apple-converted-space">
    <w:name w:val="apple-converted-space"/>
    <w:basedOn w:val="DefaultParagraphFont"/>
    <w:rsid w:val="00A079F7"/>
  </w:style>
  <w:style w:type="character" w:customStyle="1" w:styleId="st">
    <w:name w:val="st"/>
    <w:basedOn w:val="DefaultParagraphFont"/>
    <w:rsid w:val="00A079F7"/>
  </w:style>
  <w:style w:type="character" w:customStyle="1" w:styleId="FontStyle525">
    <w:name w:val="Font Style525"/>
    <w:basedOn w:val="DefaultParagraphFont"/>
    <w:uiPriority w:val="99"/>
    <w:rsid w:val="00A079F7"/>
    <w:rPr>
      <w:rFonts w:ascii="Times New Roman" w:hAnsi="Times New Roman" w:cs="Times New Roman"/>
      <w:color w:val="000000"/>
      <w:sz w:val="22"/>
      <w:szCs w:val="22"/>
    </w:rPr>
  </w:style>
  <w:style w:type="paragraph" w:customStyle="1" w:styleId="Style9">
    <w:name w:val="Style9"/>
    <w:basedOn w:val="Normal"/>
    <w:uiPriority w:val="99"/>
    <w:rsid w:val="00A079F7"/>
    <w:pPr>
      <w:widowControl w:val="0"/>
      <w:autoSpaceDE w:val="0"/>
      <w:autoSpaceDN w:val="0"/>
      <w:adjustRightInd w:val="0"/>
      <w:spacing w:after="0"/>
      <w:jc w:val="left"/>
    </w:pPr>
    <w:rPr>
      <w:rFonts w:ascii="Times New Roman" w:eastAsiaTheme="minorEastAsia" w:hAnsi="Times New Roman" w:cs="Times New Roman"/>
      <w:bCs w:val="0"/>
      <w:sz w:val="24"/>
      <w:szCs w:val="24"/>
      <w:lang w:eastAsia="fr-FR"/>
    </w:rPr>
  </w:style>
  <w:style w:type="paragraph" w:customStyle="1" w:styleId="Style11">
    <w:name w:val="Style11"/>
    <w:basedOn w:val="Normal"/>
    <w:uiPriority w:val="99"/>
    <w:rsid w:val="00A079F7"/>
    <w:pPr>
      <w:widowControl w:val="0"/>
      <w:autoSpaceDE w:val="0"/>
      <w:autoSpaceDN w:val="0"/>
      <w:adjustRightInd w:val="0"/>
      <w:spacing w:after="0" w:line="312" w:lineRule="exact"/>
    </w:pPr>
    <w:rPr>
      <w:rFonts w:ascii="Times New Roman" w:eastAsiaTheme="minorEastAsia" w:hAnsi="Times New Roman" w:cs="Times New Roman"/>
      <w:bCs w:val="0"/>
      <w:sz w:val="24"/>
      <w:szCs w:val="24"/>
      <w:lang w:eastAsia="fr-FR"/>
    </w:rPr>
  </w:style>
  <w:style w:type="character" w:customStyle="1" w:styleId="FontStyle580">
    <w:name w:val="Font Style580"/>
    <w:basedOn w:val="DefaultParagraphFont"/>
    <w:uiPriority w:val="99"/>
    <w:rsid w:val="00A079F7"/>
    <w:rPr>
      <w:rFonts w:ascii="Arial Narrow" w:hAnsi="Arial Narrow" w:cs="Arial Narrow"/>
      <w:color w:val="000000"/>
      <w:sz w:val="20"/>
      <w:szCs w:val="20"/>
    </w:rPr>
  </w:style>
  <w:style w:type="character" w:styleId="Emphasis">
    <w:name w:val="Emphasis"/>
    <w:basedOn w:val="DefaultParagraphFont"/>
    <w:qFormat/>
    <w:rsid w:val="00A079F7"/>
    <w:rPr>
      <w:i/>
      <w:iCs/>
    </w:rPr>
  </w:style>
  <w:style w:type="paragraph" w:styleId="Subtitle">
    <w:name w:val="Subtitle"/>
    <w:basedOn w:val="Normal"/>
    <w:next w:val="Normal"/>
    <w:link w:val="SubtitleChar"/>
    <w:qFormat/>
    <w:rsid w:val="00A079F7"/>
    <w:pPr>
      <w:spacing w:after="60"/>
      <w:jc w:val="center"/>
      <w:outlineLvl w:val="1"/>
    </w:pPr>
    <w:rPr>
      <w:rFonts w:ascii="Cambria" w:hAnsi="Cambria" w:cs="Times New Roman"/>
      <w:bCs w:val="0"/>
      <w:sz w:val="24"/>
      <w:szCs w:val="24"/>
      <w:lang w:eastAsia="fr-FR"/>
    </w:rPr>
  </w:style>
  <w:style w:type="character" w:customStyle="1" w:styleId="SubtitleChar">
    <w:name w:val="Subtitle Char"/>
    <w:basedOn w:val="DefaultParagraphFont"/>
    <w:link w:val="Subtitle"/>
    <w:rsid w:val="00A079F7"/>
    <w:rPr>
      <w:rFonts w:ascii="Cambria" w:eastAsia="Times New Roman" w:hAnsi="Cambria" w:cs="Times New Roman"/>
      <w:sz w:val="24"/>
      <w:szCs w:val="24"/>
      <w:lang w:eastAsia="fr-FR"/>
    </w:rPr>
  </w:style>
  <w:style w:type="paragraph" w:customStyle="1" w:styleId="Paragraphedeliste1">
    <w:name w:val="Paragraphe de liste1"/>
    <w:basedOn w:val="Normal"/>
    <w:uiPriority w:val="34"/>
    <w:qFormat/>
    <w:rsid w:val="00A079F7"/>
    <w:pPr>
      <w:spacing w:after="0"/>
      <w:ind w:left="708"/>
      <w:jc w:val="left"/>
    </w:pPr>
    <w:rPr>
      <w:rFonts w:ascii="Times New Roman" w:hAnsi="Times New Roman" w:cs="Times New Roman"/>
      <w:bCs w:val="0"/>
      <w:sz w:val="24"/>
      <w:szCs w:val="24"/>
      <w:lang w:eastAsia="fr-FR"/>
    </w:rPr>
  </w:style>
  <w:style w:type="paragraph" w:customStyle="1" w:styleId="Style168">
    <w:name w:val="Style168"/>
    <w:basedOn w:val="Normal"/>
    <w:uiPriority w:val="99"/>
    <w:rsid w:val="00A079F7"/>
    <w:pPr>
      <w:widowControl w:val="0"/>
      <w:autoSpaceDE w:val="0"/>
      <w:autoSpaceDN w:val="0"/>
      <w:adjustRightInd w:val="0"/>
      <w:spacing w:after="0" w:line="254" w:lineRule="exact"/>
    </w:pPr>
    <w:rPr>
      <w:rFonts w:ascii="Times New Roman" w:eastAsiaTheme="minorEastAsia" w:hAnsi="Times New Roman" w:cs="Times New Roman"/>
      <w:bCs w:val="0"/>
      <w:sz w:val="24"/>
      <w:szCs w:val="24"/>
      <w:lang w:eastAsia="fr-FR"/>
    </w:rPr>
  </w:style>
  <w:style w:type="character" w:customStyle="1" w:styleId="FontStyle576">
    <w:name w:val="Font Style576"/>
    <w:basedOn w:val="DefaultParagraphFont"/>
    <w:uiPriority w:val="99"/>
    <w:rsid w:val="00A079F7"/>
    <w:rPr>
      <w:rFonts w:ascii="Arial" w:hAnsi="Arial" w:cs="Arial"/>
      <w:color w:val="000000"/>
      <w:sz w:val="16"/>
      <w:szCs w:val="16"/>
    </w:rPr>
  </w:style>
  <w:style w:type="paragraph" w:customStyle="1" w:styleId="xl65">
    <w:name w:val="xl65"/>
    <w:basedOn w:val="Normal"/>
    <w:rsid w:val="00A079F7"/>
    <w:pPr>
      <w:spacing w:before="100" w:beforeAutospacing="1" w:after="100" w:afterAutospacing="1"/>
      <w:jc w:val="center"/>
      <w:textAlignment w:val="center"/>
    </w:pPr>
    <w:rPr>
      <w:bCs w:val="0"/>
      <w:sz w:val="16"/>
      <w:szCs w:val="16"/>
      <w:lang w:eastAsia="fr-FR"/>
    </w:rPr>
  </w:style>
  <w:style w:type="paragraph" w:customStyle="1" w:styleId="xl66">
    <w:name w:val="xl66"/>
    <w:basedOn w:val="Normal"/>
    <w:rsid w:val="00A079F7"/>
    <w:pPr>
      <w:pBdr>
        <w:top w:val="single" w:sz="4" w:space="0" w:color="4F81BD"/>
        <w:left w:val="single" w:sz="4" w:space="0" w:color="4F81BD"/>
        <w:bottom w:val="single" w:sz="4" w:space="0" w:color="4F81BD"/>
        <w:right w:val="single" w:sz="4" w:space="0" w:color="4F81BD"/>
      </w:pBdr>
      <w:shd w:val="clear" w:color="000000" w:fill="17365D"/>
      <w:spacing w:before="100" w:beforeAutospacing="1" w:after="100" w:afterAutospacing="1"/>
      <w:jc w:val="center"/>
      <w:textAlignment w:val="center"/>
    </w:pPr>
    <w:rPr>
      <w:b/>
      <w:color w:val="FFFFFF"/>
      <w:sz w:val="16"/>
      <w:szCs w:val="16"/>
      <w:lang w:eastAsia="fr-FR"/>
    </w:rPr>
  </w:style>
  <w:style w:type="paragraph" w:customStyle="1" w:styleId="xl67">
    <w:name w:val="xl67"/>
    <w:basedOn w:val="Normal"/>
    <w:rsid w:val="00A079F7"/>
    <w:pPr>
      <w:pBdr>
        <w:top w:val="single" w:sz="4" w:space="0" w:color="4F81BD"/>
        <w:left w:val="single" w:sz="4" w:space="0" w:color="4F81BD"/>
        <w:bottom w:val="single" w:sz="4" w:space="0" w:color="4F81BD"/>
        <w:right w:val="single" w:sz="4" w:space="0" w:color="4F81BD"/>
      </w:pBdr>
      <w:spacing w:before="100" w:beforeAutospacing="1" w:after="100" w:afterAutospacing="1"/>
      <w:jc w:val="center"/>
      <w:textAlignment w:val="center"/>
    </w:pPr>
    <w:rPr>
      <w:bCs w:val="0"/>
      <w:sz w:val="16"/>
      <w:szCs w:val="16"/>
      <w:lang w:eastAsia="fr-FR"/>
    </w:rPr>
  </w:style>
  <w:style w:type="paragraph" w:customStyle="1" w:styleId="xl68">
    <w:name w:val="xl68"/>
    <w:basedOn w:val="Normal"/>
    <w:rsid w:val="00A079F7"/>
    <w:pPr>
      <w:pBdr>
        <w:top w:val="single" w:sz="4" w:space="0" w:color="4F81BD"/>
        <w:left w:val="single" w:sz="4" w:space="0" w:color="4F81BD"/>
        <w:bottom w:val="single" w:sz="4" w:space="0" w:color="4F81BD"/>
        <w:right w:val="single" w:sz="4" w:space="0" w:color="4F81BD"/>
      </w:pBdr>
      <w:spacing w:before="100" w:beforeAutospacing="1" w:after="100" w:afterAutospacing="1"/>
      <w:jc w:val="center"/>
      <w:textAlignment w:val="center"/>
    </w:pPr>
    <w:rPr>
      <w:bCs w:val="0"/>
      <w:sz w:val="16"/>
      <w:szCs w:val="16"/>
      <w:lang w:eastAsia="fr-FR"/>
    </w:rPr>
  </w:style>
  <w:style w:type="paragraph" w:customStyle="1" w:styleId="xl69">
    <w:name w:val="xl69"/>
    <w:basedOn w:val="Normal"/>
    <w:rsid w:val="00A079F7"/>
    <w:pPr>
      <w:pBdr>
        <w:top w:val="single" w:sz="4" w:space="0" w:color="4F81BD"/>
        <w:left w:val="single" w:sz="4" w:space="0" w:color="4F81BD"/>
        <w:bottom w:val="single" w:sz="4" w:space="0" w:color="4F81BD"/>
        <w:right w:val="single" w:sz="4" w:space="0" w:color="4F81BD"/>
      </w:pBdr>
      <w:spacing w:before="100" w:beforeAutospacing="1" w:after="100" w:afterAutospacing="1"/>
      <w:jc w:val="center"/>
      <w:textAlignment w:val="center"/>
    </w:pPr>
    <w:rPr>
      <w:bCs w:val="0"/>
      <w:color w:val="000000"/>
      <w:sz w:val="16"/>
      <w:szCs w:val="16"/>
      <w:lang w:eastAsia="fr-FR"/>
    </w:rPr>
  </w:style>
  <w:style w:type="paragraph" w:customStyle="1" w:styleId="xl70">
    <w:name w:val="xl70"/>
    <w:basedOn w:val="Normal"/>
    <w:rsid w:val="00A079F7"/>
    <w:pPr>
      <w:pBdr>
        <w:top w:val="single" w:sz="4" w:space="0" w:color="4F81BD"/>
        <w:left w:val="single" w:sz="4" w:space="0" w:color="4F81BD"/>
        <w:bottom w:val="single" w:sz="4" w:space="0" w:color="4F81BD"/>
        <w:right w:val="single" w:sz="4" w:space="0" w:color="4F81BD"/>
      </w:pBdr>
      <w:spacing w:before="100" w:beforeAutospacing="1" w:after="100" w:afterAutospacing="1"/>
      <w:jc w:val="center"/>
      <w:textAlignment w:val="center"/>
    </w:pPr>
    <w:rPr>
      <w:b/>
      <w:sz w:val="16"/>
      <w:szCs w:val="16"/>
      <w:lang w:eastAsia="fr-FR"/>
    </w:rPr>
  </w:style>
  <w:style w:type="paragraph" w:customStyle="1" w:styleId="Style17">
    <w:name w:val="Style17"/>
    <w:basedOn w:val="Normal"/>
    <w:uiPriority w:val="99"/>
    <w:rsid w:val="00A079F7"/>
    <w:pPr>
      <w:widowControl w:val="0"/>
      <w:autoSpaceDE w:val="0"/>
      <w:autoSpaceDN w:val="0"/>
      <w:adjustRightInd w:val="0"/>
      <w:spacing w:after="0"/>
      <w:jc w:val="left"/>
    </w:pPr>
    <w:rPr>
      <w:rFonts w:eastAsiaTheme="minorEastAsia"/>
      <w:bCs w:val="0"/>
      <w:sz w:val="24"/>
      <w:szCs w:val="24"/>
      <w:lang w:eastAsia="fr-FR"/>
    </w:rPr>
  </w:style>
  <w:style w:type="character" w:customStyle="1" w:styleId="FontStyle94">
    <w:name w:val="Font Style94"/>
    <w:basedOn w:val="DefaultParagraphFont"/>
    <w:uiPriority w:val="99"/>
    <w:rsid w:val="00A079F7"/>
    <w:rPr>
      <w:rFonts w:ascii="Arial" w:hAnsi="Arial" w:cs="Arial"/>
      <w:b/>
      <w:bCs/>
      <w:i/>
      <w:iCs/>
      <w:color w:val="000000"/>
      <w:sz w:val="20"/>
      <w:szCs w:val="20"/>
    </w:rPr>
  </w:style>
  <w:style w:type="character" w:customStyle="1" w:styleId="FontStyle110">
    <w:name w:val="Font Style110"/>
    <w:basedOn w:val="DefaultParagraphFont"/>
    <w:uiPriority w:val="99"/>
    <w:rsid w:val="00A079F7"/>
    <w:rPr>
      <w:rFonts w:ascii="Book Antiqua" w:hAnsi="Book Antiqua" w:cs="Book Antiqua"/>
      <w:color w:val="000000"/>
      <w:sz w:val="22"/>
      <w:szCs w:val="22"/>
    </w:rPr>
  </w:style>
  <w:style w:type="paragraph" w:customStyle="1" w:styleId="Style36">
    <w:name w:val="Style36"/>
    <w:basedOn w:val="Normal"/>
    <w:uiPriority w:val="99"/>
    <w:rsid w:val="00A079F7"/>
    <w:pPr>
      <w:widowControl w:val="0"/>
      <w:autoSpaceDE w:val="0"/>
      <w:autoSpaceDN w:val="0"/>
      <w:adjustRightInd w:val="0"/>
      <w:spacing w:after="0"/>
      <w:jc w:val="left"/>
    </w:pPr>
    <w:rPr>
      <w:rFonts w:eastAsiaTheme="minorEastAsia"/>
      <w:bCs w:val="0"/>
      <w:sz w:val="24"/>
      <w:szCs w:val="24"/>
      <w:lang w:eastAsia="fr-FR"/>
    </w:rPr>
  </w:style>
  <w:style w:type="paragraph" w:customStyle="1" w:styleId="font5">
    <w:name w:val="font5"/>
    <w:basedOn w:val="Normal"/>
    <w:rsid w:val="00A079F7"/>
    <w:pPr>
      <w:spacing w:before="100" w:beforeAutospacing="1" w:after="100" w:afterAutospacing="1"/>
      <w:jc w:val="left"/>
    </w:pPr>
    <w:rPr>
      <w:bCs w:val="0"/>
      <w:i/>
      <w:iCs/>
      <w:sz w:val="16"/>
      <w:szCs w:val="16"/>
      <w:lang w:eastAsia="fr-FR"/>
    </w:rPr>
  </w:style>
  <w:style w:type="paragraph" w:customStyle="1" w:styleId="xl78">
    <w:name w:val="xl78"/>
    <w:basedOn w:val="Normal"/>
    <w:rsid w:val="00A079F7"/>
    <w:pPr>
      <w:pBdr>
        <w:top w:val="single" w:sz="8" w:space="0" w:color="4F81BD"/>
        <w:left w:val="single" w:sz="8" w:space="0" w:color="4F81BD"/>
        <w:bottom w:val="single" w:sz="8" w:space="0" w:color="4F81BD"/>
        <w:right w:val="single" w:sz="8" w:space="0" w:color="4F81BD"/>
      </w:pBdr>
      <w:shd w:val="clear" w:color="000000" w:fill="17365D"/>
      <w:spacing w:before="100" w:beforeAutospacing="1" w:after="100" w:afterAutospacing="1"/>
      <w:jc w:val="center"/>
      <w:textAlignment w:val="center"/>
    </w:pPr>
    <w:rPr>
      <w:b/>
      <w:color w:val="FFFFFF"/>
      <w:sz w:val="16"/>
      <w:szCs w:val="16"/>
      <w:lang w:eastAsia="fr-FR"/>
    </w:rPr>
  </w:style>
  <w:style w:type="paragraph" w:customStyle="1" w:styleId="xl79">
    <w:name w:val="xl79"/>
    <w:basedOn w:val="Normal"/>
    <w:rsid w:val="00A079F7"/>
    <w:pPr>
      <w:pBdr>
        <w:top w:val="single" w:sz="8" w:space="0" w:color="4F81BD"/>
        <w:bottom w:val="single" w:sz="8" w:space="0" w:color="4F81BD"/>
        <w:right w:val="single" w:sz="8" w:space="0" w:color="4F81BD"/>
      </w:pBdr>
      <w:shd w:val="clear" w:color="000000" w:fill="17365D"/>
      <w:spacing w:before="100" w:beforeAutospacing="1" w:after="100" w:afterAutospacing="1"/>
      <w:jc w:val="center"/>
      <w:textAlignment w:val="center"/>
    </w:pPr>
    <w:rPr>
      <w:b/>
      <w:color w:val="FFFFFF"/>
      <w:sz w:val="16"/>
      <w:szCs w:val="16"/>
      <w:lang w:eastAsia="fr-FR"/>
    </w:rPr>
  </w:style>
  <w:style w:type="paragraph" w:customStyle="1" w:styleId="xl80">
    <w:name w:val="xl80"/>
    <w:basedOn w:val="Normal"/>
    <w:rsid w:val="00A079F7"/>
    <w:pPr>
      <w:pBdr>
        <w:bottom w:val="single" w:sz="8" w:space="0" w:color="4F81BD"/>
        <w:right w:val="single" w:sz="8" w:space="0" w:color="4F81BD"/>
      </w:pBdr>
      <w:spacing w:before="100" w:beforeAutospacing="1" w:after="100" w:afterAutospacing="1"/>
      <w:jc w:val="center"/>
      <w:textAlignment w:val="center"/>
    </w:pPr>
    <w:rPr>
      <w:bCs w:val="0"/>
      <w:color w:val="000000"/>
      <w:sz w:val="16"/>
      <w:szCs w:val="16"/>
      <w:lang w:eastAsia="fr-FR"/>
    </w:rPr>
  </w:style>
  <w:style w:type="paragraph" w:customStyle="1" w:styleId="xl81">
    <w:name w:val="xl81"/>
    <w:basedOn w:val="Normal"/>
    <w:rsid w:val="00A079F7"/>
    <w:pPr>
      <w:pBdr>
        <w:bottom w:val="single" w:sz="8" w:space="0" w:color="4F81BD"/>
        <w:right w:val="single" w:sz="8" w:space="0" w:color="4F81BD"/>
      </w:pBdr>
      <w:spacing w:before="100" w:beforeAutospacing="1" w:after="100" w:afterAutospacing="1"/>
      <w:jc w:val="center"/>
      <w:textAlignment w:val="center"/>
    </w:pPr>
    <w:rPr>
      <w:bCs w:val="0"/>
      <w:color w:val="000000"/>
      <w:sz w:val="16"/>
      <w:szCs w:val="16"/>
      <w:lang w:eastAsia="fr-FR"/>
    </w:rPr>
  </w:style>
  <w:style w:type="paragraph" w:customStyle="1" w:styleId="xl82">
    <w:name w:val="xl82"/>
    <w:basedOn w:val="Normal"/>
    <w:rsid w:val="00A079F7"/>
    <w:pPr>
      <w:pBdr>
        <w:top w:val="single" w:sz="8" w:space="0" w:color="4F81BD"/>
        <w:left w:val="single" w:sz="8" w:space="0" w:color="4F81BD"/>
        <w:bottom w:val="single" w:sz="8" w:space="0" w:color="4F81BD"/>
        <w:right w:val="single" w:sz="8" w:space="0" w:color="4F81BD"/>
      </w:pBdr>
      <w:spacing w:before="100" w:beforeAutospacing="1" w:after="100" w:afterAutospacing="1"/>
      <w:jc w:val="center"/>
      <w:textAlignment w:val="center"/>
    </w:pPr>
    <w:rPr>
      <w:bCs w:val="0"/>
      <w:color w:val="000000"/>
      <w:sz w:val="16"/>
      <w:szCs w:val="16"/>
      <w:lang w:eastAsia="fr-FR"/>
    </w:rPr>
  </w:style>
  <w:style w:type="paragraph" w:customStyle="1" w:styleId="xl83">
    <w:name w:val="xl83"/>
    <w:basedOn w:val="Normal"/>
    <w:rsid w:val="00A079F7"/>
    <w:pPr>
      <w:pBdr>
        <w:bottom w:val="single" w:sz="8" w:space="0" w:color="4F81BD"/>
        <w:right w:val="single" w:sz="8" w:space="0" w:color="4F81BD"/>
      </w:pBdr>
      <w:spacing w:before="100" w:beforeAutospacing="1" w:after="100" w:afterAutospacing="1"/>
      <w:jc w:val="center"/>
      <w:textAlignment w:val="center"/>
    </w:pPr>
    <w:rPr>
      <w:bCs w:val="0"/>
      <w:color w:val="000000"/>
      <w:sz w:val="16"/>
      <w:szCs w:val="16"/>
      <w:lang w:eastAsia="fr-FR"/>
    </w:rPr>
  </w:style>
  <w:style w:type="paragraph" w:customStyle="1" w:styleId="xl84">
    <w:name w:val="xl84"/>
    <w:basedOn w:val="Normal"/>
    <w:rsid w:val="00A079F7"/>
    <w:pPr>
      <w:spacing w:before="100" w:beforeAutospacing="1" w:after="100" w:afterAutospacing="1"/>
      <w:jc w:val="left"/>
    </w:pPr>
    <w:rPr>
      <w:rFonts w:ascii="Times New Roman" w:hAnsi="Times New Roman" w:cs="Times New Roman"/>
      <w:b/>
      <w:sz w:val="24"/>
      <w:szCs w:val="24"/>
      <w:lang w:eastAsia="fr-FR"/>
    </w:rPr>
  </w:style>
  <w:style w:type="paragraph" w:customStyle="1" w:styleId="xl85">
    <w:name w:val="xl85"/>
    <w:basedOn w:val="Normal"/>
    <w:rsid w:val="00A079F7"/>
    <w:pPr>
      <w:pBdr>
        <w:left w:val="single" w:sz="8" w:space="0" w:color="4F81BD"/>
        <w:bottom w:val="single" w:sz="8" w:space="0" w:color="4F81BD"/>
        <w:right w:val="single" w:sz="8" w:space="0" w:color="4F81BD"/>
      </w:pBdr>
      <w:spacing w:before="100" w:beforeAutospacing="1" w:after="100" w:afterAutospacing="1"/>
      <w:jc w:val="center"/>
      <w:textAlignment w:val="center"/>
    </w:pPr>
    <w:rPr>
      <w:bCs w:val="0"/>
      <w:color w:val="000000"/>
      <w:sz w:val="16"/>
      <w:szCs w:val="16"/>
      <w:lang w:eastAsia="fr-FR"/>
    </w:rPr>
  </w:style>
  <w:style w:type="paragraph" w:customStyle="1" w:styleId="xl86">
    <w:name w:val="xl86"/>
    <w:basedOn w:val="Normal"/>
    <w:rsid w:val="00A079F7"/>
    <w:pPr>
      <w:pBdr>
        <w:left w:val="single" w:sz="8" w:space="0" w:color="4F81BD"/>
        <w:right w:val="single" w:sz="8" w:space="0" w:color="4F81BD"/>
      </w:pBdr>
      <w:spacing w:before="100" w:beforeAutospacing="1" w:after="100" w:afterAutospacing="1"/>
      <w:jc w:val="center"/>
      <w:textAlignment w:val="center"/>
    </w:pPr>
    <w:rPr>
      <w:bCs w:val="0"/>
      <w:color w:val="000000"/>
      <w:sz w:val="16"/>
      <w:szCs w:val="16"/>
      <w:lang w:eastAsia="fr-FR"/>
    </w:rPr>
  </w:style>
  <w:style w:type="paragraph" w:customStyle="1" w:styleId="xl87">
    <w:name w:val="xl87"/>
    <w:basedOn w:val="Normal"/>
    <w:rsid w:val="00A079F7"/>
    <w:pPr>
      <w:pBdr>
        <w:left w:val="single" w:sz="8" w:space="0" w:color="4F81BD"/>
        <w:bottom w:val="single" w:sz="8" w:space="0" w:color="auto"/>
        <w:right w:val="single" w:sz="8" w:space="0" w:color="4F81BD"/>
      </w:pBdr>
      <w:spacing w:before="100" w:beforeAutospacing="1" w:after="100" w:afterAutospacing="1"/>
      <w:jc w:val="center"/>
      <w:textAlignment w:val="center"/>
    </w:pPr>
    <w:rPr>
      <w:bCs w:val="0"/>
      <w:sz w:val="16"/>
      <w:szCs w:val="16"/>
      <w:lang w:eastAsia="fr-FR"/>
    </w:rPr>
  </w:style>
  <w:style w:type="paragraph" w:customStyle="1" w:styleId="xl88">
    <w:name w:val="xl88"/>
    <w:basedOn w:val="Normal"/>
    <w:rsid w:val="00A079F7"/>
    <w:pPr>
      <w:pBdr>
        <w:bottom w:val="single" w:sz="8" w:space="0" w:color="4F81BD"/>
        <w:right w:val="single" w:sz="8" w:space="0" w:color="4F81BD"/>
      </w:pBdr>
      <w:shd w:val="clear" w:color="000000" w:fill="FFFFFF"/>
      <w:spacing w:before="100" w:beforeAutospacing="1" w:after="100" w:afterAutospacing="1"/>
      <w:jc w:val="center"/>
      <w:textAlignment w:val="center"/>
    </w:pPr>
    <w:rPr>
      <w:bCs w:val="0"/>
      <w:color w:val="FF0000"/>
      <w:sz w:val="16"/>
      <w:szCs w:val="16"/>
      <w:lang w:eastAsia="fr-FR"/>
    </w:rPr>
  </w:style>
  <w:style w:type="paragraph" w:customStyle="1" w:styleId="xl89">
    <w:name w:val="xl89"/>
    <w:basedOn w:val="Normal"/>
    <w:rsid w:val="00A079F7"/>
    <w:pPr>
      <w:pBdr>
        <w:bottom w:val="single" w:sz="8" w:space="0" w:color="4F81BD"/>
        <w:right w:val="single" w:sz="8" w:space="0" w:color="4F81BD"/>
      </w:pBdr>
      <w:shd w:val="clear" w:color="000000" w:fill="FFFFFF"/>
      <w:spacing w:before="100" w:beforeAutospacing="1" w:after="100" w:afterAutospacing="1"/>
      <w:jc w:val="center"/>
      <w:textAlignment w:val="center"/>
    </w:pPr>
    <w:rPr>
      <w:bCs w:val="0"/>
      <w:sz w:val="16"/>
      <w:szCs w:val="16"/>
      <w:lang w:eastAsia="fr-FR"/>
    </w:rPr>
  </w:style>
  <w:style w:type="paragraph" w:customStyle="1" w:styleId="xl90">
    <w:name w:val="xl90"/>
    <w:basedOn w:val="Normal"/>
    <w:rsid w:val="00A079F7"/>
    <w:pPr>
      <w:pBdr>
        <w:top w:val="single" w:sz="8" w:space="0" w:color="4F81BD"/>
        <w:bottom w:val="single" w:sz="8" w:space="0" w:color="4F81BD"/>
        <w:right w:val="single" w:sz="8" w:space="0" w:color="4F81BD"/>
      </w:pBdr>
      <w:shd w:val="clear" w:color="000000" w:fill="FFFFFF"/>
      <w:spacing w:before="100" w:beforeAutospacing="1" w:after="100" w:afterAutospacing="1"/>
      <w:jc w:val="center"/>
      <w:textAlignment w:val="center"/>
    </w:pPr>
    <w:rPr>
      <w:bCs w:val="0"/>
      <w:color w:val="FF0000"/>
      <w:sz w:val="16"/>
      <w:szCs w:val="16"/>
      <w:lang w:eastAsia="fr-FR"/>
    </w:rPr>
  </w:style>
  <w:style w:type="paragraph" w:customStyle="1" w:styleId="xl91">
    <w:name w:val="xl91"/>
    <w:basedOn w:val="Normal"/>
    <w:rsid w:val="00A079F7"/>
    <w:pPr>
      <w:pBdr>
        <w:top w:val="single" w:sz="8" w:space="0" w:color="4F81BD"/>
        <w:left w:val="single" w:sz="8" w:space="0" w:color="4F81BD"/>
        <w:bottom w:val="single" w:sz="8" w:space="0" w:color="4F81BD"/>
        <w:right w:val="single" w:sz="8" w:space="0" w:color="4F81BD"/>
      </w:pBdr>
      <w:shd w:val="clear" w:color="000000" w:fill="FFFFFF"/>
      <w:spacing w:before="100" w:beforeAutospacing="1" w:after="100" w:afterAutospacing="1"/>
      <w:jc w:val="center"/>
      <w:textAlignment w:val="center"/>
    </w:pPr>
    <w:rPr>
      <w:bCs w:val="0"/>
      <w:sz w:val="16"/>
      <w:szCs w:val="16"/>
      <w:lang w:eastAsia="fr-FR"/>
    </w:rPr>
  </w:style>
  <w:style w:type="paragraph" w:customStyle="1" w:styleId="xl92">
    <w:name w:val="xl92"/>
    <w:basedOn w:val="Normal"/>
    <w:rsid w:val="00A079F7"/>
    <w:pPr>
      <w:pBdr>
        <w:bottom w:val="single" w:sz="8" w:space="0" w:color="4F81BD"/>
        <w:right w:val="single" w:sz="8" w:space="0" w:color="4F81BD"/>
      </w:pBdr>
      <w:spacing w:before="100" w:beforeAutospacing="1" w:after="100" w:afterAutospacing="1"/>
      <w:jc w:val="center"/>
      <w:textAlignment w:val="center"/>
    </w:pPr>
    <w:rPr>
      <w:bCs w:val="0"/>
      <w:color w:val="FF0000"/>
      <w:sz w:val="16"/>
      <w:szCs w:val="16"/>
      <w:lang w:eastAsia="fr-FR"/>
    </w:rPr>
  </w:style>
  <w:style w:type="paragraph" w:customStyle="1" w:styleId="xl93">
    <w:name w:val="xl93"/>
    <w:basedOn w:val="Normal"/>
    <w:rsid w:val="00A079F7"/>
    <w:pPr>
      <w:pBdr>
        <w:left w:val="single" w:sz="8" w:space="0" w:color="4F81BD"/>
        <w:bottom w:val="single" w:sz="8" w:space="0" w:color="4F81BD"/>
        <w:right w:val="single" w:sz="8" w:space="0" w:color="4F81BD"/>
      </w:pBdr>
      <w:shd w:val="clear" w:color="000000" w:fill="FFFFFF"/>
      <w:spacing w:before="100" w:beforeAutospacing="1" w:after="100" w:afterAutospacing="1"/>
      <w:jc w:val="center"/>
      <w:textAlignment w:val="center"/>
    </w:pPr>
    <w:rPr>
      <w:bCs w:val="0"/>
      <w:sz w:val="16"/>
      <w:szCs w:val="16"/>
      <w:lang w:eastAsia="fr-FR"/>
    </w:rPr>
  </w:style>
  <w:style w:type="paragraph" w:customStyle="1" w:styleId="xl94">
    <w:name w:val="xl94"/>
    <w:basedOn w:val="Normal"/>
    <w:rsid w:val="00A079F7"/>
    <w:pPr>
      <w:pBdr>
        <w:top w:val="single" w:sz="8" w:space="0" w:color="4F81BD"/>
        <w:left w:val="single" w:sz="8" w:space="0" w:color="4F81BD"/>
        <w:right w:val="single" w:sz="8" w:space="0" w:color="4F81BD"/>
      </w:pBdr>
      <w:spacing w:before="100" w:beforeAutospacing="1" w:after="100" w:afterAutospacing="1"/>
      <w:jc w:val="center"/>
      <w:textAlignment w:val="center"/>
    </w:pPr>
    <w:rPr>
      <w:bCs w:val="0"/>
      <w:color w:val="000000"/>
      <w:sz w:val="16"/>
      <w:szCs w:val="16"/>
      <w:lang w:eastAsia="fr-FR"/>
    </w:rPr>
  </w:style>
  <w:style w:type="paragraph" w:customStyle="1" w:styleId="xl95">
    <w:name w:val="xl95"/>
    <w:basedOn w:val="Normal"/>
    <w:rsid w:val="00A079F7"/>
    <w:pPr>
      <w:pBdr>
        <w:top w:val="single" w:sz="8" w:space="0" w:color="4F81BD"/>
        <w:left w:val="single" w:sz="8" w:space="0" w:color="4F81BD"/>
        <w:right w:val="single" w:sz="8" w:space="0" w:color="4F81BD"/>
      </w:pBdr>
      <w:spacing w:before="100" w:beforeAutospacing="1" w:after="100" w:afterAutospacing="1"/>
      <w:jc w:val="center"/>
      <w:textAlignment w:val="center"/>
    </w:pPr>
    <w:rPr>
      <w:bCs w:val="0"/>
      <w:sz w:val="16"/>
      <w:szCs w:val="16"/>
      <w:lang w:eastAsia="fr-FR"/>
    </w:rPr>
  </w:style>
  <w:style w:type="paragraph" w:customStyle="1" w:styleId="xl96">
    <w:name w:val="xl96"/>
    <w:basedOn w:val="Normal"/>
    <w:rsid w:val="00A079F7"/>
    <w:pPr>
      <w:pBdr>
        <w:left w:val="single" w:sz="8" w:space="0" w:color="4F81BD"/>
        <w:right w:val="single" w:sz="8" w:space="0" w:color="4F81BD"/>
      </w:pBdr>
      <w:spacing w:before="100" w:beforeAutospacing="1" w:after="100" w:afterAutospacing="1"/>
      <w:jc w:val="center"/>
      <w:textAlignment w:val="center"/>
    </w:pPr>
    <w:rPr>
      <w:bCs w:val="0"/>
      <w:sz w:val="16"/>
      <w:szCs w:val="16"/>
      <w:lang w:eastAsia="fr-FR"/>
    </w:rPr>
  </w:style>
  <w:style w:type="paragraph" w:customStyle="1" w:styleId="xl97">
    <w:name w:val="xl97"/>
    <w:basedOn w:val="Normal"/>
    <w:rsid w:val="00A079F7"/>
    <w:pPr>
      <w:pBdr>
        <w:left w:val="single" w:sz="8" w:space="0" w:color="4F81BD"/>
        <w:bottom w:val="single" w:sz="8" w:space="0" w:color="4F81BD"/>
        <w:right w:val="single" w:sz="8" w:space="0" w:color="4F81BD"/>
      </w:pBdr>
      <w:spacing w:before="100" w:beforeAutospacing="1" w:after="100" w:afterAutospacing="1"/>
      <w:jc w:val="center"/>
      <w:textAlignment w:val="center"/>
    </w:pPr>
    <w:rPr>
      <w:bCs w:val="0"/>
      <w:sz w:val="16"/>
      <w:szCs w:val="16"/>
      <w:lang w:eastAsia="fr-FR"/>
    </w:rPr>
  </w:style>
  <w:style w:type="paragraph" w:customStyle="1" w:styleId="xl98">
    <w:name w:val="xl98"/>
    <w:basedOn w:val="Normal"/>
    <w:rsid w:val="00A079F7"/>
    <w:pPr>
      <w:pBdr>
        <w:top w:val="single" w:sz="8" w:space="0" w:color="auto"/>
        <w:left w:val="single" w:sz="8" w:space="0" w:color="4F81BD"/>
        <w:right w:val="single" w:sz="8" w:space="0" w:color="4F81BD"/>
      </w:pBdr>
      <w:spacing w:before="100" w:beforeAutospacing="1" w:after="100" w:afterAutospacing="1"/>
      <w:jc w:val="center"/>
      <w:textAlignment w:val="center"/>
    </w:pPr>
    <w:rPr>
      <w:bCs w:val="0"/>
      <w:color w:val="000000"/>
      <w:sz w:val="16"/>
      <w:szCs w:val="16"/>
      <w:lang w:eastAsia="fr-FR"/>
    </w:rPr>
  </w:style>
  <w:style w:type="character" w:customStyle="1" w:styleId="highlight">
    <w:name w:val="highlight"/>
    <w:basedOn w:val="DefaultParagraphFont"/>
    <w:rsid w:val="00A079F7"/>
  </w:style>
  <w:style w:type="paragraph" w:customStyle="1" w:styleId="xl71">
    <w:name w:val="xl71"/>
    <w:basedOn w:val="Normal"/>
    <w:rsid w:val="00A079F7"/>
    <w:pPr>
      <w:pBdr>
        <w:left w:val="single" w:sz="8" w:space="0" w:color="auto"/>
        <w:bottom w:val="single" w:sz="4" w:space="0" w:color="auto"/>
        <w:right w:val="single" w:sz="4" w:space="0" w:color="auto"/>
      </w:pBdr>
      <w:spacing w:before="100" w:beforeAutospacing="1" w:after="100" w:afterAutospacing="1"/>
      <w:jc w:val="left"/>
    </w:pPr>
    <w:rPr>
      <w:rFonts w:ascii="Times New Roman" w:hAnsi="Times New Roman" w:cs="Times New Roman"/>
      <w:bCs w:val="0"/>
      <w:sz w:val="24"/>
      <w:szCs w:val="24"/>
      <w:lang w:eastAsia="fr-FR"/>
    </w:rPr>
  </w:style>
  <w:style w:type="paragraph" w:customStyle="1" w:styleId="xl72">
    <w:name w:val="xl72"/>
    <w:basedOn w:val="Normal"/>
    <w:rsid w:val="00A079F7"/>
    <w:pPr>
      <w:pBdr>
        <w:left w:val="single" w:sz="4" w:space="0" w:color="auto"/>
        <w:bottom w:val="single" w:sz="4" w:space="0" w:color="auto"/>
        <w:right w:val="single" w:sz="4" w:space="0" w:color="auto"/>
      </w:pBdr>
      <w:spacing w:before="100" w:beforeAutospacing="1" w:after="100" w:afterAutospacing="1"/>
      <w:jc w:val="left"/>
    </w:pPr>
    <w:rPr>
      <w:rFonts w:ascii="Times New Roman" w:hAnsi="Times New Roman" w:cs="Times New Roman"/>
      <w:bCs w:val="0"/>
      <w:sz w:val="24"/>
      <w:szCs w:val="24"/>
      <w:lang w:eastAsia="fr-FR"/>
    </w:rPr>
  </w:style>
  <w:style w:type="paragraph" w:customStyle="1" w:styleId="xl73">
    <w:name w:val="xl73"/>
    <w:basedOn w:val="Normal"/>
    <w:rsid w:val="00A079F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Cs w:val="0"/>
      <w:sz w:val="24"/>
      <w:szCs w:val="24"/>
      <w:lang w:eastAsia="fr-FR"/>
    </w:rPr>
  </w:style>
  <w:style w:type="paragraph" w:customStyle="1" w:styleId="xl74">
    <w:name w:val="xl74"/>
    <w:basedOn w:val="Normal"/>
    <w:rsid w:val="00A079F7"/>
    <w:pPr>
      <w:pBdr>
        <w:top w:val="single" w:sz="4" w:space="0" w:color="auto"/>
        <w:left w:val="single" w:sz="4" w:space="0" w:color="auto"/>
        <w:bottom w:val="single" w:sz="4" w:space="0" w:color="auto"/>
        <w:right w:val="single" w:sz="4" w:space="0" w:color="auto"/>
      </w:pBdr>
      <w:spacing w:before="100" w:beforeAutospacing="1" w:after="100" w:afterAutospacing="1"/>
      <w:jc w:val="left"/>
    </w:pPr>
    <w:rPr>
      <w:bCs w:val="0"/>
      <w:sz w:val="24"/>
      <w:szCs w:val="24"/>
      <w:lang w:eastAsia="fr-FR"/>
    </w:rPr>
  </w:style>
  <w:style w:type="paragraph" w:customStyle="1" w:styleId="xl75">
    <w:name w:val="xl75"/>
    <w:basedOn w:val="Normal"/>
    <w:rsid w:val="00A079F7"/>
    <w:pPr>
      <w:pBdr>
        <w:top w:val="single" w:sz="4" w:space="0" w:color="auto"/>
        <w:left w:val="single" w:sz="4" w:space="0" w:color="auto"/>
        <w:bottom w:val="single" w:sz="8" w:space="0" w:color="auto"/>
        <w:right w:val="single" w:sz="4" w:space="0" w:color="auto"/>
      </w:pBdr>
      <w:spacing w:before="100" w:beforeAutospacing="1" w:after="100" w:afterAutospacing="1"/>
      <w:jc w:val="left"/>
    </w:pPr>
    <w:rPr>
      <w:bCs w:val="0"/>
      <w:sz w:val="24"/>
      <w:szCs w:val="24"/>
      <w:lang w:eastAsia="fr-FR"/>
    </w:rPr>
  </w:style>
  <w:style w:type="paragraph" w:customStyle="1" w:styleId="xl76">
    <w:name w:val="xl76"/>
    <w:basedOn w:val="Normal"/>
    <w:rsid w:val="00A079F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Cs w:val="0"/>
      <w:sz w:val="24"/>
      <w:szCs w:val="24"/>
      <w:lang w:eastAsia="fr-FR"/>
    </w:rPr>
  </w:style>
  <w:style w:type="paragraph" w:customStyle="1" w:styleId="xl77">
    <w:name w:val="xl77"/>
    <w:basedOn w:val="Normal"/>
    <w:rsid w:val="00A079F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val="0"/>
      <w:sz w:val="24"/>
      <w:szCs w:val="24"/>
      <w:lang w:eastAsia="fr-FR"/>
    </w:rPr>
  </w:style>
  <w:style w:type="table" w:customStyle="1" w:styleId="Tramemoyenne1-Accent12">
    <w:name w:val="Trame moyenne 1 - Accent 12"/>
    <w:basedOn w:val="TableNormal"/>
    <w:uiPriority w:val="63"/>
    <w:rsid w:val="00CD450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xl64">
    <w:name w:val="xl64"/>
    <w:basedOn w:val="Normal"/>
    <w:rsid w:val="00F1116A"/>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jc w:val="center"/>
      <w:textAlignment w:val="top"/>
    </w:pPr>
    <w:rPr>
      <w:rFonts w:ascii="Courier New" w:hAnsi="Courier New" w:cs="Courier New"/>
      <w:b/>
      <w:sz w:val="24"/>
      <w:szCs w:val="24"/>
      <w:lang w:eastAsia="fr-FR"/>
    </w:rPr>
  </w:style>
  <w:style w:type="table" w:customStyle="1" w:styleId="MediumShading1-Accent11">
    <w:name w:val="Medium Shading 1 - Accent 11"/>
    <w:basedOn w:val="TableNormal"/>
    <w:uiPriority w:val="63"/>
    <w:rsid w:val="00F1116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1382"/>
    <w:pPr>
      <w:spacing w:after="240" w:line="240" w:lineRule="auto"/>
      <w:jc w:val="both"/>
    </w:pPr>
    <w:rPr>
      <w:rFonts w:ascii="Arial" w:eastAsia="Times New Roman" w:hAnsi="Arial" w:cs="Arial"/>
      <w:bCs/>
      <w:sz w:val="20"/>
    </w:rPr>
  </w:style>
  <w:style w:type="paragraph" w:styleId="Heading1">
    <w:name w:val="heading 1"/>
    <w:aliases w:val="1,Heading 1 Char,Heading 1 Char1 Char,Heading 1 Char Char Char,Heading 1 Char1 Char Char Char,Heading 1 Char Char Char Char Char,Heading 1 Char1 Char Char Char Char Char,Heading 1 Char Char Char Char Char Char Char,Heading 1 Char1 Char1"/>
    <w:basedOn w:val="Title"/>
    <w:next w:val="Normal"/>
    <w:link w:val="Heading1Char1"/>
    <w:uiPriority w:val="9"/>
    <w:qFormat/>
    <w:rsid w:val="00A81382"/>
    <w:pPr>
      <w:numPr>
        <w:numId w:val="1"/>
      </w:numPr>
      <w:pBdr>
        <w:bottom w:val="none" w:sz="0" w:space="0" w:color="auto"/>
      </w:pBdr>
      <w:shd w:val="clear" w:color="auto" w:fill="002060"/>
      <w:spacing w:after="240"/>
      <w:contextualSpacing w:val="0"/>
      <w:outlineLvl w:val="0"/>
    </w:pPr>
    <w:rPr>
      <w:rFonts w:ascii="Arial" w:eastAsia="Times New Roman" w:hAnsi="Arial" w:cs="Times New Roman"/>
      <w:b/>
      <w:color w:val="auto"/>
      <w:spacing w:val="0"/>
      <w:sz w:val="24"/>
      <w:szCs w:val="24"/>
      <w:lang w:val="en-GB"/>
    </w:rPr>
  </w:style>
  <w:style w:type="paragraph" w:styleId="Heading2">
    <w:name w:val="heading 2"/>
    <w:basedOn w:val="Normal"/>
    <w:next w:val="Normal"/>
    <w:link w:val="Heading2Char"/>
    <w:uiPriority w:val="9"/>
    <w:qFormat/>
    <w:rsid w:val="00A81382"/>
    <w:pPr>
      <w:numPr>
        <w:ilvl w:val="1"/>
        <w:numId w:val="1"/>
      </w:numPr>
      <w:outlineLvl w:val="1"/>
    </w:pPr>
    <w:rPr>
      <w:rFonts w:cs="Times New Roman"/>
      <w:b/>
      <w:bCs w:val="0"/>
    </w:rPr>
  </w:style>
  <w:style w:type="paragraph" w:styleId="Heading3">
    <w:name w:val="heading 3"/>
    <w:basedOn w:val="Normal"/>
    <w:next w:val="Normal"/>
    <w:link w:val="Heading3Char"/>
    <w:uiPriority w:val="9"/>
    <w:qFormat/>
    <w:rsid w:val="00A81382"/>
    <w:pPr>
      <w:numPr>
        <w:ilvl w:val="2"/>
        <w:numId w:val="1"/>
      </w:numPr>
      <w:outlineLvl w:val="2"/>
    </w:pPr>
    <w:rPr>
      <w:rFonts w:cs="Times New Roman"/>
      <w:i/>
      <w:iCs/>
    </w:rPr>
  </w:style>
  <w:style w:type="paragraph" w:styleId="Heading4">
    <w:name w:val="heading 4"/>
    <w:basedOn w:val="Normal"/>
    <w:next w:val="Normal"/>
    <w:link w:val="Heading4Char"/>
    <w:uiPriority w:val="9"/>
    <w:qFormat/>
    <w:rsid w:val="00A079F7"/>
    <w:pPr>
      <w:keepNext/>
      <w:numPr>
        <w:ilvl w:val="3"/>
        <w:numId w:val="22"/>
      </w:numPr>
      <w:spacing w:after="0"/>
      <w:outlineLvl w:val="3"/>
    </w:pPr>
    <w:rPr>
      <w:rFonts w:cs="Times New Roman"/>
      <w:szCs w:val="20"/>
      <w:u w:val="single"/>
      <w:lang w:val="en-GB"/>
    </w:rPr>
  </w:style>
  <w:style w:type="paragraph" w:styleId="Heading5">
    <w:name w:val="heading 5"/>
    <w:basedOn w:val="Normal"/>
    <w:next w:val="Normal"/>
    <w:link w:val="Heading5Char"/>
    <w:uiPriority w:val="9"/>
    <w:qFormat/>
    <w:rsid w:val="00A079F7"/>
    <w:pPr>
      <w:keepNext/>
      <w:numPr>
        <w:ilvl w:val="4"/>
        <w:numId w:val="22"/>
      </w:numPr>
      <w:spacing w:after="0"/>
      <w:outlineLvl w:val="4"/>
    </w:pPr>
    <w:rPr>
      <w:rFonts w:cs="Times New Roman"/>
      <w:b/>
      <w:color w:val="000000"/>
      <w:szCs w:val="20"/>
      <w:lang w:val="en-GB"/>
    </w:rPr>
  </w:style>
  <w:style w:type="paragraph" w:styleId="Heading6">
    <w:name w:val="heading 6"/>
    <w:basedOn w:val="Normal"/>
    <w:next w:val="Normal"/>
    <w:link w:val="Heading6Char"/>
    <w:uiPriority w:val="9"/>
    <w:qFormat/>
    <w:rsid w:val="00A079F7"/>
    <w:pPr>
      <w:keepNext/>
      <w:numPr>
        <w:ilvl w:val="5"/>
        <w:numId w:val="22"/>
      </w:numPr>
      <w:spacing w:after="0"/>
      <w:jc w:val="center"/>
      <w:outlineLvl w:val="5"/>
    </w:pPr>
    <w:rPr>
      <w:rFonts w:cs="Times New Roman"/>
      <w:b/>
      <w:szCs w:val="20"/>
      <w:lang w:val="en-GB"/>
    </w:rPr>
  </w:style>
  <w:style w:type="paragraph" w:styleId="Heading7">
    <w:name w:val="heading 7"/>
    <w:basedOn w:val="Normal"/>
    <w:next w:val="Normal"/>
    <w:link w:val="Heading7Char"/>
    <w:uiPriority w:val="9"/>
    <w:qFormat/>
    <w:rsid w:val="00A079F7"/>
    <w:pPr>
      <w:keepNext/>
      <w:keepLines/>
      <w:numPr>
        <w:ilvl w:val="6"/>
        <w:numId w:val="22"/>
      </w:numPr>
      <w:spacing w:after="0" w:line="240" w:lineRule="atLeast"/>
      <w:outlineLvl w:val="6"/>
    </w:pPr>
    <w:rPr>
      <w:rFonts w:cs="Times New Roman"/>
      <w:b/>
      <w:szCs w:val="20"/>
      <w:lang w:val="en-GB"/>
    </w:rPr>
  </w:style>
  <w:style w:type="paragraph" w:styleId="Heading8">
    <w:name w:val="heading 8"/>
    <w:basedOn w:val="Normal"/>
    <w:next w:val="Normal"/>
    <w:link w:val="Heading8Char"/>
    <w:uiPriority w:val="9"/>
    <w:qFormat/>
    <w:rsid w:val="00A079F7"/>
    <w:pPr>
      <w:keepNext/>
      <w:numPr>
        <w:ilvl w:val="7"/>
        <w:numId w:val="22"/>
      </w:numPr>
      <w:tabs>
        <w:tab w:val="left" w:pos="571"/>
        <w:tab w:val="left" w:pos="1164"/>
        <w:tab w:val="left" w:pos="6480"/>
        <w:tab w:val="left" w:pos="8568"/>
      </w:tabs>
      <w:suppressAutoHyphens/>
      <w:spacing w:after="0" w:line="360" w:lineRule="auto"/>
      <w:outlineLvl w:val="7"/>
    </w:pPr>
    <w:rPr>
      <w:rFonts w:cs="Times New Roman"/>
      <w:b/>
      <w:spacing w:val="-2"/>
      <w:sz w:val="24"/>
      <w:szCs w:val="20"/>
      <w:lang w:val="en-GB"/>
    </w:rPr>
  </w:style>
  <w:style w:type="paragraph" w:styleId="Heading9">
    <w:name w:val="heading 9"/>
    <w:basedOn w:val="Normal"/>
    <w:next w:val="Normal"/>
    <w:link w:val="Heading9Char"/>
    <w:uiPriority w:val="9"/>
    <w:qFormat/>
    <w:rsid w:val="00A079F7"/>
    <w:pPr>
      <w:keepNext/>
      <w:keepLines/>
      <w:numPr>
        <w:ilvl w:val="8"/>
        <w:numId w:val="22"/>
      </w:numPr>
      <w:spacing w:after="0" w:line="240" w:lineRule="atLeast"/>
      <w:jc w:val="right"/>
      <w:outlineLvl w:val="8"/>
    </w:pPr>
    <w:rPr>
      <w:rFonts w:cs="Times New Roman"/>
      <w:b/>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1 Char,Heading 1 Char Char,Heading 1 Char1 Char Char,Heading 1 Char Char Char Char,Heading 1 Char1 Char Char Char Char,Heading 1 Char Char Char Char Char Char,Heading 1 Char1 Char Char Char Char Char Char,Heading 1 Char1 Char1 Char"/>
    <w:basedOn w:val="DefaultParagraphFont"/>
    <w:link w:val="Heading1"/>
    <w:uiPriority w:val="9"/>
    <w:rsid w:val="00A81382"/>
    <w:rPr>
      <w:rFonts w:ascii="Arial" w:eastAsia="Times New Roman" w:hAnsi="Arial" w:cs="Times New Roman"/>
      <w:b/>
      <w:bCs/>
      <w:kern w:val="28"/>
      <w:sz w:val="24"/>
      <w:szCs w:val="24"/>
      <w:shd w:val="clear" w:color="auto" w:fill="002060"/>
      <w:lang w:val="en-GB"/>
    </w:rPr>
  </w:style>
  <w:style w:type="character" w:customStyle="1" w:styleId="Heading2Char">
    <w:name w:val="Heading 2 Char"/>
    <w:basedOn w:val="DefaultParagraphFont"/>
    <w:link w:val="Heading2"/>
    <w:uiPriority w:val="9"/>
    <w:rsid w:val="00A81382"/>
    <w:rPr>
      <w:rFonts w:ascii="Arial" w:eastAsia="Times New Roman" w:hAnsi="Arial" w:cs="Times New Roman"/>
      <w:b/>
      <w:sz w:val="20"/>
    </w:rPr>
  </w:style>
  <w:style w:type="character" w:customStyle="1" w:styleId="Heading3Char">
    <w:name w:val="Heading 3 Char"/>
    <w:basedOn w:val="DefaultParagraphFont"/>
    <w:link w:val="Heading3"/>
    <w:uiPriority w:val="9"/>
    <w:rsid w:val="00A81382"/>
    <w:rPr>
      <w:rFonts w:ascii="Arial" w:eastAsia="Times New Roman" w:hAnsi="Arial" w:cs="Times New Roman"/>
      <w:bCs/>
      <w:i/>
      <w:iCs/>
      <w:sz w:val="20"/>
    </w:rPr>
  </w:style>
  <w:style w:type="paragraph" w:styleId="ListParagraph">
    <w:name w:val="List Paragraph"/>
    <w:basedOn w:val="Normal"/>
    <w:uiPriority w:val="34"/>
    <w:qFormat/>
    <w:rsid w:val="00A81382"/>
    <w:pPr>
      <w:ind w:left="708"/>
    </w:pPr>
  </w:style>
  <w:style w:type="paragraph" w:styleId="Title">
    <w:name w:val="Title"/>
    <w:basedOn w:val="Normal"/>
    <w:next w:val="Normal"/>
    <w:link w:val="TitleChar"/>
    <w:qFormat/>
    <w:rsid w:val="00A8138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A81382"/>
    <w:rPr>
      <w:rFonts w:asciiTheme="majorHAnsi" w:eastAsiaTheme="majorEastAsia" w:hAnsiTheme="majorHAnsi" w:cstheme="majorBidi"/>
      <w:bCs/>
      <w:color w:val="17365D" w:themeColor="text2" w:themeShade="BF"/>
      <w:spacing w:val="5"/>
      <w:kern w:val="28"/>
      <w:sz w:val="52"/>
      <w:szCs w:val="52"/>
    </w:rPr>
  </w:style>
  <w:style w:type="paragraph" w:styleId="FootnoteText">
    <w:name w:val="footnote text"/>
    <w:aliases w:val="FOOTNOTES,fn,single space,footnote text,Char Char Char,Char Char"/>
    <w:basedOn w:val="Normal"/>
    <w:link w:val="FootnoteTextChar"/>
    <w:rsid w:val="00A81382"/>
    <w:pPr>
      <w:spacing w:after="0"/>
      <w:jc w:val="left"/>
    </w:pPr>
    <w:rPr>
      <w:rFonts w:ascii="Calibri" w:eastAsia="ヒラギノ角ゴ Pro W3" w:hAnsi="Calibri" w:cs="Times New Roman"/>
      <w:bCs w:val="0"/>
      <w:color w:val="000000"/>
      <w:szCs w:val="20"/>
      <w:lang w:val="en-GB"/>
    </w:rPr>
  </w:style>
  <w:style w:type="character" w:customStyle="1" w:styleId="FootnoteTextChar">
    <w:name w:val="Footnote Text Char"/>
    <w:aliases w:val="FOOTNOTES Char,fn Char,single space Char,footnote text Char,Char Char Char Char,Char Char Char1"/>
    <w:basedOn w:val="DefaultParagraphFont"/>
    <w:link w:val="FootnoteText"/>
    <w:rsid w:val="00A81382"/>
    <w:rPr>
      <w:rFonts w:ascii="Calibri" w:eastAsia="ヒラギノ角ゴ Pro W3" w:hAnsi="Calibri" w:cs="Times New Roman"/>
      <w:color w:val="000000"/>
      <w:sz w:val="20"/>
      <w:szCs w:val="20"/>
      <w:lang w:val="en-GB"/>
    </w:rPr>
  </w:style>
  <w:style w:type="character" w:styleId="FootnoteReference">
    <w:name w:val="footnote reference"/>
    <w:aliases w:val="Error-Fußnotenzeichen5,Error-Fußnotenzeichen6,Error-Fußnotenzeichen3"/>
    <w:uiPriority w:val="99"/>
    <w:unhideWhenUsed/>
    <w:rsid w:val="00A81382"/>
    <w:rPr>
      <w:vertAlign w:val="superscript"/>
    </w:rPr>
  </w:style>
  <w:style w:type="paragraph" w:customStyle="1" w:styleId="onecomwebmail-msonormal">
    <w:name w:val="onecomwebmail-msonormal"/>
    <w:basedOn w:val="Normal"/>
    <w:rsid w:val="00A81382"/>
    <w:pPr>
      <w:spacing w:before="100" w:beforeAutospacing="1" w:after="100" w:afterAutospacing="1"/>
      <w:jc w:val="left"/>
    </w:pPr>
    <w:rPr>
      <w:rFonts w:ascii="Times New Roman" w:hAnsi="Times New Roman" w:cs="Times New Roman"/>
      <w:bCs w:val="0"/>
      <w:sz w:val="24"/>
      <w:szCs w:val="24"/>
      <w:lang w:eastAsia="fr-FR"/>
    </w:rPr>
  </w:style>
  <w:style w:type="paragraph" w:styleId="BalloonText">
    <w:name w:val="Balloon Text"/>
    <w:basedOn w:val="Normal"/>
    <w:link w:val="BalloonTextChar"/>
    <w:uiPriority w:val="99"/>
    <w:semiHidden/>
    <w:unhideWhenUsed/>
    <w:rsid w:val="00A8138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1382"/>
    <w:rPr>
      <w:rFonts w:ascii="Tahoma" w:eastAsia="Times New Roman" w:hAnsi="Tahoma" w:cs="Tahoma"/>
      <w:bCs/>
      <w:sz w:val="16"/>
      <w:szCs w:val="16"/>
    </w:rPr>
  </w:style>
  <w:style w:type="character" w:styleId="Hyperlink">
    <w:name w:val="Hyperlink"/>
    <w:uiPriority w:val="99"/>
    <w:rsid w:val="00A079F7"/>
    <w:rPr>
      <w:rFonts w:cs="Times New Roman"/>
      <w:color w:val="0000FF"/>
      <w:u w:val="single"/>
    </w:rPr>
  </w:style>
  <w:style w:type="character" w:customStyle="1" w:styleId="Heading4Char">
    <w:name w:val="Heading 4 Char"/>
    <w:basedOn w:val="DefaultParagraphFont"/>
    <w:link w:val="Heading4"/>
    <w:uiPriority w:val="9"/>
    <w:rsid w:val="00A079F7"/>
    <w:rPr>
      <w:rFonts w:ascii="Arial" w:eastAsia="Times New Roman" w:hAnsi="Arial" w:cs="Times New Roman"/>
      <w:bCs/>
      <w:sz w:val="20"/>
      <w:szCs w:val="20"/>
      <w:u w:val="single"/>
      <w:lang w:val="en-GB"/>
    </w:rPr>
  </w:style>
  <w:style w:type="character" w:customStyle="1" w:styleId="Heading5Char">
    <w:name w:val="Heading 5 Char"/>
    <w:basedOn w:val="DefaultParagraphFont"/>
    <w:link w:val="Heading5"/>
    <w:uiPriority w:val="9"/>
    <w:rsid w:val="00A079F7"/>
    <w:rPr>
      <w:rFonts w:ascii="Arial" w:eastAsia="Times New Roman" w:hAnsi="Arial" w:cs="Times New Roman"/>
      <w:b/>
      <w:bCs/>
      <w:color w:val="000000"/>
      <w:sz w:val="20"/>
      <w:szCs w:val="20"/>
      <w:lang w:val="en-GB"/>
    </w:rPr>
  </w:style>
  <w:style w:type="character" w:customStyle="1" w:styleId="Heading6Char">
    <w:name w:val="Heading 6 Char"/>
    <w:basedOn w:val="DefaultParagraphFont"/>
    <w:link w:val="Heading6"/>
    <w:uiPriority w:val="9"/>
    <w:rsid w:val="00A079F7"/>
    <w:rPr>
      <w:rFonts w:ascii="Arial" w:eastAsia="Times New Roman" w:hAnsi="Arial" w:cs="Times New Roman"/>
      <w:b/>
      <w:bCs/>
      <w:sz w:val="20"/>
      <w:szCs w:val="20"/>
      <w:lang w:val="en-GB"/>
    </w:rPr>
  </w:style>
  <w:style w:type="character" w:customStyle="1" w:styleId="Heading7Char">
    <w:name w:val="Heading 7 Char"/>
    <w:basedOn w:val="DefaultParagraphFont"/>
    <w:link w:val="Heading7"/>
    <w:uiPriority w:val="9"/>
    <w:rsid w:val="00A079F7"/>
    <w:rPr>
      <w:rFonts w:ascii="Arial" w:eastAsia="Times New Roman" w:hAnsi="Arial" w:cs="Times New Roman"/>
      <w:b/>
      <w:bCs/>
      <w:sz w:val="20"/>
      <w:szCs w:val="20"/>
      <w:lang w:val="en-GB"/>
    </w:rPr>
  </w:style>
  <w:style w:type="character" w:customStyle="1" w:styleId="Heading8Char">
    <w:name w:val="Heading 8 Char"/>
    <w:basedOn w:val="DefaultParagraphFont"/>
    <w:link w:val="Heading8"/>
    <w:uiPriority w:val="9"/>
    <w:rsid w:val="00A079F7"/>
    <w:rPr>
      <w:rFonts w:ascii="Arial" w:eastAsia="Times New Roman" w:hAnsi="Arial" w:cs="Times New Roman"/>
      <w:b/>
      <w:bCs/>
      <w:spacing w:val="-2"/>
      <w:sz w:val="24"/>
      <w:szCs w:val="20"/>
      <w:lang w:val="en-GB"/>
    </w:rPr>
  </w:style>
  <w:style w:type="character" w:customStyle="1" w:styleId="Heading9Char">
    <w:name w:val="Heading 9 Char"/>
    <w:basedOn w:val="DefaultParagraphFont"/>
    <w:link w:val="Heading9"/>
    <w:uiPriority w:val="9"/>
    <w:rsid w:val="00A079F7"/>
    <w:rPr>
      <w:rFonts w:ascii="Arial" w:eastAsia="Times New Roman" w:hAnsi="Arial" w:cs="Times New Roman"/>
      <w:b/>
      <w:bCs/>
      <w:sz w:val="20"/>
      <w:szCs w:val="20"/>
      <w:lang w:val="en-GB"/>
    </w:rPr>
  </w:style>
  <w:style w:type="paragraph" w:styleId="Header">
    <w:name w:val="header"/>
    <w:basedOn w:val="Normal"/>
    <w:link w:val="HeaderChar"/>
    <w:uiPriority w:val="99"/>
    <w:unhideWhenUsed/>
    <w:rsid w:val="00A079F7"/>
    <w:pPr>
      <w:tabs>
        <w:tab w:val="center" w:pos="4536"/>
        <w:tab w:val="right" w:pos="9072"/>
      </w:tabs>
      <w:spacing w:after="0"/>
    </w:pPr>
    <w:rPr>
      <w:rFonts w:ascii="Calibri" w:hAnsi="Calibri" w:cs="Times New Roman"/>
      <w:bCs w:val="0"/>
      <w:szCs w:val="20"/>
    </w:rPr>
  </w:style>
  <w:style w:type="character" w:customStyle="1" w:styleId="HeaderChar">
    <w:name w:val="Header Char"/>
    <w:basedOn w:val="DefaultParagraphFont"/>
    <w:link w:val="Header"/>
    <w:uiPriority w:val="99"/>
    <w:rsid w:val="00A079F7"/>
    <w:rPr>
      <w:rFonts w:ascii="Calibri" w:eastAsia="Times New Roman" w:hAnsi="Calibri" w:cs="Times New Roman"/>
      <w:sz w:val="20"/>
      <w:szCs w:val="20"/>
    </w:rPr>
  </w:style>
  <w:style w:type="paragraph" w:styleId="Footer">
    <w:name w:val="footer"/>
    <w:basedOn w:val="Normal"/>
    <w:link w:val="FooterChar"/>
    <w:uiPriority w:val="99"/>
    <w:unhideWhenUsed/>
    <w:rsid w:val="00A079F7"/>
    <w:pPr>
      <w:tabs>
        <w:tab w:val="center" w:pos="4536"/>
        <w:tab w:val="right" w:pos="9072"/>
      </w:tabs>
      <w:spacing w:after="0"/>
    </w:pPr>
    <w:rPr>
      <w:rFonts w:ascii="Calibri" w:hAnsi="Calibri" w:cs="Times New Roman"/>
      <w:bCs w:val="0"/>
      <w:szCs w:val="20"/>
    </w:rPr>
  </w:style>
  <w:style w:type="character" w:customStyle="1" w:styleId="FooterChar">
    <w:name w:val="Footer Char"/>
    <w:basedOn w:val="DefaultParagraphFont"/>
    <w:link w:val="Footer"/>
    <w:uiPriority w:val="99"/>
    <w:rsid w:val="00A079F7"/>
    <w:rPr>
      <w:rFonts w:ascii="Calibri" w:eastAsia="Times New Roman" w:hAnsi="Calibri" w:cs="Times New Roman"/>
      <w:sz w:val="20"/>
      <w:szCs w:val="20"/>
    </w:rPr>
  </w:style>
  <w:style w:type="paragraph" w:customStyle="1" w:styleId="BodySingle">
    <w:name w:val="Body Single"/>
    <w:basedOn w:val="Footer"/>
    <w:link w:val="BodySingleChar"/>
    <w:rsid w:val="00A079F7"/>
    <w:pPr>
      <w:tabs>
        <w:tab w:val="clear" w:pos="4536"/>
        <w:tab w:val="clear" w:pos="9072"/>
      </w:tabs>
      <w:spacing w:line="290" w:lineRule="atLeast"/>
    </w:pPr>
    <w:rPr>
      <w:rFonts w:ascii="Times New Roman" w:hAnsi="Times New Roman"/>
      <w:bCs/>
      <w:lang w:val="en-GB"/>
    </w:rPr>
  </w:style>
  <w:style w:type="character" w:customStyle="1" w:styleId="BodySingleChar">
    <w:name w:val="Body Single Char"/>
    <w:link w:val="BodySingle"/>
    <w:locked/>
    <w:rsid w:val="00A079F7"/>
    <w:rPr>
      <w:rFonts w:ascii="Times New Roman" w:eastAsia="Times New Roman" w:hAnsi="Times New Roman" w:cs="Times New Roman"/>
      <w:bCs/>
      <w:sz w:val="20"/>
      <w:szCs w:val="20"/>
      <w:lang w:val="en-GB"/>
    </w:rPr>
  </w:style>
  <w:style w:type="paragraph" w:styleId="BodyText">
    <w:name w:val="Body Text"/>
    <w:basedOn w:val="Normal"/>
    <w:link w:val="BodyTextChar"/>
    <w:unhideWhenUsed/>
    <w:rsid w:val="00A079F7"/>
    <w:pPr>
      <w:spacing w:after="120"/>
    </w:pPr>
    <w:rPr>
      <w:rFonts w:ascii="Calibri" w:hAnsi="Calibri" w:cs="Times New Roman"/>
      <w:bCs w:val="0"/>
      <w:szCs w:val="20"/>
    </w:rPr>
  </w:style>
  <w:style w:type="character" w:customStyle="1" w:styleId="BodyTextChar">
    <w:name w:val="Body Text Char"/>
    <w:basedOn w:val="DefaultParagraphFont"/>
    <w:link w:val="BodyText"/>
    <w:rsid w:val="00A079F7"/>
    <w:rPr>
      <w:rFonts w:ascii="Calibri" w:eastAsia="Times New Roman" w:hAnsi="Calibri" w:cs="Times New Roman"/>
      <w:sz w:val="20"/>
      <w:szCs w:val="20"/>
    </w:rPr>
  </w:style>
  <w:style w:type="character" w:styleId="PageNumber">
    <w:name w:val="page number"/>
    <w:rsid w:val="00A079F7"/>
    <w:rPr>
      <w:rFonts w:cs="Times New Roman"/>
    </w:rPr>
  </w:style>
  <w:style w:type="paragraph" w:customStyle="1" w:styleId="TableText">
    <w:name w:val="Table Text"/>
    <w:rsid w:val="00A079F7"/>
    <w:pPr>
      <w:spacing w:after="0" w:line="240" w:lineRule="auto"/>
    </w:pPr>
    <w:rPr>
      <w:rFonts w:ascii="Times New Roman" w:eastAsia="Times New Roman" w:hAnsi="Times New Roman" w:cs="Times New Roman"/>
      <w:color w:val="000000"/>
      <w:sz w:val="24"/>
      <w:szCs w:val="20"/>
      <w:lang w:val="en-GB"/>
    </w:rPr>
  </w:style>
  <w:style w:type="paragraph" w:styleId="BlockText">
    <w:name w:val="Block Text"/>
    <w:basedOn w:val="Normal"/>
    <w:uiPriority w:val="99"/>
    <w:rsid w:val="00A079F7"/>
    <w:pPr>
      <w:spacing w:after="0"/>
      <w:ind w:left="426" w:right="-335"/>
    </w:pPr>
    <w:rPr>
      <w:rFonts w:ascii="Times New Roman" w:hAnsi="Times New Roman" w:cs="Times New Roman"/>
      <w:sz w:val="24"/>
      <w:szCs w:val="20"/>
      <w:lang w:val="en-GB"/>
    </w:rPr>
  </w:style>
  <w:style w:type="paragraph" w:styleId="BodyTextIndent2">
    <w:name w:val="Body Text Indent 2"/>
    <w:basedOn w:val="Normal"/>
    <w:link w:val="BodyTextIndent2Char"/>
    <w:uiPriority w:val="99"/>
    <w:rsid w:val="00A079F7"/>
    <w:pPr>
      <w:spacing w:after="0"/>
      <w:ind w:left="360"/>
    </w:pPr>
    <w:rPr>
      <w:rFonts w:ascii="Times New Roman" w:hAnsi="Times New Roman" w:cs="Times New Roman"/>
      <w:bCs w:val="0"/>
      <w:szCs w:val="20"/>
      <w:lang w:val="en-US"/>
    </w:rPr>
  </w:style>
  <w:style w:type="character" w:customStyle="1" w:styleId="BodyTextIndent2Char">
    <w:name w:val="Body Text Indent 2 Char"/>
    <w:basedOn w:val="DefaultParagraphFont"/>
    <w:link w:val="BodyTextIndent2"/>
    <w:uiPriority w:val="99"/>
    <w:rsid w:val="00A079F7"/>
    <w:rPr>
      <w:rFonts w:ascii="Times New Roman" w:eastAsia="Times New Roman" w:hAnsi="Times New Roman" w:cs="Times New Roman"/>
      <w:sz w:val="20"/>
      <w:szCs w:val="20"/>
      <w:lang w:val="en-US"/>
    </w:rPr>
  </w:style>
  <w:style w:type="paragraph" w:styleId="BodyTextIndent">
    <w:name w:val="Body Text Indent"/>
    <w:basedOn w:val="Normal"/>
    <w:link w:val="BodyTextIndentChar"/>
    <w:rsid w:val="00A079F7"/>
    <w:pPr>
      <w:spacing w:after="0"/>
      <w:ind w:left="720"/>
    </w:pPr>
    <w:rPr>
      <w:rFonts w:ascii="Times New Roman" w:hAnsi="Times New Roman" w:cs="Times New Roman"/>
      <w:bCs w:val="0"/>
      <w:szCs w:val="20"/>
      <w:lang w:val="en-GB"/>
    </w:rPr>
  </w:style>
  <w:style w:type="character" w:customStyle="1" w:styleId="BodyTextIndentChar">
    <w:name w:val="Body Text Indent Char"/>
    <w:basedOn w:val="DefaultParagraphFont"/>
    <w:link w:val="BodyTextIndent"/>
    <w:rsid w:val="00A079F7"/>
    <w:rPr>
      <w:rFonts w:ascii="Times New Roman" w:eastAsia="Times New Roman" w:hAnsi="Times New Roman" w:cs="Times New Roman"/>
      <w:sz w:val="20"/>
      <w:szCs w:val="20"/>
      <w:lang w:val="en-GB"/>
    </w:rPr>
  </w:style>
  <w:style w:type="paragraph" w:styleId="DocumentMap">
    <w:name w:val="Document Map"/>
    <w:basedOn w:val="Normal"/>
    <w:link w:val="DocumentMapChar"/>
    <w:uiPriority w:val="99"/>
    <w:semiHidden/>
    <w:rsid w:val="00A079F7"/>
    <w:pPr>
      <w:shd w:val="clear" w:color="auto" w:fill="000080"/>
      <w:spacing w:after="0"/>
    </w:pPr>
    <w:rPr>
      <w:rFonts w:ascii="Tahoma" w:hAnsi="Tahoma" w:cs="Times New Roman"/>
      <w:bCs w:val="0"/>
      <w:sz w:val="24"/>
      <w:szCs w:val="20"/>
      <w:lang w:val="en-GB"/>
    </w:rPr>
  </w:style>
  <w:style w:type="character" w:customStyle="1" w:styleId="DocumentMapChar">
    <w:name w:val="Document Map Char"/>
    <w:basedOn w:val="DefaultParagraphFont"/>
    <w:link w:val="DocumentMap"/>
    <w:uiPriority w:val="99"/>
    <w:semiHidden/>
    <w:rsid w:val="00A079F7"/>
    <w:rPr>
      <w:rFonts w:ascii="Tahoma" w:eastAsia="Times New Roman" w:hAnsi="Tahoma" w:cs="Times New Roman"/>
      <w:sz w:val="24"/>
      <w:szCs w:val="20"/>
      <w:shd w:val="clear" w:color="auto" w:fill="000080"/>
      <w:lang w:val="en-GB"/>
    </w:rPr>
  </w:style>
  <w:style w:type="paragraph" w:styleId="EnvelopeReturn">
    <w:name w:val="envelope return"/>
    <w:basedOn w:val="Normal"/>
    <w:uiPriority w:val="99"/>
    <w:rsid w:val="00A079F7"/>
    <w:pPr>
      <w:spacing w:after="0"/>
    </w:pPr>
    <w:rPr>
      <w:rFonts w:cs="Times New Roman"/>
      <w:szCs w:val="20"/>
      <w:lang w:val="en-GB"/>
    </w:rPr>
  </w:style>
  <w:style w:type="paragraph" w:styleId="BodyTextIndent3">
    <w:name w:val="Body Text Indent 3"/>
    <w:basedOn w:val="Normal"/>
    <w:link w:val="BodyTextIndent3Char"/>
    <w:rsid w:val="00A079F7"/>
    <w:pPr>
      <w:tabs>
        <w:tab w:val="left" w:pos="0"/>
        <w:tab w:val="left" w:pos="540"/>
        <w:tab w:val="left" w:pos="851"/>
        <w:tab w:val="left" w:pos="9072"/>
        <w:tab w:val="left" w:pos="9360"/>
      </w:tabs>
      <w:suppressAutoHyphens/>
      <w:spacing w:after="0"/>
      <w:ind w:left="993" w:hanging="284"/>
    </w:pPr>
    <w:rPr>
      <w:rFonts w:cs="Times New Roman"/>
      <w:bCs w:val="0"/>
      <w:spacing w:val="-3"/>
      <w:szCs w:val="20"/>
      <w:lang w:val="en-GB"/>
    </w:rPr>
  </w:style>
  <w:style w:type="character" w:customStyle="1" w:styleId="BodyTextIndent3Char">
    <w:name w:val="Body Text Indent 3 Char"/>
    <w:basedOn w:val="DefaultParagraphFont"/>
    <w:link w:val="BodyTextIndent3"/>
    <w:rsid w:val="00A079F7"/>
    <w:rPr>
      <w:rFonts w:ascii="Arial" w:eastAsia="Times New Roman" w:hAnsi="Arial" w:cs="Times New Roman"/>
      <w:spacing w:val="-3"/>
      <w:sz w:val="20"/>
      <w:szCs w:val="20"/>
      <w:lang w:val="en-GB"/>
    </w:rPr>
  </w:style>
  <w:style w:type="paragraph" w:styleId="BodyText2">
    <w:name w:val="Body Text 2"/>
    <w:basedOn w:val="Normal"/>
    <w:link w:val="BodyText2Char"/>
    <w:uiPriority w:val="99"/>
    <w:rsid w:val="00A079F7"/>
    <w:pPr>
      <w:tabs>
        <w:tab w:val="left" w:pos="0"/>
        <w:tab w:val="left" w:pos="2028"/>
        <w:tab w:val="left" w:pos="6084"/>
        <w:tab w:val="left" w:pos="9356"/>
      </w:tabs>
      <w:suppressAutoHyphens/>
      <w:spacing w:after="0"/>
      <w:ind w:right="-383"/>
    </w:pPr>
    <w:rPr>
      <w:rFonts w:cs="Times New Roman"/>
      <w:bCs w:val="0"/>
      <w:spacing w:val="-3"/>
      <w:szCs w:val="20"/>
      <w:lang w:val="en-GB"/>
    </w:rPr>
  </w:style>
  <w:style w:type="character" w:customStyle="1" w:styleId="BodyText2Char">
    <w:name w:val="Body Text 2 Char"/>
    <w:basedOn w:val="DefaultParagraphFont"/>
    <w:link w:val="BodyText2"/>
    <w:uiPriority w:val="99"/>
    <w:rsid w:val="00A079F7"/>
    <w:rPr>
      <w:rFonts w:ascii="Arial" w:eastAsia="Times New Roman" w:hAnsi="Arial" w:cs="Times New Roman"/>
      <w:spacing w:val="-3"/>
      <w:sz w:val="20"/>
      <w:szCs w:val="20"/>
      <w:lang w:val="en-GB"/>
    </w:rPr>
  </w:style>
  <w:style w:type="paragraph" w:styleId="BodyText3">
    <w:name w:val="Body Text 3"/>
    <w:basedOn w:val="Normal"/>
    <w:link w:val="BodyText3Char"/>
    <w:uiPriority w:val="99"/>
    <w:rsid w:val="00A079F7"/>
    <w:pPr>
      <w:spacing w:after="0"/>
    </w:pPr>
    <w:rPr>
      <w:rFonts w:cs="Times New Roman"/>
      <w:bCs w:val="0"/>
      <w:szCs w:val="20"/>
      <w:lang w:val="en-GB"/>
    </w:rPr>
  </w:style>
  <w:style w:type="character" w:customStyle="1" w:styleId="BodyText3Char">
    <w:name w:val="Body Text 3 Char"/>
    <w:basedOn w:val="DefaultParagraphFont"/>
    <w:link w:val="BodyText3"/>
    <w:uiPriority w:val="99"/>
    <w:rsid w:val="00A079F7"/>
    <w:rPr>
      <w:rFonts w:ascii="Arial" w:eastAsia="Times New Roman" w:hAnsi="Arial" w:cs="Times New Roman"/>
      <w:sz w:val="20"/>
      <w:szCs w:val="20"/>
      <w:lang w:val="en-GB"/>
    </w:rPr>
  </w:style>
  <w:style w:type="paragraph" w:customStyle="1" w:styleId="ReportBodyText">
    <w:name w:val="Report Body Text"/>
    <w:basedOn w:val="Normal"/>
    <w:rsid w:val="00A079F7"/>
    <w:pPr>
      <w:spacing w:after="120"/>
    </w:pPr>
    <w:rPr>
      <w:rFonts w:cs="Times New Roman"/>
      <w:szCs w:val="20"/>
      <w:lang w:val="en-GB"/>
    </w:rPr>
  </w:style>
  <w:style w:type="paragraph" w:customStyle="1" w:styleId="ReportHead1">
    <w:name w:val="Report Head 1"/>
    <w:basedOn w:val="Normal"/>
    <w:next w:val="Normal"/>
    <w:rsid w:val="00A079F7"/>
    <w:pPr>
      <w:numPr>
        <w:numId w:val="13"/>
      </w:numPr>
      <w:outlineLvl w:val="0"/>
    </w:pPr>
    <w:rPr>
      <w:rFonts w:cs="Times New Roman"/>
      <w:b/>
      <w:caps/>
      <w:sz w:val="24"/>
      <w:szCs w:val="20"/>
      <w:lang w:val="en-GB"/>
    </w:rPr>
  </w:style>
  <w:style w:type="paragraph" w:styleId="ListNumber2">
    <w:name w:val="List Number 2"/>
    <w:basedOn w:val="Normal"/>
    <w:uiPriority w:val="99"/>
    <w:rsid w:val="00A079F7"/>
    <w:pPr>
      <w:numPr>
        <w:numId w:val="12"/>
      </w:numPr>
      <w:spacing w:after="0"/>
    </w:pPr>
    <w:rPr>
      <w:rFonts w:cs="Times New Roman"/>
      <w:szCs w:val="20"/>
      <w:lang w:val="en-GB"/>
    </w:rPr>
  </w:style>
  <w:style w:type="paragraph" w:customStyle="1" w:styleId="ReportHead2">
    <w:name w:val="Report Head 2"/>
    <w:basedOn w:val="Normal"/>
    <w:next w:val="Normal"/>
    <w:rsid w:val="00A079F7"/>
    <w:pPr>
      <w:numPr>
        <w:ilvl w:val="1"/>
        <w:numId w:val="14"/>
      </w:numPr>
      <w:outlineLvl w:val="1"/>
    </w:pPr>
    <w:rPr>
      <w:rFonts w:cs="Times New Roman"/>
      <w:b/>
      <w:sz w:val="24"/>
      <w:szCs w:val="20"/>
      <w:lang w:val="en-GB"/>
    </w:rPr>
  </w:style>
  <w:style w:type="paragraph" w:customStyle="1" w:styleId="ReportHead3">
    <w:name w:val="Report Head 3"/>
    <w:basedOn w:val="Normal"/>
    <w:next w:val="Normal"/>
    <w:rsid w:val="00A079F7"/>
    <w:pPr>
      <w:numPr>
        <w:ilvl w:val="1"/>
        <w:numId w:val="13"/>
      </w:numPr>
      <w:spacing w:after="120"/>
      <w:outlineLvl w:val="1"/>
    </w:pPr>
    <w:rPr>
      <w:rFonts w:cs="Times New Roman"/>
      <w:szCs w:val="20"/>
      <w:lang w:val="en-GB"/>
    </w:rPr>
  </w:style>
  <w:style w:type="paragraph" w:customStyle="1" w:styleId="ReportHead4">
    <w:name w:val="Report Head 4"/>
    <w:basedOn w:val="Normal"/>
    <w:rsid w:val="00A079F7"/>
    <w:pPr>
      <w:numPr>
        <w:ilvl w:val="2"/>
        <w:numId w:val="13"/>
      </w:numPr>
      <w:spacing w:after="120"/>
      <w:outlineLvl w:val="2"/>
    </w:pPr>
    <w:rPr>
      <w:rFonts w:cs="Times New Roman"/>
      <w:szCs w:val="20"/>
      <w:lang w:val="en-GB"/>
    </w:rPr>
  </w:style>
  <w:style w:type="paragraph" w:customStyle="1" w:styleId="ReportHead5">
    <w:name w:val="Report Head 5"/>
    <w:basedOn w:val="Normal"/>
    <w:rsid w:val="00A079F7"/>
    <w:pPr>
      <w:tabs>
        <w:tab w:val="num" w:pos="851"/>
      </w:tabs>
      <w:spacing w:after="120"/>
      <w:ind w:left="851" w:hanging="851"/>
      <w:outlineLvl w:val="3"/>
    </w:pPr>
    <w:rPr>
      <w:rFonts w:cs="Times New Roman"/>
      <w:szCs w:val="20"/>
      <w:lang w:val="en-GB"/>
    </w:rPr>
  </w:style>
  <w:style w:type="paragraph" w:customStyle="1" w:styleId="ReportHead6">
    <w:name w:val="Report Head 6"/>
    <w:basedOn w:val="Normal"/>
    <w:rsid w:val="00A079F7"/>
    <w:pPr>
      <w:tabs>
        <w:tab w:val="num" w:pos="850"/>
      </w:tabs>
      <w:spacing w:after="120"/>
      <w:ind w:left="850" w:hanging="850"/>
      <w:outlineLvl w:val="4"/>
    </w:pPr>
    <w:rPr>
      <w:rFonts w:cs="Times New Roman"/>
      <w:szCs w:val="20"/>
      <w:lang w:val="en-GB"/>
    </w:rPr>
  </w:style>
  <w:style w:type="character" w:styleId="FollowedHyperlink">
    <w:name w:val="FollowedHyperlink"/>
    <w:uiPriority w:val="99"/>
    <w:rsid w:val="00A079F7"/>
    <w:rPr>
      <w:rFonts w:cs="Times New Roman"/>
      <w:color w:val="800080"/>
      <w:u w:val="single"/>
    </w:rPr>
  </w:style>
  <w:style w:type="paragraph" w:customStyle="1" w:styleId="lefttext">
    <w:name w:val="lefttext"/>
    <w:basedOn w:val="Normal"/>
    <w:rsid w:val="00A079F7"/>
    <w:pPr>
      <w:spacing w:before="100" w:beforeAutospacing="1" w:after="100" w:afterAutospacing="1"/>
    </w:pPr>
    <w:rPr>
      <w:rFonts w:ascii="Times New Roman" w:hAnsi="Times New Roman" w:cs="Times New Roman"/>
      <w:sz w:val="24"/>
      <w:szCs w:val="24"/>
      <w:lang w:val="nl-BE" w:eastAsia="nl-BE"/>
    </w:rPr>
  </w:style>
  <w:style w:type="paragraph" w:customStyle="1" w:styleId="ListBullet1">
    <w:name w:val="List Bullet 1"/>
    <w:basedOn w:val="Normal"/>
    <w:rsid w:val="00A079F7"/>
    <w:pPr>
      <w:numPr>
        <w:numId w:val="15"/>
      </w:numPr>
    </w:pPr>
    <w:rPr>
      <w:rFonts w:ascii="Times New Roman" w:hAnsi="Times New Roman" w:cs="Times New Roman"/>
      <w:sz w:val="24"/>
      <w:szCs w:val="20"/>
      <w:lang w:val="en-GB"/>
    </w:rPr>
  </w:style>
  <w:style w:type="paragraph" w:customStyle="1" w:styleId="Text1">
    <w:name w:val="Text 1"/>
    <w:basedOn w:val="Normal"/>
    <w:rsid w:val="00A079F7"/>
    <w:pPr>
      <w:ind w:left="482"/>
    </w:pPr>
    <w:rPr>
      <w:rFonts w:ascii="Times New Roman" w:hAnsi="Times New Roman" w:cs="Times New Roman"/>
      <w:sz w:val="24"/>
      <w:szCs w:val="20"/>
      <w:lang w:val="en-GB"/>
    </w:rPr>
  </w:style>
  <w:style w:type="paragraph" w:customStyle="1" w:styleId="Text3">
    <w:name w:val="Text 3"/>
    <w:basedOn w:val="Normal"/>
    <w:rsid w:val="00A079F7"/>
    <w:pPr>
      <w:tabs>
        <w:tab w:val="left" w:pos="2302"/>
      </w:tabs>
      <w:ind w:left="1916"/>
    </w:pPr>
    <w:rPr>
      <w:rFonts w:ascii="Times New Roman" w:hAnsi="Times New Roman" w:cs="Times New Roman"/>
      <w:sz w:val="24"/>
      <w:szCs w:val="20"/>
      <w:lang w:val="en-GB"/>
    </w:rPr>
  </w:style>
  <w:style w:type="paragraph" w:styleId="ListBullet2">
    <w:name w:val="List Bullet 2"/>
    <w:basedOn w:val="Normal"/>
    <w:uiPriority w:val="99"/>
    <w:rsid w:val="00A079F7"/>
    <w:pPr>
      <w:numPr>
        <w:numId w:val="16"/>
      </w:numPr>
    </w:pPr>
    <w:rPr>
      <w:rFonts w:ascii="Times New Roman" w:hAnsi="Times New Roman" w:cs="Times New Roman"/>
      <w:sz w:val="24"/>
      <w:szCs w:val="20"/>
      <w:lang w:val="en-GB"/>
    </w:rPr>
  </w:style>
  <w:style w:type="paragraph" w:styleId="TOC1">
    <w:name w:val="toc 1"/>
    <w:aliases w:val="TM"/>
    <w:basedOn w:val="Normal"/>
    <w:next w:val="Normal"/>
    <w:autoRedefine/>
    <w:uiPriority w:val="39"/>
    <w:rsid w:val="00A079F7"/>
    <w:pPr>
      <w:tabs>
        <w:tab w:val="left" w:pos="500"/>
        <w:tab w:val="right" w:leader="dot" w:pos="8800"/>
      </w:tabs>
      <w:spacing w:before="240" w:after="120"/>
      <w:ind w:left="499" w:right="301" w:hanging="499"/>
    </w:pPr>
    <w:rPr>
      <w:b/>
      <w:caps/>
      <w:noProof/>
      <w:kern w:val="32"/>
      <w:szCs w:val="20"/>
      <w:lang w:bidi="ar-TN"/>
    </w:rPr>
  </w:style>
  <w:style w:type="paragraph" w:customStyle="1" w:styleId="questionsub">
    <w:name w:val="question sub"/>
    <w:basedOn w:val="Normal"/>
    <w:rsid w:val="00A079F7"/>
    <w:pPr>
      <w:spacing w:after="120"/>
      <w:ind w:left="576" w:hanging="288"/>
    </w:pPr>
    <w:rPr>
      <w:rFonts w:ascii="Times New Roman" w:hAnsi="Times New Roman" w:cs="Times New Roman"/>
      <w:szCs w:val="20"/>
      <w:lang w:val="en-US"/>
    </w:rPr>
  </w:style>
  <w:style w:type="paragraph" w:customStyle="1" w:styleId="TableNormal1">
    <w:name w:val="Table Normal1"/>
    <w:basedOn w:val="Header"/>
    <w:rsid w:val="00A079F7"/>
    <w:pPr>
      <w:tabs>
        <w:tab w:val="clear" w:pos="4536"/>
        <w:tab w:val="clear" w:pos="9072"/>
        <w:tab w:val="center" w:pos="4253"/>
        <w:tab w:val="right" w:pos="8505"/>
      </w:tabs>
      <w:spacing w:before="60" w:after="60"/>
    </w:pPr>
    <w:rPr>
      <w:rFonts w:ascii="Times New Roman" w:hAnsi="Times New Roman"/>
      <w:sz w:val="16"/>
      <w:lang w:val="en-GB"/>
    </w:rPr>
  </w:style>
  <w:style w:type="paragraph" w:styleId="TOC2">
    <w:name w:val="toc 2"/>
    <w:basedOn w:val="Normal"/>
    <w:next w:val="Normal"/>
    <w:autoRedefine/>
    <w:uiPriority w:val="39"/>
    <w:rsid w:val="00A079F7"/>
    <w:pPr>
      <w:tabs>
        <w:tab w:val="left" w:pos="709"/>
        <w:tab w:val="right" w:leader="dot" w:pos="8800"/>
      </w:tabs>
      <w:spacing w:before="120" w:after="120"/>
      <w:ind w:left="1276" w:right="281" w:hanging="1078"/>
    </w:pPr>
    <w:rPr>
      <w:noProof/>
      <w:kern w:val="28"/>
      <w:szCs w:val="20"/>
    </w:rPr>
  </w:style>
  <w:style w:type="paragraph" w:customStyle="1" w:styleId="Ballontekst">
    <w:name w:val="Ballontekst"/>
    <w:basedOn w:val="Normal"/>
    <w:semiHidden/>
    <w:rsid w:val="00A079F7"/>
    <w:pPr>
      <w:spacing w:after="0"/>
    </w:pPr>
    <w:rPr>
      <w:rFonts w:ascii="Tahoma" w:hAnsi="Tahoma" w:cs="Tahoma"/>
      <w:sz w:val="16"/>
      <w:szCs w:val="16"/>
      <w:lang w:val="en-GB"/>
    </w:rPr>
  </w:style>
  <w:style w:type="paragraph" w:customStyle="1" w:styleId="MSStandardLevel2">
    <w:name w:val="MS Standard Level 2"/>
    <w:basedOn w:val="Normal"/>
    <w:rsid w:val="00A079F7"/>
    <w:pPr>
      <w:tabs>
        <w:tab w:val="num" w:pos="850"/>
      </w:tabs>
      <w:spacing w:after="120"/>
      <w:ind w:left="850" w:hanging="850"/>
      <w:outlineLvl w:val="1"/>
    </w:pPr>
    <w:rPr>
      <w:rFonts w:cs="Times New Roman"/>
      <w:szCs w:val="20"/>
      <w:lang w:val="en-GB"/>
    </w:rPr>
  </w:style>
  <w:style w:type="paragraph" w:customStyle="1" w:styleId="MSStandardLevel3">
    <w:name w:val="MS Standard Level 3"/>
    <w:basedOn w:val="Normal"/>
    <w:rsid w:val="00A079F7"/>
    <w:pPr>
      <w:tabs>
        <w:tab w:val="num" w:pos="850"/>
      </w:tabs>
      <w:spacing w:after="120"/>
      <w:ind w:left="850" w:hanging="850"/>
      <w:outlineLvl w:val="2"/>
    </w:pPr>
    <w:rPr>
      <w:rFonts w:cs="Times New Roman"/>
      <w:szCs w:val="20"/>
      <w:lang w:val="en-GB"/>
    </w:rPr>
  </w:style>
  <w:style w:type="paragraph" w:customStyle="1" w:styleId="MSStandardLevel4">
    <w:name w:val="MS Standard Level 4"/>
    <w:basedOn w:val="Normal"/>
    <w:rsid w:val="00A079F7"/>
    <w:pPr>
      <w:tabs>
        <w:tab w:val="num" w:pos="1134"/>
      </w:tabs>
      <w:spacing w:after="120"/>
      <w:ind w:left="1134" w:hanging="1134"/>
      <w:outlineLvl w:val="3"/>
    </w:pPr>
    <w:rPr>
      <w:rFonts w:cs="Times New Roman"/>
      <w:szCs w:val="20"/>
      <w:lang w:val="en-GB"/>
    </w:rPr>
  </w:style>
  <w:style w:type="paragraph" w:customStyle="1" w:styleId="MSStandardLevel5">
    <w:name w:val="MS Standard Level 5"/>
    <w:basedOn w:val="Normal"/>
    <w:rsid w:val="00A079F7"/>
    <w:pPr>
      <w:tabs>
        <w:tab w:val="left" w:pos="1134"/>
        <w:tab w:val="num" w:pos="1440"/>
      </w:tabs>
      <w:spacing w:after="120"/>
      <w:ind w:left="1134" w:hanging="1134"/>
      <w:outlineLvl w:val="4"/>
    </w:pPr>
    <w:rPr>
      <w:rFonts w:cs="Times New Roman"/>
      <w:szCs w:val="20"/>
      <w:lang w:val="en-GB"/>
    </w:rPr>
  </w:style>
  <w:style w:type="paragraph" w:customStyle="1" w:styleId="MSStandardLevel6">
    <w:name w:val="MS Standard Level 6"/>
    <w:basedOn w:val="Normal"/>
    <w:rsid w:val="00A079F7"/>
    <w:pPr>
      <w:tabs>
        <w:tab w:val="left" w:pos="1134"/>
        <w:tab w:val="num" w:pos="1440"/>
      </w:tabs>
      <w:spacing w:after="120"/>
      <w:ind w:left="1134" w:hanging="1134"/>
      <w:outlineLvl w:val="5"/>
    </w:pPr>
    <w:rPr>
      <w:rFonts w:cs="Times New Roman"/>
      <w:szCs w:val="20"/>
      <w:lang w:val="en-GB"/>
    </w:rPr>
  </w:style>
  <w:style w:type="paragraph" w:customStyle="1" w:styleId="MSStandardLevel7">
    <w:name w:val="MS Standard Level 7"/>
    <w:basedOn w:val="Normal"/>
    <w:rsid w:val="00A079F7"/>
    <w:pPr>
      <w:tabs>
        <w:tab w:val="left" w:pos="1418"/>
        <w:tab w:val="num" w:pos="1797"/>
      </w:tabs>
      <w:spacing w:after="120"/>
      <w:ind w:left="1417" w:hanging="1417"/>
      <w:outlineLvl w:val="6"/>
    </w:pPr>
    <w:rPr>
      <w:rFonts w:cs="Times New Roman"/>
      <w:szCs w:val="20"/>
      <w:lang w:val="en-GB"/>
    </w:rPr>
  </w:style>
  <w:style w:type="paragraph" w:customStyle="1" w:styleId="MSHouseLevel2">
    <w:name w:val="MS House Level 2"/>
    <w:basedOn w:val="Normal"/>
    <w:rsid w:val="00A079F7"/>
    <w:pPr>
      <w:spacing w:after="120"/>
      <w:outlineLvl w:val="1"/>
    </w:pPr>
    <w:rPr>
      <w:rFonts w:cs="Times New Roman"/>
      <w:szCs w:val="20"/>
      <w:lang w:val="en-GB"/>
    </w:rPr>
  </w:style>
  <w:style w:type="paragraph" w:customStyle="1" w:styleId="MSHouseLevel3">
    <w:name w:val="MS House Level 3"/>
    <w:basedOn w:val="Normal"/>
    <w:rsid w:val="00A079F7"/>
    <w:pPr>
      <w:spacing w:after="120"/>
      <w:outlineLvl w:val="2"/>
    </w:pPr>
    <w:rPr>
      <w:rFonts w:cs="Times New Roman"/>
      <w:szCs w:val="20"/>
      <w:lang w:val="en-GB"/>
    </w:rPr>
  </w:style>
  <w:style w:type="paragraph" w:customStyle="1" w:styleId="MSHouseLevel4">
    <w:name w:val="MS House Level 4"/>
    <w:basedOn w:val="Normal"/>
    <w:rsid w:val="00A079F7"/>
    <w:pPr>
      <w:tabs>
        <w:tab w:val="num" w:pos="851"/>
      </w:tabs>
      <w:spacing w:after="120"/>
      <w:ind w:left="851" w:hanging="851"/>
      <w:outlineLvl w:val="3"/>
    </w:pPr>
    <w:rPr>
      <w:rFonts w:cs="Times New Roman"/>
      <w:szCs w:val="20"/>
      <w:lang w:val="en-GB"/>
    </w:rPr>
  </w:style>
  <w:style w:type="paragraph" w:customStyle="1" w:styleId="MSHouseLevel5">
    <w:name w:val="MS House Level 5"/>
    <w:basedOn w:val="Normal"/>
    <w:rsid w:val="00A079F7"/>
    <w:pPr>
      <w:tabs>
        <w:tab w:val="num" w:pos="851"/>
      </w:tabs>
      <w:spacing w:after="120"/>
      <w:ind w:left="851" w:hanging="851"/>
      <w:outlineLvl w:val="4"/>
    </w:pPr>
    <w:rPr>
      <w:rFonts w:cs="Times New Roman"/>
      <w:szCs w:val="20"/>
      <w:lang w:val="en-GB"/>
    </w:rPr>
  </w:style>
  <w:style w:type="paragraph" w:customStyle="1" w:styleId="MSHouseLevel6">
    <w:name w:val="MS House Level 6"/>
    <w:basedOn w:val="Normal"/>
    <w:rsid w:val="00A079F7"/>
    <w:pPr>
      <w:tabs>
        <w:tab w:val="num" w:pos="1418"/>
      </w:tabs>
      <w:spacing w:after="120"/>
      <w:ind w:left="1418" w:hanging="567"/>
      <w:outlineLvl w:val="5"/>
    </w:pPr>
    <w:rPr>
      <w:rFonts w:cs="Times New Roman"/>
      <w:szCs w:val="20"/>
      <w:lang w:val="en-GB"/>
    </w:rPr>
  </w:style>
  <w:style w:type="paragraph" w:customStyle="1" w:styleId="MSHouseLevel7">
    <w:name w:val="MS House Level 7"/>
    <w:basedOn w:val="Normal"/>
    <w:rsid w:val="00A079F7"/>
    <w:pPr>
      <w:tabs>
        <w:tab w:val="num" w:pos="1985"/>
      </w:tabs>
      <w:spacing w:after="120"/>
      <w:ind w:left="1985" w:hanging="567"/>
      <w:outlineLvl w:val="6"/>
    </w:pPr>
    <w:rPr>
      <w:rFonts w:cs="Times New Roman"/>
      <w:szCs w:val="20"/>
      <w:lang w:val="en-GB"/>
    </w:rPr>
  </w:style>
  <w:style w:type="paragraph" w:customStyle="1" w:styleId="MSLetterLevel2">
    <w:name w:val="MS Letter Level 2"/>
    <w:basedOn w:val="MSLetterLevel1"/>
    <w:rsid w:val="00A079F7"/>
  </w:style>
  <w:style w:type="paragraph" w:customStyle="1" w:styleId="MSLetterLevel1">
    <w:name w:val="MS Letter Level 1"/>
    <w:basedOn w:val="Normal"/>
    <w:rsid w:val="00A079F7"/>
    <w:pPr>
      <w:tabs>
        <w:tab w:val="num" w:pos="360"/>
      </w:tabs>
      <w:spacing w:after="120"/>
      <w:ind w:left="360" w:hanging="360"/>
    </w:pPr>
    <w:rPr>
      <w:rFonts w:cs="Times New Roman"/>
      <w:szCs w:val="20"/>
      <w:lang w:val="en-GB"/>
    </w:rPr>
  </w:style>
  <w:style w:type="paragraph" w:customStyle="1" w:styleId="MSLetterLevel3">
    <w:name w:val="MS Letter Level 3"/>
    <w:basedOn w:val="MSLetterLevel2"/>
    <w:rsid w:val="00A079F7"/>
    <w:pPr>
      <w:tabs>
        <w:tab w:val="left" w:pos="1134"/>
      </w:tabs>
    </w:pPr>
  </w:style>
  <w:style w:type="paragraph" w:customStyle="1" w:styleId="NoteHead">
    <w:name w:val="NoteHead"/>
    <w:basedOn w:val="Normal"/>
    <w:next w:val="Subject"/>
    <w:rsid w:val="00A079F7"/>
    <w:pPr>
      <w:spacing w:before="720" w:after="720"/>
      <w:jc w:val="center"/>
    </w:pPr>
    <w:rPr>
      <w:rFonts w:ascii="Times New Roman" w:hAnsi="Times New Roman" w:cs="Times New Roman"/>
      <w:b/>
      <w:smallCaps/>
      <w:sz w:val="24"/>
      <w:szCs w:val="20"/>
      <w:lang w:val="en-GB"/>
    </w:rPr>
  </w:style>
  <w:style w:type="paragraph" w:customStyle="1" w:styleId="Subject">
    <w:name w:val="Subject"/>
    <w:basedOn w:val="Normal"/>
    <w:next w:val="Normal"/>
    <w:rsid w:val="00A079F7"/>
    <w:pPr>
      <w:spacing w:after="480"/>
      <w:ind w:left="1191" w:hanging="1191"/>
    </w:pPr>
    <w:rPr>
      <w:rFonts w:ascii="Times New Roman" w:hAnsi="Times New Roman" w:cs="Times New Roman"/>
      <w:b/>
      <w:sz w:val="24"/>
      <w:szCs w:val="20"/>
      <w:lang w:val="en-GB"/>
    </w:rPr>
  </w:style>
  <w:style w:type="paragraph" w:styleId="CommentText">
    <w:name w:val="annotation text"/>
    <w:basedOn w:val="Normal"/>
    <w:link w:val="CommentTextChar"/>
    <w:semiHidden/>
    <w:rsid w:val="00A079F7"/>
    <w:rPr>
      <w:rFonts w:ascii="Times New Roman" w:hAnsi="Times New Roman" w:cs="Times New Roman"/>
      <w:bCs w:val="0"/>
      <w:szCs w:val="20"/>
      <w:lang w:val="en-GB"/>
    </w:rPr>
  </w:style>
  <w:style w:type="character" w:customStyle="1" w:styleId="CommentTextChar">
    <w:name w:val="Comment Text Char"/>
    <w:basedOn w:val="DefaultParagraphFont"/>
    <w:link w:val="CommentText"/>
    <w:semiHidden/>
    <w:rsid w:val="00A079F7"/>
    <w:rPr>
      <w:rFonts w:ascii="Times New Roman" w:eastAsia="Times New Roman" w:hAnsi="Times New Roman" w:cs="Times New Roman"/>
      <w:sz w:val="20"/>
      <w:szCs w:val="20"/>
      <w:lang w:val="en-GB"/>
    </w:rPr>
  </w:style>
  <w:style w:type="paragraph" w:customStyle="1" w:styleId="References">
    <w:name w:val="References"/>
    <w:basedOn w:val="Normal"/>
    <w:next w:val="AddressTR"/>
    <w:rsid w:val="00A079F7"/>
    <w:pPr>
      <w:ind w:left="5103"/>
    </w:pPr>
    <w:rPr>
      <w:rFonts w:ascii="Times New Roman" w:hAnsi="Times New Roman" w:cs="Times New Roman"/>
      <w:szCs w:val="20"/>
      <w:lang w:val="en-GB"/>
    </w:rPr>
  </w:style>
  <w:style w:type="paragraph" w:customStyle="1" w:styleId="AddressTR">
    <w:name w:val="AddressTR"/>
    <w:basedOn w:val="Normal"/>
    <w:next w:val="Normal"/>
    <w:rsid w:val="00A079F7"/>
    <w:pPr>
      <w:spacing w:after="720"/>
      <w:ind w:left="5103"/>
    </w:pPr>
    <w:rPr>
      <w:rFonts w:ascii="Times New Roman" w:hAnsi="Times New Roman" w:cs="Times New Roman"/>
      <w:sz w:val="24"/>
      <w:szCs w:val="20"/>
      <w:lang w:val="en-GB"/>
    </w:rPr>
  </w:style>
  <w:style w:type="paragraph" w:styleId="PlainText">
    <w:name w:val="Plain Text"/>
    <w:basedOn w:val="Normal"/>
    <w:link w:val="PlainTextChar"/>
    <w:uiPriority w:val="99"/>
    <w:rsid w:val="00A079F7"/>
    <w:rPr>
      <w:rFonts w:ascii="Courier New" w:hAnsi="Courier New" w:cs="Times New Roman"/>
      <w:bCs w:val="0"/>
      <w:szCs w:val="20"/>
      <w:lang w:val="en-GB"/>
    </w:rPr>
  </w:style>
  <w:style w:type="character" w:customStyle="1" w:styleId="PlainTextChar">
    <w:name w:val="Plain Text Char"/>
    <w:basedOn w:val="DefaultParagraphFont"/>
    <w:link w:val="PlainText"/>
    <w:uiPriority w:val="99"/>
    <w:rsid w:val="00A079F7"/>
    <w:rPr>
      <w:rFonts w:ascii="Courier New" w:eastAsia="Times New Roman" w:hAnsi="Courier New" w:cs="Times New Roman"/>
      <w:sz w:val="20"/>
      <w:szCs w:val="20"/>
      <w:lang w:val="en-GB"/>
    </w:rPr>
  </w:style>
  <w:style w:type="paragraph" w:customStyle="1" w:styleId="SubTitle1">
    <w:name w:val="SubTitle 1"/>
    <w:basedOn w:val="Normal"/>
    <w:next w:val="SubTitle2"/>
    <w:rsid w:val="00A079F7"/>
    <w:pPr>
      <w:jc w:val="center"/>
    </w:pPr>
    <w:rPr>
      <w:rFonts w:ascii="Times New Roman" w:hAnsi="Times New Roman" w:cs="Times New Roman"/>
      <w:b/>
      <w:sz w:val="40"/>
      <w:szCs w:val="20"/>
      <w:lang w:val="en-GB"/>
    </w:rPr>
  </w:style>
  <w:style w:type="paragraph" w:customStyle="1" w:styleId="SubTitle2">
    <w:name w:val="SubTitle 2"/>
    <w:basedOn w:val="Normal"/>
    <w:rsid w:val="00A079F7"/>
    <w:pPr>
      <w:jc w:val="center"/>
    </w:pPr>
    <w:rPr>
      <w:rFonts w:ascii="Times New Roman" w:hAnsi="Times New Roman" w:cs="Times New Roman"/>
      <w:b/>
      <w:sz w:val="32"/>
      <w:szCs w:val="20"/>
      <w:lang w:val="en-GB"/>
    </w:rPr>
  </w:style>
  <w:style w:type="paragraph" w:customStyle="1" w:styleId="Text2">
    <w:name w:val="Text 2"/>
    <w:basedOn w:val="Normal"/>
    <w:rsid w:val="00A079F7"/>
    <w:pPr>
      <w:tabs>
        <w:tab w:val="left" w:pos="2161"/>
      </w:tabs>
      <w:ind w:left="1202"/>
    </w:pPr>
    <w:rPr>
      <w:rFonts w:ascii="Times New Roman" w:hAnsi="Times New Roman" w:cs="Times New Roman"/>
      <w:sz w:val="24"/>
      <w:szCs w:val="20"/>
      <w:lang w:val="en-GB"/>
    </w:rPr>
  </w:style>
  <w:style w:type="paragraph" w:customStyle="1" w:styleId="ChapterTitle">
    <w:name w:val="ChapterTitle"/>
    <w:basedOn w:val="Normal"/>
    <w:next w:val="SectionTitle"/>
    <w:rsid w:val="00A079F7"/>
    <w:pPr>
      <w:keepNext/>
      <w:spacing w:after="480"/>
      <w:jc w:val="center"/>
    </w:pPr>
    <w:rPr>
      <w:rFonts w:ascii="Times New Roman" w:hAnsi="Times New Roman" w:cs="Times New Roman"/>
      <w:b/>
      <w:sz w:val="32"/>
      <w:szCs w:val="20"/>
      <w:lang w:val="en-GB"/>
    </w:rPr>
  </w:style>
  <w:style w:type="paragraph" w:customStyle="1" w:styleId="SectionTitle">
    <w:name w:val="SectionTitle"/>
    <w:basedOn w:val="Normal"/>
    <w:next w:val="Heading1"/>
    <w:rsid w:val="00A079F7"/>
    <w:pPr>
      <w:keepNext/>
      <w:spacing w:after="480"/>
      <w:jc w:val="center"/>
    </w:pPr>
    <w:rPr>
      <w:rFonts w:ascii="Times New Roman" w:hAnsi="Times New Roman" w:cs="Times New Roman"/>
      <w:b/>
      <w:smallCaps/>
      <w:sz w:val="28"/>
      <w:szCs w:val="20"/>
      <w:lang w:val="en-GB"/>
    </w:rPr>
  </w:style>
  <w:style w:type="paragraph" w:styleId="Index7">
    <w:name w:val="index 7"/>
    <w:basedOn w:val="Normal"/>
    <w:next w:val="Normal"/>
    <w:autoRedefine/>
    <w:uiPriority w:val="99"/>
    <w:semiHidden/>
    <w:rsid w:val="00A079F7"/>
    <w:pPr>
      <w:ind w:left="1680" w:hanging="240"/>
    </w:pPr>
    <w:rPr>
      <w:rFonts w:ascii="Times New Roman" w:hAnsi="Times New Roman" w:cs="Times New Roman"/>
      <w:sz w:val="24"/>
      <w:szCs w:val="20"/>
      <w:lang w:val="en-GB"/>
    </w:rPr>
  </w:style>
  <w:style w:type="paragraph" w:styleId="Index9">
    <w:name w:val="index 9"/>
    <w:basedOn w:val="Normal"/>
    <w:next w:val="Normal"/>
    <w:autoRedefine/>
    <w:uiPriority w:val="99"/>
    <w:semiHidden/>
    <w:rsid w:val="00A079F7"/>
    <w:pPr>
      <w:ind w:left="2160" w:hanging="240"/>
    </w:pPr>
    <w:rPr>
      <w:rFonts w:ascii="Times New Roman" w:hAnsi="Times New Roman" w:cs="Times New Roman"/>
      <w:sz w:val="24"/>
      <w:szCs w:val="20"/>
      <w:lang w:val="en-GB"/>
    </w:rPr>
  </w:style>
  <w:style w:type="paragraph" w:customStyle="1" w:styleId="MSHouseLevel1">
    <w:name w:val="MS House Level 1"/>
    <w:basedOn w:val="Normal"/>
    <w:rsid w:val="00A079F7"/>
    <w:pPr>
      <w:outlineLvl w:val="0"/>
    </w:pPr>
    <w:rPr>
      <w:rFonts w:cs="Times New Roman"/>
      <w:b/>
      <w:caps/>
      <w:szCs w:val="20"/>
      <w:lang w:val="en-GB"/>
    </w:rPr>
  </w:style>
  <w:style w:type="paragraph" w:styleId="TOC3">
    <w:name w:val="toc 3"/>
    <w:basedOn w:val="Normal"/>
    <w:next w:val="Normal"/>
    <w:autoRedefine/>
    <w:uiPriority w:val="39"/>
    <w:rsid w:val="00A079F7"/>
    <w:pPr>
      <w:tabs>
        <w:tab w:val="left" w:pos="1200"/>
        <w:tab w:val="right" w:leader="dot" w:pos="8493"/>
      </w:tabs>
      <w:spacing w:after="0"/>
      <w:ind w:left="300"/>
    </w:pPr>
    <w:rPr>
      <w:rFonts w:ascii="Times New Roman" w:hAnsi="Times New Roman" w:cs="Times New Roman"/>
      <w:sz w:val="24"/>
      <w:szCs w:val="20"/>
      <w:lang w:val="en-GB"/>
    </w:rPr>
  </w:style>
  <w:style w:type="paragraph" w:styleId="TOC4">
    <w:name w:val="toc 4"/>
    <w:basedOn w:val="Normal"/>
    <w:next w:val="Normal"/>
    <w:autoRedefine/>
    <w:uiPriority w:val="39"/>
    <w:semiHidden/>
    <w:rsid w:val="00A079F7"/>
    <w:pPr>
      <w:spacing w:after="0"/>
      <w:ind w:left="720"/>
    </w:pPr>
    <w:rPr>
      <w:rFonts w:ascii="Times New Roman" w:hAnsi="Times New Roman" w:cs="Times New Roman"/>
      <w:sz w:val="24"/>
      <w:szCs w:val="24"/>
      <w:lang w:val="en-GB"/>
    </w:rPr>
  </w:style>
  <w:style w:type="paragraph" w:styleId="TOC5">
    <w:name w:val="toc 5"/>
    <w:basedOn w:val="Normal"/>
    <w:next w:val="Normal"/>
    <w:autoRedefine/>
    <w:uiPriority w:val="39"/>
    <w:semiHidden/>
    <w:rsid w:val="00A079F7"/>
    <w:pPr>
      <w:spacing w:after="0"/>
      <w:ind w:left="960"/>
    </w:pPr>
    <w:rPr>
      <w:rFonts w:ascii="Times New Roman" w:hAnsi="Times New Roman" w:cs="Times New Roman"/>
      <w:sz w:val="24"/>
      <w:szCs w:val="24"/>
      <w:lang w:val="en-GB"/>
    </w:rPr>
  </w:style>
  <w:style w:type="paragraph" w:styleId="TOC6">
    <w:name w:val="toc 6"/>
    <w:basedOn w:val="Normal"/>
    <w:next w:val="Normal"/>
    <w:autoRedefine/>
    <w:uiPriority w:val="39"/>
    <w:semiHidden/>
    <w:rsid w:val="00A079F7"/>
    <w:pPr>
      <w:spacing w:after="0"/>
      <w:ind w:left="1200"/>
    </w:pPr>
    <w:rPr>
      <w:rFonts w:ascii="Times New Roman" w:hAnsi="Times New Roman" w:cs="Times New Roman"/>
      <w:sz w:val="24"/>
      <w:szCs w:val="24"/>
      <w:lang w:val="en-GB"/>
    </w:rPr>
  </w:style>
  <w:style w:type="paragraph" w:styleId="TOC7">
    <w:name w:val="toc 7"/>
    <w:basedOn w:val="Normal"/>
    <w:next w:val="Normal"/>
    <w:autoRedefine/>
    <w:uiPriority w:val="39"/>
    <w:semiHidden/>
    <w:rsid w:val="00A079F7"/>
    <w:pPr>
      <w:spacing w:after="0"/>
      <w:ind w:left="1440"/>
    </w:pPr>
    <w:rPr>
      <w:rFonts w:ascii="Times New Roman" w:hAnsi="Times New Roman" w:cs="Times New Roman"/>
      <w:sz w:val="24"/>
      <w:szCs w:val="24"/>
      <w:lang w:val="en-GB"/>
    </w:rPr>
  </w:style>
  <w:style w:type="paragraph" w:styleId="TOC8">
    <w:name w:val="toc 8"/>
    <w:basedOn w:val="Normal"/>
    <w:next w:val="Normal"/>
    <w:autoRedefine/>
    <w:uiPriority w:val="39"/>
    <w:semiHidden/>
    <w:rsid w:val="00A079F7"/>
    <w:pPr>
      <w:spacing w:after="0"/>
      <w:ind w:left="1680"/>
    </w:pPr>
    <w:rPr>
      <w:rFonts w:ascii="Times New Roman" w:hAnsi="Times New Roman" w:cs="Times New Roman"/>
      <w:sz w:val="24"/>
      <w:szCs w:val="24"/>
      <w:lang w:val="en-GB"/>
    </w:rPr>
  </w:style>
  <w:style w:type="paragraph" w:styleId="TOC9">
    <w:name w:val="toc 9"/>
    <w:basedOn w:val="Normal"/>
    <w:next w:val="Normal"/>
    <w:autoRedefine/>
    <w:uiPriority w:val="39"/>
    <w:semiHidden/>
    <w:rsid w:val="00A079F7"/>
    <w:pPr>
      <w:spacing w:after="0"/>
      <w:ind w:left="1920"/>
    </w:pPr>
    <w:rPr>
      <w:rFonts w:ascii="Times New Roman" w:hAnsi="Times New Roman" w:cs="Times New Roman"/>
      <w:sz w:val="24"/>
      <w:szCs w:val="24"/>
      <w:lang w:val="en-GB"/>
    </w:rPr>
  </w:style>
  <w:style w:type="paragraph" w:customStyle="1" w:styleId="MSBulletLevel1">
    <w:name w:val="MS Bullet Level 1"/>
    <w:basedOn w:val="Normal"/>
    <w:rsid w:val="00A079F7"/>
    <w:pPr>
      <w:numPr>
        <w:numId w:val="17"/>
      </w:numPr>
      <w:spacing w:after="120"/>
    </w:pPr>
    <w:rPr>
      <w:rFonts w:cs="Times New Roman"/>
      <w:szCs w:val="20"/>
      <w:lang w:val="en-GB"/>
    </w:rPr>
  </w:style>
  <w:style w:type="paragraph" w:styleId="Caption">
    <w:name w:val="caption"/>
    <w:basedOn w:val="Normal"/>
    <w:next w:val="Normal"/>
    <w:qFormat/>
    <w:rsid w:val="00A079F7"/>
    <w:pPr>
      <w:spacing w:before="120" w:after="120"/>
    </w:pPr>
    <w:rPr>
      <w:rFonts w:ascii="Times New Roman" w:hAnsi="Times New Roman" w:cs="Times New Roman"/>
      <w:b/>
      <w:sz w:val="24"/>
      <w:szCs w:val="20"/>
      <w:lang w:val="en-GB"/>
    </w:rPr>
  </w:style>
  <w:style w:type="paragraph" w:styleId="List">
    <w:name w:val="List"/>
    <w:basedOn w:val="Normal"/>
    <w:uiPriority w:val="99"/>
    <w:rsid w:val="00A079F7"/>
    <w:pPr>
      <w:ind w:left="283" w:hanging="283"/>
    </w:pPr>
    <w:rPr>
      <w:rFonts w:ascii="Times New Roman" w:hAnsi="Times New Roman" w:cs="Times New Roman"/>
      <w:sz w:val="24"/>
      <w:szCs w:val="20"/>
      <w:lang w:val="en-GB"/>
    </w:rPr>
  </w:style>
  <w:style w:type="paragraph" w:styleId="NoteHeading">
    <w:name w:val="Note Heading"/>
    <w:basedOn w:val="Normal"/>
    <w:next w:val="Normal"/>
    <w:link w:val="NoteHeadingChar"/>
    <w:uiPriority w:val="99"/>
    <w:rsid w:val="00A079F7"/>
    <w:rPr>
      <w:rFonts w:ascii="Times New Roman" w:hAnsi="Times New Roman" w:cs="Times New Roman"/>
      <w:bCs w:val="0"/>
      <w:sz w:val="24"/>
      <w:szCs w:val="20"/>
      <w:lang w:val="en-GB"/>
    </w:rPr>
  </w:style>
  <w:style w:type="character" w:customStyle="1" w:styleId="NoteHeadingChar">
    <w:name w:val="Note Heading Char"/>
    <w:basedOn w:val="DefaultParagraphFont"/>
    <w:link w:val="NoteHeading"/>
    <w:uiPriority w:val="99"/>
    <w:rsid w:val="00A079F7"/>
    <w:rPr>
      <w:rFonts w:ascii="Times New Roman" w:eastAsia="Times New Roman" w:hAnsi="Times New Roman" w:cs="Times New Roman"/>
      <w:sz w:val="24"/>
      <w:szCs w:val="20"/>
      <w:lang w:val="en-GB"/>
    </w:rPr>
  </w:style>
  <w:style w:type="paragraph" w:customStyle="1" w:styleId="MSBulletLevel2">
    <w:name w:val="MS Bullet Level 2"/>
    <w:basedOn w:val="Normal"/>
    <w:rsid w:val="00A079F7"/>
    <w:pPr>
      <w:numPr>
        <w:ilvl w:val="1"/>
        <w:numId w:val="18"/>
      </w:numPr>
      <w:spacing w:after="120"/>
    </w:pPr>
    <w:rPr>
      <w:rFonts w:cs="Times New Roman"/>
      <w:szCs w:val="20"/>
      <w:lang w:val="en-GB"/>
    </w:rPr>
  </w:style>
  <w:style w:type="paragraph" w:customStyle="1" w:styleId="MSBulletLevel3">
    <w:name w:val="MS Bullet Level 3"/>
    <w:basedOn w:val="Normal"/>
    <w:rsid w:val="00A079F7"/>
    <w:pPr>
      <w:numPr>
        <w:ilvl w:val="2"/>
        <w:numId w:val="18"/>
      </w:numPr>
      <w:spacing w:after="120"/>
    </w:pPr>
    <w:rPr>
      <w:rFonts w:cs="Times New Roman"/>
      <w:szCs w:val="20"/>
      <w:lang w:val="en-GB"/>
    </w:rPr>
  </w:style>
  <w:style w:type="paragraph" w:styleId="NormalWeb">
    <w:name w:val="Normal (Web)"/>
    <w:basedOn w:val="Normal"/>
    <w:uiPriority w:val="99"/>
    <w:rsid w:val="00A079F7"/>
    <w:pPr>
      <w:spacing w:before="100" w:beforeAutospacing="1" w:after="100" w:afterAutospacing="1"/>
    </w:pPr>
    <w:rPr>
      <w:rFonts w:ascii="Times New Roman" w:hAnsi="Times New Roman" w:cs="Times New Roman"/>
      <w:sz w:val="24"/>
      <w:szCs w:val="24"/>
      <w:lang w:val="en-GB"/>
    </w:rPr>
  </w:style>
  <w:style w:type="table" w:styleId="TableGrid">
    <w:name w:val="Table Grid"/>
    <w:basedOn w:val="TableNormal"/>
    <w:uiPriority w:val="59"/>
    <w:rsid w:val="00A079F7"/>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Number3">
    <w:name w:val="List Number 3"/>
    <w:basedOn w:val="Text3"/>
    <w:uiPriority w:val="99"/>
    <w:rsid w:val="00A079F7"/>
    <w:pPr>
      <w:tabs>
        <w:tab w:val="clear" w:pos="2302"/>
      </w:tabs>
      <w:ind w:left="0"/>
    </w:pPr>
  </w:style>
  <w:style w:type="paragraph" w:customStyle="1" w:styleId="ListNumber3Level2">
    <w:name w:val="List Number 3 (Level 2)"/>
    <w:basedOn w:val="Text3"/>
    <w:rsid w:val="00A079F7"/>
    <w:pPr>
      <w:tabs>
        <w:tab w:val="clear" w:pos="2302"/>
      </w:tabs>
      <w:ind w:left="0"/>
    </w:pPr>
  </w:style>
  <w:style w:type="paragraph" w:customStyle="1" w:styleId="ListNumber3Level3">
    <w:name w:val="List Number 3 (Level 3)"/>
    <w:basedOn w:val="Text3"/>
    <w:rsid w:val="00A079F7"/>
    <w:pPr>
      <w:tabs>
        <w:tab w:val="clear" w:pos="2302"/>
      </w:tabs>
      <w:ind w:left="0"/>
    </w:pPr>
  </w:style>
  <w:style w:type="paragraph" w:customStyle="1" w:styleId="ListNumber3Level4">
    <w:name w:val="List Number 3 (Level 4)"/>
    <w:basedOn w:val="Text3"/>
    <w:rsid w:val="00A079F7"/>
    <w:pPr>
      <w:tabs>
        <w:tab w:val="clear" w:pos="2302"/>
      </w:tabs>
      <w:ind w:left="0"/>
    </w:pPr>
  </w:style>
  <w:style w:type="paragraph" w:customStyle="1" w:styleId="ListParagraph1">
    <w:name w:val="List Paragraph1"/>
    <w:basedOn w:val="Normal"/>
    <w:uiPriority w:val="34"/>
    <w:qFormat/>
    <w:rsid w:val="00A079F7"/>
    <w:pPr>
      <w:ind w:left="720"/>
      <w:contextualSpacing/>
    </w:pPr>
    <w:rPr>
      <w:rFonts w:cs="Times New Roman"/>
      <w:lang w:val="en-GB"/>
    </w:rPr>
  </w:style>
  <w:style w:type="paragraph" w:customStyle="1" w:styleId="Heading">
    <w:name w:val="Heading"/>
    <w:next w:val="Normal"/>
    <w:rsid w:val="00A079F7"/>
    <w:pPr>
      <w:keepNext/>
      <w:spacing w:after="0" w:line="240" w:lineRule="auto"/>
    </w:pPr>
    <w:rPr>
      <w:rFonts w:ascii="Calibri Bold" w:eastAsia="ヒラギノ角ゴ Pro W3" w:hAnsi="Calibri Bold" w:cs="Times New Roman"/>
      <w:color w:val="000000"/>
      <w:sz w:val="28"/>
      <w:szCs w:val="20"/>
      <w:lang w:val="en-GB"/>
    </w:rPr>
  </w:style>
  <w:style w:type="paragraph" w:customStyle="1" w:styleId="Body">
    <w:name w:val="Body"/>
    <w:rsid w:val="00A079F7"/>
    <w:pPr>
      <w:spacing w:after="0" w:line="240" w:lineRule="auto"/>
      <w:jc w:val="both"/>
    </w:pPr>
    <w:rPr>
      <w:rFonts w:ascii="Calibri" w:eastAsia="ヒラギノ角ゴ Pro W3" w:hAnsi="Calibri" w:cs="Times New Roman"/>
      <w:color w:val="000000"/>
      <w:szCs w:val="20"/>
      <w:lang w:val="en-GB"/>
    </w:rPr>
  </w:style>
  <w:style w:type="character" w:styleId="CommentReference">
    <w:name w:val="annotation reference"/>
    <w:uiPriority w:val="99"/>
    <w:unhideWhenUsed/>
    <w:rsid w:val="00A079F7"/>
    <w:rPr>
      <w:rFonts w:cs="Times New Roman"/>
      <w:sz w:val="18"/>
      <w:szCs w:val="18"/>
    </w:rPr>
  </w:style>
  <w:style w:type="paragraph" w:styleId="MacroText">
    <w:name w:val="macro"/>
    <w:link w:val="MacroTextChar"/>
    <w:uiPriority w:val="99"/>
    <w:rsid w:val="00A079F7"/>
    <w:pPr>
      <w:tabs>
        <w:tab w:val="left" w:pos="480"/>
        <w:tab w:val="left" w:pos="960"/>
        <w:tab w:val="left" w:pos="1440"/>
        <w:tab w:val="left" w:pos="1920"/>
        <w:tab w:val="left" w:pos="2400"/>
        <w:tab w:val="left" w:pos="2880"/>
        <w:tab w:val="left" w:pos="3360"/>
        <w:tab w:val="left" w:pos="3840"/>
        <w:tab w:val="left" w:pos="4320"/>
      </w:tabs>
      <w:spacing w:after="240" w:line="240" w:lineRule="auto"/>
      <w:jc w:val="both"/>
    </w:pPr>
    <w:rPr>
      <w:rFonts w:ascii="Courier New" w:eastAsia="Times New Roman" w:hAnsi="Courier New" w:cs="Times New Roman"/>
      <w:sz w:val="20"/>
      <w:szCs w:val="20"/>
      <w:lang w:val="en-GB"/>
    </w:rPr>
  </w:style>
  <w:style w:type="character" w:customStyle="1" w:styleId="MacroTextChar">
    <w:name w:val="Macro Text Char"/>
    <w:basedOn w:val="DefaultParagraphFont"/>
    <w:link w:val="MacroText"/>
    <w:uiPriority w:val="99"/>
    <w:rsid w:val="00A079F7"/>
    <w:rPr>
      <w:rFonts w:ascii="Courier New" w:eastAsia="Times New Roman" w:hAnsi="Courier New" w:cs="Times New Roman"/>
      <w:sz w:val="20"/>
      <w:szCs w:val="20"/>
      <w:lang w:val="en-GB"/>
    </w:rPr>
  </w:style>
  <w:style w:type="paragraph" w:styleId="CommentSubject">
    <w:name w:val="annotation subject"/>
    <w:basedOn w:val="CommentText"/>
    <w:next w:val="CommentText"/>
    <w:link w:val="CommentSubjectChar"/>
    <w:uiPriority w:val="99"/>
    <w:semiHidden/>
    <w:rsid w:val="00A079F7"/>
    <w:pPr>
      <w:spacing w:after="0"/>
      <w:jc w:val="left"/>
    </w:pPr>
    <w:rPr>
      <w:b/>
    </w:rPr>
  </w:style>
  <w:style w:type="character" w:customStyle="1" w:styleId="CommentSubjectChar">
    <w:name w:val="Comment Subject Char"/>
    <w:basedOn w:val="CommentTextChar"/>
    <w:link w:val="CommentSubject"/>
    <w:uiPriority w:val="99"/>
    <w:semiHidden/>
    <w:rsid w:val="00A079F7"/>
    <w:rPr>
      <w:rFonts w:ascii="Times New Roman" w:eastAsia="Times New Roman" w:hAnsi="Times New Roman" w:cs="Times New Roman"/>
      <w:b/>
      <w:sz w:val="20"/>
      <w:szCs w:val="20"/>
      <w:lang w:val="en-GB"/>
    </w:rPr>
  </w:style>
  <w:style w:type="paragraph" w:customStyle="1" w:styleId="1Arial">
    <w:name w:val="1 + Arial"/>
    <w:aliases w:val="14 pt"/>
    <w:basedOn w:val="Heading1"/>
    <w:rsid w:val="00A079F7"/>
    <w:pPr>
      <w:numPr>
        <w:numId w:val="24"/>
      </w:numPr>
    </w:pPr>
    <w:rPr>
      <w:sz w:val="28"/>
      <w:szCs w:val="28"/>
    </w:rPr>
  </w:style>
  <w:style w:type="character" w:styleId="Strong">
    <w:name w:val="Strong"/>
    <w:uiPriority w:val="22"/>
    <w:qFormat/>
    <w:rsid w:val="00A079F7"/>
    <w:rPr>
      <w:rFonts w:cs="Times New Roman"/>
      <w:b/>
      <w:bCs/>
    </w:rPr>
  </w:style>
  <w:style w:type="paragraph" w:customStyle="1" w:styleId="ProposalBullet1">
    <w:name w:val="Proposal Bullet 1"/>
    <w:basedOn w:val="Normal"/>
    <w:rsid w:val="00A079F7"/>
    <w:pPr>
      <w:numPr>
        <w:numId w:val="25"/>
      </w:numPr>
      <w:tabs>
        <w:tab w:val="left" w:pos="284"/>
        <w:tab w:val="left" w:pos="567"/>
        <w:tab w:val="left" w:pos="851"/>
        <w:tab w:val="left" w:pos="1134"/>
        <w:tab w:val="left" w:pos="1418"/>
      </w:tabs>
      <w:suppressAutoHyphens/>
      <w:spacing w:after="0" w:line="300" w:lineRule="exact"/>
      <w:jc w:val="left"/>
    </w:pPr>
    <w:rPr>
      <w:rFonts w:ascii="Tahoma" w:hAnsi="Tahoma" w:cs="Times New Roman"/>
      <w:bCs w:val="0"/>
      <w:sz w:val="16"/>
      <w:szCs w:val="20"/>
      <w:lang w:val="en-GB"/>
    </w:rPr>
  </w:style>
  <w:style w:type="paragraph" w:customStyle="1" w:styleId="Default">
    <w:name w:val="Default"/>
    <w:rsid w:val="00A079F7"/>
    <w:pPr>
      <w:autoSpaceDE w:val="0"/>
      <w:autoSpaceDN w:val="0"/>
      <w:adjustRightInd w:val="0"/>
      <w:spacing w:after="0" w:line="240" w:lineRule="auto"/>
    </w:pPr>
    <w:rPr>
      <w:rFonts w:ascii="Georgia" w:eastAsia="Times New Roman" w:hAnsi="Georgia" w:cs="Georgia"/>
      <w:color w:val="000000"/>
      <w:sz w:val="24"/>
      <w:szCs w:val="24"/>
      <w:lang w:eastAsia="fr-FR"/>
    </w:rPr>
  </w:style>
  <w:style w:type="paragraph" w:styleId="TOCHeading">
    <w:name w:val="TOC Heading"/>
    <w:basedOn w:val="Heading1"/>
    <w:next w:val="Normal"/>
    <w:uiPriority w:val="39"/>
    <w:qFormat/>
    <w:rsid w:val="00A079F7"/>
    <w:pPr>
      <w:keepLines/>
      <w:numPr>
        <w:numId w:val="11"/>
      </w:numPr>
      <w:spacing w:before="480" w:line="276" w:lineRule="auto"/>
      <w:jc w:val="left"/>
      <w:outlineLvl w:val="9"/>
    </w:pPr>
    <w:rPr>
      <w:rFonts w:ascii="Cambria" w:hAnsi="Cambria"/>
      <w:color w:val="365F91"/>
      <w:sz w:val="28"/>
      <w:szCs w:val="28"/>
    </w:rPr>
  </w:style>
  <w:style w:type="numbering" w:customStyle="1" w:styleId="Listeencours1">
    <w:name w:val="Liste en cours1"/>
    <w:rsid w:val="00A079F7"/>
    <w:pPr>
      <w:numPr>
        <w:numId w:val="23"/>
      </w:numPr>
    </w:pPr>
  </w:style>
  <w:style w:type="numbering" w:customStyle="1" w:styleId="Style2">
    <w:name w:val="Style2"/>
    <w:rsid w:val="00A079F7"/>
    <w:pPr>
      <w:numPr>
        <w:numId w:val="21"/>
      </w:numPr>
    </w:pPr>
  </w:style>
  <w:style w:type="numbering" w:customStyle="1" w:styleId="Style1">
    <w:name w:val="Style1"/>
    <w:rsid w:val="00A079F7"/>
    <w:pPr>
      <w:numPr>
        <w:numId w:val="20"/>
      </w:numPr>
    </w:pPr>
  </w:style>
  <w:style w:type="numbering" w:styleId="111111">
    <w:name w:val="Outline List 2"/>
    <w:aliases w:val="1.1.1"/>
    <w:basedOn w:val="NoList"/>
    <w:uiPriority w:val="99"/>
    <w:semiHidden/>
    <w:unhideWhenUsed/>
    <w:rsid w:val="00A079F7"/>
    <w:pPr>
      <w:numPr>
        <w:numId w:val="19"/>
      </w:numPr>
    </w:pPr>
  </w:style>
  <w:style w:type="character" w:customStyle="1" w:styleId="apple-style-span">
    <w:name w:val="apple-style-span"/>
    <w:basedOn w:val="DefaultParagraphFont"/>
    <w:rsid w:val="00A079F7"/>
  </w:style>
  <w:style w:type="table" w:customStyle="1" w:styleId="Grilleclaire-Accent11">
    <w:name w:val="Grille claire - Accent 11"/>
    <w:basedOn w:val="TableNormal"/>
    <w:uiPriority w:val="62"/>
    <w:rsid w:val="00A079F7"/>
    <w:pPr>
      <w:spacing w:after="0" w:line="240" w:lineRule="auto"/>
    </w:pPr>
    <w:rPr>
      <w:rFonts w:ascii="Calibri" w:eastAsia="Times New Roman" w:hAnsi="Calibri" w:cs="Times New Roman"/>
      <w:sz w:val="20"/>
      <w:szCs w:val="20"/>
      <w:lang w:eastAsia="fr-F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eclaire-Accent11">
    <w:name w:val="Liste claire - Accent 11"/>
    <w:basedOn w:val="TableNormal"/>
    <w:uiPriority w:val="61"/>
    <w:rsid w:val="00A079F7"/>
    <w:pPr>
      <w:spacing w:after="0" w:line="240" w:lineRule="auto"/>
    </w:pPr>
    <w:rPr>
      <w:rFonts w:ascii="Calibri" w:eastAsia="Times New Roman" w:hAnsi="Calibri" w:cs="Times New Roman"/>
      <w:sz w:val="20"/>
      <w:szCs w:val="20"/>
      <w:lang w:eastAsia="fr-F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Shading-Accent5">
    <w:name w:val="Light Shading Accent 5"/>
    <w:basedOn w:val="TableNormal"/>
    <w:uiPriority w:val="60"/>
    <w:rsid w:val="00A079F7"/>
    <w:pPr>
      <w:spacing w:after="0" w:line="240" w:lineRule="auto"/>
    </w:pPr>
    <w:rPr>
      <w:rFonts w:ascii="Calibri" w:eastAsia="Times New Roman" w:hAnsi="Calibri" w:cs="Times New Roman"/>
      <w:color w:val="31849B"/>
      <w:sz w:val="20"/>
      <w:szCs w:val="20"/>
      <w:lang w:eastAsia="fr-F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List-Accent5">
    <w:name w:val="Light List Accent 5"/>
    <w:basedOn w:val="TableNormal"/>
    <w:uiPriority w:val="61"/>
    <w:rsid w:val="00A079F7"/>
    <w:pPr>
      <w:spacing w:after="0" w:line="240" w:lineRule="auto"/>
    </w:pPr>
    <w:rPr>
      <w:rFonts w:ascii="Calibri" w:eastAsia="Times New Roman" w:hAnsi="Calibri" w:cs="Times New Roman"/>
      <w:sz w:val="20"/>
      <w:szCs w:val="20"/>
      <w:lang w:eastAsia="fr-FR"/>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ramemoyenne1-Accent11">
    <w:name w:val="Trame moyenne 1 - Accent 11"/>
    <w:basedOn w:val="TableNormal"/>
    <w:uiPriority w:val="63"/>
    <w:rsid w:val="00A079F7"/>
    <w:pPr>
      <w:spacing w:after="0" w:line="240" w:lineRule="auto"/>
    </w:pPr>
    <w:rPr>
      <w:rFonts w:ascii="Calibri" w:eastAsia="Times New Roman" w:hAnsi="Calibri" w:cs="Times New Roman"/>
      <w:sz w:val="20"/>
      <w:szCs w:val="20"/>
      <w:lang w:eastAsia="fr-F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List1-Accent5">
    <w:name w:val="Medium List 1 Accent 5"/>
    <w:basedOn w:val="TableNormal"/>
    <w:uiPriority w:val="65"/>
    <w:rsid w:val="00A079F7"/>
    <w:pPr>
      <w:spacing w:after="0" w:line="240" w:lineRule="auto"/>
    </w:pPr>
    <w:rPr>
      <w:rFonts w:ascii="Calibri" w:eastAsia="Times New Roman" w:hAnsi="Calibri" w:cs="Times New Roman"/>
      <w:color w:val="000000"/>
      <w:sz w:val="20"/>
      <w:szCs w:val="20"/>
      <w:lang w:eastAsia="fr-F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paragraph" w:styleId="Revision">
    <w:name w:val="Revision"/>
    <w:hidden/>
    <w:uiPriority w:val="99"/>
    <w:semiHidden/>
    <w:rsid w:val="00A079F7"/>
    <w:pPr>
      <w:spacing w:after="0" w:line="240" w:lineRule="auto"/>
    </w:pPr>
    <w:rPr>
      <w:rFonts w:ascii="Arial" w:eastAsia="Times New Roman" w:hAnsi="Arial" w:cs="Arial"/>
      <w:bCs/>
      <w:sz w:val="20"/>
    </w:rPr>
  </w:style>
  <w:style w:type="character" w:customStyle="1" w:styleId="apple-converted-space">
    <w:name w:val="apple-converted-space"/>
    <w:basedOn w:val="DefaultParagraphFont"/>
    <w:rsid w:val="00A079F7"/>
  </w:style>
  <w:style w:type="character" w:customStyle="1" w:styleId="st">
    <w:name w:val="st"/>
    <w:basedOn w:val="DefaultParagraphFont"/>
    <w:rsid w:val="00A079F7"/>
  </w:style>
  <w:style w:type="character" w:customStyle="1" w:styleId="FontStyle525">
    <w:name w:val="Font Style525"/>
    <w:basedOn w:val="DefaultParagraphFont"/>
    <w:uiPriority w:val="99"/>
    <w:rsid w:val="00A079F7"/>
    <w:rPr>
      <w:rFonts w:ascii="Times New Roman" w:hAnsi="Times New Roman" w:cs="Times New Roman"/>
      <w:color w:val="000000"/>
      <w:sz w:val="22"/>
      <w:szCs w:val="22"/>
    </w:rPr>
  </w:style>
  <w:style w:type="paragraph" w:customStyle="1" w:styleId="Style9">
    <w:name w:val="Style9"/>
    <w:basedOn w:val="Normal"/>
    <w:uiPriority w:val="99"/>
    <w:rsid w:val="00A079F7"/>
    <w:pPr>
      <w:widowControl w:val="0"/>
      <w:autoSpaceDE w:val="0"/>
      <w:autoSpaceDN w:val="0"/>
      <w:adjustRightInd w:val="0"/>
      <w:spacing w:after="0"/>
      <w:jc w:val="left"/>
    </w:pPr>
    <w:rPr>
      <w:rFonts w:ascii="Times New Roman" w:eastAsiaTheme="minorEastAsia" w:hAnsi="Times New Roman" w:cs="Times New Roman"/>
      <w:bCs w:val="0"/>
      <w:sz w:val="24"/>
      <w:szCs w:val="24"/>
      <w:lang w:eastAsia="fr-FR"/>
    </w:rPr>
  </w:style>
  <w:style w:type="paragraph" w:customStyle="1" w:styleId="Style11">
    <w:name w:val="Style11"/>
    <w:basedOn w:val="Normal"/>
    <w:uiPriority w:val="99"/>
    <w:rsid w:val="00A079F7"/>
    <w:pPr>
      <w:widowControl w:val="0"/>
      <w:autoSpaceDE w:val="0"/>
      <w:autoSpaceDN w:val="0"/>
      <w:adjustRightInd w:val="0"/>
      <w:spacing w:after="0" w:line="312" w:lineRule="exact"/>
    </w:pPr>
    <w:rPr>
      <w:rFonts w:ascii="Times New Roman" w:eastAsiaTheme="minorEastAsia" w:hAnsi="Times New Roman" w:cs="Times New Roman"/>
      <w:bCs w:val="0"/>
      <w:sz w:val="24"/>
      <w:szCs w:val="24"/>
      <w:lang w:eastAsia="fr-FR"/>
    </w:rPr>
  </w:style>
  <w:style w:type="character" w:customStyle="1" w:styleId="FontStyle580">
    <w:name w:val="Font Style580"/>
    <w:basedOn w:val="DefaultParagraphFont"/>
    <w:uiPriority w:val="99"/>
    <w:rsid w:val="00A079F7"/>
    <w:rPr>
      <w:rFonts w:ascii="Arial Narrow" w:hAnsi="Arial Narrow" w:cs="Arial Narrow"/>
      <w:color w:val="000000"/>
      <w:sz w:val="20"/>
      <w:szCs w:val="20"/>
    </w:rPr>
  </w:style>
  <w:style w:type="character" w:styleId="Emphasis">
    <w:name w:val="Emphasis"/>
    <w:basedOn w:val="DefaultParagraphFont"/>
    <w:qFormat/>
    <w:rsid w:val="00A079F7"/>
    <w:rPr>
      <w:i/>
      <w:iCs/>
    </w:rPr>
  </w:style>
  <w:style w:type="paragraph" w:styleId="Subtitle">
    <w:name w:val="Subtitle"/>
    <w:basedOn w:val="Normal"/>
    <w:next w:val="Normal"/>
    <w:link w:val="SubtitleChar"/>
    <w:qFormat/>
    <w:rsid w:val="00A079F7"/>
    <w:pPr>
      <w:spacing w:after="60"/>
      <w:jc w:val="center"/>
      <w:outlineLvl w:val="1"/>
    </w:pPr>
    <w:rPr>
      <w:rFonts w:ascii="Cambria" w:hAnsi="Cambria" w:cs="Times New Roman"/>
      <w:bCs w:val="0"/>
      <w:sz w:val="24"/>
      <w:szCs w:val="24"/>
      <w:lang w:eastAsia="fr-FR"/>
    </w:rPr>
  </w:style>
  <w:style w:type="character" w:customStyle="1" w:styleId="SubtitleChar">
    <w:name w:val="Subtitle Char"/>
    <w:basedOn w:val="DefaultParagraphFont"/>
    <w:link w:val="Subtitle"/>
    <w:rsid w:val="00A079F7"/>
    <w:rPr>
      <w:rFonts w:ascii="Cambria" w:eastAsia="Times New Roman" w:hAnsi="Cambria" w:cs="Times New Roman"/>
      <w:sz w:val="24"/>
      <w:szCs w:val="24"/>
      <w:lang w:eastAsia="fr-FR"/>
    </w:rPr>
  </w:style>
  <w:style w:type="paragraph" w:customStyle="1" w:styleId="Paragraphedeliste1">
    <w:name w:val="Paragraphe de liste1"/>
    <w:basedOn w:val="Normal"/>
    <w:uiPriority w:val="34"/>
    <w:qFormat/>
    <w:rsid w:val="00A079F7"/>
    <w:pPr>
      <w:spacing w:after="0"/>
      <w:ind w:left="708"/>
      <w:jc w:val="left"/>
    </w:pPr>
    <w:rPr>
      <w:rFonts w:ascii="Times New Roman" w:hAnsi="Times New Roman" w:cs="Times New Roman"/>
      <w:bCs w:val="0"/>
      <w:sz w:val="24"/>
      <w:szCs w:val="24"/>
      <w:lang w:eastAsia="fr-FR"/>
    </w:rPr>
  </w:style>
  <w:style w:type="paragraph" w:customStyle="1" w:styleId="Style168">
    <w:name w:val="Style168"/>
    <w:basedOn w:val="Normal"/>
    <w:uiPriority w:val="99"/>
    <w:rsid w:val="00A079F7"/>
    <w:pPr>
      <w:widowControl w:val="0"/>
      <w:autoSpaceDE w:val="0"/>
      <w:autoSpaceDN w:val="0"/>
      <w:adjustRightInd w:val="0"/>
      <w:spacing w:after="0" w:line="254" w:lineRule="exact"/>
    </w:pPr>
    <w:rPr>
      <w:rFonts w:ascii="Times New Roman" w:eastAsiaTheme="minorEastAsia" w:hAnsi="Times New Roman" w:cs="Times New Roman"/>
      <w:bCs w:val="0"/>
      <w:sz w:val="24"/>
      <w:szCs w:val="24"/>
      <w:lang w:eastAsia="fr-FR"/>
    </w:rPr>
  </w:style>
  <w:style w:type="character" w:customStyle="1" w:styleId="FontStyle576">
    <w:name w:val="Font Style576"/>
    <w:basedOn w:val="DefaultParagraphFont"/>
    <w:uiPriority w:val="99"/>
    <w:rsid w:val="00A079F7"/>
    <w:rPr>
      <w:rFonts w:ascii="Arial" w:hAnsi="Arial" w:cs="Arial"/>
      <w:color w:val="000000"/>
      <w:sz w:val="16"/>
      <w:szCs w:val="16"/>
    </w:rPr>
  </w:style>
  <w:style w:type="paragraph" w:customStyle="1" w:styleId="xl65">
    <w:name w:val="xl65"/>
    <w:basedOn w:val="Normal"/>
    <w:rsid w:val="00A079F7"/>
    <w:pPr>
      <w:spacing w:before="100" w:beforeAutospacing="1" w:after="100" w:afterAutospacing="1"/>
      <w:jc w:val="center"/>
      <w:textAlignment w:val="center"/>
    </w:pPr>
    <w:rPr>
      <w:bCs w:val="0"/>
      <w:sz w:val="16"/>
      <w:szCs w:val="16"/>
      <w:lang w:eastAsia="fr-FR"/>
    </w:rPr>
  </w:style>
  <w:style w:type="paragraph" w:customStyle="1" w:styleId="xl66">
    <w:name w:val="xl66"/>
    <w:basedOn w:val="Normal"/>
    <w:rsid w:val="00A079F7"/>
    <w:pPr>
      <w:pBdr>
        <w:top w:val="single" w:sz="4" w:space="0" w:color="4F81BD"/>
        <w:left w:val="single" w:sz="4" w:space="0" w:color="4F81BD"/>
        <w:bottom w:val="single" w:sz="4" w:space="0" w:color="4F81BD"/>
        <w:right w:val="single" w:sz="4" w:space="0" w:color="4F81BD"/>
      </w:pBdr>
      <w:shd w:val="clear" w:color="000000" w:fill="17365D"/>
      <w:spacing w:before="100" w:beforeAutospacing="1" w:after="100" w:afterAutospacing="1"/>
      <w:jc w:val="center"/>
      <w:textAlignment w:val="center"/>
    </w:pPr>
    <w:rPr>
      <w:b/>
      <w:color w:val="FFFFFF"/>
      <w:sz w:val="16"/>
      <w:szCs w:val="16"/>
      <w:lang w:eastAsia="fr-FR"/>
    </w:rPr>
  </w:style>
  <w:style w:type="paragraph" w:customStyle="1" w:styleId="xl67">
    <w:name w:val="xl67"/>
    <w:basedOn w:val="Normal"/>
    <w:rsid w:val="00A079F7"/>
    <w:pPr>
      <w:pBdr>
        <w:top w:val="single" w:sz="4" w:space="0" w:color="4F81BD"/>
        <w:left w:val="single" w:sz="4" w:space="0" w:color="4F81BD"/>
        <w:bottom w:val="single" w:sz="4" w:space="0" w:color="4F81BD"/>
        <w:right w:val="single" w:sz="4" w:space="0" w:color="4F81BD"/>
      </w:pBdr>
      <w:spacing w:before="100" w:beforeAutospacing="1" w:after="100" w:afterAutospacing="1"/>
      <w:jc w:val="center"/>
      <w:textAlignment w:val="center"/>
    </w:pPr>
    <w:rPr>
      <w:bCs w:val="0"/>
      <w:sz w:val="16"/>
      <w:szCs w:val="16"/>
      <w:lang w:eastAsia="fr-FR"/>
    </w:rPr>
  </w:style>
  <w:style w:type="paragraph" w:customStyle="1" w:styleId="xl68">
    <w:name w:val="xl68"/>
    <w:basedOn w:val="Normal"/>
    <w:rsid w:val="00A079F7"/>
    <w:pPr>
      <w:pBdr>
        <w:top w:val="single" w:sz="4" w:space="0" w:color="4F81BD"/>
        <w:left w:val="single" w:sz="4" w:space="0" w:color="4F81BD"/>
        <w:bottom w:val="single" w:sz="4" w:space="0" w:color="4F81BD"/>
        <w:right w:val="single" w:sz="4" w:space="0" w:color="4F81BD"/>
      </w:pBdr>
      <w:spacing w:before="100" w:beforeAutospacing="1" w:after="100" w:afterAutospacing="1"/>
      <w:jc w:val="center"/>
      <w:textAlignment w:val="center"/>
    </w:pPr>
    <w:rPr>
      <w:bCs w:val="0"/>
      <w:sz w:val="16"/>
      <w:szCs w:val="16"/>
      <w:lang w:eastAsia="fr-FR"/>
    </w:rPr>
  </w:style>
  <w:style w:type="paragraph" w:customStyle="1" w:styleId="xl69">
    <w:name w:val="xl69"/>
    <w:basedOn w:val="Normal"/>
    <w:rsid w:val="00A079F7"/>
    <w:pPr>
      <w:pBdr>
        <w:top w:val="single" w:sz="4" w:space="0" w:color="4F81BD"/>
        <w:left w:val="single" w:sz="4" w:space="0" w:color="4F81BD"/>
        <w:bottom w:val="single" w:sz="4" w:space="0" w:color="4F81BD"/>
        <w:right w:val="single" w:sz="4" w:space="0" w:color="4F81BD"/>
      </w:pBdr>
      <w:spacing w:before="100" w:beforeAutospacing="1" w:after="100" w:afterAutospacing="1"/>
      <w:jc w:val="center"/>
      <w:textAlignment w:val="center"/>
    </w:pPr>
    <w:rPr>
      <w:bCs w:val="0"/>
      <w:color w:val="000000"/>
      <w:sz w:val="16"/>
      <w:szCs w:val="16"/>
      <w:lang w:eastAsia="fr-FR"/>
    </w:rPr>
  </w:style>
  <w:style w:type="paragraph" w:customStyle="1" w:styleId="xl70">
    <w:name w:val="xl70"/>
    <w:basedOn w:val="Normal"/>
    <w:rsid w:val="00A079F7"/>
    <w:pPr>
      <w:pBdr>
        <w:top w:val="single" w:sz="4" w:space="0" w:color="4F81BD"/>
        <w:left w:val="single" w:sz="4" w:space="0" w:color="4F81BD"/>
        <w:bottom w:val="single" w:sz="4" w:space="0" w:color="4F81BD"/>
        <w:right w:val="single" w:sz="4" w:space="0" w:color="4F81BD"/>
      </w:pBdr>
      <w:spacing w:before="100" w:beforeAutospacing="1" w:after="100" w:afterAutospacing="1"/>
      <w:jc w:val="center"/>
      <w:textAlignment w:val="center"/>
    </w:pPr>
    <w:rPr>
      <w:b/>
      <w:sz w:val="16"/>
      <w:szCs w:val="16"/>
      <w:lang w:eastAsia="fr-FR"/>
    </w:rPr>
  </w:style>
  <w:style w:type="paragraph" w:customStyle="1" w:styleId="Style17">
    <w:name w:val="Style17"/>
    <w:basedOn w:val="Normal"/>
    <w:uiPriority w:val="99"/>
    <w:rsid w:val="00A079F7"/>
    <w:pPr>
      <w:widowControl w:val="0"/>
      <w:autoSpaceDE w:val="0"/>
      <w:autoSpaceDN w:val="0"/>
      <w:adjustRightInd w:val="0"/>
      <w:spacing w:after="0"/>
      <w:jc w:val="left"/>
    </w:pPr>
    <w:rPr>
      <w:rFonts w:eastAsiaTheme="minorEastAsia"/>
      <w:bCs w:val="0"/>
      <w:sz w:val="24"/>
      <w:szCs w:val="24"/>
      <w:lang w:eastAsia="fr-FR"/>
    </w:rPr>
  </w:style>
  <w:style w:type="character" w:customStyle="1" w:styleId="FontStyle94">
    <w:name w:val="Font Style94"/>
    <w:basedOn w:val="DefaultParagraphFont"/>
    <w:uiPriority w:val="99"/>
    <w:rsid w:val="00A079F7"/>
    <w:rPr>
      <w:rFonts w:ascii="Arial" w:hAnsi="Arial" w:cs="Arial"/>
      <w:b/>
      <w:bCs/>
      <w:i/>
      <w:iCs/>
      <w:color w:val="000000"/>
      <w:sz w:val="20"/>
      <w:szCs w:val="20"/>
    </w:rPr>
  </w:style>
  <w:style w:type="character" w:customStyle="1" w:styleId="FontStyle110">
    <w:name w:val="Font Style110"/>
    <w:basedOn w:val="DefaultParagraphFont"/>
    <w:uiPriority w:val="99"/>
    <w:rsid w:val="00A079F7"/>
    <w:rPr>
      <w:rFonts w:ascii="Book Antiqua" w:hAnsi="Book Antiqua" w:cs="Book Antiqua"/>
      <w:color w:val="000000"/>
      <w:sz w:val="22"/>
      <w:szCs w:val="22"/>
    </w:rPr>
  </w:style>
  <w:style w:type="paragraph" w:customStyle="1" w:styleId="Style36">
    <w:name w:val="Style36"/>
    <w:basedOn w:val="Normal"/>
    <w:uiPriority w:val="99"/>
    <w:rsid w:val="00A079F7"/>
    <w:pPr>
      <w:widowControl w:val="0"/>
      <w:autoSpaceDE w:val="0"/>
      <w:autoSpaceDN w:val="0"/>
      <w:adjustRightInd w:val="0"/>
      <w:spacing w:after="0"/>
      <w:jc w:val="left"/>
    </w:pPr>
    <w:rPr>
      <w:rFonts w:eastAsiaTheme="minorEastAsia"/>
      <w:bCs w:val="0"/>
      <w:sz w:val="24"/>
      <w:szCs w:val="24"/>
      <w:lang w:eastAsia="fr-FR"/>
    </w:rPr>
  </w:style>
  <w:style w:type="paragraph" w:customStyle="1" w:styleId="font5">
    <w:name w:val="font5"/>
    <w:basedOn w:val="Normal"/>
    <w:rsid w:val="00A079F7"/>
    <w:pPr>
      <w:spacing w:before="100" w:beforeAutospacing="1" w:after="100" w:afterAutospacing="1"/>
      <w:jc w:val="left"/>
    </w:pPr>
    <w:rPr>
      <w:bCs w:val="0"/>
      <w:i/>
      <w:iCs/>
      <w:sz w:val="16"/>
      <w:szCs w:val="16"/>
      <w:lang w:eastAsia="fr-FR"/>
    </w:rPr>
  </w:style>
  <w:style w:type="paragraph" w:customStyle="1" w:styleId="xl78">
    <w:name w:val="xl78"/>
    <w:basedOn w:val="Normal"/>
    <w:rsid w:val="00A079F7"/>
    <w:pPr>
      <w:pBdr>
        <w:top w:val="single" w:sz="8" w:space="0" w:color="4F81BD"/>
        <w:left w:val="single" w:sz="8" w:space="0" w:color="4F81BD"/>
        <w:bottom w:val="single" w:sz="8" w:space="0" w:color="4F81BD"/>
        <w:right w:val="single" w:sz="8" w:space="0" w:color="4F81BD"/>
      </w:pBdr>
      <w:shd w:val="clear" w:color="000000" w:fill="17365D"/>
      <w:spacing w:before="100" w:beforeAutospacing="1" w:after="100" w:afterAutospacing="1"/>
      <w:jc w:val="center"/>
      <w:textAlignment w:val="center"/>
    </w:pPr>
    <w:rPr>
      <w:b/>
      <w:color w:val="FFFFFF"/>
      <w:sz w:val="16"/>
      <w:szCs w:val="16"/>
      <w:lang w:eastAsia="fr-FR"/>
    </w:rPr>
  </w:style>
  <w:style w:type="paragraph" w:customStyle="1" w:styleId="xl79">
    <w:name w:val="xl79"/>
    <w:basedOn w:val="Normal"/>
    <w:rsid w:val="00A079F7"/>
    <w:pPr>
      <w:pBdr>
        <w:top w:val="single" w:sz="8" w:space="0" w:color="4F81BD"/>
        <w:bottom w:val="single" w:sz="8" w:space="0" w:color="4F81BD"/>
        <w:right w:val="single" w:sz="8" w:space="0" w:color="4F81BD"/>
      </w:pBdr>
      <w:shd w:val="clear" w:color="000000" w:fill="17365D"/>
      <w:spacing w:before="100" w:beforeAutospacing="1" w:after="100" w:afterAutospacing="1"/>
      <w:jc w:val="center"/>
      <w:textAlignment w:val="center"/>
    </w:pPr>
    <w:rPr>
      <w:b/>
      <w:color w:val="FFFFFF"/>
      <w:sz w:val="16"/>
      <w:szCs w:val="16"/>
      <w:lang w:eastAsia="fr-FR"/>
    </w:rPr>
  </w:style>
  <w:style w:type="paragraph" w:customStyle="1" w:styleId="xl80">
    <w:name w:val="xl80"/>
    <w:basedOn w:val="Normal"/>
    <w:rsid w:val="00A079F7"/>
    <w:pPr>
      <w:pBdr>
        <w:bottom w:val="single" w:sz="8" w:space="0" w:color="4F81BD"/>
        <w:right w:val="single" w:sz="8" w:space="0" w:color="4F81BD"/>
      </w:pBdr>
      <w:spacing w:before="100" w:beforeAutospacing="1" w:after="100" w:afterAutospacing="1"/>
      <w:jc w:val="center"/>
      <w:textAlignment w:val="center"/>
    </w:pPr>
    <w:rPr>
      <w:bCs w:val="0"/>
      <w:color w:val="000000"/>
      <w:sz w:val="16"/>
      <w:szCs w:val="16"/>
      <w:lang w:eastAsia="fr-FR"/>
    </w:rPr>
  </w:style>
  <w:style w:type="paragraph" w:customStyle="1" w:styleId="xl81">
    <w:name w:val="xl81"/>
    <w:basedOn w:val="Normal"/>
    <w:rsid w:val="00A079F7"/>
    <w:pPr>
      <w:pBdr>
        <w:bottom w:val="single" w:sz="8" w:space="0" w:color="4F81BD"/>
        <w:right w:val="single" w:sz="8" w:space="0" w:color="4F81BD"/>
      </w:pBdr>
      <w:spacing w:before="100" w:beforeAutospacing="1" w:after="100" w:afterAutospacing="1"/>
      <w:jc w:val="center"/>
      <w:textAlignment w:val="center"/>
    </w:pPr>
    <w:rPr>
      <w:bCs w:val="0"/>
      <w:color w:val="000000"/>
      <w:sz w:val="16"/>
      <w:szCs w:val="16"/>
      <w:lang w:eastAsia="fr-FR"/>
    </w:rPr>
  </w:style>
  <w:style w:type="paragraph" w:customStyle="1" w:styleId="xl82">
    <w:name w:val="xl82"/>
    <w:basedOn w:val="Normal"/>
    <w:rsid w:val="00A079F7"/>
    <w:pPr>
      <w:pBdr>
        <w:top w:val="single" w:sz="8" w:space="0" w:color="4F81BD"/>
        <w:left w:val="single" w:sz="8" w:space="0" w:color="4F81BD"/>
        <w:bottom w:val="single" w:sz="8" w:space="0" w:color="4F81BD"/>
        <w:right w:val="single" w:sz="8" w:space="0" w:color="4F81BD"/>
      </w:pBdr>
      <w:spacing w:before="100" w:beforeAutospacing="1" w:after="100" w:afterAutospacing="1"/>
      <w:jc w:val="center"/>
      <w:textAlignment w:val="center"/>
    </w:pPr>
    <w:rPr>
      <w:bCs w:val="0"/>
      <w:color w:val="000000"/>
      <w:sz w:val="16"/>
      <w:szCs w:val="16"/>
      <w:lang w:eastAsia="fr-FR"/>
    </w:rPr>
  </w:style>
  <w:style w:type="paragraph" w:customStyle="1" w:styleId="xl83">
    <w:name w:val="xl83"/>
    <w:basedOn w:val="Normal"/>
    <w:rsid w:val="00A079F7"/>
    <w:pPr>
      <w:pBdr>
        <w:bottom w:val="single" w:sz="8" w:space="0" w:color="4F81BD"/>
        <w:right w:val="single" w:sz="8" w:space="0" w:color="4F81BD"/>
      </w:pBdr>
      <w:spacing w:before="100" w:beforeAutospacing="1" w:after="100" w:afterAutospacing="1"/>
      <w:jc w:val="center"/>
      <w:textAlignment w:val="center"/>
    </w:pPr>
    <w:rPr>
      <w:bCs w:val="0"/>
      <w:color w:val="000000"/>
      <w:sz w:val="16"/>
      <w:szCs w:val="16"/>
      <w:lang w:eastAsia="fr-FR"/>
    </w:rPr>
  </w:style>
  <w:style w:type="paragraph" w:customStyle="1" w:styleId="xl84">
    <w:name w:val="xl84"/>
    <w:basedOn w:val="Normal"/>
    <w:rsid w:val="00A079F7"/>
    <w:pPr>
      <w:spacing w:before="100" w:beforeAutospacing="1" w:after="100" w:afterAutospacing="1"/>
      <w:jc w:val="left"/>
    </w:pPr>
    <w:rPr>
      <w:rFonts w:ascii="Times New Roman" w:hAnsi="Times New Roman" w:cs="Times New Roman"/>
      <w:b/>
      <w:sz w:val="24"/>
      <w:szCs w:val="24"/>
      <w:lang w:eastAsia="fr-FR"/>
    </w:rPr>
  </w:style>
  <w:style w:type="paragraph" w:customStyle="1" w:styleId="xl85">
    <w:name w:val="xl85"/>
    <w:basedOn w:val="Normal"/>
    <w:rsid w:val="00A079F7"/>
    <w:pPr>
      <w:pBdr>
        <w:left w:val="single" w:sz="8" w:space="0" w:color="4F81BD"/>
        <w:bottom w:val="single" w:sz="8" w:space="0" w:color="4F81BD"/>
        <w:right w:val="single" w:sz="8" w:space="0" w:color="4F81BD"/>
      </w:pBdr>
      <w:spacing w:before="100" w:beforeAutospacing="1" w:after="100" w:afterAutospacing="1"/>
      <w:jc w:val="center"/>
      <w:textAlignment w:val="center"/>
    </w:pPr>
    <w:rPr>
      <w:bCs w:val="0"/>
      <w:color w:val="000000"/>
      <w:sz w:val="16"/>
      <w:szCs w:val="16"/>
      <w:lang w:eastAsia="fr-FR"/>
    </w:rPr>
  </w:style>
  <w:style w:type="paragraph" w:customStyle="1" w:styleId="xl86">
    <w:name w:val="xl86"/>
    <w:basedOn w:val="Normal"/>
    <w:rsid w:val="00A079F7"/>
    <w:pPr>
      <w:pBdr>
        <w:left w:val="single" w:sz="8" w:space="0" w:color="4F81BD"/>
        <w:right w:val="single" w:sz="8" w:space="0" w:color="4F81BD"/>
      </w:pBdr>
      <w:spacing w:before="100" w:beforeAutospacing="1" w:after="100" w:afterAutospacing="1"/>
      <w:jc w:val="center"/>
      <w:textAlignment w:val="center"/>
    </w:pPr>
    <w:rPr>
      <w:bCs w:val="0"/>
      <w:color w:val="000000"/>
      <w:sz w:val="16"/>
      <w:szCs w:val="16"/>
      <w:lang w:eastAsia="fr-FR"/>
    </w:rPr>
  </w:style>
  <w:style w:type="paragraph" w:customStyle="1" w:styleId="xl87">
    <w:name w:val="xl87"/>
    <w:basedOn w:val="Normal"/>
    <w:rsid w:val="00A079F7"/>
    <w:pPr>
      <w:pBdr>
        <w:left w:val="single" w:sz="8" w:space="0" w:color="4F81BD"/>
        <w:bottom w:val="single" w:sz="8" w:space="0" w:color="auto"/>
        <w:right w:val="single" w:sz="8" w:space="0" w:color="4F81BD"/>
      </w:pBdr>
      <w:spacing w:before="100" w:beforeAutospacing="1" w:after="100" w:afterAutospacing="1"/>
      <w:jc w:val="center"/>
      <w:textAlignment w:val="center"/>
    </w:pPr>
    <w:rPr>
      <w:bCs w:val="0"/>
      <w:sz w:val="16"/>
      <w:szCs w:val="16"/>
      <w:lang w:eastAsia="fr-FR"/>
    </w:rPr>
  </w:style>
  <w:style w:type="paragraph" w:customStyle="1" w:styleId="xl88">
    <w:name w:val="xl88"/>
    <w:basedOn w:val="Normal"/>
    <w:rsid w:val="00A079F7"/>
    <w:pPr>
      <w:pBdr>
        <w:bottom w:val="single" w:sz="8" w:space="0" w:color="4F81BD"/>
        <w:right w:val="single" w:sz="8" w:space="0" w:color="4F81BD"/>
      </w:pBdr>
      <w:shd w:val="clear" w:color="000000" w:fill="FFFFFF"/>
      <w:spacing w:before="100" w:beforeAutospacing="1" w:after="100" w:afterAutospacing="1"/>
      <w:jc w:val="center"/>
      <w:textAlignment w:val="center"/>
    </w:pPr>
    <w:rPr>
      <w:bCs w:val="0"/>
      <w:color w:val="FF0000"/>
      <w:sz w:val="16"/>
      <w:szCs w:val="16"/>
      <w:lang w:eastAsia="fr-FR"/>
    </w:rPr>
  </w:style>
  <w:style w:type="paragraph" w:customStyle="1" w:styleId="xl89">
    <w:name w:val="xl89"/>
    <w:basedOn w:val="Normal"/>
    <w:rsid w:val="00A079F7"/>
    <w:pPr>
      <w:pBdr>
        <w:bottom w:val="single" w:sz="8" w:space="0" w:color="4F81BD"/>
        <w:right w:val="single" w:sz="8" w:space="0" w:color="4F81BD"/>
      </w:pBdr>
      <w:shd w:val="clear" w:color="000000" w:fill="FFFFFF"/>
      <w:spacing w:before="100" w:beforeAutospacing="1" w:after="100" w:afterAutospacing="1"/>
      <w:jc w:val="center"/>
      <w:textAlignment w:val="center"/>
    </w:pPr>
    <w:rPr>
      <w:bCs w:val="0"/>
      <w:sz w:val="16"/>
      <w:szCs w:val="16"/>
      <w:lang w:eastAsia="fr-FR"/>
    </w:rPr>
  </w:style>
  <w:style w:type="paragraph" w:customStyle="1" w:styleId="xl90">
    <w:name w:val="xl90"/>
    <w:basedOn w:val="Normal"/>
    <w:rsid w:val="00A079F7"/>
    <w:pPr>
      <w:pBdr>
        <w:top w:val="single" w:sz="8" w:space="0" w:color="4F81BD"/>
        <w:bottom w:val="single" w:sz="8" w:space="0" w:color="4F81BD"/>
        <w:right w:val="single" w:sz="8" w:space="0" w:color="4F81BD"/>
      </w:pBdr>
      <w:shd w:val="clear" w:color="000000" w:fill="FFFFFF"/>
      <w:spacing w:before="100" w:beforeAutospacing="1" w:after="100" w:afterAutospacing="1"/>
      <w:jc w:val="center"/>
      <w:textAlignment w:val="center"/>
    </w:pPr>
    <w:rPr>
      <w:bCs w:val="0"/>
      <w:color w:val="FF0000"/>
      <w:sz w:val="16"/>
      <w:szCs w:val="16"/>
      <w:lang w:eastAsia="fr-FR"/>
    </w:rPr>
  </w:style>
  <w:style w:type="paragraph" w:customStyle="1" w:styleId="xl91">
    <w:name w:val="xl91"/>
    <w:basedOn w:val="Normal"/>
    <w:rsid w:val="00A079F7"/>
    <w:pPr>
      <w:pBdr>
        <w:top w:val="single" w:sz="8" w:space="0" w:color="4F81BD"/>
        <w:left w:val="single" w:sz="8" w:space="0" w:color="4F81BD"/>
        <w:bottom w:val="single" w:sz="8" w:space="0" w:color="4F81BD"/>
        <w:right w:val="single" w:sz="8" w:space="0" w:color="4F81BD"/>
      </w:pBdr>
      <w:shd w:val="clear" w:color="000000" w:fill="FFFFFF"/>
      <w:spacing w:before="100" w:beforeAutospacing="1" w:after="100" w:afterAutospacing="1"/>
      <w:jc w:val="center"/>
      <w:textAlignment w:val="center"/>
    </w:pPr>
    <w:rPr>
      <w:bCs w:val="0"/>
      <w:sz w:val="16"/>
      <w:szCs w:val="16"/>
      <w:lang w:eastAsia="fr-FR"/>
    </w:rPr>
  </w:style>
  <w:style w:type="paragraph" w:customStyle="1" w:styleId="xl92">
    <w:name w:val="xl92"/>
    <w:basedOn w:val="Normal"/>
    <w:rsid w:val="00A079F7"/>
    <w:pPr>
      <w:pBdr>
        <w:bottom w:val="single" w:sz="8" w:space="0" w:color="4F81BD"/>
        <w:right w:val="single" w:sz="8" w:space="0" w:color="4F81BD"/>
      </w:pBdr>
      <w:spacing w:before="100" w:beforeAutospacing="1" w:after="100" w:afterAutospacing="1"/>
      <w:jc w:val="center"/>
      <w:textAlignment w:val="center"/>
    </w:pPr>
    <w:rPr>
      <w:bCs w:val="0"/>
      <w:color w:val="FF0000"/>
      <w:sz w:val="16"/>
      <w:szCs w:val="16"/>
      <w:lang w:eastAsia="fr-FR"/>
    </w:rPr>
  </w:style>
  <w:style w:type="paragraph" w:customStyle="1" w:styleId="xl93">
    <w:name w:val="xl93"/>
    <w:basedOn w:val="Normal"/>
    <w:rsid w:val="00A079F7"/>
    <w:pPr>
      <w:pBdr>
        <w:left w:val="single" w:sz="8" w:space="0" w:color="4F81BD"/>
        <w:bottom w:val="single" w:sz="8" w:space="0" w:color="4F81BD"/>
        <w:right w:val="single" w:sz="8" w:space="0" w:color="4F81BD"/>
      </w:pBdr>
      <w:shd w:val="clear" w:color="000000" w:fill="FFFFFF"/>
      <w:spacing w:before="100" w:beforeAutospacing="1" w:after="100" w:afterAutospacing="1"/>
      <w:jc w:val="center"/>
      <w:textAlignment w:val="center"/>
    </w:pPr>
    <w:rPr>
      <w:bCs w:val="0"/>
      <w:sz w:val="16"/>
      <w:szCs w:val="16"/>
      <w:lang w:eastAsia="fr-FR"/>
    </w:rPr>
  </w:style>
  <w:style w:type="paragraph" w:customStyle="1" w:styleId="xl94">
    <w:name w:val="xl94"/>
    <w:basedOn w:val="Normal"/>
    <w:rsid w:val="00A079F7"/>
    <w:pPr>
      <w:pBdr>
        <w:top w:val="single" w:sz="8" w:space="0" w:color="4F81BD"/>
        <w:left w:val="single" w:sz="8" w:space="0" w:color="4F81BD"/>
        <w:right w:val="single" w:sz="8" w:space="0" w:color="4F81BD"/>
      </w:pBdr>
      <w:spacing w:before="100" w:beforeAutospacing="1" w:after="100" w:afterAutospacing="1"/>
      <w:jc w:val="center"/>
      <w:textAlignment w:val="center"/>
    </w:pPr>
    <w:rPr>
      <w:bCs w:val="0"/>
      <w:color w:val="000000"/>
      <w:sz w:val="16"/>
      <w:szCs w:val="16"/>
      <w:lang w:eastAsia="fr-FR"/>
    </w:rPr>
  </w:style>
  <w:style w:type="paragraph" w:customStyle="1" w:styleId="xl95">
    <w:name w:val="xl95"/>
    <w:basedOn w:val="Normal"/>
    <w:rsid w:val="00A079F7"/>
    <w:pPr>
      <w:pBdr>
        <w:top w:val="single" w:sz="8" w:space="0" w:color="4F81BD"/>
        <w:left w:val="single" w:sz="8" w:space="0" w:color="4F81BD"/>
        <w:right w:val="single" w:sz="8" w:space="0" w:color="4F81BD"/>
      </w:pBdr>
      <w:spacing w:before="100" w:beforeAutospacing="1" w:after="100" w:afterAutospacing="1"/>
      <w:jc w:val="center"/>
      <w:textAlignment w:val="center"/>
    </w:pPr>
    <w:rPr>
      <w:bCs w:val="0"/>
      <w:sz w:val="16"/>
      <w:szCs w:val="16"/>
      <w:lang w:eastAsia="fr-FR"/>
    </w:rPr>
  </w:style>
  <w:style w:type="paragraph" w:customStyle="1" w:styleId="xl96">
    <w:name w:val="xl96"/>
    <w:basedOn w:val="Normal"/>
    <w:rsid w:val="00A079F7"/>
    <w:pPr>
      <w:pBdr>
        <w:left w:val="single" w:sz="8" w:space="0" w:color="4F81BD"/>
        <w:right w:val="single" w:sz="8" w:space="0" w:color="4F81BD"/>
      </w:pBdr>
      <w:spacing w:before="100" w:beforeAutospacing="1" w:after="100" w:afterAutospacing="1"/>
      <w:jc w:val="center"/>
      <w:textAlignment w:val="center"/>
    </w:pPr>
    <w:rPr>
      <w:bCs w:val="0"/>
      <w:sz w:val="16"/>
      <w:szCs w:val="16"/>
      <w:lang w:eastAsia="fr-FR"/>
    </w:rPr>
  </w:style>
  <w:style w:type="paragraph" w:customStyle="1" w:styleId="xl97">
    <w:name w:val="xl97"/>
    <w:basedOn w:val="Normal"/>
    <w:rsid w:val="00A079F7"/>
    <w:pPr>
      <w:pBdr>
        <w:left w:val="single" w:sz="8" w:space="0" w:color="4F81BD"/>
        <w:bottom w:val="single" w:sz="8" w:space="0" w:color="4F81BD"/>
        <w:right w:val="single" w:sz="8" w:space="0" w:color="4F81BD"/>
      </w:pBdr>
      <w:spacing w:before="100" w:beforeAutospacing="1" w:after="100" w:afterAutospacing="1"/>
      <w:jc w:val="center"/>
      <w:textAlignment w:val="center"/>
    </w:pPr>
    <w:rPr>
      <w:bCs w:val="0"/>
      <w:sz w:val="16"/>
      <w:szCs w:val="16"/>
      <w:lang w:eastAsia="fr-FR"/>
    </w:rPr>
  </w:style>
  <w:style w:type="paragraph" w:customStyle="1" w:styleId="xl98">
    <w:name w:val="xl98"/>
    <w:basedOn w:val="Normal"/>
    <w:rsid w:val="00A079F7"/>
    <w:pPr>
      <w:pBdr>
        <w:top w:val="single" w:sz="8" w:space="0" w:color="auto"/>
        <w:left w:val="single" w:sz="8" w:space="0" w:color="4F81BD"/>
        <w:right w:val="single" w:sz="8" w:space="0" w:color="4F81BD"/>
      </w:pBdr>
      <w:spacing w:before="100" w:beforeAutospacing="1" w:after="100" w:afterAutospacing="1"/>
      <w:jc w:val="center"/>
      <w:textAlignment w:val="center"/>
    </w:pPr>
    <w:rPr>
      <w:bCs w:val="0"/>
      <w:color w:val="000000"/>
      <w:sz w:val="16"/>
      <w:szCs w:val="16"/>
      <w:lang w:eastAsia="fr-FR"/>
    </w:rPr>
  </w:style>
  <w:style w:type="character" w:customStyle="1" w:styleId="highlight">
    <w:name w:val="highlight"/>
    <w:basedOn w:val="DefaultParagraphFont"/>
    <w:rsid w:val="00A079F7"/>
  </w:style>
  <w:style w:type="paragraph" w:customStyle="1" w:styleId="xl71">
    <w:name w:val="xl71"/>
    <w:basedOn w:val="Normal"/>
    <w:rsid w:val="00A079F7"/>
    <w:pPr>
      <w:pBdr>
        <w:left w:val="single" w:sz="8" w:space="0" w:color="auto"/>
        <w:bottom w:val="single" w:sz="4" w:space="0" w:color="auto"/>
        <w:right w:val="single" w:sz="4" w:space="0" w:color="auto"/>
      </w:pBdr>
      <w:spacing w:before="100" w:beforeAutospacing="1" w:after="100" w:afterAutospacing="1"/>
      <w:jc w:val="left"/>
    </w:pPr>
    <w:rPr>
      <w:rFonts w:ascii="Times New Roman" w:hAnsi="Times New Roman" w:cs="Times New Roman"/>
      <w:bCs w:val="0"/>
      <w:sz w:val="24"/>
      <w:szCs w:val="24"/>
      <w:lang w:eastAsia="fr-FR"/>
    </w:rPr>
  </w:style>
  <w:style w:type="paragraph" w:customStyle="1" w:styleId="xl72">
    <w:name w:val="xl72"/>
    <w:basedOn w:val="Normal"/>
    <w:rsid w:val="00A079F7"/>
    <w:pPr>
      <w:pBdr>
        <w:left w:val="single" w:sz="4" w:space="0" w:color="auto"/>
        <w:bottom w:val="single" w:sz="4" w:space="0" w:color="auto"/>
        <w:right w:val="single" w:sz="4" w:space="0" w:color="auto"/>
      </w:pBdr>
      <w:spacing w:before="100" w:beforeAutospacing="1" w:after="100" w:afterAutospacing="1"/>
      <w:jc w:val="left"/>
    </w:pPr>
    <w:rPr>
      <w:rFonts w:ascii="Times New Roman" w:hAnsi="Times New Roman" w:cs="Times New Roman"/>
      <w:bCs w:val="0"/>
      <w:sz w:val="24"/>
      <w:szCs w:val="24"/>
      <w:lang w:eastAsia="fr-FR"/>
    </w:rPr>
  </w:style>
  <w:style w:type="paragraph" w:customStyle="1" w:styleId="xl73">
    <w:name w:val="xl73"/>
    <w:basedOn w:val="Normal"/>
    <w:rsid w:val="00A079F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Cs w:val="0"/>
      <w:sz w:val="24"/>
      <w:szCs w:val="24"/>
      <w:lang w:eastAsia="fr-FR"/>
    </w:rPr>
  </w:style>
  <w:style w:type="paragraph" w:customStyle="1" w:styleId="xl74">
    <w:name w:val="xl74"/>
    <w:basedOn w:val="Normal"/>
    <w:rsid w:val="00A079F7"/>
    <w:pPr>
      <w:pBdr>
        <w:top w:val="single" w:sz="4" w:space="0" w:color="auto"/>
        <w:left w:val="single" w:sz="4" w:space="0" w:color="auto"/>
        <w:bottom w:val="single" w:sz="4" w:space="0" w:color="auto"/>
        <w:right w:val="single" w:sz="4" w:space="0" w:color="auto"/>
      </w:pBdr>
      <w:spacing w:before="100" w:beforeAutospacing="1" w:after="100" w:afterAutospacing="1"/>
      <w:jc w:val="left"/>
    </w:pPr>
    <w:rPr>
      <w:bCs w:val="0"/>
      <w:sz w:val="24"/>
      <w:szCs w:val="24"/>
      <w:lang w:eastAsia="fr-FR"/>
    </w:rPr>
  </w:style>
  <w:style w:type="paragraph" w:customStyle="1" w:styleId="xl75">
    <w:name w:val="xl75"/>
    <w:basedOn w:val="Normal"/>
    <w:rsid w:val="00A079F7"/>
    <w:pPr>
      <w:pBdr>
        <w:top w:val="single" w:sz="4" w:space="0" w:color="auto"/>
        <w:left w:val="single" w:sz="4" w:space="0" w:color="auto"/>
        <w:bottom w:val="single" w:sz="8" w:space="0" w:color="auto"/>
        <w:right w:val="single" w:sz="4" w:space="0" w:color="auto"/>
      </w:pBdr>
      <w:spacing w:before="100" w:beforeAutospacing="1" w:after="100" w:afterAutospacing="1"/>
      <w:jc w:val="left"/>
    </w:pPr>
    <w:rPr>
      <w:bCs w:val="0"/>
      <w:sz w:val="24"/>
      <w:szCs w:val="24"/>
      <w:lang w:eastAsia="fr-FR"/>
    </w:rPr>
  </w:style>
  <w:style w:type="paragraph" w:customStyle="1" w:styleId="xl76">
    <w:name w:val="xl76"/>
    <w:basedOn w:val="Normal"/>
    <w:rsid w:val="00A079F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Cs w:val="0"/>
      <w:sz w:val="24"/>
      <w:szCs w:val="24"/>
      <w:lang w:eastAsia="fr-FR"/>
    </w:rPr>
  </w:style>
  <w:style w:type="paragraph" w:customStyle="1" w:styleId="xl77">
    <w:name w:val="xl77"/>
    <w:basedOn w:val="Normal"/>
    <w:rsid w:val="00A079F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val="0"/>
      <w:sz w:val="24"/>
      <w:szCs w:val="24"/>
      <w:lang w:eastAsia="fr-FR"/>
    </w:rPr>
  </w:style>
  <w:style w:type="table" w:customStyle="1" w:styleId="Tramemoyenne1-Accent12">
    <w:name w:val="Trame moyenne 1 - Accent 12"/>
    <w:basedOn w:val="TableNormal"/>
    <w:uiPriority w:val="63"/>
    <w:rsid w:val="00CD450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xl64">
    <w:name w:val="xl64"/>
    <w:basedOn w:val="Normal"/>
    <w:rsid w:val="00F1116A"/>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jc w:val="center"/>
      <w:textAlignment w:val="top"/>
    </w:pPr>
    <w:rPr>
      <w:rFonts w:ascii="Courier New" w:hAnsi="Courier New" w:cs="Courier New"/>
      <w:b/>
      <w:sz w:val="24"/>
      <w:szCs w:val="24"/>
      <w:lang w:eastAsia="fr-FR"/>
    </w:rPr>
  </w:style>
  <w:style w:type="table" w:customStyle="1" w:styleId="MediumShading1-Accent11">
    <w:name w:val="Medium Shading 1 - Accent 11"/>
    <w:basedOn w:val="TableNormal"/>
    <w:uiPriority w:val="63"/>
    <w:rsid w:val="00F1116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9561">
      <w:bodyDiv w:val="1"/>
      <w:marLeft w:val="0"/>
      <w:marRight w:val="0"/>
      <w:marTop w:val="0"/>
      <w:marBottom w:val="0"/>
      <w:divBdr>
        <w:top w:val="none" w:sz="0" w:space="0" w:color="auto"/>
        <w:left w:val="none" w:sz="0" w:space="0" w:color="auto"/>
        <w:bottom w:val="none" w:sz="0" w:space="0" w:color="auto"/>
        <w:right w:val="none" w:sz="0" w:space="0" w:color="auto"/>
      </w:divBdr>
    </w:div>
    <w:div w:id="202060156">
      <w:bodyDiv w:val="1"/>
      <w:marLeft w:val="0"/>
      <w:marRight w:val="0"/>
      <w:marTop w:val="0"/>
      <w:marBottom w:val="0"/>
      <w:divBdr>
        <w:top w:val="none" w:sz="0" w:space="0" w:color="auto"/>
        <w:left w:val="none" w:sz="0" w:space="0" w:color="auto"/>
        <w:bottom w:val="none" w:sz="0" w:space="0" w:color="auto"/>
        <w:right w:val="none" w:sz="0" w:space="0" w:color="auto"/>
      </w:divBdr>
    </w:div>
    <w:div w:id="747504309">
      <w:bodyDiv w:val="1"/>
      <w:marLeft w:val="0"/>
      <w:marRight w:val="0"/>
      <w:marTop w:val="0"/>
      <w:marBottom w:val="0"/>
      <w:divBdr>
        <w:top w:val="none" w:sz="0" w:space="0" w:color="auto"/>
        <w:left w:val="none" w:sz="0" w:space="0" w:color="auto"/>
        <w:bottom w:val="none" w:sz="0" w:space="0" w:color="auto"/>
        <w:right w:val="none" w:sz="0" w:space="0" w:color="auto"/>
      </w:divBdr>
    </w:div>
    <w:div w:id="829322216">
      <w:bodyDiv w:val="1"/>
      <w:marLeft w:val="0"/>
      <w:marRight w:val="0"/>
      <w:marTop w:val="0"/>
      <w:marBottom w:val="0"/>
      <w:divBdr>
        <w:top w:val="none" w:sz="0" w:space="0" w:color="auto"/>
        <w:left w:val="none" w:sz="0" w:space="0" w:color="auto"/>
        <w:bottom w:val="none" w:sz="0" w:space="0" w:color="auto"/>
        <w:right w:val="none" w:sz="0" w:space="0" w:color="auto"/>
      </w:divBdr>
    </w:div>
    <w:div w:id="884292662">
      <w:bodyDiv w:val="1"/>
      <w:marLeft w:val="0"/>
      <w:marRight w:val="0"/>
      <w:marTop w:val="0"/>
      <w:marBottom w:val="0"/>
      <w:divBdr>
        <w:top w:val="none" w:sz="0" w:space="0" w:color="auto"/>
        <w:left w:val="none" w:sz="0" w:space="0" w:color="auto"/>
        <w:bottom w:val="none" w:sz="0" w:space="0" w:color="auto"/>
        <w:right w:val="none" w:sz="0" w:space="0" w:color="auto"/>
      </w:divBdr>
    </w:div>
    <w:div w:id="1101292786">
      <w:bodyDiv w:val="1"/>
      <w:marLeft w:val="0"/>
      <w:marRight w:val="0"/>
      <w:marTop w:val="0"/>
      <w:marBottom w:val="0"/>
      <w:divBdr>
        <w:top w:val="none" w:sz="0" w:space="0" w:color="auto"/>
        <w:left w:val="none" w:sz="0" w:space="0" w:color="auto"/>
        <w:bottom w:val="none" w:sz="0" w:space="0" w:color="auto"/>
        <w:right w:val="none" w:sz="0" w:space="0" w:color="auto"/>
      </w:divBdr>
    </w:div>
    <w:div w:id="1563710703">
      <w:bodyDiv w:val="1"/>
      <w:marLeft w:val="0"/>
      <w:marRight w:val="0"/>
      <w:marTop w:val="0"/>
      <w:marBottom w:val="0"/>
      <w:divBdr>
        <w:top w:val="none" w:sz="0" w:space="0" w:color="auto"/>
        <w:left w:val="none" w:sz="0" w:space="0" w:color="auto"/>
        <w:bottom w:val="none" w:sz="0" w:space="0" w:color="auto"/>
        <w:right w:val="none" w:sz="0" w:space="0" w:color="auto"/>
      </w:divBdr>
    </w:div>
    <w:div w:id="1638412810">
      <w:bodyDiv w:val="1"/>
      <w:marLeft w:val="0"/>
      <w:marRight w:val="0"/>
      <w:marTop w:val="0"/>
      <w:marBottom w:val="0"/>
      <w:divBdr>
        <w:top w:val="none" w:sz="0" w:space="0" w:color="auto"/>
        <w:left w:val="none" w:sz="0" w:space="0" w:color="auto"/>
        <w:bottom w:val="none" w:sz="0" w:space="0" w:color="auto"/>
        <w:right w:val="none" w:sz="0" w:space="0" w:color="auto"/>
      </w:divBdr>
    </w:div>
    <w:div w:id="2061437259">
      <w:bodyDiv w:val="1"/>
      <w:marLeft w:val="0"/>
      <w:marRight w:val="0"/>
      <w:marTop w:val="0"/>
      <w:marBottom w:val="0"/>
      <w:divBdr>
        <w:top w:val="none" w:sz="0" w:space="0" w:color="auto"/>
        <w:left w:val="none" w:sz="0" w:space="0" w:color="auto"/>
        <w:bottom w:val="none" w:sz="0" w:space="0" w:color="auto"/>
        <w:right w:val="none" w:sz="0" w:space="0" w:color="auto"/>
      </w:divBdr>
    </w:div>
    <w:div w:id="2147041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fr.wikipedia.org/wiki/9_ao%C3%BBt" TargetMode="External"/><Relationship Id="rId12" Type="http://schemas.openxmlformats.org/officeDocument/2006/relationships/hyperlink" Target="http://fr.wikipedia.org/wiki/1999" TargetMode="External"/><Relationship Id="rId13" Type="http://schemas.openxmlformats.org/officeDocument/2006/relationships/image" Target="media/image2.emf"/><Relationship Id="rId14" Type="http://schemas.openxmlformats.org/officeDocument/2006/relationships/image" Target="media/image3.emf"/><Relationship Id="rId15" Type="http://schemas.openxmlformats.org/officeDocument/2006/relationships/image" Target="media/image4.emf"/><Relationship Id="rId16" Type="http://schemas.openxmlformats.org/officeDocument/2006/relationships/footer" Target="footer1.xml"/><Relationship Id="rId17" Type="http://schemas.openxmlformats.org/officeDocument/2006/relationships/image" Target="media/image5.jpeg"/><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wmf"/><Relationship Id="rId10" Type="http://schemas.openxmlformats.org/officeDocument/2006/relationships/oleObject" Target="embeddings/oleObject1.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70A661-DD6D-CE47-AC8B-1D9587897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77</Pages>
  <Words>21876</Words>
  <Characters>124697</Characters>
  <Application>Microsoft Macintosh Word</Application>
  <DocSecurity>0</DocSecurity>
  <Lines>1039</Lines>
  <Paragraphs>292</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146281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HP-PC</dc:creator>
  <cp:lastModifiedBy>pax</cp:lastModifiedBy>
  <cp:revision>2</cp:revision>
  <cp:lastPrinted>2016-05-19T13:46:00Z</cp:lastPrinted>
  <dcterms:created xsi:type="dcterms:W3CDTF">2016-06-12T09:13:00Z</dcterms:created>
  <dcterms:modified xsi:type="dcterms:W3CDTF">2016-06-12T09:13:00Z</dcterms:modified>
</cp:coreProperties>
</file>