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shd w:val="clear" w:color="auto" w:fill="F9FAFC"/>
        <w:tblCellMar>
          <w:top w:w="225" w:type="dxa"/>
          <w:left w:w="225" w:type="dxa"/>
          <w:bottom w:w="225" w:type="dxa"/>
          <w:right w:w="225" w:type="dxa"/>
        </w:tblCellMar>
        <w:tblLook w:val="04A0" w:firstRow="1" w:lastRow="0" w:firstColumn="1" w:lastColumn="0" w:noHBand="0" w:noVBand="1"/>
      </w:tblPr>
      <w:tblGrid>
        <w:gridCol w:w="3744"/>
        <w:gridCol w:w="1123"/>
        <w:gridCol w:w="4493"/>
      </w:tblGrid>
      <w:tr w:rsidR="008D3F9A" w:rsidRPr="008D3F9A" w:rsidTr="008D3F9A">
        <w:tc>
          <w:tcPr>
            <w:tcW w:w="2000" w:type="pct"/>
            <w:tcBorders>
              <w:top w:val="nil"/>
              <w:left w:val="nil"/>
              <w:bottom w:val="nil"/>
              <w:right w:val="nil"/>
            </w:tcBorders>
            <w:shd w:val="clear" w:color="auto" w:fill="F9FAFC"/>
            <w:tcMar>
              <w:top w:w="0" w:type="dxa"/>
              <w:left w:w="0" w:type="dxa"/>
              <w:bottom w:w="0" w:type="dxa"/>
              <w:right w:w="0" w:type="dxa"/>
            </w:tcMar>
            <w:vAlign w:val="bottom"/>
            <w:hideMark/>
          </w:tcPr>
          <w:p w:rsidR="008D3F9A" w:rsidRPr="008D3F9A" w:rsidRDefault="008D3F9A" w:rsidP="008D3F9A">
            <w:pPr>
              <w:spacing w:after="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18"/>
                <w:szCs w:val="18"/>
                <w:bdr w:val="none" w:sz="0" w:space="0" w:color="auto" w:frame="1"/>
              </w:rPr>
              <w:t>CHÍNH PHỦ</w:t>
            </w:r>
          </w:p>
          <w:p w:rsidR="008D3F9A" w:rsidRPr="008D3F9A" w:rsidRDefault="008D3F9A" w:rsidP="008D3F9A">
            <w:pPr>
              <w:spacing w:after="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color w:val="444444"/>
                <w:sz w:val="18"/>
                <w:szCs w:val="18"/>
              </w:rPr>
              <w:t>Số: 50/2010/NĐ-CP</w:t>
            </w:r>
          </w:p>
        </w:tc>
        <w:tc>
          <w:tcPr>
            <w:tcW w:w="600" w:type="pct"/>
            <w:tcBorders>
              <w:top w:val="nil"/>
              <w:left w:val="nil"/>
              <w:bottom w:val="nil"/>
              <w:right w:val="nil"/>
            </w:tcBorders>
            <w:shd w:val="clear" w:color="auto" w:fill="F9FAFC"/>
            <w:tcMar>
              <w:top w:w="0" w:type="dxa"/>
              <w:left w:w="0" w:type="dxa"/>
              <w:bottom w:w="0" w:type="dxa"/>
              <w:right w:w="0" w:type="dxa"/>
            </w:tcMar>
            <w:vAlign w:val="bottom"/>
            <w:hideMark/>
          </w:tcPr>
          <w:p w:rsidR="008D3F9A" w:rsidRPr="008D3F9A" w:rsidRDefault="008D3F9A" w:rsidP="008D3F9A">
            <w:pPr>
              <w:spacing w:after="0" w:line="240" w:lineRule="auto"/>
              <w:jc w:val="center"/>
              <w:textAlignment w:val="baseline"/>
              <w:rPr>
                <w:rFonts w:ascii="Arial" w:eastAsia="Times New Roman" w:hAnsi="Arial" w:cs="Arial"/>
                <w:color w:val="444444"/>
                <w:sz w:val="18"/>
                <w:szCs w:val="18"/>
              </w:rPr>
            </w:pPr>
          </w:p>
        </w:tc>
        <w:tc>
          <w:tcPr>
            <w:tcW w:w="2400" w:type="pct"/>
            <w:tcBorders>
              <w:top w:val="nil"/>
              <w:left w:val="nil"/>
              <w:bottom w:val="nil"/>
              <w:right w:val="nil"/>
            </w:tcBorders>
            <w:shd w:val="clear" w:color="auto" w:fill="F9FAFC"/>
            <w:tcMar>
              <w:top w:w="0" w:type="dxa"/>
              <w:left w:w="0" w:type="dxa"/>
              <w:bottom w:w="0" w:type="dxa"/>
              <w:right w:w="0" w:type="dxa"/>
            </w:tcMar>
            <w:vAlign w:val="bottom"/>
            <w:hideMark/>
          </w:tcPr>
          <w:p w:rsidR="008D3F9A" w:rsidRPr="008D3F9A" w:rsidRDefault="008D3F9A" w:rsidP="008D3F9A">
            <w:pPr>
              <w:spacing w:after="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18"/>
                <w:szCs w:val="18"/>
                <w:bdr w:val="none" w:sz="0" w:space="0" w:color="auto" w:frame="1"/>
              </w:rPr>
              <w:t>CỘNG HOÀ XÃ HỘI CHỦ NGHĨA VIỆT NAM</w:t>
            </w:r>
          </w:p>
          <w:p w:rsidR="008D3F9A" w:rsidRPr="008D3F9A" w:rsidRDefault="008D3F9A" w:rsidP="008D3F9A">
            <w:pPr>
              <w:spacing w:after="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18"/>
                <w:szCs w:val="18"/>
                <w:bdr w:val="none" w:sz="0" w:space="0" w:color="auto" w:frame="1"/>
              </w:rPr>
              <w:t>Độc lập - Tự do - Hạnh phúc</w:t>
            </w:r>
          </w:p>
          <w:p w:rsidR="008D3F9A" w:rsidRPr="008D3F9A" w:rsidRDefault="008D3F9A" w:rsidP="008D3F9A">
            <w:pPr>
              <w:spacing w:after="0" w:line="240" w:lineRule="auto"/>
              <w:jc w:val="right"/>
              <w:textAlignment w:val="baseline"/>
              <w:rPr>
                <w:rFonts w:ascii="Arial" w:eastAsia="Times New Roman" w:hAnsi="Arial" w:cs="Arial"/>
                <w:color w:val="444444"/>
                <w:sz w:val="18"/>
                <w:szCs w:val="18"/>
              </w:rPr>
            </w:pPr>
            <w:r w:rsidRPr="008D3F9A">
              <w:rPr>
                <w:rFonts w:ascii="Arial" w:eastAsia="Times New Roman" w:hAnsi="Arial" w:cs="Arial"/>
                <w:i/>
                <w:iCs/>
                <w:color w:val="444444"/>
                <w:sz w:val="18"/>
                <w:szCs w:val="18"/>
                <w:bdr w:val="none" w:sz="0" w:space="0" w:color="auto" w:frame="1"/>
              </w:rPr>
              <w:t>Hà Nội, ngày 14 tháng 05 năm 2010</w:t>
            </w:r>
            <w:r w:rsidRPr="008D3F9A">
              <w:rPr>
                <w:rFonts w:ascii="Arial" w:eastAsia="Times New Roman" w:hAnsi="Arial" w:cs="Arial"/>
                <w:color w:val="444444"/>
                <w:sz w:val="18"/>
                <w:szCs w:val="18"/>
              </w:rPr>
              <w:t>                          </w:t>
            </w:r>
          </w:p>
        </w:tc>
      </w:tr>
      <w:tr w:rsidR="008D3F9A" w:rsidRPr="008D3F9A" w:rsidTr="008D3F9A">
        <w:tc>
          <w:tcPr>
            <w:tcW w:w="0" w:type="auto"/>
            <w:gridSpan w:val="3"/>
            <w:tcBorders>
              <w:top w:val="nil"/>
              <w:left w:val="nil"/>
              <w:bottom w:val="nil"/>
              <w:right w:val="nil"/>
            </w:tcBorders>
            <w:shd w:val="clear" w:color="auto" w:fill="F9FAFC"/>
            <w:tcMar>
              <w:top w:w="0" w:type="dxa"/>
              <w:left w:w="0" w:type="dxa"/>
              <w:bottom w:w="0" w:type="dxa"/>
              <w:right w:w="0" w:type="dxa"/>
            </w:tcMar>
            <w:vAlign w:val="bottom"/>
            <w:hideMark/>
          </w:tcPr>
          <w:p w:rsidR="008D3F9A" w:rsidRPr="008D3F9A" w:rsidRDefault="008D3F9A" w:rsidP="008D3F9A">
            <w:pPr>
              <w:spacing w:after="0" w:line="240" w:lineRule="auto"/>
              <w:jc w:val="right"/>
              <w:textAlignment w:val="baseline"/>
              <w:rPr>
                <w:rFonts w:ascii="Arial" w:eastAsia="Times New Roman" w:hAnsi="Arial" w:cs="Arial"/>
                <w:color w:val="444444"/>
                <w:sz w:val="18"/>
                <w:szCs w:val="18"/>
              </w:rPr>
            </w:pPr>
          </w:p>
        </w:tc>
      </w:tr>
      <w:tr w:rsidR="008D3F9A" w:rsidRPr="008D3F9A" w:rsidTr="008D3F9A">
        <w:tc>
          <w:tcPr>
            <w:tcW w:w="0" w:type="auto"/>
            <w:gridSpan w:val="3"/>
            <w:tcBorders>
              <w:top w:val="nil"/>
              <w:left w:val="nil"/>
              <w:bottom w:val="nil"/>
              <w:right w:val="nil"/>
            </w:tcBorders>
            <w:shd w:val="clear" w:color="auto" w:fill="F9FAFC"/>
            <w:tcMar>
              <w:top w:w="0" w:type="dxa"/>
              <w:left w:w="0" w:type="dxa"/>
              <w:bottom w:w="0" w:type="dxa"/>
              <w:right w:w="0" w:type="dxa"/>
            </w:tcMar>
            <w:vAlign w:val="bottom"/>
            <w:hideMark/>
          </w:tcPr>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NGHỊ ĐỊNH</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Quy định chi tiết và hướng dẫn thi hành một số điều của Luật Thuế tài nguyên</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CHÍNH PHỦ</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Căn cứ Luật Tổ chức Chính phủ ngày 25 tháng 12 năm 2001;</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Căn cứ Luật Thuế tài nguyên ngày 25 tháng 11 năm 2009;</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Xét đề nghị của Bộ trưởng Bộ Tài chính,</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NGHỊ ĐỊNH:</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Chương I</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NHỮNG QUY ĐỊNH CHUNG</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1. Phạm vi điều chỉnh</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Nghị định này quy định chi tiết và hướng dẫn thi hành Điều 2, Điều 5, Điều 6, Điều 7 và Điều 9 của Luật Thuế tài nguyên.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2. Đối tượng chịu thuế</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Đối tượng chịu thuế tài nguyên thực hiện theo quy định tại Điều 2 Luật Thuế tài nguyên, bao gồm:</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1. Khoáng sản kim loại.</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2. Khoáng sản không kim loại.</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3. Dầu thô theo quy định tại khoản 2 Điều 3 Luật Dầu khí năm 1993.</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4. Khí thiên nhiên theo quy định tại khoản 3 Điều 3 Luật Dầu khí năm 1993.</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5. Khí than theo quy định tại khoản 3 Điều 1 Luật sửa đổi, bổ sung một số điều của Luật Dầu khí năm 2008.</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6. Sản phẩm của rừng tự nhiên, bao gồm các loại thực vật và các loại sản phẩm khác của rừng tự nhiên, trừ động vật và hồi, quế, sa nhân, thảo quả do người nộp thuế trồng tại khu vực rừng tự nhiên được giao khoanh nuôi, bảo vệ.</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7. Hải sản tự nhiên, bao gồm động vật và thực vật biển.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8. Nước thiên nhiên, bao gồm nước mặt và nước dưới đất.</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9. Yến sào thiên nhiên.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10. Tài nguyên khác do Bộ Tài chính chủ trì phối hợp với các Bộ, ngành liên quan báo cáo Chính phủ để trình Ủy ban Thường vụ Quốc hội xem xét, quyết định.</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Chương II</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CĂN CỨ TÍNH THUẾ</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3. Sản lượng tài nguyên tính thuế</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Sản lượng tài nguyên tính thuế thực hiện theo quy định tại Điều 5 Luật Thuế tài nguyên.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Đối với nước khoáng thiên nhiên, nước nóng thiên nhiên, nước thiên nhiên dùng cho mục đích công nghiệp thì sản lượng tài nguyên tính thuế được xác định bằng mét khối (m</w:t>
            </w:r>
            <w:r w:rsidRPr="008D3F9A">
              <w:rPr>
                <w:rFonts w:ascii="Arial" w:eastAsia="Times New Roman" w:hAnsi="Arial" w:cs="Arial"/>
                <w:color w:val="444444"/>
                <w:sz w:val="20"/>
                <w:szCs w:val="20"/>
                <w:bdr w:val="none" w:sz="0" w:space="0" w:color="auto" w:frame="1"/>
                <w:vertAlign w:val="superscript"/>
              </w:rPr>
              <w:t>3</w:t>
            </w:r>
            <w:r w:rsidRPr="008D3F9A">
              <w:rPr>
                <w:rFonts w:ascii="Arial" w:eastAsia="Times New Roman" w:hAnsi="Arial" w:cs="Arial"/>
                <w:color w:val="444444"/>
                <w:sz w:val="20"/>
                <w:szCs w:val="20"/>
                <w:bdr w:val="none" w:sz="0" w:space="0" w:color="auto" w:frame="1"/>
              </w:rPr>
              <w:t xml:space="preserve">) hoặc lít (l) theo hệ thống đo đếm đạt tiêu chuẩn đo lường chất lượng Việt Nam. Trường hợp không trực tiếp xác định được sản lượng tính thuế thông qua hệ thống đo đếm đạt tiêu chuẩn đo lường chất lượng Việt Nam thì thực hiện khoán sản lượng tài nguyên khai thác theo kỳ tính thuế. Cơ quan thuế phối hợp với cơ quan có liên quan ở địa phương xác định sản lượng tài nguyên khai thác được khoán để tính thuế căn cứ vào tình hình khai thác </w:t>
            </w:r>
            <w:r w:rsidRPr="008D3F9A">
              <w:rPr>
                <w:rFonts w:ascii="Arial" w:eastAsia="Times New Roman" w:hAnsi="Arial" w:cs="Arial"/>
                <w:color w:val="444444"/>
                <w:sz w:val="20"/>
                <w:szCs w:val="20"/>
                <w:bdr w:val="none" w:sz="0" w:space="0" w:color="auto" w:frame="1"/>
              </w:rPr>
              <w:lastRenderedPageBreak/>
              <w:t>thực tế, định mức tiêu chuẩn kỹ thuật ngành hoặc sản lượng khai thác sử dụng của tổ chức, cá nhân khác tương đương.</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Bộ Tài chính quy định phương thức xác định sản lượng tính thuế quy định tại Điều này.</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4. Giá tính thuế</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Giá tính thuế tài nguyên thực hiện theo quy định tại Điều 6 Luật Thuế tài nguyên, cụ thể:</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1. Giá tính thuế tài nguyên là giá bán đơn vị sản phẩm tài nguyên của tổ chức, cá nhân khai thác chưa bao gồm thuế giá trị gia tăng.</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2. Trường hợp tài nguyên chưa xác định được giá bán thì giá tính thuế tài nguyên được xác định theo một trong những căn cứ sau:</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a) Giá bán thực tế trên thị trường khu vực trong phạm vi địa bàn cấp tỉnh của đơn vị sản phẩm tài nguyên cùng loại nhưng không thấp hơn giá tính thuế do Ủy ban nhân dân cấp tỉnh quy định;</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b) Trường hợp tài nguyên khai thác có chứa nhiều chất khác nhau thì giá tính thuế xác định theo giá bán đơn vị của từng chất và hàm lượng của từng chất trong tài nguyên khai thác nhưng không thấp hơn giá tính thuế do Ủy ban nhân dân cấp tỉnh quy định.</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3. Giá tính thuế tài nguyên trong một số trường hợp được quy định cụ thể như sau:</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a) Đối với nước thiên nhiên dùng cho sản xuất thủy điện là giá bán điện thương phẩm bình quân;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b) Đối với gỗ là giá bán tại bãi giao (kho, bãi nơi khai thác); trường hợp chưa xác định được giá bán tại bãi giao thì giá tính thuế được xác định căn cứ vào giá tính thuế do Ủy ban nhân dân cấp tỉnh quy định;</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c) Đối với tài nguyên khai thác không tiêu thụ trong nước mà xuất khẩu là giá xuất khẩu đơn vị sản phẩm tài nguyên (FOB); trường hợp tài nguyên khai thác vừa tiêu thụ nội địa và xuất khẩu thì đối với phần tiêu thụ nội địa là giá bán đơn vị sản phẩm tài nguyên chưa bao gồm thuế giá trị gia tăng, đối với phần xuất khẩu là giá xuất khẩu;</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d) Đối với dầu thô, khí thiên nhiên, khí than là giá bán tại điểm giao nhận. Điểm giao nhận là điểm được thỏa thuận trong hợp đồng dầu khí mà ở đó dầu thô, khí thiên nhiên, khí than được chuyển giao quyền sở hữu cho các bên tham gia hợp đồng dầu khí.</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4. Ủy ban nhân dân cấp tỉnh quy định cụ thể giá tính thuế tài nguyên quy định tại khoản 2, điểm b khoản 3 Điều này.</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5. Bộ Tài chính quy định việc xác định giá tính thuế tài nguyên quy định tại điểm a, d khoản 3 Điều này và các trường hợp cụ thể khác.</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5. Thuế suất</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1. Mức thuế suất cụ thể đối với từng loại tài nguyên thực hiện theo Biểu mức thuế suất thuế tài nguyên do Ủy ban Thường vụ Quốc hội ban hành.</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2. Căn cứ các nguyên tắc quy định tại khoản 3 Điều 7 Luật Thuế tài nguyên, Bộ Tài chính chủ trì, phối hợp với các Bộ, ngành liên quan báo cáo Chính phủ để trình Ủy ban Thường vụ Quốc hội xem xét, quyết định điều chỉnh mức thuế suất đối với từng loại tài nguyên trong Biểu mức thuế suất thuế tài nguyên.</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Chương III</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MIỄN, GIẢM THUẾ</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6. Miễn, giảm thuế </w:t>
            </w:r>
            <w:r w:rsidRPr="008D3F9A">
              <w:rPr>
                <w:rFonts w:ascii="Arial" w:eastAsia="Times New Roman" w:hAnsi="Arial" w:cs="Arial"/>
                <w:color w:val="444444"/>
                <w:sz w:val="18"/>
                <w:szCs w:val="18"/>
              </w:rPr>
              <w:t> </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Miễn, giảm thuế tài nguyên thực hiện theo quy định tại Điều 9 Luật Thuế tài nguyên.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Trường hợp khác được miễn, giảm thuế tài nguyên, Bộ Tài chính chủ trì, phối hợp với các Bộ, ngành liên quan báo cáo Chính phủ để trình Ủy ban Thường vụ Quốc hội xem xét, quyết định.</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Chương IV</w:t>
            </w:r>
          </w:p>
          <w:p w:rsidR="008D3F9A" w:rsidRPr="008D3F9A" w:rsidRDefault="008D3F9A" w:rsidP="008D3F9A">
            <w:pPr>
              <w:spacing w:after="120" w:line="240" w:lineRule="auto"/>
              <w:jc w:val="center"/>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KHOẢN THI HÀNH</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lastRenderedPageBreak/>
              <w:t>Điều 7. </w:t>
            </w:r>
            <w:r w:rsidRPr="008D3F9A">
              <w:rPr>
                <w:rFonts w:ascii="Arial" w:eastAsia="Times New Roman" w:hAnsi="Arial" w:cs="Arial"/>
                <w:color w:val="444444"/>
                <w:sz w:val="20"/>
                <w:szCs w:val="20"/>
                <w:bdr w:val="none" w:sz="0" w:space="0" w:color="auto" w:frame="1"/>
              </w:rPr>
              <w:t>Nghị định này có hiệu lực thi hành từ ngày 01 tháng 7 năm 2010. Bãi bỏ Nghị định số 05/2009/NĐ-CP ngày 19 tháng 01 năm 2009 của Chính phủ quy định chi tiết thi hành Pháp lệnh Thuế tài nguyên và Pháp lệnh sửa đổi, bổ sung Điều 6 Pháp lệnh Thuế tài nguyên.</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b/>
                <w:bCs/>
                <w:color w:val="444444"/>
                <w:sz w:val="20"/>
                <w:szCs w:val="20"/>
                <w:bdr w:val="none" w:sz="0" w:space="0" w:color="auto" w:frame="1"/>
              </w:rPr>
              <w:t>Điều 8. </w:t>
            </w:r>
            <w:r w:rsidRPr="008D3F9A">
              <w:rPr>
                <w:rFonts w:ascii="Arial" w:eastAsia="Times New Roman" w:hAnsi="Arial" w:cs="Arial"/>
                <w:color w:val="444444"/>
                <w:sz w:val="20"/>
                <w:szCs w:val="20"/>
                <w:bdr w:val="none" w:sz="0" w:space="0" w:color="auto" w:frame="1"/>
              </w:rPr>
              <w:t>Bộ Tài chính hướng dẫn thi hành Nghị định này.</w:t>
            </w:r>
          </w:p>
          <w:p w:rsidR="008D3F9A" w:rsidRPr="008D3F9A" w:rsidRDefault="008D3F9A" w:rsidP="008D3F9A">
            <w:pPr>
              <w:spacing w:after="120" w:line="240" w:lineRule="auto"/>
              <w:textAlignment w:val="baseline"/>
              <w:rPr>
                <w:rFonts w:ascii="Arial" w:eastAsia="Times New Roman" w:hAnsi="Arial" w:cs="Arial"/>
                <w:color w:val="444444"/>
                <w:sz w:val="18"/>
                <w:szCs w:val="18"/>
              </w:rPr>
            </w:pPr>
            <w:r w:rsidRPr="008D3F9A">
              <w:rPr>
                <w:rFonts w:ascii="Arial" w:eastAsia="Times New Roman" w:hAnsi="Arial" w:cs="Arial"/>
                <w:color w:val="444444"/>
                <w:sz w:val="20"/>
                <w:szCs w:val="20"/>
                <w:bdr w:val="none" w:sz="0" w:space="0" w:color="auto" w:frame="1"/>
              </w:rPr>
              <w:t>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c>
      </w:tr>
    </w:tbl>
    <w:p w:rsidR="008749D7" w:rsidRDefault="008D3F9A">
      <w:bookmarkStart w:id="0" w:name="_GoBack"/>
      <w:bookmarkEnd w:id="0"/>
    </w:p>
    <w:sectPr w:rsidR="00874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9A"/>
    <w:rsid w:val="00362B98"/>
    <w:rsid w:val="008D3F9A"/>
    <w:rsid w:val="00901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666CC-1A73-4BFD-A943-7F215BD3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D3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564697">
      <w:bodyDiv w:val="1"/>
      <w:marLeft w:val="0"/>
      <w:marRight w:val="0"/>
      <w:marTop w:val="0"/>
      <w:marBottom w:val="0"/>
      <w:divBdr>
        <w:top w:val="none" w:sz="0" w:space="0" w:color="auto"/>
        <w:left w:val="none" w:sz="0" w:space="0" w:color="auto"/>
        <w:bottom w:val="none" w:sz="0" w:space="0" w:color="auto"/>
        <w:right w:val="none" w:sz="0" w:space="0" w:color="auto"/>
      </w:divBdr>
      <w:divsChild>
        <w:div w:id="1325551342">
          <w:marLeft w:val="0"/>
          <w:marRight w:val="0"/>
          <w:marTop w:val="0"/>
          <w:marBottom w:val="0"/>
          <w:divBdr>
            <w:top w:val="none" w:sz="0" w:space="0" w:color="auto"/>
            <w:left w:val="none" w:sz="0" w:space="0" w:color="auto"/>
            <w:bottom w:val="none" w:sz="0" w:space="0" w:color="auto"/>
            <w:right w:val="none" w:sz="0" w:space="0" w:color="auto"/>
          </w:divBdr>
        </w:div>
        <w:div w:id="365721754">
          <w:marLeft w:val="0"/>
          <w:marRight w:val="0"/>
          <w:marTop w:val="0"/>
          <w:marBottom w:val="0"/>
          <w:divBdr>
            <w:top w:val="none" w:sz="0" w:space="0" w:color="auto"/>
            <w:left w:val="none" w:sz="0" w:space="0" w:color="auto"/>
            <w:bottom w:val="none" w:sz="0" w:space="0" w:color="auto"/>
            <w:right w:val="none" w:sz="0" w:space="0" w:color="auto"/>
          </w:divBdr>
        </w:div>
        <w:div w:id="1486782210">
          <w:marLeft w:val="0"/>
          <w:marRight w:val="0"/>
          <w:marTop w:val="0"/>
          <w:marBottom w:val="0"/>
          <w:divBdr>
            <w:top w:val="none" w:sz="0" w:space="0" w:color="auto"/>
            <w:left w:val="none" w:sz="0" w:space="0" w:color="auto"/>
            <w:bottom w:val="none" w:sz="0" w:space="0" w:color="auto"/>
            <w:right w:val="none" w:sz="0" w:space="0" w:color="auto"/>
          </w:divBdr>
        </w:div>
        <w:div w:id="411046858">
          <w:marLeft w:val="0"/>
          <w:marRight w:val="0"/>
          <w:marTop w:val="0"/>
          <w:marBottom w:val="0"/>
          <w:divBdr>
            <w:top w:val="none" w:sz="0" w:space="0" w:color="auto"/>
            <w:left w:val="none" w:sz="0" w:space="0" w:color="auto"/>
            <w:bottom w:val="none" w:sz="0" w:space="0" w:color="auto"/>
            <w:right w:val="none" w:sz="0" w:space="0" w:color="auto"/>
          </w:divBdr>
          <w:divsChild>
            <w:div w:id="314920604">
              <w:marLeft w:val="0"/>
              <w:marRight w:val="0"/>
              <w:marTop w:val="120"/>
              <w:marBottom w:val="120"/>
              <w:divBdr>
                <w:top w:val="none" w:sz="0" w:space="0" w:color="auto"/>
                <w:left w:val="none" w:sz="0" w:space="0" w:color="auto"/>
                <w:bottom w:val="none" w:sz="0" w:space="0" w:color="auto"/>
                <w:right w:val="none" w:sz="0" w:space="0" w:color="auto"/>
              </w:divBdr>
            </w:div>
            <w:div w:id="1199079050">
              <w:marLeft w:val="0"/>
              <w:marRight w:val="0"/>
              <w:marTop w:val="120"/>
              <w:marBottom w:val="120"/>
              <w:divBdr>
                <w:top w:val="none" w:sz="0" w:space="0" w:color="auto"/>
                <w:left w:val="none" w:sz="0" w:space="0" w:color="auto"/>
                <w:bottom w:val="none" w:sz="0" w:space="0" w:color="auto"/>
                <w:right w:val="none" w:sz="0" w:space="0" w:color="auto"/>
              </w:divBdr>
            </w:div>
            <w:div w:id="689454977">
              <w:marLeft w:val="0"/>
              <w:marRight w:val="0"/>
              <w:marTop w:val="120"/>
              <w:marBottom w:val="120"/>
              <w:divBdr>
                <w:top w:val="none" w:sz="0" w:space="0" w:color="auto"/>
                <w:left w:val="none" w:sz="0" w:space="0" w:color="auto"/>
                <w:bottom w:val="none" w:sz="0" w:space="0" w:color="auto"/>
                <w:right w:val="none" w:sz="0" w:space="0" w:color="auto"/>
              </w:divBdr>
            </w:div>
            <w:div w:id="1209755394">
              <w:marLeft w:val="0"/>
              <w:marRight w:val="0"/>
              <w:marTop w:val="120"/>
              <w:marBottom w:val="120"/>
              <w:divBdr>
                <w:top w:val="none" w:sz="0" w:space="0" w:color="auto"/>
                <w:left w:val="none" w:sz="0" w:space="0" w:color="auto"/>
                <w:bottom w:val="none" w:sz="0" w:space="0" w:color="auto"/>
                <w:right w:val="none" w:sz="0" w:space="0" w:color="auto"/>
              </w:divBdr>
            </w:div>
            <w:div w:id="1697921701">
              <w:marLeft w:val="0"/>
              <w:marRight w:val="0"/>
              <w:marTop w:val="120"/>
              <w:marBottom w:val="120"/>
              <w:divBdr>
                <w:top w:val="none" w:sz="0" w:space="0" w:color="auto"/>
                <w:left w:val="none" w:sz="0" w:space="0" w:color="auto"/>
                <w:bottom w:val="none" w:sz="0" w:space="0" w:color="auto"/>
                <w:right w:val="none" w:sz="0" w:space="0" w:color="auto"/>
              </w:divBdr>
            </w:div>
            <w:div w:id="1960602715">
              <w:marLeft w:val="0"/>
              <w:marRight w:val="0"/>
              <w:marTop w:val="120"/>
              <w:marBottom w:val="120"/>
              <w:divBdr>
                <w:top w:val="none" w:sz="0" w:space="0" w:color="auto"/>
                <w:left w:val="none" w:sz="0" w:space="0" w:color="auto"/>
                <w:bottom w:val="none" w:sz="0" w:space="0" w:color="auto"/>
                <w:right w:val="none" w:sz="0" w:space="0" w:color="auto"/>
              </w:divBdr>
            </w:div>
            <w:div w:id="256838010">
              <w:marLeft w:val="0"/>
              <w:marRight w:val="0"/>
              <w:marTop w:val="120"/>
              <w:marBottom w:val="120"/>
              <w:divBdr>
                <w:top w:val="none" w:sz="0" w:space="0" w:color="auto"/>
                <w:left w:val="none" w:sz="0" w:space="0" w:color="auto"/>
                <w:bottom w:val="none" w:sz="0" w:space="0" w:color="auto"/>
                <w:right w:val="none" w:sz="0" w:space="0" w:color="auto"/>
              </w:divBdr>
            </w:div>
            <w:div w:id="184489295">
              <w:marLeft w:val="0"/>
              <w:marRight w:val="0"/>
              <w:marTop w:val="120"/>
              <w:marBottom w:val="120"/>
              <w:divBdr>
                <w:top w:val="none" w:sz="0" w:space="0" w:color="auto"/>
                <w:left w:val="none" w:sz="0" w:space="0" w:color="auto"/>
                <w:bottom w:val="none" w:sz="0" w:space="0" w:color="auto"/>
                <w:right w:val="none" w:sz="0" w:space="0" w:color="auto"/>
              </w:divBdr>
            </w:div>
            <w:div w:id="288824001">
              <w:marLeft w:val="0"/>
              <w:marRight w:val="0"/>
              <w:marTop w:val="120"/>
              <w:marBottom w:val="120"/>
              <w:divBdr>
                <w:top w:val="none" w:sz="0" w:space="0" w:color="auto"/>
                <w:left w:val="none" w:sz="0" w:space="0" w:color="auto"/>
                <w:bottom w:val="none" w:sz="0" w:space="0" w:color="auto"/>
                <w:right w:val="none" w:sz="0" w:space="0" w:color="auto"/>
              </w:divBdr>
            </w:div>
            <w:div w:id="2111076590">
              <w:marLeft w:val="0"/>
              <w:marRight w:val="0"/>
              <w:marTop w:val="120"/>
              <w:marBottom w:val="120"/>
              <w:divBdr>
                <w:top w:val="none" w:sz="0" w:space="0" w:color="auto"/>
                <w:left w:val="none" w:sz="0" w:space="0" w:color="auto"/>
                <w:bottom w:val="none" w:sz="0" w:space="0" w:color="auto"/>
                <w:right w:val="none" w:sz="0" w:space="0" w:color="auto"/>
              </w:divBdr>
            </w:div>
            <w:div w:id="1888058987">
              <w:marLeft w:val="0"/>
              <w:marRight w:val="0"/>
              <w:marTop w:val="120"/>
              <w:marBottom w:val="120"/>
              <w:divBdr>
                <w:top w:val="none" w:sz="0" w:space="0" w:color="auto"/>
                <w:left w:val="none" w:sz="0" w:space="0" w:color="auto"/>
                <w:bottom w:val="none" w:sz="0" w:space="0" w:color="auto"/>
                <w:right w:val="none" w:sz="0" w:space="0" w:color="auto"/>
              </w:divBdr>
            </w:div>
            <w:div w:id="2133790476">
              <w:marLeft w:val="0"/>
              <w:marRight w:val="0"/>
              <w:marTop w:val="120"/>
              <w:marBottom w:val="120"/>
              <w:divBdr>
                <w:top w:val="none" w:sz="0" w:space="0" w:color="auto"/>
                <w:left w:val="none" w:sz="0" w:space="0" w:color="auto"/>
                <w:bottom w:val="none" w:sz="0" w:space="0" w:color="auto"/>
                <w:right w:val="none" w:sz="0" w:space="0" w:color="auto"/>
              </w:divBdr>
            </w:div>
            <w:div w:id="1114447727">
              <w:marLeft w:val="0"/>
              <w:marRight w:val="0"/>
              <w:marTop w:val="120"/>
              <w:marBottom w:val="120"/>
              <w:divBdr>
                <w:top w:val="none" w:sz="0" w:space="0" w:color="auto"/>
                <w:left w:val="none" w:sz="0" w:space="0" w:color="auto"/>
                <w:bottom w:val="none" w:sz="0" w:space="0" w:color="auto"/>
                <w:right w:val="none" w:sz="0" w:space="0" w:color="auto"/>
              </w:divBdr>
            </w:div>
            <w:div w:id="1734966069">
              <w:marLeft w:val="0"/>
              <w:marRight w:val="0"/>
              <w:marTop w:val="120"/>
              <w:marBottom w:val="120"/>
              <w:divBdr>
                <w:top w:val="none" w:sz="0" w:space="0" w:color="auto"/>
                <w:left w:val="none" w:sz="0" w:space="0" w:color="auto"/>
                <w:bottom w:val="none" w:sz="0" w:space="0" w:color="auto"/>
                <w:right w:val="none" w:sz="0" w:space="0" w:color="auto"/>
              </w:divBdr>
            </w:div>
            <w:div w:id="1081104313">
              <w:marLeft w:val="0"/>
              <w:marRight w:val="0"/>
              <w:marTop w:val="120"/>
              <w:marBottom w:val="120"/>
              <w:divBdr>
                <w:top w:val="none" w:sz="0" w:space="0" w:color="auto"/>
                <w:left w:val="none" w:sz="0" w:space="0" w:color="auto"/>
                <w:bottom w:val="none" w:sz="0" w:space="0" w:color="auto"/>
                <w:right w:val="none" w:sz="0" w:space="0" w:color="auto"/>
              </w:divBdr>
            </w:div>
            <w:div w:id="2070221802">
              <w:marLeft w:val="0"/>
              <w:marRight w:val="0"/>
              <w:marTop w:val="120"/>
              <w:marBottom w:val="120"/>
              <w:divBdr>
                <w:top w:val="none" w:sz="0" w:space="0" w:color="auto"/>
                <w:left w:val="none" w:sz="0" w:space="0" w:color="auto"/>
                <w:bottom w:val="none" w:sz="0" w:space="0" w:color="auto"/>
                <w:right w:val="none" w:sz="0" w:space="0" w:color="auto"/>
              </w:divBdr>
            </w:div>
            <w:div w:id="2021857480">
              <w:marLeft w:val="0"/>
              <w:marRight w:val="0"/>
              <w:marTop w:val="120"/>
              <w:marBottom w:val="120"/>
              <w:divBdr>
                <w:top w:val="none" w:sz="0" w:space="0" w:color="auto"/>
                <w:left w:val="none" w:sz="0" w:space="0" w:color="auto"/>
                <w:bottom w:val="none" w:sz="0" w:space="0" w:color="auto"/>
                <w:right w:val="none" w:sz="0" w:space="0" w:color="auto"/>
              </w:divBdr>
            </w:div>
            <w:div w:id="1373923941">
              <w:marLeft w:val="0"/>
              <w:marRight w:val="0"/>
              <w:marTop w:val="120"/>
              <w:marBottom w:val="120"/>
              <w:divBdr>
                <w:top w:val="none" w:sz="0" w:space="0" w:color="auto"/>
                <w:left w:val="none" w:sz="0" w:space="0" w:color="auto"/>
                <w:bottom w:val="none" w:sz="0" w:space="0" w:color="auto"/>
                <w:right w:val="none" w:sz="0" w:space="0" w:color="auto"/>
              </w:divBdr>
            </w:div>
            <w:div w:id="1304001976">
              <w:marLeft w:val="0"/>
              <w:marRight w:val="0"/>
              <w:marTop w:val="120"/>
              <w:marBottom w:val="120"/>
              <w:divBdr>
                <w:top w:val="none" w:sz="0" w:space="0" w:color="auto"/>
                <w:left w:val="none" w:sz="0" w:space="0" w:color="auto"/>
                <w:bottom w:val="none" w:sz="0" w:space="0" w:color="auto"/>
                <w:right w:val="none" w:sz="0" w:space="0" w:color="auto"/>
              </w:divBdr>
            </w:div>
            <w:div w:id="606280595">
              <w:marLeft w:val="0"/>
              <w:marRight w:val="0"/>
              <w:marTop w:val="120"/>
              <w:marBottom w:val="120"/>
              <w:divBdr>
                <w:top w:val="none" w:sz="0" w:space="0" w:color="auto"/>
                <w:left w:val="none" w:sz="0" w:space="0" w:color="auto"/>
                <w:bottom w:val="none" w:sz="0" w:space="0" w:color="auto"/>
                <w:right w:val="none" w:sz="0" w:space="0" w:color="auto"/>
              </w:divBdr>
            </w:div>
            <w:div w:id="1535344521">
              <w:marLeft w:val="0"/>
              <w:marRight w:val="0"/>
              <w:marTop w:val="120"/>
              <w:marBottom w:val="120"/>
              <w:divBdr>
                <w:top w:val="none" w:sz="0" w:space="0" w:color="auto"/>
                <w:left w:val="none" w:sz="0" w:space="0" w:color="auto"/>
                <w:bottom w:val="none" w:sz="0" w:space="0" w:color="auto"/>
                <w:right w:val="none" w:sz="0" w:space="0" w:color="auto"/>
              </w:divBdr>
            </w:div>
            <w:div w:id="1376469823">
              <w:marLeft w:val="0"/>
              <w:marRight w:val="0"/>
              <w:marTop w:val="120"/>
              <w:marBottom w:val="120"/>
              <w:divBdr>
                <w:top w:val="none" w:sz="0" w:space="0" w:color="auto"/>
                <w:left w:val="none" w:sz="0" w:space="0" w:color="auto"/>
                <w:bottom w:val="none" w:sz="0" w:space="0" w:color="auto"/>
                <w:right w:val="none" w:sz="0" w:space="0" w:color="auto"/>
              </w:divBdr>
            </w:div>
            <w:div w:id="1865822821">
              <w:marLeft w:val="0"/>
              <w:marRight w:val="0"/>
              <w:marTop w:val="120"/>
              <w:marBottom w:val="120"/>
              <w:divBdr>
                <w:top w:val="none" w:sz="0" w:space="0" w:color="auto"/>
                <w:left w:val="none" w:sz="0" w:space="0" w:color="auto"/>
                <w:bottom w:val="none" w:sz="0" w:space="0" w:color="auto"/>
                <w:right w:val="none" w:sz="0" w:space="0" w:color="auto"/>
              </w:divBdr>
            </w:div>
            <w:div w:id="1835876785">
              <w:marLeft w:val="0"/>
              <w:marRight w:val="0"/>
              <w:marTop w:val="120"/>
              <w:marBottom w:val="120"/>
              <w:divBdr>
                <w:top w:val="none" w:sz="0" w:space="0" w:color="auto"/>
                <w:left w:val="none" w:sz="0" w:space="0" w:color="auto"/>
                <w:bottom w:val="none" w:sz="0" w:space="0" w:color="auto"/>
                <w:right w:val="none" w:sz="0" w:space="0" w:color="auto"/>
              </w:divBdr>
            </w:div>
            <w:div w:id="1057818586">
              <w:marLeft w:val="0"/>
              <w:marRight w:val="0"/>
              <w:marTop w:val="120"/>
              <w:marBottom w:val="120"/>
              <w:divBdr>
                <w:top w:val="none" w:sz="0" w:space="0" w:color="auto"/>
                <w:left w:val="none" w:sz="0" w:space="0" w:color="auto"/>
                <w:bottom w:val="none" w:sz="0" w:space="0" w:color="auto"/>
                <w:right w:val="none" w:sz="0" w:space="0" w:color="auto"/>
              </w:divBdr>
            </w:div>
            <w:div w:id="1119447431">
              <w:marLeft w:val="0"/>
              <w:marRight w:val="0"/>
              <w:marTop w:val="120"/>
              <w:marBottom w:val="120"/>
              <w:divBdr>
                <w:top w:val="none" w:sz="0" w:space="0" w:color="auto"/>
                <w:left w:val="none" w:sz="0" w:space="0" w:color="auto"/>
                <w:bottom w:val="none" w:sz="0" w:space="0" w:color="auto"/>
                <w:right w:val="none" w:sz="0" w:space="0" w:color="auto"/>
              </w:divBdr>
            </w:div>
            <w:div w:id="166478705">
              <w:marLeft w:val="0"/>
              <w:marRight w:val="0"/>
              <w:marTop w:val="120"/>
              <w:marBottom w:val="120"/>
              <w:divBdr>
                <w:top w:val="none" w:sz="0" w:space="0" w:color="auto"/>
                <w:left w:val="none" w:sz="0" w:space="0" w:color="auto"/>
                <w:bottom w:val="none" w:sz="0" w:space="0" w:color="auto"/>
                <w:right w:val="none" w:sz="0" w:space="0" w:color="auto"/>
              </w:divBdr>
            </w:div>
            <w:div w:id="1616255238">
              <w:marLeft w:val="0"/>
              <w:marRight w:val="0"/>
              <w:marTop w:val="120"/>
              <w:marBottom w:val="120"/>
              <w:divBdr>
                <w:top w:val="none" w:sz="0" w:space="0" w:color="auto"/>
                <w:left w:val="none" w:sz="0" w:space="0" w:color="auto"/>
                <w:bottom w:val="none" w:sz="0" w:space="0" w:color="auto"/>
                <w:right w:val="none" w:sz="0" w:space="0" w:color="auto"/>
              </w:divBdr>
            </w:div>
            <w:div w:id="61224989">
              <w:marLeft w:val="0"/>
              <w:marRight w:val="0"/>
              <w:marTop w:val="120"/>
              <w:marBottom w:val="120"/>
              <w:divBdr>
                <w:top w:val="none" w:sz="0" w:space="0" w:color="auto"/>
                <w:left w:val="none" w:sz="0" w:space="0" w:color="auto"/>
                <w:bottom w:val="none" w:sz="0" w:space="0" w:color="auto"/>
                <w:right w:val="none" w:sz="0" w:space="0" w:color="auto"/>
              </w:divBdr>
            </w:div>
            <w:div w:id="929505119">
              <w:marLeft w:val="0"/>
              <w:marRight w:val="0"/>
              <w:marTop w:val="120"/>
              <w:marBottom w:val="120"/>
              <w:divBdr>
                <w:top w:val="none" w:sz="0" w:space="0" w:color="auto"/>
                <w:left w:val="none" w:sz="0" w:space="0" w:color="auto"/>
                <w:bottom w:val="none" w:sz="0" w:space="0" w:color="auto"/>
                <w:right w:val="none" w:sz="0" w:space="0" w:color="auto"/>
              </w:divBdr>
            </w:div>
            <w:div w:id="69356229">
              <w:marLeft w:val="0"/>
              <w:marRight w:val="0"/>
              <w:marTop w:val="120"/>
              <w:marBottom w:val="120"/>
              <w:divBdr>
                <w:top w:val="none" w:sz="0" w:space="0" w:color="auto"/>
                <w:left w:val="none" w:sz="0" w:space="0" w:color="auto"/>
                <w:bottom w:val="none" w:sz="0" w:space="0" w:color="auto"/>
                <w:right w:val="none" w:sz="0" w:space="0" w:color="auto"/>
              </w:divBdr>
            </w:div>
            <w:div w:id="164127347">
              <w:marLeft w:val="0"/>
              <w:marRight w:val="0"/>
              <w:marTop w:val="120"/>
              <w:marBottom w:val="120"/>
              <w:divBdr>
                <w:top w:val="none" w:sz="0" w:space="0" w:color="auto"/>
                <w:left w:val="none" w:sz="0" w:space="0" w:color="auto"/>
                <w:bottom w:val="none" w:sz="0" w:space="0" w:color="auto"/>
                <w:right w:val="none" w:sz="0" w:space="0" w:color="auto"/>
              </w:divBdr>
            </w:div>
            <w:div w:id="1860191901">
              <w:marLeft w:val="0"/>
              <w:marRight w:val="0"/>
              <w:marTop w:val="120"/>
              <w:marBottom w:val="120"/>
              <w:divBdr>
                <w:top w:val="none" w:sz="0" w:space="0" w:color="auto"/>
                <w:left w:val="none" w:sz="0" w:space="0" w:color="auto"/>
                <w:bottom w:val="none" w:sz="0" w:space="0" w:color="auto"/>
                <w:right w:val="none" w:sz="0" w:space="0" w:color="auto"/>
              </w:divBdr>
            </w:div>
            <w:div w:id="258564879">
              <w:marLeft w:val="0"/>
              <w:marRight w:val="0"/>
              <w:marTop w:val="120"/>
              <w:marBottom w:val="120"/>
              <w:divBdr>
                <w:top w:val="none" w:sz="0" w:space="0" w:color="auto"/>
                <w:left w:val="none" w:sz="0" w:space="0" w:color="auto"/>
                <w:bottom w:val="none" w:sz="0" w:space="0" w:color="auto"/>
                <w:right w:val="none" w:sz="0" w:space="0" w:color="auto"/>
              </w:divBdr>
            </w:div>
            <w:div w:id="1747847979">
              <w:marLeft w:val="0"/>
              <w:marRight w:val="0"/>
              <w:marTop w:val="120"/>
              <w:marBottom w:val="120"/>
              <w:divBdr>
                <w:top w:val="none" w:sz="0" w:space="0" w:color="auto"/>
                <w:left w:val="none" w:sz="0" w:space="0" w:color="auto"/>
                <w:bottom w:val="none" w:sz="0" w:space="0" w:color="auto"/>
                <w:right w:val="none" w:sz="0" w:space="0" w:color="auto"/>
              </w:divBdr>
            </w:div>
            <w:div w:id="3672100">
              <w:marLeft w:val="0"/>
              <w:marRight w:val="0"/>
              <w:marTop w:val="120"/>
              <w:marBottom w:val="120"/>
              <w:divBdr>
                <w:top w:val="none" w:sz="0" w:space="0" w:color="auto"/>
                <w:left w:val="none" w:sz="0" w:space="0" w:color="auto"/>
                <w:bottom w:val="none" w:sz="0" w:space="0" w:color="auto"/>
                <w:right w:val="none" w:sz="0" w:space="0" w:color="auto"/>
              </w:divBdr>
            </w:div>
            <w:div w:id="1642493574">
              <w:marLeft w:val="0"/>
              <w:marRight w:val="0"/>
              <w:marTop w:val="120"/>
              <w:marBottom w:val="120"/>
              <w:divBdr>
                <w:top w:val="none" w:sz="0" w:space="0" w:color="auto"/>
                <w:left w:val="none" w:sz="0" w:space="0" w:color="auto"/>
                <w:bottom w:val="none" w:sz="0" w:space="0" w:color="auto"/>
                <w:right w:val="none" w:sz="0" w:space="0" w:color="auto"/>
              </w:divBdr>
            </w:div>
            <w:div w:id="636179619">
              <w:marLeft w:val="0"/>
              <w:marRight w:val="0"/>
              <w:marTop w:val="120"/>
              <w:marBottom w:val="120"/>
              <w:divBdr>
                <w:top w:val="none" w:sz="0" w:space="0" w:color="auto"/>
                <w:left w:val="none" w:sz="0" w:space="0" w:color="auto"/>
                <w:bottom w:val="none" w:sz="0" w:space="0" w:color="auto"/>
                <w:right w:val="none" w:sz="0" w:space="0" w:color="auto"/>
              </w:divBdr>
            </w:div>
            <w:div w:id="511843365">
              <w:marLeft w:val="0"/>
              <w:marRight w:val="0"/>
              <w:marTop w:val="120"/>
              <w:marBottom w:val="120"/>
              <w:divBdr>
                <w:top w:val="none" w:sz="0" w:space="0" w:color="auto"/>
                <w:left w:val="none" w:sz="0" w:space="0" w:color="auto"/>
                <w:bottom w:val="none" w:sz="0" w:space="0" w:color="auto"/>
                <w:right w:val="none" w:sz="0" w:space="0" w:color="auto"/>
              </w:divBdr>
            </w:div>
            <w:div w:id="1323434789">
              <w:marLeft w:val="0"/>
              <w:marRight w:val="0"/>
              <w:marTop w:val="120"/>
              <w:marBottom w:val="120"/>
              <w:divBdr>
                <w:top w:val="none" w:sz="0" w:space="0" w:color="auto"/>
                <w:left w:val="none" w:sz="0" w:space="0" w:color="auto"/>
                <w:bottom w:val="none" w:sz="0" w:space="0" w:color="auto"/>
                <w:right w:val="none" w:sz="0" w:space="0" w:color="auto"/>
              </w:divBdr>
            </w:div>
            <w:div w:id="1011295370">
              <w:marLeft w:val="0"/>
              <w:marRight w:val="0"/>
              <w:marTop w:val="120"/>
              <w:marBottom w:val="120"/>
              <w:divBdr>
                <w:top w:val="none" w:sz="0" w:space="0" w:color="auto"/>
                <w:left w:val="none" w:sz="0" w:space="0" w:color="auto"/>
                <w:bottom w:val="none" w:sz="0" w:space="0" w:color="auto"/>
                <w:right w:val="none" w:sz="0" w:space="0" w:color="auto"/>
              </w:divBdr>
            </w:div>
            <w:div w:id="1477334478">
              <w:marLeft w:val="0"/>
              <w:marRight w:val="0"/>
              <w:marTop w:val="120"/>
              <w:marBottom w:val="120"/>
              <w:divBdr>
                <w:top w:val="none" w:sz="0" w:space="0" w:color="auto"/>
                <w:left w:val="none" w:sz="0" w:space="0" w:color="auto"/>
                <w:bottom w:val="none" w:sz="0" w:space="0" w:color="auto"/>
                <w:right w:val="none" w:sz="0" w:space="0" w:color="auto"/>
              </w:divBdr>
            </w:div>
            <w:div w:id="1505511028">
              <w:marLeft w:val="0"/>
              <w:marRight w:val="0"/>
              <w:marTop w:val="120"/>
              <w:marBottom w:val="120"/>
              <w:divBdr>
                <w:top w:val="none" w:sz="0" w:space="0" w:color="auto"/>
                <w:left w:val="none" w:sz="0" w:space="0" w:color="auto"/>
                <w:bottom w:val="none" w:sz="0" w:space="0" w:color="auto"/>
                <w:right w:val="none" w:sz="0" w:space="0" w:color="auto"/>
              </w:divBdr>
            </w:div>
            <w:div w:id="1564829112">
              <w:marLeft w:val="0"/>
              <w:marRight w:val="0"/>
              <w:marTop w:val="120"/>
              <w:marBottom w:val="120"/>
              <w:divBdr>
                <w:top w:val="none" w:sz="0" w:space="0" w:color="auto"/>
                <w:left w:val="none" w:sz="0" w:space="0" w:color="auto"/>
                <w:bottom w:val="none" w:sz="0" w:space="0" w:color="auto"/>
                <w:right w:val="none" w:sz="0" w:space="0" w:color="auto"/>
              </w:divBdr>
            </w:div>
            <w:div w:id="2006057176">
              <w:marLeft w:val="0"/>
              <w:marRight w:val="0"/>
              <w:marTop w:val="120"/>
              <w:marBottom w:val="120"/>
              <w:divBdr>
                <w:top w:val="none" w:sz="0" w:space="0" w:color="auto"/>
                <w:left w:val="none" w:sz="0" w:space="0" w:color="auto"/>
                <w:bottom w:val="none" w:sz="0" w:space="0" w:color="auto"/>
                <w:right w:val="none" w:sz="0" w:space="0" w:color="auto"/>
              </w:divBdr>
            </w:div>
            <w:div w:id="1673333034">
              <w:marLeft w:val="0"/>
              <w:marRight w:val="0"/>
              <w:marTop w:val="120"/>
              <w:marBottom w:val="120"/>
              <w:divBdr>
                <w:top w:val="none" w:sz="0" w:space="0" w:color="auto"/>
                <w:left w:val="none" w:sz="0" w:space="0" w:color="auto"/>
                <w:bottom w:val="none" w:sz="0" w:space="0" w:color="auto"/>
                <w:right w:val="none" w:sz="0" w:space="0" w:color="auto"/>
              </w:divBdr>
            </w:div>
            <w:div w:id="162016279">
              <w:marLeft w:val="0"/>
              <w:marRight w:val="0"/>
              <w:marTop w:val="120"/>
              <w:marBottom w:val="120"/>
              <w:divBdr>
                <w:top w:val="none" w:sz="0" w:space="0" w:color="auto"/>
                <w:left w:val="none" w:sz="0" w:space="0" w:color="auto"/>
                <w:bottom w:val="none" w:sz="0" w:space="0" w:color="auto"/>
                <w:right w:val="none" w:sz="0" w:space="0" w:color="auto"/>
              </w:divBdr>
            </w:div>
            <w:div w:id="345986463">
              <w:marLeft w:val="0"/>
              <w:marRight w:val="0"/>
              <w:marTop w:val="120"/>
              <w:marBottom w:val="120"/>
              <w:divBdr>
                <w:top w:val="none" w:sz="0" w:space="0" w:color="auto"/>
                <w:left w:val="none" w:sz="0" w:space="0" w:color="auto"/>
                <w:bottom w:val="none" w:sz="0" w:space="0" w:color="auto"/>
                <w:right w:val="none" w:sz="0" w:space="0" w:color="auto"/>
              </w:divBdr>
            </w:div>
            <w:div w:id="1396397933">
              <w:marLeft w:val="0"/>
              <w:marRight w:val="0"/>
              <w:marTop w:val="120"/>
              <w:marBottom w:val="120"/>
              <w:divBdr>
                <w:top w:val="none" w:sz="0" w:space="0" w:color="auto"/>
                <w:left w:val="none" w:sz="0" w:space="0" w:color="auto"/>
                <w:bottom w:val="none" w:sz="0" w:space="0" w:color="auto"/>
                <w:right w:val="none" w:sz="0" w:space="0" w:color="auto"/>
              </w:divBdr>
            </w:div>
            <w:div w:id="5713608">
              <w:marLeft w:val="0"/>
              <w:marRight w:val="0"/>
              <w:marTop w:val="120"/>
              <w:marBottom w:val="120"/>
              <w:divBdr>
                <w:top w:val="none" w:sz="0" w:space="0" w:color="auto"/>
                <w:left w:val="none" w:sz="0" w:space="0" w:color="auto"/>
                <w:bottom w:val="none" w:sz="0" w:space="0" w:color="auto"/>
                <w:right w:val="none" w:sz="0" w:space="0" w:color="auto"/>
              </w:divBdr>
            </w:div>
            <w:div w:id="1100642799">
              <w:marLeft w:val="0"/>
              <w:marRight w:val="0"/>
              <w:marTop w:val="120"/>
              <w:marBottom w:val="120"/>
              <w:divBdr>
                <w:top w:val="none" w:sz="0" w:space="0" w:color="auto"/>
                <w:left w:val="none" w:sz="0" w:space="0" w:color="auto"/>
                <w:bottom w:val="none" w:sz="0" w:space="0" w:color="auto"/>
                <w:right w:val="none" w:sz="0" w:space="0" w:color="auto"/>
              </w:divBdr>
            </w:div>
            <w:div w:id="2054844196">
              <w:marLeft w:val="0"/>
              <w:marRight w:val="0"/>
              <w:marTop w:val="120"/>
              <w:marBottom w:val="120"/>
              <w:divBdr>
                <w:top w:val="none" w:sz="0" w:space="0" w:color="auto"/>
                <w:left w:val="none" w:sz="0" w:space="0" w:color="auto"/>
                <w:bottom w:val="none" w:sz="0" w:space="0" w:color="auto"/>
                <w:right w:val="none" w:sz="0" w:space="0" w:color="auto"/>
              </w:divBdr>
            </w:div>
            <w:div w:id="1533299868">
              <w:marLeft w:val="0"/>
              <w:marRight w:val="0"/>
              <w:marTop w:val="120"/>
              <w:marBottom w:val="120"/>
              <w:divBdr>
                <w:top w:val="none" w:sz="0" w:space="0" w:color="auto"/>
                <w:left w:val="none" w:sz="0" w:space="0" w:color="auto"/>
                <w:bottom w:val="none" w:sz="0" w:space="0" w:color="auto"/>
                <w:right w:val="none" w:sz="0" w:space="0" w:color="auto"/>
              </w:divBdr>
            </w:div>
            <w:div w:id="663749618">
              <w:marLeft w:val="0"/>
              <w:marRight w:val="0"/>
              <w:marTop w:val="120"/>
              <w:marBottom w:val="120"/>
              <w:divBdr>
                <w:top w:val="none" w:sz="0" w:space="0" w:color="auto"/>
                <w:left w:val="none" w:sz="0" w:space="0" w:color="auto"/>
                <w:bottom w:val="none" w:sz="0" w:space="0" w:color="auto"/>
                <w:right w:val="none" w:sz="0" w:space="0" w:color="auto"/>
              </w:divBdr>
            </w:div>
            <w:div w:id="195077693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Hai Nguyen</dc:creator>
  <cp:keywords/>
  <dc:description/>
  <cp:lastModifiedBy>Van Hai Nguyen</cp:lastModifiedBy>
  <cp:revision>1</cp:revision>
  <dcterms:created xsi:type="dcterms:W3CDTF">2016-11-15T09:36:00Z</dcterms:created>
  <dcterms:modified xsi:type="dcterms:W3CDTF">2016-11-15T09:37:00Z</dcterms:modified>
</cp:coreProperties>
</file>