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1988" w:type="dxa"/>
        <w:jc w:val="center"/>
        <w:tblLook w:val="04A0" w:firstRow="1" w:lastRow="0" w:firstColumn="1" w:lastColumn="0" w:noHBand="0" w:noVBand="1"/>
      </w:tblPr>
      <w:tblGrid>
        <w:gridCol w:w="836"/>
        <w:gridCol w:w="2872"/>
        <w:gridCol w:w="1260"/>
        <w:gridCol w:w="1170"/>
        <w:gridCol w:w="1080"/>
        <w:gridCol w:w="1080"/>
        <w:gridCol w:w="990"/>
        <w:gridCol w:w="1980"/>
        <w:gridCol w:w="720"/>
      </w:tblGrid>
      <w:tr w:rsidR="00901CFA" w:rsidRPr="00901CFA" w:rsidTr="00111DD6">
        <w:trPr>
          <w:trHeight w:val="350"/>
          <w:jc w:val="center"/>
        </w:trPr>
        <w:tc>
          <w:tcPr>
            <w:tcW w:w="11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GoBack"/>
            <w:bookmarkEnd w:id="0"/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United Arab Emirates Government Finance Statistics (GFS) data (Numbers in Millions UAE Dirhams)</w:t>
            </w:r>
          </w:p>
        </w:tc>
      </w:tr>
      <w:tr w:rsidR="00901CFA" w:rsidRPr="00901CFA" w:rsidTr="00111DD6">
        <w:trPr>
          <w:trHeight w:val="440"/>
          <w:jc w:val="center"/>
        </w:trPr>
        <w:tc>
          <w:tcPr>
            <w:tcW w:w="11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بيانات احصاءات مالية الحكومة لدولة الامارات العربية المتحدة (القيمة بالمليون درهم اماراتي)</w:t>
            </w:r>
          </w:p>
        </w:tc>
      </w:tr>
      <w:tr w:rsidR="00901CFA" w:rsidRPr="00901CFA" w:rsidTr="00111DD6">
        <w:trPr>
          <w:trHeight w:val="300"/>
          <w:jc w:val="center"/>
        </w:trPr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Code</w:t>
            </w:r>
          </w:p>
        </w:tc>
        <w:tc>
          <w:tcPr>
            <w:tcW w:w="2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Indicator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2013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الموشر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الرمز</w:t>
            </w:r>
          </w:p>
        </w:tc>
      </w:tr>
      <w:tr w:rsidR="00901CFA" w:rsidRPr="00901CFA" w:rsidTr="00901CFA">
        <w:trPr>
          <w:trHeight w:val="300"/>
          <w:jc w:val="center"/>
        </w:trPr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الأول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الثاني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الثالث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الربع الرابع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المجموع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01CFA" w:rsidRPr="00901CFA" w:rsidTr="00901CFA">
        <w:trPr>
          <w:trHeight w:val="300"/>
          <w:jc w:val="center"/>
        </w:trPr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Q4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Revenue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97,219.4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108,809.9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96,630.6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109,412.2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412,072.0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الإيرادات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Taxes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80,061.1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78,150.3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78,997.9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81,843.1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319,052.4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الضرائب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Social contributions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872.4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1,387.1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1,163.6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1,680.8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5,103.9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المساهمات الاجتماعية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13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Grants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المنح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14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Other revenue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16,285.9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29,272.5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16,469.0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25,888.3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87,915.8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إيرادات أخرى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14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Expense</w:t>
            </w: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75,396.8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78,330.8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84,391.7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102,145.7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340,265.0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المصروفات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Compensation of employees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10,185.9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10,478.2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10,301.1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11,161.6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42,126.8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تعويضات العاملين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Use of goods and services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8,410.7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10,808.2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8,572.0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15,391.9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43,182.8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استخدام السلع  و الخدمات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Consumption of fixed capital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721.2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768.7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786.3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1,044.9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3,321.0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استهلاك راس المال الثابت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Interest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176.4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1,164.1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1,229.8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3,338.2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5,908.5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الفائدة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Subsidies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2,158.1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2,747.9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2,591.4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2,568.2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10,065.5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الإعانات المالية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Grants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4,129.0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5,485.6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6,467.5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5,548.3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21,630.4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المنح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Social benefits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8,213.0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13,371.4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12,557.6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18,307.4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52,449.4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المنافع الاجتماعية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Other expense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41,402.6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33,506.8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40,346.7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46,324.5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161,580.5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مصروفات أخرى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</w:tr>
      <w:tr w:rsidR="00901CFA" w:rsidRPr="00901CFA" w:rsidTr="00901CFA">
        <w:trPr>
          <w:trHeight w:val="36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GOB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Gross operating balance 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22,543.8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31,247.7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13,025.2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8,311.4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75,128.1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إجمالي رصيد التشغيل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GOB</w:t>
            </w:r>
          </w:p>
        </w:tc>
      </w:tr>
      <w:tr w:rsidR="00901CFA" w:rsidRPr="00901CFA" w:rsidTr="00901CFA">
        <w:trPr>
          <w:trHeight w:val="40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NOB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Net operating balance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21,822.6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30,479.1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12,238.9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7,266.5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71,807.0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رصيد التشغيل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NOB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TRANSACTIONS IN NONFINANCIAL ASSETS: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  <w:t>المعاملات في الأصول غير المالية: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31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Acquisition of Nonfinancial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1,323.9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9,398.7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22,311.2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471.6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33,505.4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اقتناء الأصول غير المالية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Fixed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1,293.0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9,368.2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22,341.2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956.2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33,958.7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اصول ثابتة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Change in inventories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30.9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-30.1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التغير في المخزون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313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Valuables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النفائس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314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proofErr w:type="spellStart"/>
            <w:r w:rsidRPr="00901CFA">
              <w:rPr>
                <w:rFonts w:ascii="Arial" w:eastAsia="Times New Roman" w:hAnsi="Arial" w:cs="Arial"/>
                <w:sz w:val="15"/>
                <w:szCs w:val="15"/>
              </w:rPr>
              <w:t>Nonproduced</w:t>
            </w:r>
            <w:proofErr w:type="spellEnd"/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-516.6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-516.6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اصول غير منتجة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314</w:t>
            </w:r>
          </w:p>
        </w:tc>
      </w:tr>
      <w:tr w:rsidR="00901CFA" w:rsidRPr="00901CFA" w:rsidTr="00901CFA">
        <w:trPr>
          <w:trHeight w:val="37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NLB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 xml:space="preserve">Net lending / borrowing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20,498.6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21,080.3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-10,072.3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6,794.9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38,301.6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20"/>
                <w:szCs w:val="20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20"/>
                <w:szCs w:val="20"/>
                <w:rtl/>
              </w:rPr>
              <w:t>صافي الاقراض / الإقتراض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i/>
                <w:iCs/>
                <w:color w:val="0066FF"/>
                <w:sz w:val="15"/>
                <w:szCs w:val="15"/>
              </w:rPr>
              <w:t>NLB</w:t>
            </w:r>
          </w:p>
        </w:tc>
      </w:tr>
      <w:tr w:rsidR="00901CFA" w:rsidRPr="00901CFA" w:rsidTr="00901CFA">
        <w:trPr>
          <w:trHeight w:val="40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TRANSACTIONS IN FINANCIAL ASSETS AND LIABILITIES (FINANCING):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  <w:rtl/>
              </w:rPr>
              <w:t>المعاملات في الأصول المالية والخصوم (التمويل):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acquisition of financial assets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8,036.6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-13,123.7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40,615.6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36,774.2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72,302.6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اقتناء الاصول المالية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Domestic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6,459.0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-12,752.6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41,692.2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27,549.8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62,948.3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محلية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Foreign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1,577.6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-371.1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-1,076.6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9,224.3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9,354.3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  <w:rtl/>
              </w:rPr>
              <w:t>اجنبية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322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33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Net incurrence of liabilities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-12,462.1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-34,204.2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50,687.8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29,979.6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FF"/>
                <w:sz w:val="15"/>
                <w:szCs w:val="15"/>
              </w:rPr>
              <w:t>34,001.0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  <w:rtl/>
              </w:rPr>
              <w:t>صافي تحمل الخصوم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b/>
                <w:bCs/>
                <w:color w:val="0066FF"/>
                <w:sz w:val="15"/>
                <w:szCs w:val="15"/>
              </w:rPr>
              <w:t>33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 xml:space="preserve">Domestic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-12,462.0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-34,204.1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50,713.8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29,953.5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34,001.2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محلية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331</w:t>
            </w:r>
          </w:p>
        </w:tc>
      </w:tr>
      <w:tr w:rsidR="00901CFA" w:rsidRPr="00901CFA" w:rsidTr="00901CFA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ind w:firstLineChars="100" w:firstLine="150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Foreign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-0.2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bidi/>
              <w:spacing w:after="0" w:line="240" w:lineRule="auto"/>
              <w:ind w:firstLineChars="100" w:firstLine="15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color w:val="000000"/>
                <w:sz w:val="15"/>
                <w:szCs w:val="15"/>
                <w:rtl/>
              </w:rPr>
              <w:t>اجنبية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CFA" w:rsidRPr="00901CFA" w:rsidRDefault="00901CFA" w:rsidP="00111DD6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  <w:r w:rsidRPr="00901CFA">
              <w:rPr>
                <w:rFonts w:ascii="Arial" w:eastAsia="Times New Roman" w:hAnsi="Arial" w:cs="Arial"/>
                <w:sz w:val="15"/>
                <w:szCs w:val="15"/>
              </w:rPr>
              <w:t>332</w:t>
            </w:r>
          </w:p>
        </w:tc>
      </w:tr>
    </w:tbl>
    <w:p w:rsidR="0090581A" w:rsidRDefault="00A20F7B"/>
    <w:sectPr w:rsidR="0090581A" w:rsidSect="00901CF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F7B" w:rsidRDefault="00A20F7B" w:rsidP="00901CFA">
      <w:pPr>
        <w:spacing w:after="0" w:line="240" w:lineRule="auto"/>
      </w:pPr>
      <w:r>
        <w:separator/>
      </w:r>
    </w:p>
  </w:endnote>
  <w:endnote w:type="continuationSeparator" w:id="0">
    <w:p w:rsidR="00A20F7B" w:rsidRDefault="00A20F7B" w:rsidP="0090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XSpec="center" w:tblpY="1"/>
      <w:tblOverlap w:val="never"/>
      <w:tblW w:w="11430" w:type="dxa"/>
      <w:jc w:val="center"/>
      <w:tblLook w:val="04A0" w:firstRow="1" w:lastRow="0" w:firstColumn="1" w:lastColumn="0" w:noHBand="0" w:noVBand="1"/>
    </w:tblPr>
    <w:tblGrid>
      <w:gridCol w:w="11430"/>
    </w:tblGrid>
    <w:tr w:rsidR="003225A7" w:rsidRPr="00155072" w:rsidTr="00111DD6">
      <w:trPr>
        <w:trHeight w:val="350"/>
        <w:jc w:val="center"/>
      </w:trPr>
      <w:tc>
        <w:tcPr>
          <w:tcW w:w="114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225A7" w:rsidRPr="00155072" w:rsidRDefault="003225A7" w:rsidP="00111DD6">
          <w:pPr>
            <w:bidi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</w:rPr>
          </w:pPr>
          <w:r w:rsidRPr="00155072">
            <w:rPr>
              <w:rFonts w:ascii="Arial" w:eastAsia="Times New Roman" w:hAnsi="Arial" w:cs="Arial"/>
              <w:b/>
              <w:bCs/>
              <w:color w:val="000000"/>
              <w:rtl/>
            </w:rPr>
            <w:t>بيانات احصاءات مالية الحكومة لدولة الامارات العربية المتحدة (القيمة بالمليون درهم اماراتي)</w:t>
          </w:r>
        </w:p>
      </w:tc>
    </w:tr>
  </w:tbl>
  <w:p w:rsidR="00901CFA" w:rsidRDefault="00901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F7B" w:rsidRDefault="00A20F7B" w:rsidP="00901CFA">
      <w:pPr>
        <w:spacing w:after="0" w:line="240" w:lineRule="auto"/>
      </w:pPr>
      <w:r>
        <w:separator/>
      </w:r>
    </w:p>
  </w:footnote>
  <w:footnote w:type="continuationSeparator" w:id="0">
    <w:p w:rsidR="00A20F7B" w:rsidRDefault="00A20F7B" w:rsidP="00901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FA" w:rsidRDefault="00901CFA" w:rsidP="00901CFA">
    <w:pPr>
      <w:pStyle w:val="Header"/>
      <w:jc w:val="center"/>
    </w:pPr>
    <w:r>
      <w:rPr>
        <w:noProof/>
      </w:rPr>
      <w:drawing>
        <wp:inline distT="0" distB="0" distL="0" distR="0">
          <wp:extent cx="3095625" cy="581978"/>
          <wp:effectExtent l="19050" t="0" r="9525" b="0"/>
          <wp:docPr id="1" name="Picture 0" descr="5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5625" cy="581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FA"/>
    <w:rsid w:val="000C0E4E"/>
    <w:rsid w:val="000E72B5"/>
    <w:rsid w:val="00124E93"/>
    <w:rsid w:val="00191A31"/>
    <w:rsid w:val="00203F74"/>
    <w:rsid w:val="00242F84"/>
    <w:rsid w:val="002D41C1"/>
    <w:rsid w:val="002E350D"/>
    <w:rsid w:val="003225A7"/>
    <w:rsid w:val="00353071"/>
    <w:rsid w:val="0045653A"/>
    <w:rsid w:val="00502979"/>
    <w:rsid w:val="00541662"/>
    <w:rsid w:val="00565C69"/>
    <w:rsid w:val="0070396A"/>
    <w:rsid w:val="00722A69"/>
    <w:rsid w:val="00786FC1"/>
    <w:rsid w:val="007A6DF8"/>
    <w:rsid w:val="00855FCD"/>
    <w:rsid w:val="008D13F1"/>
    <w:rsid w:val="00901CFA"/>
    <w:rsid w:val="00942B57"/>
    <w:rsid w:val="00957535"/>
    <w:rsid w:val="00A20F7B"/>
    <w:rsid w:val="00A33679"/>
    <w:rsid w:val="00A80194"/>
    <w:rsid w:val="00AF019E"/>
    <w:rsid w:val="00B11434"/>
    <w:rsid w:val="00B65D1A"/>
    <w:rsid w:val="00C3088B"/>
    <w:rsid w:val="00C35606"/>
    <w:rsid w:val="00C779AC"/>
    <w:rsid w:val="00DB0D0F"/>
    <w:rsid w:val="00DB626A"/>
    <w:rsid w:val="00E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6F1F5B-09C7-4AC0-945C-D8BAEBD3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E7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1CFA"/>
  </w:style>
  <w:style w:type="paragraph" w:styleId="Footer">
    <w:name w:val="footer"/>
    <w:basedOn w:val="Normal"/>
    <w:link w:val="FooterChar"/>
    <w:uiPriority w:val="99"/>
    <w:semiHidden/>
    <w:unhideWhenUsed/>
    <w:rsid w:val="0090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1CFA"/>
  </w:style>
  <w:style w:type="paragraph" w:styleId="BalloonText">
    <w:name w:val="Balloon Text"/>
    <w:basedOn w:val="Normal"/>
    <w:link w:val="BalloonTextChar"/>
    <w:uiPriority w:val="99"/>
    <w:semiHidden/>
    <w:unhideWhenUsed/>
    <w:rsid w:val="0090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69BF4311A80469CEAAF82544FBE06" ma:contentTypeVersion="0" ma:contentTypeDescription="Create a new document." ma:contentTypeScope="" ma:versionID="e5ec334287ec035f56c58c793630d84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7E94771-3787-48B6-84B8-EED65DD49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BC2C6-08B7-4A1D-9F4D-6B295BF5A98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C350F3C-C65A-455B-A5B2-25C0A81F5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 Abdulwahid AlZarouni</dc:creator>
  <cp:lastModifiedBy>User</cp:lastModifiedBy>
  <cp:revision>2</cp:revision>
  <dcterms:created xsi:type="dcterms:W3CDTF">2016-05-26T16:40:00Z</dcterms:created>
  <dcterms:modified xsi:type="dcterms:W3CDTF">2016-05-26T16:40:00Z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0x01010082D69BF4311A80469CEAAF82544FBE06</vt:lpwstr>
  </property>
</Properties>
</file>