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F0BE7">
      <w:pPr>
        <w:pStyle w:val="ad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52525" cy="1152525"/>
            <wp:effectExtent l="0" t="0" r="9525" b="9525"/>
            <wp:docPr id="1" name="Рисунок 1" descr="Описание: Описание: Описание: Описание: Описание: C:\Users\User\AppData\Local\Temp\CdbDocEditor\15f6d244-a942-4d39-a393-f850f9822ee8\document.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C:\Users\User\AppData\Local\Temp\CdbDocEditor\15f6d244-a942-4d39-a393-f850f9822ee8\document.files\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F0BE7">
      <w:pPr>
        <w:spacing w:after="480"/>
        <w:ind w:firstLine="0"/>
        <w:jc w:val="center"/>
      </w:pPr>
      <w:r>
        <w:rPr>
          <w:b/>
          <w:bCs/>
          <w:sz w:val="32"/>
          <w:szCs w:val="32"/>
        </w:rPr>
        <w:t>ПРАВИТЕЛЬСТВО КЫРГЫЗСКОЙ РЕСПУБЛИКИ</w:t>
      </w:r>
    </w:p>
    <w:p w:rsidR="00000000" w:rsidRDefault="006F0BE7">
      <w:pPr>
        <w:spacing w:after="480"/>
        <w:ind w:firstLine="0"/>
        <w:jc w:val="center"/>
      </w:pPr>
      <w:r>
        <w:rPr>
          <w:b/>
          <w:bCs/>
          <w:sz w:val="32"/>
          <w:szCs w:val="32"/>
        </w:rPr>
        <w:t>РАСПОРЯЖЕНИЕ</w:t>
      </w:r>
    </w:p>
    <w:p w:rsidR="00000000" w:rsidRDefault="006F0BE7">
      <w:pPr>
        <w:pStyle w:val="af8"/>
      </w:pPr>
      <w:r>
        <w:t>от 17 июля 2014 года № 270-р</w:t>
      </w:r>
    </w:p>
    <w:p w:rsidR="00000000" w:rsidRDefault="006F0BE7">
      <w:r>
        <w:t>В целях выполнения условий Соглашения между Кыргызской Республикой и Азиатским банком развития о финансировании проекта "Региональное улучшение приграничных служб", подписанного 22 мая 2013 года в городе Бишкек и р</w:t>
      </w:r>
      <w:r>
        <w:t xml:space="preserve">атифицированного </w:t>
      </w:r>
      <w:hyperlink r:id="rId6" w:history="1">
        <w:r>
          <w:rPr>
            <w:rStyle w:val="a3"/>
            <w:color w:val="000000"/>
            <w:u w:val="none"/>
          </w:rPr>
          <w:t>Законом</w:t>
        </w:r>
      </w:hyperlink>
      <w:r>
        <w:t xml:space="preserve"> Кыргызской Республики от 12 июля 2013 года№ 136:</w:t>
      </w:r>
    </w:p>
    <w:p w:rsidR="00000000" w:rsidRDefault="006F0BE7">
      <w:r>
        <w:t>1.  Принять к сведению прилагаемый План переселения по проекту Азиатского банка развития «Региональное улучшение приграничных служб».</w:t>
      </w:r>
    </w:p>
    <w:p w:rsidR="00000000" w:rsidRDefault="006F0BE7">
      <w:r>
        <w:t>2.  Государственной т</w:t>
      </w:r>
      <w:r>
        <w:t>аможенной службе при Правительстве Кыргызской Республики:</w:t>
      </w:r>
    </w:p>
    <w:p w:rsidR="00000000" w:rsidRDefault="006F0BE7">
      <w:r>
        <w:t>-    в пределах средств, предусмотренных республиканским бюджетом на соответствующий год, обеспечить выплату денежной компенсации лицам, осуществляющим деятельность на арендованном земельном участке</w:t>
      </w:r>
      <w:r>
        <w:t xml:space="preserve"> айылного аймака Жекенди Ошской области Кыргызской Республики согласно Плану переселения;</w:t>
      </w:r>
    </w:p>
    <w:p w:rsidR="00000000" w:rsidRDefault="006F0BE7">
      <w:r>
        <w:t>-    совместно с Министерством экономики Кыргызской Республики принять иные меры, вытекающие из Плана переселения.</w:t>
      </w:r>
    </w:p>
    <w:p w:rsidR="00000000" w:rsidRDefault="006F0BE7"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pStyle w:val="ab"/>
              <w:spacing w:line="276" w:lineRule="auto"/>
            </w:pPr>
            <w:r>
              <w:t xml:space="preserve">Премьер-министр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spacing w:after="0" w:line="276" w:lineRule="auto"/>
              <w:ind w:firstLine="0"/>
              <w:jc w:val="right"/>
            </w:pPr>
            <w:r>
              <w:rPr>
                <w:b/>
                <w:bCs/>
              </w:rPr>
              <w:t>Дж.К. Оторбаев</w:t>
            </w:r>
          </w:p>
        </w:tc>
      </w:tr>
    </w:tbl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ПЛАН ПЕРЕСЕЛЕНИЯ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по проекту Азиатского байка развития «Региональное улучшение приграничных служб»</w:t>
      </w:r>
    </w:p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СОКРАЩЕНИЯ</w:t>
      </w:r>
    </w:p>
    <w:p w:rsidR="00000000" w:rsidRDefault="006F0BE7">
      <w:r>
        <w:t> </w:t>
      </w:r>
    </w:p>
    <w:p w:rsidR="00000000" w:rsidRDefault="006F0BE7">
      <w:r>
        <w:t>АБР         -           Азиатский банк развития</w:t>
      </w:r>
    </w:p>
    <w:p w:rsidR="00000000" w:rsidRDefault="006F0BE7">
      <w:r>
        <w:t>ЛПВ         -           лицо, подпадающее под воздействие проекта</w:t>
      </w:r>
    </w:p>
    <w:p w:rsidR="00000000" w:rsidRDefault="006F0BE7">
      <w:r>
        <w:t>ППГ         -           пункт</w:t>
      </w:r>
      <w:r>
        <w:t xml:space="preserve"> пересечения границы</w:t>
      </w:r>
    </w:p>
    <w:p w:rsidR="00000000" w:rsidRDefault="006F0BE7">
      <w:r>
        <w:t>ЦАРЭС   -           Центрально-Азиатское региональное экономическое сотрудничество</w:t>
      </w:r>
    </w:p>
    <w:p w:rsidR="00000000" w:rsidRDefault="006F0BE7">
      <w:r>
        <w:t>МЭ           -           Министерство экономики Кыргызской Республики</w:t>
      </w:r>
    </w:p>
    <w:p w:rsidR="00000000" w:rsidRDefault="006F0BE7">
      <w:r>
        <w:t>ГТС          -           Государственная таможенная служба при Правительстве Кыргы</w:t>
      </w:r>
      <w:r>
        <w:t>зской Республики</w:t>
      </w:r>
    </w:p>
    <w:p w:rsidR="00000000" w:rsidRDefault="006F0BE7">
      <w:r>
        <w:t>ПП           -           План переселения</w:t>
      </w:r>
    </w:p>
    <w:p w:rsidR="00000000" w:rsidRDefault="006F0BE7">
      <w:r>
        <w:t>ППЗМ     -           Положение о Политике по защитным мерам</w:t>
      </w:r>
    </w:p>
    <w:p w:rsidR="00000000" w:rsidRDefault="006F0BE7">
      <w:r>
        <w:t> </w:t>
      </w:r>
    </w:p>
    <w:p w:rsidR="00000000" w:rsidRDefault="006F0BE7">
      <w:r>
        <w:t>6.  Настоящий План переселения (ПП) подготовлен в соответствии с требованиями Положения о Политике по защитным мерам 2009 г. (ППЗМ) Ази</w:t>
      </w:r>
      <w:r>
        <w:t>атского банка развития (АБР) для Подпроекта по улучшению пункта пересечения границы (ППГ) «Карамык» (Кыргызская Республика) в рамках Регионального проекта по улучшению приграничных служб (РУПС). ПП был переведен на русский и кыргызский языки, разработан Ми</w:t>
      </w:r>
      <w:r>
        <w:t>нистерством экономики Кыргызской Республики (МЭ) — исполнительным агентством Подпроекта.</w:t>
      </w:r>
    </w:p>
    <w:p w:rsidR="00000000" w:rsidRDefault="006F0BE7">
      <w:r>
        <w:t>7.  ППГ «Карамык» расположен на двух коридорах ЦАРЭС (ЗЬ и 5), И пограничный пост на противоположной стороне в Таджикистане недавно был усовершенствован. Рекомендуется</w:t>
      </w:r>
      <w:r>
        <w:t xml:space="preserve"> усовершенствован. ИНГ «Карамык», чтобы он полностью соответствовал международным требованиям и стандартам. Проект классифицируется как Категория "В" в отношении вынужденного переселения.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А. Воздействие переселения</w:t>
      </w:r>
    </w:p>
    <w:p w:rsidR="00000000" w:rsidRDefault="006F0BE7">
      <w:r>
        <w:t> </w:t>
      </w:r>
    </w:p>
    <w:p w:rsidR="00000000" w:rsidRDefault="006F0BE7">
      <w:r>
        <w:t>3.  В рамках предлагаемого Подпроекта п</w:t>
      </w:r>
      <w:r>
        <w:t>ланируется построить современный приграничный объект, для чего требуется выделение 3,30 га земли ИЗ земельного фонда айылного аймака Жекенди (см. приложения 1 и 2, расположение и экспликация приграничного объекта). Все земли, необходимые для проекта, являю</w:t>
      </w:r>
      <w:r>
        <w:t>тся пастбищными угодьями (находятся в государственной собственности), которые используются для выпаса скоки в соответствии с их целевым использованием. Из 3,30 га, арендуются 0,45 га 3-мя домохозяйствами из айылного аймака Жекенди для выращивания таких кул</w:t>
      </w:r>
      <w:r>
        <w:t>ьтур, как картофель, пшеница и фуражные культуры (эспарцет) для продажи и собственного потребления. В связи с Подпроектом аренда 0,45 га будет отменена до начала следующего сельскохозяйственного сезона, что приведет к потере доходов от арендуемой земли в 3</w:t>
      </w:r>
      <w:r>
        <w:t xml:space="preserve"> домохозяйствах. Не будут затронуты здания, строения или другие неземельные активы. Ожидается также, что у ЛИВ будет достаточно времени, чтобы собрать весь урожай на корню на своей арендованной земле в текущем сельскохозяйственном сезоне до начала строител</w:t>
      </w:r>
      <w:r>
        <w:t>ьных работ.</w:t>
      </w:r>
    </w:p>
    <w:p w:rsidR="00000000" w:rsidRDefault="006F0BE7">
      <w:r>
        <w:t>4.  Исполнительный орган айылного аймака Жекенди подписал индивидуальные договоры аренды с каждым ДОМОХОЗЯЙСТВОМ в марче 2011 года сроком на 5 лет (до марта 2016 года). Домохозяйства возделывали землю в течение 3 сельскохозяйственных сезонов (2</w:t>
      </w:r>
      <w:r>
        <w:t>011, 2012, 2013 годы) и платили арендную плату и земельный налог в течение последних 2 лет. 11о текущему договору аренды у них всех остается 2 сельскохозяйственных сезона. Сводная информация о предполагаемом воздействии изъятия земель приведена в таблице 1</w:t>
      </w:r>
      <w:r>
        <w:t>:</w:t>
      </w:r>
    </w:p>
    <w:p w:rsidR="00000000" w:rsidRDefault="006F0BE7">
      <w:pPr>
        <w:pStyle w:val="2"/>
        <w:jc w:val="right"/>
        <w:rPr>
          <w:rFonts w:eastAsia="Times New Roman"/>
        </w:rPr>
      </w:pPr>
      <w:r>
        <w:rPr>
          <w:rFonts w:eastAsia="Times New Roman"/>
        </w:rPr>
        <w:t>Таблица 1.</w:t>
      </w:r>
    </w:p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Сводная информация о предполагаемом воздействии изъятия земель</w:t>
      </w:r>
    </w:p>
    <w:p w:rsidR="00000000" w:rsidRDefault="006F0BE7">
      <w:r>
        <w:t> </w:t>
      </w:r>
    </w:p>
    <w:tbl>
      <w:tblPr>
        <w:tblW w:w="5000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1763"/>
        <w:gridCol w:w="2122"/>
        <w:gridCol w:w="2029"/>
        <w:gridCol w:w="1126"/>
        <w:gridCol w:w="1574"/>
        <w:gridCol w:w="2132"/>
      </w:tblGrid>
      <w:tr w:rsidR="00000000">
        <w:trPr>
          <w:trHeight w:val="451"/>
        </w:trPr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rPr>
                <w:b/>
                <w:bCs/>
              </w:rPr>
              <w:t>Лицо, подпадающее под воздействие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rPr>
                <w:b/>
                <w:bCs/>
              </w:rPr>
              <w:t>Площадь возделываемого участка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rPr>
                <w:b/>
                <w:bCs/>
              </w:rPr>
              <w:t>Возделываемая культура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rPr>
                <w:b/>
                <w:bCs/>
              </w:rPr>
              <w:t>Средний урожай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rPr>
                <w:b/>
                <w:bCs/>
              </w:rPr>
              <w:t>Кол-во остающихся с/х сезонов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rPr>
                <w:b/>
                <w:bCs/>
              </w:rPr>
              <w:t>Всего предполагаемый ущерб</w:t>
            </w:r>
            <w:r>
              <w:rPr>
                <w:b/>
                <w:bCs/>
              </w:rPr>
              <w:t xml:space="preserve"> за 2 года</w:t>
            </w:r>
          </w:p>
        </w:tc>
      </w:tr>
      <w:tr w:rsidR="00000000">
        <w:trPr>
          <w:trHeight w:val="149"/>
        </w:trPr>
        <w:tc>
          <w:tcPr>
            <w:tcW w:w="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  <w:ind w:firstLine="0"/>
            </w:pPr>
            <w:r>
              <w:t>1.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Абдиля Темирбаев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0,10 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Пшеница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350 кг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700 кг</w:t>
            </w:r>
          </w:p>
        </w:tc>
      </w:tr>
      <w:tr w:rsidR="00000000">
        <w:trPr>
          <w:trHeight w:val="442"/>
        </w:trPr>
        <w:tc>
          <w:tcPr>
            <w:tcW w:w="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  <w:ind w:firstLine="0"/>
            </w:pPr>
            <w:r>
              <w:t>2.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Сулайман Аширалиев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0,20 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Эспарцет (кормовое растение)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46 тюков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92 тюков</w:t>
            </w:r>
          </w:p>
        </w:tc>
      </w:tr>
      <w:tr w:rsidR="00000000">
        <w:trPr>
          <w:trHeight w:val="173"/>
        </w:trPr>
        <w:tc>
          <w:tcPr>
            <w:tcW w:w="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3" w:lineRule="atLeast"/>
              <w:ind w:firstLine="0"/>
            </w:pPr>
            <w:r>
              <w:t>3.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3" w:lineRule="atLeast"/>
            </w:pPr>
            <w:r>
              <w:t>Мырза Усонов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3" w:lineRule="atLeast"/>
            </w:pPr>
            <w:r>
              <w:t>0,15 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3" w:lineRule="atLeast"/>
            </w:pPr>
            <w:r>
              <w:t>Картофель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3" w:lineRule="atLeast"/>
            </w:pPr>
            <w:r>
              <w:t>3375 кг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3" w:lineRule="atLeast"/>
            </w:pPr>
            <w: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3" w:lineRule="atLeast"/>
            </w:pPr>
            <w:r>
              <w:t>6750 кг</w:t>
            </w:r>
          </w:p>
        </w:tc>
      </w:tr>
    </w:tbl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B. Правовой статус землепользования</w:t>
      </w:r>
    </w:p>
    <w:p w:rsidR="00000000" w:rsidRDefault="006F0BE7">
      <w:r>
        <w:t> </w:t>
      </w:r>
    </w:p>
    <w:p w:rsidR="00000000" w:rsidRDefault="006F0BE7">
      <w:r>
        <w:t>5. В связи с тем, что пастбища не могут быть сданы в аренду (ни возделываться) в соответствии с национальным законодательством,</w:t>
      </w:r>
      <w:r>
        <w:rPr>
          <w:vertAlign w:val="superscript"/>
        </w:rPr>
        <w:t>1</w:t>
      </w:r>
      <w:r>
        <w:t xml:space="preserve"> за исключением пастбищ государственного лесного фонда, договоры аренды, заключенные между</w:t>
      </w:r>
      <w:r>
        <w:t xml:space="preserve"> органом местного самоуправления и домохозяйствами, не являются юридически действительными. Кроме того, договоры аренды не были зарегистрированы в местном подразделении Государственной регистрационной службы при Правительстве Кыргызской Республики и, следо</w:t>
      </w:r>
      <w:r>
        <w:t>вательно, не имеют обязательной силы как таковой.</w:t>
      </w:r>
      <w:r>
        <w:rPr>
          <w:vertAlign w:val="superscript"/>
        </w:rPr>
        <w:t>2</w:t>
      </w:r>
      <w:r>
        <w:t xml:space="preserve"> Однако, учитывая, что возделывание пастбищ не производилось домохозяйствами самовольно было санкционировано официальным решением органа местного самоуправления (подписанный договор об аренде), домохозяйств</w:t>
      </w:r>
      <w:r>
        <w:t>а, попадающие под воздействие, должны рассматриваться как ЛВП с легитимными правами.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C. Социально-экономический профиль</w:t>
      </w:r>
    </w:p>
    <w:p w:rsidR="00000000" w:rsidRDefault="006F0BE7">
      <w:r>
        <w:t> </w:t>
      </w:r>
    </w:p>
    <w:p w:rsidR="00000000" w:rsidRDefault="006F0BE7">
      <w:r>
        <w:t xml:space="preserve">6. Так же, как другие органы местного самоуправления в Чон-Алайском районе, айылный аймак Жекенди зависит от государственных субсидий </w:t>
      </w:r>
      <w:r>
        <w:t>(97 %), в части предоставления основных социальных и экономических услуг для местного населения. Карамык</w:t>
      </w:r>
      <w:r>
        <w:rPr>
          <w:vertAlign w:val="superscript"/>
        </w:rPr>
        <w:t>3</w:t>
      </w:r>
      <w:r>
        <w:t xml:space="preserve"> входит в айылный аймак Жекенди, состоящий из 5 сел. В Карамыке проживают 550 домохозяйств (или 2761 человек), из которых 61 % относится категории к бе</w:t>
      </w:r>
      <w:r>
        <w:t>дных и очень бедных.</w:t>
      </w:r>
      <w:r>
        <w:rPr>
          <w:vertAlign w:val="superscript"/>
        </w:rPr>
        <w:t>4</w:t>
      </w:r>
      <w:r>
        <w:t xml:space="preserve"> В связи с ограниченными экономическими возможностями и суровыми климатическими условиями в регионе местное население полагается в основном на животноводство и выращивание картофеля. 11шеницу и кормовые культуры (эспарцет) выращивают в</w:t>
      </w:r>
      <w:r>
        <w:t xml:space="preserve"> основном для собственного потребления. Официально домохозяйства, имеющие более 5 детей или</w:t>
      </w:r>
    </w:p>
    <w:p w:rsidR="00000000" w:rsidRDefault="006F0BE7">
      <w:r>
        <w:t>_____________________</w:t>
      </w:r>
    </w:p>
    <w:p w:rsidR="00000000" w:rsidRDefault="006F0BE7"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</w:t>
      </w:r>
      <w:hyperlink r:id="rId7" w:history="1">
        <w:r>
          <w:rPr>
            <w:rStyle w:val="a3"/>
            <w:color w:val="000000"/>
            <w:sz w:val="20"/>
            <w:szCs w:val="20"/>
            <w:u w:val="none"/>
          </w:rPr>
          <w:t>Закон</w:t>
        </w:r>
      </w:hyperlink>
      <w:r>
        <w:rPr>
          <w:sz w:val="20"/>
          <w:szCs w:val="20"/>
        </w:rPr>
        <w:t xml:space="preserve"> Кыргызской Республики "О пастбищах" (январь 2009 года) и </w:t>
      </w:r>
      <w:hyperlink r:id="rId8" w:history="1">
        <w:r>
          <w:rPr>
            <w:rStyle w:val="a3"/>
            <w:color w:val="000000"/>
            <w:sz w:val="20"/>
            <w:szCs w:val="20"/>
            <w:u w:val="none"/>
          </w:rPr>
          <w:t>Конституции</w:t>
        </w:r>
      </w:hyperlink>
      <w:r>
        <w:rPr>
          <w:sz w:val="20"/>
          <w:szCs w:val="20"/>
        </w:rPr>
        <w:t xml:space="preserve"> Кыргызской </w:t>
      </w:r>
      <w:r>
        <w:rPr>
          <w:sz w:val="20"/>
          <w:szCs w:val="20"/>
        </w:rPr>
        <w:t>Республики (июнь 2010 года)</w:t>
      </w:r>
    </w:p>
    <w:p w:rsidR="00000000" w:rsidRDefault="006F0BE7"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</w:t>
      </w:r>
      <w:hyperlink r:id="rId9" w:history="1">
        <w:r>
          <w:rPr>
            <w:rStyle w:val="a3"/>
            <w:color w:val="000000"/>
            <w:sz w:val="20"/>
            <w:szCs w:val="20"/>
            <w:u w:val="none"/>
          </w:rPr>
          <w:t>Закон</w:t>
        </w:r>
      </w:hyperlink>
      <w:r>
        <w:rPr>
          <w:sz w:val="20"/>
          <w:szCs w:val="20"/>
        </w:rPr>
        <w:t xml:space="preserve"> Кыргызской Республики "О государственной регистрации прав на недвижимое имущество и сделок с ним" (декабрь 1998 года)</w:t>
      </w:r>
    </w:p>
    <w:p w:rsidR="00000000" w:rsidRDefault="006F0BE7"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Карамык - одно из 5 сел, административно входящий в айылный аймак Жекенди. К</w:t>
      </w:r>
      <w:r>
        <w:rPr>
          <w:sz w:val="20"/>
          <w:szCs w:val="20"/>
        </w:rPr>
        <w:t xml:space="preserve">роме него, в данный айылный аймак входят села Кара-Тейит, Жекенди, Шабээ и Чулук. </w:t>
      </w:r>
    </w:p>
    <w:p w:rsidR="00000000" w:rsidRDefault="006F0BE7"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Социальный паспорт, айылный аймак Жекенди, 2012 г.</w:t>
      </w:r>
    </w:p>
    <w:p w:rsidR="00000000" w:rsidRDefault="006F0BE7">
      <w:r>
        <w:t>живущие в суровых высокогорных условиях, считаются уязвимыми и им предоставляются дополнительные государственные пособия</w:t>
      </w:r>
      <w:r>
        <w:t xml:space="preserve">. Все 3 ЛИВ в настоящее время получают государственные пособия, предоставляемые таким домохозяйствам. С точки зрения источника доходов, 2 ЛПВ получают пенсию в дополнение к своему доходу от сельского хозяйства. 1 ЛПВ также получает зарплату, как начальник </w:t>
      </w:r>
      <w:r>
        <w:t>сейсмологического отдела в Чон-Алайском районе. Профиль средств к существованию ЛВП приведен в таблице 2.</w:t>
      </w:r>
    </w:p>
    <w:p w:rsidR="00000000" w:rsidRDefault="006F0BE7">
      <w:pPr>
        <w:pStyle w:val="2"/>
        <w:jc w:val="right"/>
        <w:rPr>
          <w:rFonts w:eastAsia="Times New Roman"/>
        </w:rPr>
      </w:pPr>
      <w:r>
        <w:rPr>
          <w:rFonts w:eastAsia="Times New Roman"/>
        </w:rPr>
        <w:t>Таблица 2.</w:t>
      </w:r>
    </w:p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Профиль средств к существованию ЛПВ</w:t>
      </w:r>
    </w:p>
    <w:p w:rsidR="00000000" w:rsidRDefault="006F0BE7">
      <w:r>
        <w:t> </w:t>
      </w:r>
    </w:p>
    <w:tbl>
      <w:tblPr>
        <w:tblW w:w="5000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"/>
        <w:gridCol w:w="1401"/>
        <w:gridCol w:w="2220"/>
        <w:gridCol w:w="2634"/>
        <w:gridCol w:w="1349"/>
        <w:gridCol w:w="1363"/>
      </w:tblGrid>
      <w:tr w:rsidR="00000000">
        <w:trPr>
          <w:trHeight w:val="717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ЛПВ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Семейное положение</w:t>
            </w:r>
          </w:p>
        </w:tc>
        <w:tc>
          <w:tcPr>
            <w:tcW w:w="2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Занятость</w:t>
            </w:r>
          </w:p>
        </w:tc>
        <w:tc>
          <w:tcPr>
            <w:tcW w:w="4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Земельный надел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Домашний скот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дохода семьи</w:t>
            </w:r>
          </w:p>
        </w:tc>
      </w:tr>
      <w:tr w:rsidR="00000000">
        <w:trPr>
          <w:trHeight w:val="163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Абдиля Темирбаев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Женат, 3 сына и 3 дочери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Пенсионер, фермер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Владеет 1,86 га орошаемой пашни для выращивания кормов (эспарцета)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10 овец. 5 коз, 2 короны,2 теленка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Пенсия, продажа картофеля и кормовых культур</w:t>
            </w:r>
          </w:p>
        </w:tc>
      </w:tr>
      <w:tr w:rsidR="00000000">
        <w:trPr>
          <w:trHeight w:val="149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Сулайман Аширалиев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Женат, 2 сына и 9 дочери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Фермер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Нет земельного надела в селе. Переехал а село в 1999 юлу. после реформ ПО перераспределению земель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3 овцы, 2 козы, 1 корова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Доходы от временной работы</w:t>
            </w:r>
          </w:p>
        </w:tc>
      </w:tr>
      <w:tr w:rsidR="00000000">
        <w:trPr>
          <w:trHeight w:val="163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Мырза Усонов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Женат. 3 сына и 4 дочери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пенсионер, работает начальником сейсмологического отдела в Чон-Алайском районе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Владеет 3 га орошаемых пахотных земель, используемых для выращивания сельскохозяйственных культур для продажи и собственного потребления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30 овец, 2 коровы, 2 теленка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Зарплата</w:t>
            </w:r>
            <w:r>
              <w:t xml:space="preserve"> пенсия, продажа картофеля,</w:t>
            </w:r>
          </w:p>
        </w:tc>
      </w:tr>
    </w:tbl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D. Принципы политики ПП и права на компенсацию</w:t>
      </w:r>
    </w:p>
    <w:p w:rsidR="00000000" w:rsidRDefault="006F0BE7">
      <w:r>
        <w:t> </w:t>
      </w:r>
    </w:p>
    <w:p w:rsidR="00000000" w:rsidRDefault="006F0BE7">
      <w:r>
        <w:t xml:space="preserve">7. Данный ПП соответствует Положению о Политике по защитным мерам АБР (2009 г.), что позволяет подготовить и реализовать ПП в качестве </w:t>
      </w:r>
      <w:r>
        <w:t>условия для получения одобрения от АБР на начало гражданских работ. Ниже приводятся принципы политики, лежащие в основе реализации ПП:</w:t>
      </w:r>
    </w:p>
    <w:p w:rsidR="00000000" w:rsidRDefault="006F0BE7">
      <w:r>
        <w:t>-    следует избегать воздействия переселения или, по крайней мере, свести его к минимуму;</w:t>
      </w:r>
    </w:p>
    <w:p w:rsidR="00000000" w:rsidRDefault="006F0BE7">
      <w:r>
        <w:t>если воздействие переселения н</w:t>
      </w:r>
      <w:r>
        <w:t>еизбежно, должны быть обеспечены компенсации и восстановление уровня дохода по стоимости восстановления, чтобы сохранить предпроектный уровень статуса средств к существованию ЛПВ;</w:t>
      </w:r>
    </w:p>
    <w:p w:rsidR="00000000" w:rsidRDefault="006F0BE7">
      <w:r>
        <w:t>-    отсутствие формального права собственности на землю не должно быть преп</w:t>
      </w:r>
      <w:r>
        <w:t>ятствием для компенсации или, по крайней мере, восстановления уровня дохода.</w:t>
      </w:r>
    </w:p>
    <w:p w:rsidR="00000000" w:rsidRDefault="006F0BE7">
      <w:r>
        <w:t>-    для ЛПВ будет оказана помощь в восстановлении их средств к существованию;</w:t>
      </w:r>
    </w:p>
    <w:p w:rsidR="00000000" w:rsidRDefault="006F0BE7">
      <w:r>
        <w:t>-    уязвимым ЛПВ будут предоставлены специальные пособия;</w:t>
      </w:r>
    </w:p>
    <w:p w:rsidR="00000000" w:rsidRDefault="006F0BE7">
      <w:r>
        <w:t>-    будут созданы соответствующие механи</w:t>
      </w:r>
      <w:r>
        <w:t>змы работы с жалобами (МРЖ) для решения вопросов по жалобам ЛПВ;</w:t>
      </w:r>
    </w:p>
    <w:p w:rsidR="00000000" w:rsidRDefault="006F0BE7">
      <w:r>
        <w:t>-    выплата компенсаций будет начата только после того, как АБР одобрит ГШ. Кроме того, будет осуществляться мониторинг реализации ПП с отправкой отчетов об этом в АБР, и</w:t>
      </w:r>
    </w:p>
    <w:p w:rsidR="00000000" w:rsidRDefault="006F0BE7">
      <w:r>
        <w:t>-    строительные г</w:t>
      </w:r>
      <w:r>
        <w:t>ражданские работы по подпроекту начнутся только после того, как реализация ПП будет завершена и удостоверена.</w:t>
      </w:r>
    </w:p>
    <w:p w:rsidR="00000000" w:rsidRDefault="006F0BE7">
      <w:r>
        <w:t>8. Компенсация и права на компенсацию для этого полпроекта направлены на то, чтобы помочь ЛВП в поддержании или повышении их уровня жизни после по</w:t>
      </w:r>
      <w:r>
        <w:t>дпроекта. В таблице 3 приводится матрица прав компенсаций для различных категорий ЛВП в рамках подпроекта.</w:t>
      </w:r>
    </w:p>
    <w:p w:rsidR="00000000" w:rsidRDefault="006F0BE7">
      <w:pPr>
        <w:pStyle w:val="2"/>
        <w:jc w:val="right"/>
        <w:rPr>
          <w:rFonts w:eastAsia="Times New Roman"/>
        </w:rPr>
      </w:pPr>
      <w:r>
        <w:rPr>
          <w:rFonts w:eastAsia="Times New Roman"/>
        </w:rPr>
        <w:t>Таблица 3.</w:t>
      </w:r>
    </w:p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Матрица прав компенсаций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1503"/>
        <w:gridCol w:w="2612"/>
        <w:gridCol w:w="2321"/>
      </w:tblGrid>
      <w:tr w:rsidR="00000000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Имущество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Описание</w:t>
            </w:r>
          </w:p>
        </w:tc>
        <w:tc>
          <w:tcPr>
            <w:tcW w:w="5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ЛПВ</w:t>
            </w:r>
          </w:p>
        </w:tc>
        <w:tc>
          <w:tcPr>
            <w:tcW w:w="3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Право на компенсацию</w:t>
            </w:r>
          </w:p>
        </w:tc>
      </w:tr>
      <w:tr w:rsidR="00000000">
        <w:tc>
          <w:tcPr>
            <w:tcW w:w="4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 xml:space="preserve">Постоянная потеря </w:t>
            </w:r>
          </w:p>
          <w:p w:rsidR="00000000" w:rsidRDefault="006F0BE7">
            <w:r>
              <w:t>Сельскохозяйственные земельные</w:t>
            </w:r>
          </w:p>
          <w:p w:rsidR="00000000" w:rsidRDefault="006F0BE7">
            <w:r>
              <w:t>земельные участки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Арендатор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Денежная компенсация, эквивалентная потенциальной потере дохода от арендуемой земли, умноженной на количество оставшихся лет л рамках текущего договора аренды</w:t>
            </w:r>
          </w:p>
        </w:tc>
      </w:tr>
      <w:tr w:rsidR="00000000">
        <w:tc>
          <w:tcPr>
            <w:tcW w:w="4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Уязвимые домохозяйства (УДХ)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 xml:space="preserve">Официально определенные </w:t>
            </w:r>
            <w:r>
              <w:t>уязвимые домохозяйства (УДХ за чертой бедности;</w:t>
            </w:r>
          </w:p>
          <w:p w:rsidR="00000000" w:rsidRDefault="006F0BE7">
            <w:pPr>
              <w:ind w:firstLine="0"/>
            </w:pPr>
            <w:r>
              <w:t>Семьи, имеющие более 5 детей, и семьи, живущие в высокогорных районах)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Помощь, эквивалентная официальному уровню прожиточного минимума, за 3 месяца;</w:t>
            </w:r>
          </w:p>
        </w:tc>
      </w:tr>
    </w:tbl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Е. Оценивание</w:t>
      </w:r>
    </w:p>
    <w:p w:rsidR="00000000" w:rsidRDefault="006F0BE7">
      <w:r>
        <w:t> </w:t>
      </w:r>
    </w:p>
    <w:p w:rsidR="00000000" w:rsidRDefault="006F0BE7">
      <w:r>
        <w:t xml:space="preserve">9. В результате ожидаемой отмены аренды каждое домохозяйство потеряет шанс продолжить возделывание на арендованных участках до окончания договора аренды. Масштаб потерь будет оцениваться как значение чистой прибыли, полученной от продажи ежегодного урожая </w:t>
      </w:r>
      <w:r>
        <w:t>по рыночной цене, умноженной на количество оставшихся лет (2 года) в соответствии с договором аренды. Денежная компенсация рассматривается как единственный практически осуществимый вариант, так как исполнительный орган айылного аймака Жекенди не имеет неис</w:t>
      </w:r>
      <w:r>
        <w:t>пользуемых земель в Государственном фонде сельскохозяйственных угодий и, следовательно, не может обеспечить замену арендуемого участка домохозяйствам, подпадающим под воздействие проекта. Расчет компенсаций за потерю аренды по каждому домохозяйству предста</w:t>
      </w:r>
      <w:r>
        <w:t>влен в таблице 4 и 6:</w:t>
      </w:r>
    </w:p>
    <w:p w:rsidR="00000000" w:rsidRDefault="006F0BE7">
      <w:pPr>
        <w:pStyle w:val="2"/>
        <w:jc w:val="right"/>
        <w:rPr>
          <w:rFonts w:eastAsia="Times New Roman"/>
        </w:rPr>
      </w:pPr>
      <w:r>
        <w:rPr>
          <w:rFonts w:eastAsia="Times New Roman"/>
        </w:rPr>
        <w:t>Таблица 4.</w:t>
      </w:r>
    </w:p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Оценивание потери дохода от арендуемой земли</w:t>
      </w:r>
    </w:p>
    <w:p w:rsidR="00000000" w:rsidRDefault="006F0BE7"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9"/>
        <w:gridCol w:w="2088"/>
        <w:gridCol w:w="1197"/>
        <w:gridCol w:w="1189"/>
        <w:gridCol w:w="1595"/>
        <w:gridCol w:w="1675"/>
      </w:tblGrid>
      <w:tr w:rsidR="00000000"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Возделываемая культура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Площадь возделываемого участка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 xml:space="preserve">Средний урожай 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Средняя цена в 2012 году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Кол-во остающихся с/х сезонов</w:t>
            </w:r>
            <w:r>
              <w:rPr>
                <w:vertAlign w:val="superscript"/>
              </w:rPr>
              <w:t>5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Размер компенсации</w:t>
            </w:r>
          </w:p>
        </w:tc>
      </w:tr>
      <w:tr w:rsidR="00000000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Пшеница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 xml:space="preserve">0,10 га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350 кг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15 сомов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6050 сомов</w:t>
            </w:r>
          </w:p>
        </w:tc>
      </w:tr>
      <w:tr w:rsidR="00000000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Эспарцет (кормовое растение)</w:t>
            </w:r>
          </w:p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0,20 га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46 тюков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200 сомов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10 800 сомов</w:t>
            </w:r>
          </w:p>
        </w:tc>
      </w:tr>
      <w:tr w:rsidR="00000000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Картофель</w:t>
            </w:r>
          </w:p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0,15 га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3375 кг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15 сомов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61 800</w:t>
            </w:r>
          </w:p>
        </w:tc>
      </w:tr>
      <w:tr w:rsidR="00000000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ВСЕГО:</w:t>
            </w:r>
          </w:p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pPr>
              <w:ind w:firstLine="0"/>
            </w:pPr>
            <w:r>
              <w:t>78650 сомов</w:t>
            </w:r>
          </w:p>
        </w:tc>
      </w:tr>
    </w:tbl>
    <w:p w:rsidR="00000000" w:rsidRDefault="006F0BE7">
      <w:r>
        <w:t> </w:t>
      </w:r>
    </w:p>
    <w:p w:rsidR="00000000" w:rsidRDefault="006F0BE7">
      <w:r>
        <w:t>10. Все 3 ЛВП официально считаются уязвимыми. Для оказания помощи этим домохозяйствам пособие по уязвимости вычисляется на основе текущего официального прожиточного минимума (ПМ)</w:t>
      </w:r>
      <w:r>
        <w:rPr>
          <w:vertAlign w:val="superscript"/>
        </w:rPr>
        <w:t>6</w:t>
      </w:r>
      <w:r>
        <w:t xml:space="preserve"> для Ошской области, умноженного на 3 месяца (4543 сома х 3 месяца).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F. Бюдже</w:t>
      </w:r>
      <w:r>
        <w:rPr>
          <w:rFonts w:eastAsia="Times New Roman"/>
        </w:rPr>
        <w:t>т и финансирование</w:t>
      </w:r>
    </w:p>
    <w:p w:rsidR="00000000" w:rsidRDefault="006F0BE7">
      <w:r>
        <w:t> </w:t>
      </w:r>
    </w:p>
    <w:p w:rsidR="00000000" w:rsidRDefault="006F0BE7">
      <w:r>
        <w:t>11. Государственная таможенная служба при Правительстве Кыргызской Республики, в качестве основного партнера по реализации проекта, выплатит необходимые средства для реализации ПП. Общий бюджет реализации ПП приведен в таблице 5:</w:t>
      </w:r>
    </w:p>
    <w:p w:rsidR="00000000" w:rsidRDefault="006F0BE7">
      <w:pPr>
        <w:pStyle w:val="2"/>
        <w:jc w:val="right"/>
        <w:rPr>
          <w:rFonts w:eastAsia="Times New Roman"/>
        </w:rPr>
      </w:pPr>
      <w:r>
        <w:rPr>
          <w:rFonts w:eastAsia="Times New Roman"/>
        </w:rPr>
        <w:t>Табли</w:t>
      </w:r>
      <w:r>
        <w:rPr>
          <w:rFonts w:eastAsia="Times New Roman"/>
        </w:rPr>
        <w:t>ца 5.</w:t>
      </w:r>
    </w:p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Бюджет ПП</w:t>
      </w:r>
    </w:p>
    <w:p w:rsidR="00000000" w:rsidRDefault="006F0BE7">
      <w:r>
        <w:t> </w:t>
      </w:r>
    </w:p>
    <w:tbl>
      <w:tblPr>
        <w:tblW w:w="5000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2616"/>
        <w:gridCol w:w="1833"/>
        <w:gridCol w:w="1591"/>
        <w:gridCol w:w="1795"/>
      </w:tblGrid>
      <w:tr w:rsidR="00000000">
        <w:trPr>
          <w:trHeight w:val="480"/>
        </w:trPr>
        <w:tc>
          <w:tcPr>
            <w:tcW w:w="2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ФИО ЛВП</w:t>
            </w:r>
          </w:p>
        </w:tc>
        <w:tc>
          <w:tcPr>
            <w:tcW w:w="4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Право на компенсацию</w:t>
            </w:r>
          </w:p>
        </w:tc>
        <w:tc>
          <w:tcPr>
            <w:tcW w:w="3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Компенсации за потерю аренды (сом)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Пособие по уязвимости (сом)</w:t>
            </w:r>
          </w:p>
        </w:tc>
        <w:tc>
          <w:tcPr>
            <w:tcW w:w="3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276" w:lineRule="auto"/>
            </w:pPr>
            <w:r>
              <w:t>Общая стоимость компенсации</w:t>
            </w:r>
          </w:p>
        </w:tc>
      </w:tr>
      <w:tr w:rsidR="00000000">
        <w:trPr>
          <w:trHeight w:val="178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8" w:lineRule="atLeast"/>
            </w:pPr>
            <w:r>
              <w:t>1 Абдиля Темирбаев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8" w:lineRule="atLeast"/>
            </w:pPr>
            <w:r>
              <w:t>Утрата урожая(пшеница) за2 года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8" w:lineRule="atLeast"/>
            </w:pPr>
            <w:r>
              <w:t>(.050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8" w:lineRule="atLeast"/>
            </w:pPr>
            <w:r>
              <w:t>13629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78" w:lineRule="atLeast"/>
            </w:pPr>
            <w:r>
              <w:t>19679 сомон</w:t>
            </w:r>
          </w:p>
        </w:tc>
      </w:tr>
      <w:tr w:rsidR="00000000">
        <w:trPr>
          <w:trHeight w:val="163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2 Сулайман Аширалиев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Утрата урожая(кормовые) за 2 года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10800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13629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24429 сомов</w:t>
            </w:r>
          </w:p>
        </w:tc>
      </w:tr>
      <w:tr w:rsidR="00000000">
        <w:trPr>
          <w:trHeight w:val="149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3 Мырза Усонов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Утрата урожая(картофель) за 2 года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01800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13629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75429 сомов</w:t>
            </w:r>
          </w:p>
        </w:tc>
      </w:tr>
      <w:tr w:rsidR="00000000">
        <w:trPr>
          <w:trHeight w:val="168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ВСЕГО: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78650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40887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119537 сомов</w:t>
            </w:r>
          </w:p>
        </w:tc>
      </w:tr>
    </w:tbl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G. Механизм рассмотрения жалоб</w:t>
      </w:r>
    </w:p>
    <w:p w:rsidR="00000000" w:rsidRDefault="006F0BE7">
      <w:r>
        <w:t> </w:t>
      </w:r>
    </w:p>
    <w:p w:rsidR="00000000" w:rsidRDefault="006F0BE7">
      <w:r>
        <w:t>12. Подпроект введет в действие механизм рассмотрения жалоб (МРЖ) для своевременного выявления и решения жалоб со стороны ЛПВ, связанных с деятельностью Подпроекта. МРЖ представляет собой механизм, посредством которого ЛПВ смогут заявить о своих озабоченно</w:t>
      </w:r>
      <w:r>
        <w:t>стях, получить разъяснение по различным вопросам, или требовать разрешения</w:t>
      </w:r>
    </w:p>
    <w:p w:rsidR="00000000" w:rsidRDefault="006F0BE7">
      <w:r>
        <w:t>__________________</w:t>
      </w:r>
    </w:p>
    <w:p w:rsidR="00000000" w:rsidRDefault="006F0BE7"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 Поскольку договоры аренды подписаны до марта 2016 года, а сельскохозяйственный сезон 2016 года начнется после марта (после истечения срока действия договора аре</w:t>
      </w:r>
      <w:r>
        <w:rPr>
          <w:sz w:val="20"/>
          <w:szCs w:val="20"/>
        </w:rPr>
        <w:t>нды), права па компенсацию рассчитаны только на 2 года.</w:t>
      </w:r>
    </w:p>
    <w:p w:rsidR="00000000" w:rsidRDefault="006F0BE7">
      <w:r>
        <w:rPr>
          <w:sz w:val="20"/>
          <w:szCs w:val="20"/>
          <w:vertAlign w:val="superscript"/>
        </w:rPr>
        <w:t>6</w:t>
      </w:r>
      <w:r>
        <w:rPr>
          <w:sz w:val="20"/>
          <w:szCs w:val="20"/>
        </w:rPr>
        <w:t xml:space="preserve"> Официальный ПМ для Ошской области за 3-й квартал 2013 года составляет 4543 сома (Источник: Национальный статистический комитет Кыргызской Республики, 2013 год)</w:t>
      </w:r>
    </w:p>
    <w:p w:rsidR="00000000" w:rsidRDefault="006F0BE7">
      <w:r>
        <w:t>жалоб, связанных с деятельностью Подпр</w:t>
      </w:r>
      <w:r>
        <w:t xml:space="preserve">оекта. Для обеспечения легитимности и приемлемости процесса рассмотрения жалоб для ЛПВ, МРЖ будет разработан с соответствии со следующими принципами: i) эффективность; ii) доходчивость для ЛПВ; iii) прозрачность; iv), чувствительность к тендерным и другим </w:t>
      </w:r>
      <w:r>
        <w:t>уязвимым группам; v) учитывающий культурные особенности; vi) доступность для ЛПВ в плане процедур и затрат, связанных с подачей жалобы.</w:t>
      </w:r>
    </w:p>
    <w:p w:rsidR="00000000" w:rsidRDefault="006F0BE7">
      <w:r>
        <w:t>13. ИА и консультант по надзору за строительством будут осуществлять мониторинг деятельности МРЖ и отражать результаты м</w:t>
      </w:r>
      <w:r>
        <w:t>ониторинга в отчетах о ходе реализации проекта.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Н. Организационные механизмы</w:t>
      </w:r>
    </w:p>
    <w:p w:rsidR="00000000" w:rsidRDefault="006F0BE7">
      <w:r>
        <w:t> </w:t>
      </w:r>
    </w:p>
    <w:p w:rsidR="00000000" w:rsidRDefault="006F0BE7">
      <w:r>
        <w:t>14. Государственная таможенная служба при Правительстве Кыргызской Республики через свои региональные подразделения будет нести ответственность за своевременное осуществление ПП</w:t>
      </w:r>
      <w:r>
        <w:t xml:space="preserve"> и подготовку Отчета о завершении ПП. Государственная таможенная служба при Правительстве Кыргызской Республики предоставит отчет о завершении ПП консультанту по надзору за строительством, в котором удостоверит ПП и подготовит отчет о соблюдении требований</w:t>
      </w:r>
      <w:r>
        <w:t>. Отчет о завершении ПП, а также отчет о соблюдении требований будут представлены в АБР для обзора. Строительные гражданские работы начнутся только после того, как АБР проведет обзор этих отчетов.</w:t>
      </w:r>
    </w:p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</w:rPr>
        <w:t>I. План действий но реализации ПП</w:t>
      </w:r>
    </w:p>
    <w:p w:rsidR="00000000" w:rsidRDefault="006F0BE7"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3"/>
        <w:gridCol w:w="3148"/>
      </w:tblGrid>
      <w:tr w:rsidR="00000000">
        <w:tc>
          <w:tcPr>
            <w:tcW w:w="1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 xml:space="preserve">Мероприятия </w:t>
            </w:r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 xml:space="preserve">Ответственные лица </w:t>
            </w:r>
          </w:p>
        </w:tc>
      </w:tr>
      <w:tr w:rsidR="00000000">
        <w:tc>
          <w:tcPr>
            <w:tcW w:w="1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1. Реализация ПП, размещение ПП на вебсайте АБР к ИА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МЭ, ГТС, МСУ</w:t>
            </w:r>
          </w:p>
        </w:tc>
      </w:tr>
      <w:tr w:rsidR="00000000">
        <w:tc>
          <w:tcPr>
            <w:tcW w:w="1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2. Подготовка отчета о завершении ПП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ГТС, МЭ</w:t>
            </w:r>
          </w:p>
        </w:tc>
      </w:tr>
      <w:tr w:rsidR="00000000">
        <w:tc>
          <w:tcPr>
            <w:tcW w:w="1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3. Подготовка отчета о соблюдении требований ПП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ГТС</w:t>
            </w:r>
          </w:p>
        </w:tc>
      </w:tr>
      <w:tr w:rsidR="00000000">
        <w:tc>
          <w:tcPr>
            <w:tcW w:w="1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 xml:space="preserve">4. Обзор отчета о завершении/ соблюдении требовании и </w:t>
            </w:r>
            <w:r>
              <w:t>письмо от ЛБР о ЛБР разрешении на проведение строительных работ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АБР</w:t>
            </w:r>
          </w:p>
        </w:tc>
      </w:tr>
      <w:tr w:rsidR="00000000">
        <w:tc>
          <w:tcPr>
            <w:tcW w:w="1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5. Размещение отчета о соблюдении требований ПП на вебсайте АБР и ИА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0BE7">
            <w:r>
              <w:t>МЭ, АБР</w:t>
            </w:r>
          </w:p>
        </w:tc>
      </w:tr>
    </w:tbl>
    <w:p w:rsidR="00000000" w:rsidRDefault="006F0BE7">
      <w:r>
        <w:t> </w:t>
      </w:r>
    </w:p>
    <w:p w:rsidR="00000000" w:rsidRDefault="006F0BE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J</w:t>
      </w:r>
      <w:r>
        <w:rPr>
          <w:rFonts w:eastAsia="Times New Roman"/>
        </w:rPr>
        <w:t>. Мониторинг и отчетность</w:t>
      </w:r>
    </w:p>
    <w:p w:rsidR="00000000" w:rsidRDefault="006F0BE7">
      <w:r>
        <w:t> </w:t>
      </w:r>
    </w:p>
    <w:p w:rsidR="00000000" w:rsidRDefault="006F0BE7">
      <w:r>
        <w:t xml:space="preserve">15 Консультант но надзору за строительством и Постоянное </w:t>
      </w:r>
      <w:r>
        <w:t>представительство АБР в Кыргызской Республике, посредством своего национального специалиста по переселению в рамках RETA 7433, будут осуществлять мониторинг и обеспечивать осуществление, реализацию и документирование всех необходимых шагов в соответствии с</w:t>
      </w:r>
      <w:r>
        <w:t xml:space="preserve"> Планом действий по реализации.</w:t>
      </w:r>
    </w:p>
    <w:p w:rsidR="00000000" w:rsidRDefault="006F0BE7">
      <w:r>
        <w:t> </w:t>
      </w:r>
    </w:p>
    <w:p w:rsidR="00000000" w:rsidRDefault="006F0BE7">
      <w:pPr>
        <w:pStyle w:val="3"/>
        <w:rPr>
          <w:rFonts w:eastAsia="Times New Roman"/>
        </w:rPr>
      </w:pPr>
      <w:r>
        <w:rPr>
          <w:rFonts w:eastAsia="Times New Roman"/>
        </w:rPr>
        <w:t>Приложение - 1. Фотографии участка, подпадающего под воздействие</w:t>
      </w:r>
    </w:p>
    <w:p w:rsidR="00000000" w:rsidRDefault="006F0BE7">
      <w:pPr>
        <w:jc w:val="center"/>
      </w:pPr>
      <w:r>
        <w:t>Общий вид участка, подпадающего под воздействие: в северо-западном направлении</w:t>
      </w:r>
    </w:p>
    <w:p w:rsidR="00000000" w:rsidRDefault="006F0BE7">
      <w:r>
        <w:t> </w:t>
      </w:r>
    </w:p>
    <w:p w:rsidR="00000000" w:rsidRDefault="006F0BE7">
      <w:pPr>
        <w:jc w:val="center"/>
      </w:pPr>
      <w:r>
        <w:rPr>
          <w:noProof/>
        </w:rPr>
        <w:drawing>
          <wp:inline distT="0" distB="0" distL="0" distR="0">
            <wp:extent cx="4829175" cy="3019425"/>
            <wp:effectExtent l="0" t="0" r="9525" b="9525"/>
            <wp:docPr id="2" name="Рисунок 3" descr="Описание: Описание: Описание: Описание: C:\Users\User\AppData\Local\Temp\CdbDocEditor\4a587834-34a4-4659-9610-6d04aa484a1f\document.fil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C:\Users\User\AppData\Local\Temp\CdbDocEditor\4a587834-34a4-4659-9610-6d04aa484a1f\document.files\image00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F0BE7">
      <w:r>
        <w:t> </w:t>
      </w:r>
    </w:p>
    <w:p w:rsidR="00000000" w:rsidRDefault="006F0BE7">
      <w:pPr>
        <w:jc w:val="center"/>
      </w:pPr>
      <w:r>
        <w:t>Вид участка, подпадающего под воздействие, и дорога на заднем плане: в западном направлении</w:t>
      </w:r>
    </w:p>
    <w:p w:rsidR="00000000" w:rsidRDefault="006F0BE7">
      <w:r>
        <w:t> </w:t>
      </w:r>
    </w:p>
    <w:p w:rsidR="00000000" w:rsidRDefault="006F0BE7">
      <w:pPr>
        <w:jc w:val="center"/>
      </w:pPr>
      <w:r>
        <w:rPr>
          <w:noProof/>
        </w:rPr>
        <w:drawing>
          <wp:inline distT="0" distB="0" distL="0" distR="0">
            <wp:extent cx="8591550" cy="3276600"/>
            <wp:effectExtent l="0" t="0" r="0" b="0"/>
            <wp:docPr id="3" name="Рисунок 2" descr="Описание: Описание: Описание: Описание: C:\Users\User\AppData\Local\Temp\CdbDocEditor\4a587834-34a4-4659-9610-6d04aa484a1f\document.files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C:\Users\User\AppData\Local\Temp\CdbDocEditor\4a587834-34a4-4659-9610-6d04aa484a1f\document.files\image00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F0BE7">
      <w:r>
        <w:t> </w:t>
      </w:r>
    </w:p>
    <w:p w:rsidR="00000000" w:rsidRDefault="006F0BE7">
      <w:r>
        <w:t> </w:t>
      </w:r>
    </w:p>
    <w:p w:rsidR="00000000" w:rsidRDefault="006F0BE7">
      <w:pPr>
        <w:jc w:val="center"/>
      </w:pPr>
      <w:r>
        <w:rPr>
          <w:noProof/>
        </w:rPr>
        <w:drawing>
          <wp:inline distT="0" distB="0" distL="0" distR="0">
            <wp:extent cx="3800475" cy="3038475"/>
            <wp:effectExtent l="0" t="0" r="9525" b="9525"/>
            <wp:docPr id="4" name="Рисунок 4" descr="Описание: Описание: Описание: Описание: Z:\Наргиза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Описание: Описание: Z:\Наргиза\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F0BE7">
      <w:r>
        <w:t> </w:t>
      </w:r>
    </w:p>
    <w:p w:rsidR="00000000" w:rsidRDefault="006F0BE7">
      <w:pPr>
        <w:jc w:val="center"/>
      </w:pPr>
      <w:r>
        <w:t>Вид уч</w:t>
      </w:r>
      <w:r>
        <w:t xml:space="preserve">астка, подпадающего под воздействие, со стороны дороги: </w:t>
      </w:r>
    </w:p>
    <w:p w:rsidR="00000000" w:rsidRDefault="006F0BE7">
      <w:pPr>
        <w:jc w:val="center"/>
      </w:pPr>
      <w:r>
        <w:t>в северо-восточном направлении</w:t>
      </w:r>
    </w:p>
    <w:p w:rsidR="00000000" w:rsidRDefault="006F0BE7">
      <w:r>
        <w:t> </w:t>
      </w:r>
    </w:p>
    <w:p w:rsidR="00000000" w:rsidRDefault="006F0BE7">
      <w:pPr>
        <w:jc w:val="center"/>
      </w:pPr>
      <w:r>
        <w:rPr>
          <w:noProof/>
        </w:rPr>
        <w:drawing>
          <wp:inline distT="0" distB="0" distL="0" distR="0">
            <wp:extent cx="3152775" cy="2638425"/>
            <wp:effectExtent l="0" t="0" r="9525" b="9525"/>
            <wp:docPr id="5" name="Рисунок 5" descr="Описание: C:\Users\User\AppData\Local\Temp\CdbDocEditor\fda8295a-e64e-4b36-a2e0-ddf7e5e8b823\document.files\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User\AppData\Local\Temp\CdbDocEditor\fda8295a-e64e-4b36-a2e0-ddf7e5e8b823\document.files\image00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F0BE7">
      <w:r>
        <w:t> </w:t>
      </w:r>
    </w:p>
    <w:p w:rsidR="00000000" w:rsidRDefault="006F0BE7">
      <w:pPr>
        <w:jc w:val="center"/>
      </w:pPr>
      <w:r>
        <w:t>Приложение 2: Экспликация ППГ Карамык</w:t>
      </w:r>
    </w:p>
    <w:p w:rsidR="00000000" w:rsidRDefault="006F0BE7">
      <w:r>
        <w:t> </w:t>
      </w:r>
    </w:p>
    <w:p w:rsidR="00000000" w:rsidRDefault="006F0BE7">
      <w:pPr>
        <w:jc w:val="center"/>
      </w:pPr>
      <w:r>
        <w:rPr>
          <w:noProof/>
        </w:rPr>
        <w:drawing>
          <wp:inline distT="0" distB="0" distL="0" distR="0">
            <wp:extent cx="4914900" cy="3867150"/>
            <wp:effectExtent l="0" t="0" r="0" b="0"/>
            <wp:docPr id="6" name="Рисунок 6" descr="Описание: C:\Users\User\AppData\Local\Temp\CdbDocEditor\fda8295a-e64e-4b36-a2e0-ddf7e5e8b823\document.files\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User\AppData\Local\Temp\CdbDocEditor\fda8295a-e64e-4b36-a2e0-ddf7e5e8b823\document.files\image00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F0BE7">
      <w:r>
        <w:t> </w:t>
      </w:r>
    </w:p>
    <w:p w:rsidR="00000000" w:rsidRDefault="006F0BE7">
      <w:pPr>
        <w:jc w:val="center"/>
      </w:pPr>
      <w:r>
        <w:t>Приложение - 3. Методология определения права на компенсацию для ЛПВ</w:t>
      </w:r>
    </w:p>
    <w:p w:rsidR="00000000" w:rsidRDefault="006F0BE7">
      <w:r>
        <w:t> </w:t>
      </w:r>
    </w:p>
    <w:p w:rsidR="00000000" w:rsidRDefault="006F0BE7">
      <w:pPr>
        <w:jc w:val="right"/>
      </w:pPr>
      <w:r>
        <w:t>Таблица 6.</w:t>
      </w:r>
    </w:p>
    <w:p w:rsidR="00000000" w:rsidRDefault="006F0BE7">
      <w:r>
        <w:t> </w:t>
      </w:r>
    </w:p>
    <w:p w:rsidR="00000000" w:rsidRDefault="006F0BE7">
      <w:pPr>
        <w:jc w:val="center"/>
      </w:pPr>
      <w:r>
        <w:t>Главные переменные для расчета вели величины компе</w:t>
      </w:r>
      <w:r>
        <w:t>нсации</w:t>
      </w:r>
    </w:p>
    <w:p w:rsidR="00000000" w:rsidRDefault="006F0BE7">
      <w:r>
        <w:t> </w:t>
      </w:r>
    </w:p>
    <w:tbl>
      <w:tblPr>
        <w:tblW w:w="5000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"/>
        <w:gridCol w:w="1893"/>
        <w:gridCol w:w="928"/>
        <w:gridCol w:w="1054"/>
        <w:gridCol w:w="1372"/>
        <w:gridCol w:w="1952"/>
        <w:gridCol w:w="911"/>
        <w:gridCol w:w="971"/>
        <w:gridCol w:w="1539"/>
      </w:tblGrid>
      <w:tr w:rsidR="00000000">
        <w:trPr>
          <w:trHeight w:val="1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</w:pPr>
            <w:r>
              <w:t> 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</w:pPr>
            <w:r>
              <w:t>Возделываемая культура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  <w:ind w:firstLine="0"/>
            </w:pPr>
            <w:r>
              <w:t>Урожай на 1 га'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  <w:ind w:firstLine="0"/>
            </w:pPr>
            <w:r>
              <w:t>Цена на культуру в 2012</w:t>
            </w:r>
            <w:r>
              <w:rPr>
                <w:vertAlign w:val="superscript"/>
              </w:rPr>
              <w:t>8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  <w:ind w:firstLine="0"/>
            </w:pPr>
            <w:r>
              <w:t>Расходы на конкретные культуры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  <w:ind w:firstLine="0"/>
            </w:pPr>
            <w:r>
              <w:t>Площадь возделываемого участка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  <w:ind w:firstLine="0"/>
            </w:pPr>
            <w:r>
              <w:t>Чистый доход за 1 год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  <w:ind w:firstLine="0"/>
            </w:pPr>
            <w:r>
              <w:t>Кол-во с/х сезонов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92" w:lineRule="atLeast"/>
              <w:ind w:firstLine="0"/>
            </w:pPr>
            <w:r>
              <w:t>Общий размер компенсации</w:t>
            </w:r>
          </w:p>
        </w:tc>
      </w:tr>
      <w:tr w:rsidR="00000000">
        <w:trPr>
          <w:trHeight w:val="154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 xml:space="preserve">Абдиля Темирбаев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 xml:space="preserve">Пшеница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ind w:firstLine="0"/>
            </w:pPr>
            <w:r>
              <w:t>3500 кг</w:t>
            </w:r>
          </w:p>
          <w:p w:rsidR="00000000" w:rsidRDefault="006F0BE7">
            <w:pPr>
              <w:spacing w:line="154" w:lineRule="atLeast"/>
              <w:ind w:firstLine="0"/>
            </w:pPr>
            <w: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  <w:ind w:firstLine="0"/>
            </w:pPr>
            <w:r>
              <w:t>15 сомов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  <w:ind w:firstLine="0"/>
            </w:pPr>
            <w:r>
              <w:t>22250 сомов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0.1 га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  <w:ind w:firstLine="0"/>
            </w:pPr>
            <w:r>
              <w:t>3025 сомов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6050 сомов</w:t>
            </w:r>
          </w:p>
        </w:tc>
      </w:tr>
      <w:tr w:rsidR="00000000">
        <w:trPr>
          <w:trHeight w:val="149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 xml:space="preserve">Сулайман Аширалиев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Кормовые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  <w:ind w:firstLine="0"/>
            </w:pPr>
            <w:r>
              <w:t>230 тюков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  <w:ind w:firstLine="0"/>
            </w:pPr>
            <w:r>
              <w:t>200 сомов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  <w:ind w:firstLine="0"/>
            </w:pPr>
            <w:r>
              <w:t>19000 сомов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0,2 га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  <w:ind w:firstLine="0"/>
            </w:pPr>
            <w:r>
              <w:t>5400 сомов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49" w:lineRule="atLeast"/>
            </w:pPr>
            <w:r>
              <w:t>10800 сомов</w:t>
            </w:r>
          </w:p>
        </w:tc>
      </w:tr>
      <w:tr w:rsidR="00000000">
        <w:trPr>
          <w:trHeight w:val="163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Мырза Усонов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Картофель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  <w:ind w:firstLine="0"/>
            </w:pPr>
            <w:r>
              <w:t>22500 кг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  <w:ind w:firstLine="0"/>
            </w:pPr>
            <w:r>
              <w:t>15 сомов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  <w:ind w:firstLine="0"/>
            </w:pPr>
            <w:r>
              <w:t>131500 сомов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0,15 га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  <w:ind w:firstLine="0"/>
            </w:pPr>
            <w:r>
              <w:t>30900 сомов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3" w:lineRule="atLeast"/>
            </w:pPr>
            <w:r>
              <w:t>61800 сомов</w:t>
            </w:r>
          </w:p>
        </w:tc>
      </w:tr>
    </w:tbl>
    <w:p w:rsidR="00000000" w:rsidRDefault="006F0BE7">
      <w:r>
        <w:t> </w:t>
      </w:r>
    </w:p>
    <w:p w:rsidR="00000000" w:rsidRDefault="006F0BE7">
      <w:pPr>
        <w:pStyle w:val="3"/>
        <w:rPr>
          <w:rFonts w:eastAsia="Times New Roman"/>
        </w:rPr>
      </w:pPr>
      <w:r>
        <w:rPr>
          <w:rFonts w:eastAsia="Times New Roman"/>
        </w:rPr>
        <w:t>Формула для расчета компенсаций:</w:t>
      </w:r>
    </w:p>
    <w:p w:rsidR="00000000" w:rsidRDefault="006F0BE7">
      <w:r>
        <w:t> </w:t>
      </w:r>
    </w:p>
    <w:p w:rsidR="00000000" w:rsidRDefault="006F0BE7">
      <w:r>
        <w:rPr>
          <w:lang w:val="en-US"/>
        </w:rPr>
        <w:t>E</w:t>
      </w:r>
      <w:r>
        <w:rPr>
          <w:vertAlign w:val="subscript"/>
          <w:lang w:val="en-US"/>
        </w:rPr>
        <w:t>L</w:t>
      </w:r>
      <w:r>
        <w:t>=(</w:t>
      </w:r>
      <w:r>
        <w:rPr>
          <w:lang w:val="en-US"/>
        </w:rPr>
        <w:t>Y</w:t>
      </w:r>
      <w:r>
        <w:rPr>
          <w:vertAlign w:val="subscript"/>
        </w:rPr>
        <w:t xml:space="preserve">годовой </w:t>
      </w:r>
      <w:r>
        <w:t xml:space="preserve">* Р </w:t>
      </w:r>
      <w:r>
        <w:rPr>
          <w:vertAlign w:val="subscript"/>
        </w:rPr>
        <w:t>культура</w:t>
      </w:r>
      <w:r>
        <w:t xml:space="preserve"> – С </w:t>
      </w:r>
      <w:r>
        <w:rPr>
          <w:vertAlign w:val="subscript"/>
        </w:rPr>
        <w:t>конкретная культура</w:t>
      </w:r>
      <w:r>
        <w:t xml:space="preserve">) * </w:t>
      </w:r>
      <w:r>
        <w:rPr>
          <w:lang w:val="en-US"/>
        </w:rPr>
        <w:t xml:space="preserve">L </w:t>
      </w:r>
      <w:r>
        <w:rPr>
          <w:vertAlign w:val="subscript"/>
        </w:rPr>
        <w:t xml:space="preserve">арендованная земля </w:t>
      </w:r>
      <w:r>
        <w:t>*</w:t>
      </w:r>
      <w:r>
        <w:rPr>
          <w:lang w:val="en-US"/>
        </w:rPr>
        <w:t xml:space="preserve">Q </w:t>
      </w:r>
      <w:r>
        <w:rPr>
          <w:vertAlign w:val="subscript"/>
        </w:rPr>
        <w:t>с/х сезон</w:t>
      </w:r>
      <w:r>
        <w:t xml:space="preserve"> ;</w:t>
      </w:r>
    </w:p>
    <w:p w:rsidR="00000000" w:rsidRDefault="006F0BE7">
      <w:r>
        <w:t> </w:t>
      </w:r>
    </w:p>
    <w:p w:rsidR="00000000" w:rsidRDefault="006F0BE7">
      <w:r>
        <w:t>где:</w:t>
      </w:r>
    </w:p>
    <w:p w:rsidR="00000000" w:rsidRDefault="006F0BE7">
      <w:r>
        <w:rPr>
          <w:lang w:val="en-US"/>
        </w:rPr>
        <w:t>E</w:t>
      </w:r>
      <w:r>
        <w:rPr>
          <w:vertAlign w:val="subscript"/>
          <w:lang w:val="en-US"/>
        </w:rPr>
        <w:t>L</w:t>
      </w:r>
      <w:r>
        <w:rPr>
          <w:lang w:val="en-US"/>
        </w:rPr>
        <w:t xml:space="preserve"> </w:t>
      </w:r>
      <w:r>
        <w:t>– компенсация за утрату аренды</w:t>
      </w:r>
    </w:p>
    <w:p w:rsidR="00000000" w:rsidRDefault="006F0BE7">
      <w:r>
        <w:rPr>
          <w:lang w:val="en-US"/>
        </w:rPr>
        <w:t>Y</w:t>
      </w:r>
      <w:r>
        <w:rPr>
          <w:vertAlign w:val="subscript"/>
        </w:rPr>
        <w:t>годовой</w:t>
      </w:r>
      <w:r>
        <w:t xml:space="preserve"> – годовой урожай на 1 га </w:t>
      </w:r>
    </w:p>
    <w:p w:rsidR="00000000" w:rsidRDefault="006F0BE7">
      <w:r>
        <w:t xml:space="preserve">Р </w:t>
      </w:r>
      <w:r>
        <w:rPr>
          <w:vertAlign w:val="subscript"/>
        </w:rPr>
        <w:t>к</w:t>
      </w:r>
      <w:r>
        <w:rPr>
          <w:vertAlign w:val="subscript"/>
        </w:rPr>
        <w:t>ультура</w:t>
      </w:r>
      <w:r>
        <w:t xml:space="preserve"> – цена за культуру</w:t>
      </w:r>
    </w:p>
    <w:p w:rsidR="00000000" w:rsidRDefault="006F0BE7">
      <w:r>
        <w:t xml:space="preserve">С </w:t>
      </w:r>
      <w:r>
        <w:rPr>
          <w:vertAlign w:val="subscript"/>
        </w:rPr>
        <w:t>конкретная культура</w:t>
      </w:r>
      <w:r>
        <w:t xml:space="preserve"> – затраты на выращивание культуры </w:t>
      </w:r>
    </w:p>
    <w:p w:rsidR="00000000" w:rsidRDefault="006F0BE7">
      <w:r>
        <w:rPr>
          <w:lang w:val="en-US"/>
        </w:rPr>
        <w:t xml:space="preserve">L </w:t>
      </w:r>
      <w:r>
        <w:rPr>
          <w:vertAlign w:val="subscript"/>
        </w:rPr>
        <w:t>арендованная земля</w:t>
      </w:r>
      <w:r>
        <w:t xml:space="preserve"> – площадь возделываемого участка </w:t>
      </w:r>
    </w:p>
    <w:p w:rsidR="00000000" w:rsidRDefault="006F0BE7">
      <w:r>
        <w:rPr>
          <w:lang w:val="en-US"/>
        </w:rPr>
        <w:t xml:space="preserve">Q </w:t>
      </w:r>
      <w:r>
        <w:rPr>
          <w:vertAlign w:val="subscript"/>
        </w:rPr>
        <w:t>с/х сезон</w:t>
      </w:r>
      <w:r>
        <w:t xml:space="preserve"> – кол-во с/х сезонов</w:t>
      </w:r>
    </w:p>
    <w:p w:rsidR="00000000" w:rsidRDefault="006F0BE7">
      <w:r>
        <w:t> </w:t>
      </w:r>
    </w:p>
    <w:p w:rsidR="00000000" w:rsidRDefault="006F0BE7">
      <w:pPr>
        <w:jc w:val="right"/>
      </w:pPr>
      <w:r>
        <w:t>Таблица 7.</w:t>
      </w:r>
    </w:p>
    <w:p w:rsidR="00000000" w:rsidRDefault="006F0BE7">
      <w:r>
        <w:t> </w:t>
      </w:r>
    </w:p>
    <w:p w:rsidR="00000000" w:rsidRDefault="006F0BE7">
      <w:r>
        <w:t>Расчет затрат на выращивание конкретной культуры на 1 га (2012 г.)</w:t>
      </w:r>
    </w:p>
    <w:p w:rsidR="00000000" w:rsidRDefault="006F0BE7">
      <w:r>
        <w:t> </w:t>
      </w:r>
    </w:p>
    <w:tbl>
      <w:tblPr>
        <w:tblW w:w="5000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918"/>
        <w:gridCol w:w="814"/>
        <w:gridCol w:w="847"/>
        <w:gridCol w:w="1479"/>
        <w:gridCol w:w="977"/>
        <w:gridCol w:w="951"/>
        <w:gridCol w:w="1506"/>
        <w:gridCol w:w="2183"/>
        <w:gridCol w:w="910"/>
      </w:tblGrid>
      <w:tr w:rsidR="00000000">
        <w:trPr>
          <w:trHeight w:val="350"/>
        </w:trPr>
        <w:tc>
          <w:tcPr>
            <w:tcW w:w="1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Пахота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Посев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Полив 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Удобрения</w:t>
            </w:r>
            <w:r>
              <w:rPr>
                <w:rFonts w:eastAsia="Times New Roman"/>
                <w:vertAlign w:val="superscript"/>
              </w:rPr>
              <w:t>9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Семена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уборка урожая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Сортировка </w:t>
            </w:r>
          </w:p>
        </w:tc>
        <w:tc>
          <w:tcPr>
            <w:tcW w:w="2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Транспортировка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ВСЕГО</w:t>
            </w:r>
          </w:p>
        </w:tc>
      </w:tr>
      <w:tr w:rsidR="00000000">
        <w:trPr>
          <w:trHeight w:val="168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Картофель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2000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 xml:space="preserve">1500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21000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78000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 xml:space="preserve">4000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6000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15000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131500</w:t>
            </w:r>
          </w:p>
        </w:tc>
      </w:tr>
      <w:tr w:rsidR="00000000">
        <w:trPr>
          <w:trHeight w:val="154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Кормовые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2000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1500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1500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          -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5000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4000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         -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2000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19000</w:t>
            </w:r>
          </w:p>
        </w:tc>
      </w:tr>
      <w:tr w:rsidR="00000000">
        <w:trPr>
          <w:trHeight w:val="168"/>
        </w:trPr>
        <w:tc>
          <w:tcPr>
            <w:tcW w:w="53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(эспарцет)</w:t>
            </w:r>
          </w:p>
        </w:tc>
        <w:tc>
          <w:tcPr>
            <w:tcW w:w="47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 </w:t>
            </w:r>
          </w:p>
        </w:tc>
        <w:tc>
          <w:tcPr>
            <w:tcW w:w="57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68" w:lineRule="atLeast"/>
            </w:pPr>
            <w:r>
              <w:t> </w:t>
            </w:r>
          </w:p>
        </w:tc>
      </w:tr>
      <w:tr w:rsidR="00000000">
        <w:trPr>
          <w:trHeight w:val="154"/>
        </w:trPr>
        <w:tc>
          <w:tcPr>
            <w:tcW w:w="1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Пшеница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2000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1500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 xml:space="preserve">1500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6250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8000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4000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         -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2000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Default="006F0BE7">
            <w:pPr>
              <w:spacing w:line="154" w:lineRule="atLeast"/>
            </w:pPr>
            <w:r>
              <w:t>22250</w:t>
            </w:r>
          </w:p>
        </w:tc>
      </w:tr>
    </w:tbl>
    <w:p w:rsidR="00000000" w:rsidRDefault="006F0BE7">
      <w:r>
        <w:t>Источник: управление сельского хозяйства государственной администрации Чон-Алайского района Ошской области (2012 г.)</w:t>
      </w:r>
    </w:p>
    <w:p w:rsidR="00000000" w:rsidRDefault="006F0BE7">
      <w:r>
        <w:t>____________________</w:t>
      </w:r>
    </w:p>
    <w:p w:rsidR="00000000" w:rsidRDefault="006F0BE7">
      <w:r>
        <w:rPr>
          <w:vertAlign w:val="superscript"/>
        </w:rPr>
        <w:t>7</w:t>
      </w:r>
      <w:r>
        <w:t xml:space="preserve"> В качестве основы для расчета была принята средняя урожайность на 1 га. Разница в показателях годоного урожая на 1 га в Чон-Алайском районе для картофеля, кормовых (эспарцета) и пшеницы колеблется от 15 до 30 тонн, от 130 до 330 тюко</w:t>
      </w:r>
      <w:r>
        <w:t>в, и от 2 до 5 тонн, соответственно. Источник: МСУ Жекенди, 2012</w:t>
      </w:r>
    </w:p>
    <w:p w:rsidR="00000000" w:rsidRDefault="006F0BE7">
      <w:r>
        <w:rPr>
          <w:vertAlign w:val="superscript"/>
        </w:rPr>
        <w:t>8</w:t>
      </w:r>
      <w:r>
        <w:t xml:space="preserve"> Цены на сельскохозяйственные культуры в 2012 году были предоставлены МСУ Жекенди.</w:t>
      </w:r>
    </w:p>
    <w:p w:rsidR="006F0BE7" w:rsidRDefault="006F0BE7">
      <w:r>
        <w:rPr>
          <w:vertAlign w:val="superscript"/>
        </w:rPr>
        <w:t>9</w:t>
      </w:r>
      <w:r>
        <w:t xml:space="preserve"> Потребность в удобрениях на 1 га картофеля составляет 700 кг х 30 сомов; на 1 га пшеницы удобрении необхо</w:t>
      </w:r>
      <w:r>
        <w:t>димо 200 кг х 25 сомов. Для кормовых культур (эспарцета) обычно нет необходимости и удобрениях. Источник: управление сельского хозяйства государственной администрации Чон-Алайского района Oшской области (2012 г.)</w:t>
      </w:r>
    </w:p>
    <w:sectPr w:rsidR="006F0BE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07E83"/>
    <w:rsid w:val="006F0BE7"/>
    <w:rsid w:val="0080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 w:hint="default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Arial" w:hAnsi="Arial" w:cs="Arial" w:hint="default"/>
      <w:b/>
      <w:bCs/>
      <w:spacing w:val="5"/>
    </w:rPr>
  </w:style>
  <w:style w:type="paragraph" w:styleId="ab">
    <w:name w:val="Signature"/>
    <w:basedOn w:val="a"/>
    <w:link w:val="ac"/>
    <w:uiPriority w:val="99"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Style6">
    <w:name w:val="Style6"/>
    <w:basedOn w:val="a"/>
    <w:pPr>
      <w:autoSpaceDE w:val="0"/>
      <w:autoSpaceDN w:val="0"/>
      <w:spacing w:after="0"/>
      <w:ind w:firstLine="403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pPr>
      <w:autoSpaceDE w:val="0"/>
      <w:autoSpaceDN w:val="0"/>
      <w:spacing w:after="0"/>
      <w:ind w:firstLine="408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pPr>
      <w:autoSpaceDE w:val="0"/>
      <w:autoSpaceDN w:val="0"/>
      <w:spacing w:after="0"/>
      <w:ind w:firstLine="0"/>
      <w:jc w:val="left"/>
    </w:pPr>
    <w:rPr>
      <w:rFonts w:ascii="Microsoft Sans Serif" w:hAnsi="Microsoft Sans Serif" w:cs="Microsoft Sans Serif"/>
    </w:rPr>
  </w:style>
  <w:style w:type="paragraph" w:customStyle="1" w:styleId="Style1">
    <w:name w:val="Style1"/>
    <w:basedOn w:val="a"/>
    <w:pPr>
      <w:autoSpaceDE w:val="0"/>
      <w:autoSpaceDN w:val="0"/>
      <w:spacing w:after="0" w:line="265" w:lineRule="atLeast"/>
      <w:ind w:firstLine="504"/>
    </w:pPr>
    <w:rPr>
      <w:rFonts w:ascii="Microsoft Sans Serif" w:hAnsi="Microsoft Sans Serif" w:cs="Microsoft Sans Serif"/>
    </w:rPr>
  </w:style>
  <w:style w:type="paragraph" w:customStyle="1" w:styleId="Style12">
    <w:name w:val="Style12"/>
    <w:basedOn w:val="a"/>
    <w:pPr>
      <w:autoSpaceDE w:val="0"/>
      <w:autoSpaceDN w:val="0"/>
      <w:spacing w:after="0"/>
      <w:ind w:firstLine="0"/>
      <w:jc w:val="left"/>
    </w:pPr>
    <w:rPr>
      <w:rFonts w:ascii="Microsoft Sans Serif" w:hAnsi="Microsoft Sans Serif" w:cs="Microsoft Sans Serif"/>
    </w:rPr>
  </w:style>
  <w:style w:type="paragraph" w:customStyle="1" w:styleId="tkNazvanie">
    <w:name w:val="_Название (tkNazvanie)"/>
    <w:basedOn w:val="a"/>
    <w:pPr>
      <w:spacing w:before="400" w:after="400" w:line="276" w:lineRule="auto"/>
      <w:ind w:left="1134" w:right="1134" w:firstLine="0"/>
      <w:jc w:val="center"/>
    </w:pPr>
    <w:rPr>
      <w:b/>
      <w:bCs/>
    </w:rPr>
  </w:style>
  <w:style w:type="paragraph" w:customStyle="1" w:styleId="tkRekvizit">
    <w:name w:val="_Реквизит (tkRekvizit)"/>
    <w:basedOn w:val="a"/>
    <w:pPr>
      <w:spacing w:before="200" w:after="200" w:line="276" w:lineRule="auto"/>
      <w:ind w:firstLine="0"/>
      <w:jc w:val="center"/>
    </w:pPr>
    <w:rPr>
      <w:i/>
      <w:iCs/>
      <w:sz w:val="20"/>
      <w:szCs w:val="20"/>
    </w:rPr>
  </w:style>
  <w:style w:type="paragraph" w:customStyle="1" w:styleId="tkTekst">
    <w:name w:val="_Текст обычный (tkTekst)"/>
    <w:basedOn w:val="a"/>
    <w:pPr>
      <w:spacing w:after="60" w:line="276" w:lineRule="auto"/>
      <w:ind w:firstLine="567"/>
    </w:pPr>
    <w:rPr>
      <w:sz w:val="20"/>
      <w:szCs w:val="20"/>
    </w:rPr>
  </w:style>
  <w:style w:type="paragraph" w:customStyle="1" w:styleId="tkPodpis">
    <w:name w:val="_Подпись (tkPodpis)"/>
    <w:basedOn w:val="a"/>
    <w:pPr>
      <w:spacing w:after="60" w:line="276" w:lineRule="auto"/>
      <w:ind w:firstLine="0"/>
      <w:jc w:val="left"/>
    </w:pPr>
    <w:rPr>
      <w:b/>
      <w:bCs/>
      <w:sz w:val="20"/>
      <w:szCs w:val="2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Style13">
    <w:name w:val="Style13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paragraph" w:customStyle="1" w:styleId="Style14">
    <w:name w:val="Style14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paragraph" w:customStyle="1" w:styleId="Style20">
    <w:name w:val="Style20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paragraph" w:customStyle="1" w:styleId="Style22">
    <w:name w:val="Style22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  <w:style w:type="character" w:customStyle="1" w:styleId="FontStyle20">
    <w:name w:val="Font Style20"/>
    <w:basedOn w:val="a0"/>
    <w:rPr>
      <w:rFonts w:ascii="Times New Roman" w:hAnsi="Times New Roman" w:cs="Times New Roman" w:hint="default"/>
      <w:b/>
      <w:bCs/>
    </w:rPr>
  </w:style>
  <w:style w:type="character" w:customStyle="1" w:styleId="FontStyle24">
    <w:name w:val="Font Style24"/>
    <w:basedOn w:val="a0"/>
    <w:rPr>
      <w:rFonts w:ascii="Times New Roman" w:hAnsi="Times New Roman" w:cs="Times New Roman" w:hint="default"/>
    </w:rPr>
  </w:style>
  <w:style w:type="character" w:customStyle="1" w:styleId="FontStyle30">
    <w:name w:val="Font Style30"/>
    <w:basedOn w:val="a0"/>
    <w:rPr>
      <w:rFonts w:ascii="Times New Roman" w:hAnsi="Times New Roman" w:cs="Times New Roman" w:hint="default"/>
    </w:rPr>
  </w:style>
  <w:style w:type="character" w:customStyle="1" w:styleId="FontStyle26">
    <w:name w:val="Font Style26"/>
    <w:basedOn w:val="a0"/>
    <w:rPr>
      <w:rFonts w:ascii="Times New Roman" w:hAnsi="Times New Roman" w:cs="Times New Roman" w:hint="default"/>
    </w:rPr>
  </w:style>
  <w:style w:type="character" w:customStyle="1" w:styleId="FontStyle29">
    <w:name w:val="Font Style29"/>
    <w:basedOn w:val="a0"/>
    <w:rPr>
      <w:rFonts w:ascii="Times New Roman" w:hAnsi="Times New Roman" w:cs="Times New Roman" w:hint="default"/>
      <w:b/>
      <w:bCs/>
    </w:rPr>
  </w:style>
  <w:style w:type="character" w:customStyle="1" w:styleId="FontStyle31">
    <w:name w:val="Font Style31"/>
    <w:basedOn w:val="a0"/>
    <w:rPr>
      <w:rFonts w:ascii="Cambria" w:hAnsi="Cambria" w:hint="default"/>
      <w:b/>
      <w:bCs/>
      <w:spacing w:val="10"/>
    </w:rPr>
  </w:style>
  <w:style w:type="character" w:customStyle="1" w:styleId="FontStyle32">
    <w:name w:val="Font Style32"/>
    <w:basedOn w:val="a0"/>
    <w:rPr>
      <w:rFonts w:ascii="Times New Roman" w:hAnsi="Times New Roman" w:cs="Times New Roman" w:hint="default"/>
      <w:b/>
      <w:bCs/>
    </w:rPr>
  </w:style>
  <w:style w:type="character" w:customStyle="1" w:styleId="FontStyle35">
    <w:name w:val="Font Style35"/>
    <w:basedOn w:val="a0"/>
    <w:rPr>
      <w:rFonts w:ascii="Times New Roman" w:hAnsi="Times New Roman" w:cs="Times New Roman" w:hint="default"/>
    </w:rPr>
  </w:style>
  <w:style w:type="character" w:customStyle="1" w:styleId="FontStyle40">
    <w:name w:val="Font Style40"/>
    <w:basedOn w:val="a0"/>
    <w:rPr>
      <w:rFonts w:ascii="Times New Roman" w:hAnsi="Times New Roman" w:cs="Times New Roman" w:hint="default"/>
      <w:b/>
      <w:bCs/>
    </w:rPr>
  </w:style>
  <w:style w:type="character" w:customStyle="1" w:styleId="FontStyle41">
    <w:name w:val="Font Style41"/>
    <w:basedOn w:val="a0"/>
    <w:rPr>
      <w:rFonts w:ascii="Times New Roman" w:hAnsi="Times New Roman" w:cs="Times New Roman" w:hint="default"/>
      <w:b/>
      <w:bCs/>
      <w:spacing w:val="20"/>
    </w:rPr>
  </w:style>
  <w:style w:type="character" w:customStyle="1" w:styleId="FontStyle42">
    <w:name w:val="Font Style42"/>
    <w:basedOn w:val="a0"/>
    <w:rPr>
      <w:rFonts w:ascii="Times New Roman" w:hAnsi="Times New Roman" w:cs="Times New Roman" w:hint="default"/>
      <w:b/>
      <w:bCs/>
      <w:smallCaps/>
      <w:spacing w:val="10"/>
    </w:rPr>
  </w:style>
  <w:style w:type="character" w:customStyle="1" w:styleId="FontStyle43">
    <w:name w:val="Font Style43"/>
    <w:basedOn w:val="a0"/>
    <w:rPr>
      <w:rFonts w:ascii="Times New Roman" w:hAnsi="Times New Roman" w:cs="Times New Roman" w:hint="default"/>
    </w:rPr>
  </w:style>
  <w:style w:type="character" w:customStyle="1" w:styleId="FontStyle44">
    <w:name w:val="Font Style44"/>
    <w:basedOn w:val="a0"/>
    <w:rPr>
      <w:rFonts w:ascii="Times New Roman" w:hAnsi="Times New Roman" w:cs="Times New Roman" w:hint="default"/>
      <w:b/>
      <w:bCs/>
    </w:rPr>
  </w:style>
  <w:style w:type="character" w:customStyle="1" w:styleId="FontStyle46">
    <w:name w:val="Font Style46"/>
    <w:basedOn w:val="a0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 w:hint="default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Arial" w:hAnsi="Arial" w:cs="Arial" w:hint="default"/>
      <w:b/>
      <w:bCs/>
      <w:spacing w:val="5"/>
    </w:rPr>
  </w:style>
  <w:style w:type="paragraph" w:styleId="ab">
    <w:name w:val="Signature"/>
    <w:basedOn w:val="a"/>
    <w:link w:val="ac"/>
    <w:uiPriority w:val="99"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Style6">
    <w:name w:val="Style6"/>
    <w:basedOn w:val="a"/>
    <w:pPr>
      <w:autoSpaceDE w:val="0"/>
      <w:autoSpaceDN w:val="0"/>
      <w:spacing w:after="0"/>
      <w:ind w:firstLine="403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pPr>
      <w:autoSpaceDE w:val="0"/>
      <w:autoSpaceDN w:val="0"/>
      <w:spacing w:after="0"/>
      <w:ind w:firstLine="408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pPr>
      <w:autoSpaceDE w:val="0"/>
      <w:autoSpaceDN w:val="0"/>
      <w:spacing w:after="0"/>
      <w:ind w:firstLine="0"/>
      <w:jc w:val="left"/>
    </w:pPr>
    <w:rPr>
      <w:rFonts w:ascii="Microsoft Sans Serif" w:hAnsi="Microsoft Sans Serif" w:cs="Microsoft Sans Serif"/>
    </w:rPr>
  </w:style>
  <w:style w:type="paragraph" w:customStyle="1" w:styleId="Style1">
    <w:name w:val="Style1"/>
    <w:basedOn w:val="a"/>
    <w:pPr>
      <w:autoSpaceDE w:val="0"/>
      <w:autoSpaceDN w:val="0"/>
      <w:spacing w:after="0" w:line="265" w:lineRule="atLeast"/>
      <w:ind w:firstLine="504"/>
    </w:pPr>
    <w:rPr>
      <w:rFonts w:ascii="Microsoft Sans Serif" w:hAnsi="Microsoft Sans Serif" w:cs="Microsoft Sans Serif"/>
    </w:rPr>
  </w:style>
  <w:style w:type="paragraph" w:customStyle="1" w:styleId="Style12">
    <w:name w:val="Style12"/>
    <w:basedOn w:val="a"/>
    <w:pPr>
      <w:autoSpaceDE w:val="0"/>
      <w:autoSpaceDN w:val="0"/>
      <w:spacing w:after="0"/>
      <w:ind w:firstLine="0"/>
      <w:jc w:val="left"/>
    </w:pPr>
    <w:rPr>
      <w:rFonts w:ascii="Microsoft Sans Serif" w:hAnsi="Microsoft Sans Serif" w:cs="Microsoft Sans Serif"/>
    </w:rPr>
  </w:style>
  <w:style w:type="paragraph" w:customStyle="1" w:styleId="tkNazvanie">
    <w:name w:val="_Название (tkNazvanie)"/>
    <w:basedOn w:val="a"/>
    <w:pPr>
      <w:spacing w:before="400" w:after="400" w:line="276" w:lineRule="auto"/>
      <w:ind w:left="1134" w:right="1134" w:firstLine="0"/>
      <w:jc w:val="center"/>
    </w:pPr>
    <w:rPr>
      <w:b/>
      <w:bCs/>
    </w:rPr>
  </w:style>
  <w:style w:type="paragraph" w:customStyle="1" w:styleId="tkRekvizit">
    <w:name w:val="_Реквизит (tkRekvizit)"/>
    <w:basedOn w:val="a"/>
    <w:pPr>
      <w:spacing w:before="200" w:after="200" w:line="276" w:lineRule="auto"/>
      <w:ind w:firstLine="0"/>
      <w:jc w:val="center"/>
    </w:pPr>
    <w:rPr>
      <w:i/>
      <w:iCs/>
      <w:sz w:val="20"/>
      <w:szCs w:val="20"/>
    </w:rPr>
  </w:style>
  <w:style w:type="paragraph" w:customStyle="1" w:styleId="tkTekst">
    <w:name w:val="_Текст обычный (tkTekst)"/>
    <w:basedOn w:val="a"/>
    <w:pPr>
      <w:spacing w:after="60" w:line="276" w:lineRule="auto"/>
      <w:ind w:firstLine="567"/>
    </w:pPr>
    <w:rPr>
      <w:sz w:val="20"/>
      <w:szCs w:val="20"/>
    </w:rPr>
  </w:style>
  <w:style w:type="paragraph" w:customStyle="1" w:styleId="tkPodpis">
    <w:name w:val="_Подпись (tkPodpis)"/>
    <w:basedOn w:val="a"/>
    <w:pPr>
      <w:spacing w:after="60" w:line="276" w:lineRule="auto"/>
      <w:ind w:firstLine="0"/>
      <w:jc w:val="left"/>
    </w:pPr>
    <w:rPr>
      <w:b/>
      <w:bCs/>
      <w:sz w:val="20"/>
      <w:szCs w:val="2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Style13">
    <w:name w:val="Style13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paragraph" w:customStyle="1" w:styleId="Style14">
    <w:name w:val="Style14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paragraph" w:customStyle="1" w:styleId="Style20">
    <w:name w:val="Style20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paragraph" w:customStyle="1" w:styleId="Style22">
    <w:name w:val="Style22"/>
    <w:basedOn w:val="a"/>
    <w:pPr>
      <w:autoSpaceDE w:val="0"/>
      <w:autoSpaceDN w:val="0"/>
      <w:spacing w:after="0"/>
      <w:ind w:firstLine="0"/>
      <w:jc w:val="left"/>
    </w:pPr>
    <w:rPr>
      <w:rFonts w:ascii="Times New Roman" w:hAnsi="Times New Roman" w:cs="Times New Roman"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  <w:style w:type="character" w:customStyle="1" w:styleId="FontStyle20">
    <w:name w:val="Font Style20"/>
    <w:basedOn w:val="a0"/>
    <w:rPr>
      <w:rFonts w:ascii="Times New Roman" w:hAnsi="Times New Roman" w:cs="Times New Roman" w:hint="default"/>
      <w:b/>
      <w:bCs/>
    </w:rPr>
  </w:style>
  <w:style w:type="character" w:customStyle="1" w:styleId="FontStyle24">
    <w:name w:val="Font Style24"/>
    <w:basedOn w:val="a0"/>
    <w:rPr>
      <w:rFonts w:ascii="Times New Roman" w:hAnsi="Times New Roman" w:cs="Times New Roman" w:hint="default"/>
    </w:rPr>
  </w:style>
  <w:style w:type="character" w:customStyle="1" w:styleId="FontStyle30">
    <w:name w:val="Font Style30"/>
    <w:basedOn w:val="a0"/>
    <w:rPr>
      <w:rFonts w:ascii="Times New Roman" w:hAnsi="Times New Roman" w:cs="Times New Roman" w:hint="default"/>
    </w:rPr>
  </w:style>
  <w:style w:type="character" w:customStyle="1" w:styleId="FontStyle26">
    <w:name w:val="Font Style26"/>
    <w:basedOn w:val="a0"/>
    <w:rPr>
      <w:rFonts w:ascii="Times New Roman" w:hAnsi="Times New Roman" w:cs="Times New Roman" w:hint="default"/>
    </w:rPr>
  </w:style>
  <w:style w:type="character" w:customStyle="1" w:styleId="FontStyle29">
    <w:name w:val="Font Style29"/>
    <w:basedOn w:val="a0"/>
    <w:rPr>
      <w:rFonts w:ascii="Times New Roman" w:hAnsi="Times New Roman" w:cs="Times New Roman" w:hint="default"/>
      <w:b/>
      <w:bCs/>
    </w:rPr>
  </w:style>
  <w:style w:type="character" w:customStyle="1" w:styleId="FontStyle31">
    <w:name w:val="Font Style31"/>
    <w:basedOn w:val="a0"/>
    <w:rPr>
      <w:rFonts w:ascii="Cambria" w:hAnsi="Cambria" w:hint="default"/>
      <w:b/>
      <w:bCs/>
      <w:spacing w:val="10"/>
    </w:rPr>
  </w:style>
  <w:style w:type="character" w:customStyle="1" w:styleId="FontStyle32">
    <w:name w:val="Font Style32"/>
    <w:basedOn w:val="a0"/>
    <w:rPr>
      <w:rFonts w:ascii="Times New Roman" w:hAnsi="Times New Roman" w:cs="Times New Roman" w:hint="default"/>
      <w:b/>
      <w:bCs/>
    </w:rPr>
  </w:style>
  <w:style w:type="character" w:customStyle="1" w:styleId="FontStyle35">
    <w:name w:val="Font Style35"/>
    <w:basedOn w:val="a0"/>
    <w:rPr>
      <w:rFonts w:ascii="Times New Roman" w:hAnsi="Times New Roman" w:cs="Times New Roman" w:hint="default"/>
    </w:rPr>
  </w:style>
  <w:style w:type="character" w:customStyle="1" w:styleId="FontStyle40">
    <w:name w:val="Font Style40"/>
    <w:basedOn w:val="a0"/>
    <w:rPr>
      <w:rFonts w:ascii="Times New Roman" w:hAnsi="Times New Roman" w:cs="Times New Roman" w:hint="default"/>
      <w:b/>
      <w:bCs/>
    </w:rPr>
  </w:style>
  <w:style w:type="character" w:customStyle="1" w:styleId="FontStyle41">
    <w:name w:val="Font Style41"/>
    <w:basedOn w:val="a0"/>
    <w:rPr>
      <w:rFonts w:ascii="Times New Roman" w:hAnsi="Times New Roman" w:cs="Times New Roman" w:hint="default"/>
      <w:b/>
      <w:bCs/>
      <w:spacing w:val="20"/>
    </w:rPr>
  </w:style>
  <w:style w:type="character" w:customStyle="1" w:styleId="FontStyle42">
    <w:name w:val="Font Style42"/>
    <w:basedOn w:val="a0"/>
    <w:rPr>
      <w:rFonts w:ascii="Times New Roman" w:hAnsi="Times New Roman" w:cs="Times New Roman" w:hint="default"/>
      <w:b/>
      <w:bCs/>
      <w:smallCaps/>
      <w:spacing w:val="10"/>
    </w:rPr>
  </w:style>
  <w:style w:type="character" w:customStyle="1" w:styleId="FontStyle43">
    <w:name w:val="Font Style43"/>
    <w:basedOn w:val="a0"/>
    <w:rPr>
      <w:rFonts w:ascii="Times New Roman" w:hAnsi="Times New Roman" w:cs="Times New Roman" w:hint="default"/>
    </w:rPr>
  </w:style>
  <w:style w:type="character" w:customStyle="1" w:styleId="FontStyle44">
    <w:name w:val="Font Style44"/>
    <w:basedOn w:val="a0"/>
    <w:rPr>
      <w:rFonts w:ascii="Times New Roman" w:hAnsi="Times New Roman" w:cs="Times New Roman" w:hint="default"/>
      <w:b/>
      <w:bCs/>
    </w:rPr>
  </w:style>
  <w:style w:type="character" w:customStyle="1" w:styleId="FontStyle46">
    <w:name w:val="Font Style46"/>
    <w:basedOn w:val="a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db:202913" TargetMode="External"/><Relationship Id="rId13" Type="http://schemas.openxmlformats.org/officeDocument/2006/relationships/image" Target="media/image5.gif"/><Relationship Id="rId3" Type="http://schemas.openxmlformats.org/officeDocument/2006/relationships/settings" Target="settings.xml"/><Relationship Id="rId7" Type="http://schemas.openxmlformats.org/officeDocument/2006/relationships/hyperlink" Target="cdb:202594" TargetMode="External"/><Relationship Id="rId12" Type="http://schemas.openxmlformats.org/officeDocument/2006/relationships/image" Target="media/image4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db:203944" TargetMode="External"/><Relationship Id="rId11" Type="http://schemas.openxmlformats.org/officeDocument/2006/relationships/image" Target="media/image3.gif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cdb:160" TargetMode="External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2661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2</cp:revision>
  <dcterms:created xsi:type="dcterms:W3CDTF">2016-11-28T05:06:00Z</dcterms:created>
  <dcterms:modified xsi:type="dcterms:W3CDTF">2016-11-28T05:06:00Z</dcterms:modified>
</cp:coreProperties>
</file>