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b/>
          <w:bCs/>
          <w:sz w:val="24"/>
          <w:szCs w:val="24"/>
        </w:rPr>
        <w:t>2.   Количество владельцев ценных бумаг и работников Общества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01"/>
      </w:tblGrid>
      <w:tr w:rsidR="00552BC0" w:rsidRPr="00552BC0" w:rsidTr="00552BC0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акционеров (участников) по состоянию   на конец  отчетного квартала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                      1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работников  эмитента на конец отчетного квартала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               2901</w:t>
            </w:r>
          </w:p>
        </w:tc>
      </w:tr>
    </w:tbl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b/>
          <w:bCs/>
          <w:sz w:val="24"/>
          <w:szCs w:val="24"/>
        </w:rPr>
        <w:t>3. Список юридических лиц, в которых  данный эмитент  владеет</w:t>
      </w:r>
      <w:r w:rsidRPr="00552BC0">
        <w:rPr>
          <w:rFonts w:ascii="Times New Roman" w:eastAsia="Times New Roman" w:hAnsi="Times New Roman" w:cs="Times New Roman"/>
          <w:b/>
          <w:bCs/>
          <w:sz w:val="18"/>
          <w:szCs w:val="18"/>
        </w:rPr>
        <w:t> 5 процентами  и более уставного капитала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3129"/>
        <w:gridCol w:w="2929"/>
      </w:tblGrid>
      <w:tr w:rsidR="00552BC0" w:rsidRPr="00552BC0" w:rsidTr="00552BC0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Полное фирменное наименование организационно-правовая форма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Местонахождение, почтовый адрес, телефон, факс, адрес электронной почты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Доля участия   в уставном капитале  (в процентах)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«Центерра Голд Инк»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 Авеню, №1500 г. Торонто,                         тел: 416-204-1953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 32,74%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«Талас Голд Майнинг Компани»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г. Бишкек, ул. Токтогула  96/2, тел: (312)  66 -74 -67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Факс: (312)  66-74-97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 33,3%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«Алтын-Тор Голд»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г.Бишкек,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Матросова, 51/2 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(312) 57 32  99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 50%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ЗАО «Джеруй Алтын»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720031, г. Бишкек,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Карасаева 33,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(312) 55  94 81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 40%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«Алтынкен»         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КР720039, г. Бишкек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п-т Эркиндик, 2/1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(312) 66 -50 -91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 40%</w:t>
            </w:r>
          </w:p>
        </w:tc>
      </w:tr>
    </w:tbl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b/>
          <w:bCs/>
          <w:sz w:val="24"/>
          <w:szCs w:val="24"/>
        </w:rPr>
        <w:t>4.  Информация о существенных фактах (далее факт), затрагивающих деятельность эмитента ценных бумаг в отчетном периоде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6"/>
        <w:gridCol w:w="1582"/>
        <w:gridCol w:w="1086"/>
        <w:gridCol w:w="2496"/>
      </w:tblGrid>
      <w:tr w:rsidR="00552BC0" w:rsidRPr="00552BC0" w:rsidTr="00552BC0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факта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появления факта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Влия-ние факта на деят-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эмитента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форма раскрытия информации о факте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.29.04.2014 г. состоялось Годовое общее собрание акционеров ОАО «Кыргызалтын»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.Пр. ВОСА № 4 от 05.06.2014 г. Камчыбеков Д.К., Аликеев С.С. избраны членами СД ОАО «Кыргызалтын».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Протоколом СД № 18 от 06.06. 2014 г. Жапаров Д.С. освобожден от заним. должности Пред. Правления ОАО «Кыргызалтын».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. Пр. СД от 06.06.2014 г. Мамытов Т.Б. избран председателем Правления ОАО «Кыргызалтын».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Пр. СД № 21 от 27.06.2014 г. зам. председателя Правления ОАО «КА» Айткулов С.Ш. освобожден от занимаемой должности.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01.05.2014 г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05.06.2014 г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06.06.2014 г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06.06.2014г.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27.06.2014г.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   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  в СМИ газета «Эркин ТОО» от 01.05.2014 года.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1. КФБ 09.06.2014 г. в виде информации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2.ФУГИ 09.06.2014 г.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3. Госфиннадзор 09.06.2014 г. в виде информации.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4.КФБ 02.07.2014 г. в виде информации.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5. размещение на официальном сайте ОАО «Кыргызалтын». </w:t>
            </w:r>
          </w:p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</w:t>
            </w:r>
          </w:p>
        </w:tc>
      </w:tr>
    </w:tbl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552BC0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Финансовая отчетность эмитента за отчетный год.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b/>
          <w:bCs/>
          <w:sz w:val="24"/>
          <w:szCs w:val="24"/>
        </w:rPr>
        <w:t>1) Сведения, включаемые в бухгалтерский баланс: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921"/>
        <w:gridCol w:w="2188"/>
        <w:gridCol w:w="1823"/>
      </w:tblGrid>
      <w:tr w:rsidR="00552BC0" w:rsidRPr="00552BC0" w:rsidTr="00552BC0">
        <w:trPr>
          <w:tblCellSpacing w:w="0" w:type="dxa"/>
        </w:trPr>
        <w:tc>
          <w:tcPr>
            <w:tcW w:w="6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строк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начало отчетного периода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конец отчетного периода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6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Активы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6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(010)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1. Оборотные активы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4 682 970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5 682 230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6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(020)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2. Внеоборотные активы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17 464 925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25 463 311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6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(030)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3. Долгосрочная дебиторская задолженность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6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(040)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4. Краткосрочная дебиторская задолженность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1 148 308 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1 220 003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6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(050)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активы (010+020+030+040)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23 296 203 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32 365 544 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6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Обязательства и капитал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6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(060)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1. Краткосрочные обязательства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3 674 859 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3 936 793 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6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(070)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2. Долгосрочные обязательства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87 974 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471 005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6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(080)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обязательства (060+070)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3 762 833 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4 407 798 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6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(090)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Собственный капитал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19 533 370 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27 957 746 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6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1. Уставный капитал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964 124 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964 124  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6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2. Дополнительный оплаченный капитал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10 081 689 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18 272 455 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6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3. Нераспределенная прибыль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8 487 557 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8 721 167 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6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4. Резервный капитал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6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(100)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обязательства и собственный капитал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23 296 203 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32 365 544 </w:t>
            </w: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b/>
          <w:bCs/>
          <w:sz w:val="24"/>
          <w:szCs w:val="24"/>
        </w:rPr>
        <w:t>2) Сведения, включаемые в отчет о прибылях и убытках: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4053"/>
        <w:gridCol w:w="2210"/>
        <w:gridCol w:w="1841"/>
      </w:tblGrid>
      <w:tr w:rsidR="00552BC0" w:rsidRPr="00552BC0" w:rsidTr="00552BC0">
        <w:trPr>
          <w:tblCellSpacing w:w="0" w:type="dxa"/>
        </w:trPr>
        <w:tc>
          <w:tcPr>
            <w:tcW w:w="5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строк</w:t>
            </w:r>
          </w:p>
        </w:tc>
        <w:tc>
          <w:tcPr>
            <w:tcW w:w="2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начало отчетного периода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конец отчетного периода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5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(010)</w:t>
            </w:r>
          </w:p>
        </w:tc>
        <w:tc>
          <w:tcPr>
            <w:tcW w:w="2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Валовая прибыль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303 126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266 649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5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(020)</w:t>
            </w:r>
          </w:p>
        </w:tc>
        <w:tc>
          <w:tcPr>
            <w:tcW w:w="2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и расходы от прочей операционной деятельности (доходы - расходы)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(4 827)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(56 245)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5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(030)</w:t>
            </w:r>
          </w:p>
        </w:tc>
        <w:tc>
          <w:tcPr>
            <w:tcW w:w="2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Операционные расходы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(312 548)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(240 698)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5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(040)</w:t>
            </w:r>
          </w:p>
        </w:tc>
        <w:tc>
          <w:tcPr>
            <w:tcW w:w="2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Прибыль/убыток от операционной деятельности (010+020-030)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(14 249)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(30 294)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5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(050)</w:t>
            </w:r>
          </w:p>
        </w:tc>
        <w:tc>
          <w:tcPr>
            <w:tcW w:w="2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и расходы от не операционной деятельности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476 384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450 004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5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(060)</w:t>
            </w:r>
          </w:p>
        </w:tc>
        <w:tc>
          <w:tcPr>
            <w:tcW w:w="2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Прибыль (убыток) до вычета налогов (040+050)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462 135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419 710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5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(070)</w:t>
            </w:r>
          </w:p>
        </w:tc>
        <w:tc>
          <w:tcPr>
            <w:tcW w:w="2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налогу на прибыль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(56 364)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(84 657)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5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(080)</w:t>
            </w:r>
          </w:p>
        </w:tc>
        <w:tc>
          <w:tcPr>
            <w:tcW w:w="2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Прибыль (убыток) от обычной деятельности (060-070)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405 771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335 053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5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(090)</w:t>
            </w:r>
          </w:p>
        </w:tc>
        <w:tc>
          <w:tcPr>
            <w:tcW w:w="2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Чрезвычайные статьи за минусом налога на прибыль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5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(100)</w:t>
            </w:r>
          </w:p>
        </w:tc>
        <w:tc>
          <w:tcPr>
            <w:tcW w:w="2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Чистая прибыль (убыток) отчетного периода (080+090)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405 771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335 053</w:t>
            </w:r>
          </w:p>
        </w:tc>
      </w:tr>
    </w:tbl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b/>
          <w:bCs/>
          <w:sz w:val="24"/>
          <w:szCs w:val="24"/>
        </w:rPr>
        <w:t>3) Сведения, включаемые в отчет об изменениях в капитале: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3961"/>
        <w:gridCol w:w="2210"/>
        <w:gridCol w:w="1841"/>
      </w:tblGrid>
      <w:tr w:rsidR="00552BC0" w:rsidRPr="00552BC0" w:rsidTr="00552BC0">
        <w:trPr>
          <w:tblCellSpacing w:w="0" w:type="dxa"/>
        </w:trPr>
        <w:tc>
          <w:tcPr>
            <w:tcW w:w="5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строк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начало  отчетного периода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конец отчетного периода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5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 на "01" января 2014г.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19 533 370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5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 учетной политике и исправление существенных ошибок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5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Пересчитанное сальдо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5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Чистая прибыль или убытки, не признанные в отчете о прибылях и убытках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335 053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5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Чистая прибыль (убытки) за отчетный период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5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Дивиденды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(101 443)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5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Эмиссия акций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8 190 766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5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Ограничение прибыли к распределению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5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уставного капитала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2BC0" w:rsidRPr="00552BC0" w:rsidTr="00552BC0">
        <w:trPr>
          <w:tblCellSpacing w:w="0" w:type="dxa"/>
        </w:trPr>
        <w:tc>
          <w:tcPr>
            <w:tcW w:w="5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 на "31" декабря 2014г.</w:t>
            </w:r>
          </w:p>
        </w:tc>
        <w:tc>
          <w:tcPr>
            <w:tcW w:w="12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27 957 746</w:t>
            </w:r>
          </w:p>
        </w:tc>
        <w:tc>
          <w:tcPr>
            <w:tcW w:w="1000" w:type="pct"/>
            <w:hideMark/>
          </w:tcPr>
          <w:p w:rsidR="00552BC0" w:rsidRPr="00552BC0" w:rsidRDefault="00552BC0" w:rsidP="0055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b/>
          <w:bCs/>
          <w:sz w:val="24"/>
          <w:szCs w:val="24"/>
        </w:rPr>
        <w:t>6. ОТЧЕТ НЕЗАВИСИМОГО АУДИТОРА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sz w:val="24"/>
          <w:szCs w:val="24"/>
        </w:rPr>
        <w:t>Мы провели аудит прилагаемой финансовой отчетности ОАО «Кыргызалтын» (далее по тексту - Компания), которая включает отчет о финансовом положении по состоянию на 31 Декабря 2014 года, отчет о прибылях и убытках, отчет о совокупном доходе, отчет об изменениях в капитале и отчет о движении денежных средств за год, закончившийся в указанную дату, а также краткое описание существенных вопросов учетной политики и прочие пояснительные материалы.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 руководства за финансовую отчетность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sz w:val="24"/>
          <w:szCs w:val="24"/>
        </w:rPr>
        <w:t>Руководство Компании несет ответственность за подготовку и справедливое представление данной финансовой отчетности в соответствии с Международными стандартами финансовой отчетности и организацию такой системы внутреннего контроля, которая, по мнению руководства, необходима для подготовки финансовой отчетности, не содержащей существенных искажений, будь то вследствие недобросовестных действий или ошибки.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 аудитора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sz w:val="24"/>
          <w:szCs w:val="24"/>
        </w:rPr>
        <w:t>Наша обязанность состоит в подготовке заключения по данной финансовой отчетности на основе проведенного нами аудита. Мы провели аудит в соответствии с Международными стандартами аудита. Согласно указанным стандартам, мы обязаны соблюдать этические нормы, спланировать и провести аудит таким образом, чтобы получить разумное подтверждение того, что финансовая отчетность не содержит существенных искажений.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sz w:val="24"/>
          <w:szCs w:val="24"/>
        </w:rPr>
        <w:t xml:space="preserve">Аудит включает проведение процедур, направленных на получение аудиторских доказательств, подтверждающих суммы и информацию, представленные в финансовой отчетности. Выбор процедур, основывается на профессиональном суждении аудитора, включая оценку рисков существенного искажения финансовой отчетности, будь то вследствие недобросовестных действий или ошибки. При оценке таких рисков аудитор </w:t>
      </w:r>
      <w:r w:rsidRPr="00552BC0">
        <w:rPr>
          <w:rFonts w:ascii="Times New Roman" w:eastAsia="Times New Roman" w:hAnsi="Times New Roman" w:cs="Times New Roman"/>
          <w:sz w:val="24"/>
          <w:szCs w:val="24"/>
        </w:rPr>
        <w:lastRenderedPageBreak/>
        <w:t>рассматривает средства внутреннего контроля, связанныe с подготовкой исправедливым представлением финансовой отчетности, с целью разработки аудиторских процедур, необходимых в данных  обстоятельствах, но не для выражения мнения об эффективности системы внутреннего контроля организации. Аудит также включает оценку целесообразности используемой учетной политики и обоснованности расчетных оценок, сделанных руководством, равно как оценку общего представления финансовой отчетности.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sz w:val="24"/>
          <w:szCs w:val="24"/>
        </w:rPr>
        <w:t>Мы считаем, что полученные нами аудиторские доказательства являются достаточными и надлежащими для обоснования аудиторского заключения.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Основание для выражения мнения с оговоркой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sz w:val="24"/>
          <w:szCs w:val="24"/>
        </w:rPr>
        <w:t>В статью долгосрочных активов отчета о финансовом положении «Основные средства и нематериальные активы»  включены несколько объектов незавершенного строительства, общая балансовая стоимость которых составляет 37767 тыс. сом (открытый плавательный бассейн, теневые навесы, элитные коттеджи). Ввиду отсутствия финансирования строительство данных объектов было приостановлено с 2000 года по настоящий момент, что может указывать на наличие косвенных признаков обесценения перечисленных выше активов. Компания не проводила тест на обесценение. В случае, если бы такой тест был проведен и возмещаемая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sz w:val="24"/>
          <w:szCs w:val="24"/>
        </w:rPr>
        <w:t>стоимость активов по результатам тестирования оказалась меньше балансовой, то активы Компании, и ее прибыль уменьшились бы на сумму, равную разнице между балансовой и возмещаемой стоимостью.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sz w:val="24"/>
          <w:szCs w:val="24"/>
        </w:rPr>
        <w:t>В статье долгосрочных обязательств отчета о финансовом положении «Резервы» учтена сумма в размере 39 213 тыс. сом, относящаяся к технической рекультивации земель золоторудного месторождения «Макмал». Компания не предоставила нам возможность своевременно ознакомиться с расчетами данной суммы, в связи с чем мы не смогли убедиться в том, что она адекватна будущим затратам Компании по исполнению взятых ею на себя обязательств по рекультивации.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b/>
          <w:bCs/>
          <w:sz w:val="24"/>
          <w:szCs w:val="24"/>
        </w:rPr>
        <w:t>Мнение с оговоркой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sz w:val="24"/>
          <w:szCs w:val="24"/>
        </w:rPr>
        <w:t>По нашему мнению, за исключением влияния на финансовую отчетность аспектов, изложенных в предыдущих абзацах, финансовая отчетность достоверно во всех существенных аспектах отражает финансовое положение Компании по состоянию на 31 Декабря 2014 года, а также результаты ее деятельности и движение денежных средств за год, закончившийся на указанную дату в соответствии с Международными стандартами финансовой отчетности.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sz w:val="24"/>
          <w:szCs w:val="24"/>
        </w:rPr>
        <w:t>ОсОО Аудиторская компания «John Ashworth»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sz w:val="24"/>
          <w:szCs w:val="24"/>
        </w:rPr>
        <w:t>Алапаев А.Б.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sz w:val="24"/>
          <w:szCs w:val="24"/>
        </w:rPr>
        <w:t>Аудитор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sz w:val="24"/>
          <w:szCs w:val="24"/>
        </w:rPr>
        <w:lastRenderedPageBreak/>
        <w:t>Кыргызская Республика, г. Бишкек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sz w:val="24"/>
          <w:szCs w:val="24"/>
        </w:rPr>
        <w:t>09 апреля 2015 года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b/>
          <w:bCs/>
          <w:sz w:val="24"/>
          <w:szCs w:val="24"/>
        </w:rPr>
        <w:t>7. Долгосрочных и краткосрочных финансовых вложений Общества   за отчетный год – нет.</w:t>
      </w:r>
    </w:p>
    <w:p w:rsidR="00552BC0" w:rsidRPr="00552BC0" w:rsidRDefault="00552BC0" w:rsidP="00552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BC0">
        <w:rPr>
          <w:rFonts w:ascii="Times New Roman" w:eastAsia="Times New Roman" w:hAnsi="Times New Roman" w:cs="Times New Roman"/>
          <w:b/>
          <w:bCs/>
          <w:sz w:val="18"/>
          <w:szCs w:val="18"/>
        </w:rPr>
        <w:t>8. Сделки, совершенные   обществом с заинтересованными  лицами – нет.</w:t>
      </w:r>
    </w:p>
    <w:p w:rsidR="00F052E0" w:rsidRDefault="00F052E0">
      <w:bookmarkStart w:id="0" w:name="_GoBack"/>
      <w:bookmarkEnd w:id="0"/>
    </w:p>
    <w:sectPr w:rsidR="00F05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3C"/>
    <w:rsid w:val="00552BC0"/>
    <w:rsid w:val="0084753C"/>
    <w:rsid w:val="00F0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68DFE-2672-4C07-A67E-7C2B947C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BC0"/>
    <w:rPr>
      <w:b/>
      <w:bCs/>
    </w:rPr>
  </w:style>
  <w:style w:type="paragraph" w:customStyle="1" w:styleId="tktekst">
    <w:name w:val="tktekst"/>
    <w:basedOn w:val="Normal"/>
    <w:rsid w:val="0055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ktablica">
    <w:name w:val="tktablica"/>
    <w:basedOn w:val="Normal"/>
    <w:rsid w:val="0055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1352</Words>
  <Characters>7710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2015-10-26T14:55:00Z</dcterms:created>
  <dcterms:modified xsi:type="dcterms:W3CDTF">2015-10-26T14:55:00Z</dcterms:modified>
</cp:coreProperties>
</file>