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F76" w:rsidRPr="00E20F76" w:rsidRDefault="00E20F76" w:rsidP="00E20F76">
      <w:pPr>
        <w:spacing w:before="240" w:after="240" w:line="240" w:lineRule="auto"/>
        <w:jc w:val="both"/>
        <w:rPr>
          <w:rFonts w:ascii="Times New Roman" w:eastAsia="Times New Roman" w:hAnsi="Times New Roman" w:cs="Times New Roman"/>
          <w:sz w:val="36"/>
          <w:szCs w:val="36"/>
        </w:rPr>
      </w:pPr>
      <w:r w:rsidRPr="00E20F76">
        <w:rPr>
          <w:rFonts w:ascii="Times New Roman" w:eastAsia="Times New Roman" w:hAnsi="Times New Roman" w:cs="Times New Roman"/>
          <w:sz w:val="36"/>
          <w:szCs w:val="36"/>
        </w:rPr>
        <w:t>Information on external public debt as of January 1st, 2016</w:t>
      </w:r>
    </w:p>
    <w:p w:rsidR="00E20F76" w:rsidRPr="00E20F76" w:rsidRDefault="00E20F76" w:rsidP="00E20F76">
      <w:pPr>
        <w:spacing w:after="150" w:line="240" w:lineRule="auto"/>
        <w:rPr>
          <w:rFonts w:ascii="Times New Roman" w:eastAsia="Times New Roman" w:hAnsi="Times New Roman" w:cs="Times New Roman"/>
          <w:i/>
          <w:iCs/>
          <w:sz w:val="24"/>
          <w:szCs w:val="24"/>
        </w:rPr>
      </w:pPr>
      <w:r w:rsidRPr="00E20F76">
        <w:rPr>
          <w:rFonts w:ascii="Times New Roman" w:eastAsia="Times New Roman" w:hAnsi="Times New Roman" w:cs="Times New Roman"/>
          <w:i/>
          <w:iCs/>
          <w:sz w:val="24"/>
          <w:szCs w:val="24"/>
        </w:rPr>
        <w:t>17.02.2016</w:t>
      </w:r>
    </w:p>
    <w:p w:rsidR="00E20F76" w:rsidRPr="00E20F76" w:rsidRDefault="00E20F76" w:rsidP="00E20F76">
      <w:pPr>
        <w:spacing w:before="240" w:after="240" w:line="240" w:lineRule="auto"/>
        <w:jc w:val="both"/>
        <w:rPr>
          <w:rFonts w:ascii="Times New Roman" w:eastAsia="Times New Roman" w:hAnsi="Times New Roman" w:cs="Times New Roman"/>
          <w:sz w:val="24"/>
          <w:szCs w:val="24"/>
        </w:rPr>
      </w:pPr>
      <w:r w:rsidRPr="00E20F76">
        <w:rPr>
          <w:rFonts w:ascii="Times New Roman" w:eastAsia="Times New Roman" w:hAnsi="Times New Roman" w:cs="Times New Roman"/>
          <w:sz w:val="24"/>
          <w:szCs w:val="24"/>
        </w:rPr>
        <w:t xml:space="preserve">As of January 1st, 2016, the public external debt of the Republic of Azerbaijan constituted 6,894.3 million US dollars equivalent (10,751.0 million </w:t>
      </w:r>
      <w:proofErr w:type="spellStart"/>
      <w:r w:rsidRPr="00E20F76">
        <w:rPr>
          <w:rFonts w:ascii="Times New Roman" w:eastAsia="Times New Roman" w:hAnsi="Times New Roman" w:cs="Times New Roman"/>
          <w:sz w:val="24"/>
          <w:szCs w:val="24"/>
        </w:rPr>
        <w:t>manat</w:t>
      </w:r>
      <w:proofErr w:type="spellEnd"/>
      <w:r w:rsidRPr="00E20F76">
        <w:rPr>
          <w:rFonts w:ascii="Times New Roman" w:eastAsia="Times New Roman" w:hAnsi="Times New Roman" w:cs="Times New Roman"/>
          <w:sz w:val="24"/>
          <w:szCs w:val="24"/>
        </w:rPr>
        <w:t>). The Debt to the Gross Domestic Product (GDP) this stands at 19.8 percent. The external Public debt consists of direct obligations of the state as well as contingent liabilities emanating from sovereign guarantees. </w:t>
      </w:r>
      <w:r w:rsidRPr="00E20F76">
        <w:rPr>
          <w:rFonts w:ascii="Times New Roman" w:eastAsia="Times New Roman" w:hAnsi="Times New Roman" w:cs="Times New Roman"/>
          <w:sz w:val="24"/>
          <w:szCs w:val="24"/>
        </w:rPr>
        <w:br/>
        <w:t>The maturity structure of the external debt is as follows; 58.6% of the debt matures in ten years, 32.9% from ten to twenty years and 8.5% will become due in more than twenty years.</w:t>
      </w:r>
      <w:r w:rsidRPr="00E20F76">
        <w:rPr>
          <w:rFonts w:ascii="Times New Roman" w:eastAsia="Times New Roman" w:hAnsi="Times New Roman" w:cs="Times New Roman"/>
          <w:sz w:val="24"/>
          <w:szCs w:val="24"/>
        </w:rPr>
        <w:br/>
        <w:t xml:space="preserve">The currency composition of the attracted debt is the following: SDR (International Monetary Fund Special Drawing Right) - 8.8 percent, US Dollar – 66.3 percent, Euro – 20.4 percent, Japanese Yen – 2.5 percent, UAE Dirham – 0.8 percent, Islamic Dinar – 0.6 percent, Saudi </w:t>
      </w:r>
      <w:proofErr w:type="spellStart"/>
      <w:r w:rsidRPr="00E20F76">
        <w:rPr>
          <w:rFonts w:ascii="Times New Roman" w:eastAsia="Times New Roman" w:hAnsi="Times New Roman" w:cs="Times New Roman"/>
          <w:sz w:val="24"/>
          <w:szCs w:val="24"/>
        </w:rPr>
        <w:t>Rial</w:t>
      </w:r>
      <w:proofErr w:type="spellEnd"/>
      <w:r w:rsidRPr="00E20F76">
        <w:rPr>
          <w:rFonts w:ascii="Times New Roman" w:eastAsia="Times New Roman" w:hAnsi="Times New Roman" w:cs="Times New Roman"/>
          <w:sz w:val="24"/>
          <w:szCs w:val="24"/>
        </w:rPr>
        <w:t xml:space="preserve"> – 0.4 percent, and Kuwaiti Dinar – 0.2 percent.</w:t>
      </w:r>
      <w:r w:rsidRPr="00E20F76">
        <w:rPr>
          <w:rFonts w:ascii="Times New Roman" w:eastAsia="Times New Roman" w:hAnsi="Times New Roman" w:cs="Times New Roman"/>
          <w:sz w:val="24"/>
          <w:szCs w:val="24"/>
        </w:rPr>
        <w:br/>
        <w:t>Lenders the World Bank, Asian Development Bank, Islamic Development Bank, European Bank for Reconstruction and Development, Japanese International Cooperation Agency and other financial institutions. Loans were used for the support of economic reforms, restoration and reconstruction of infrastructure, including road construction, regional water supply and sanitation, improvement of the railway transport system and other areas.</w:t>
      </w:r>
    </w:p>
    <w:p w:rsidR="00E20F76" w:rsidRPr="00E20F76" w:rsidRDefault="00E20F76" w:rsidP="00E20F76">
      <w:pPr>
        <w:numPr>
          <w:ilvl w:val="0"/>
          <w:numId w:val="1"/>
        </w:numPr>
        <w:shd w:val="clear" w:color="auto" w:fill="E8EDE2"/>
        <w:spacing w:after="0" w:line="264" w:lineRule="atLeast"/>
        <w:ind w:left="0" w:right="150" w:firstLine="0"/>
        <w:rPr>
          <w:rFonts w:ascii="Arial" w:eastAsia="Times New Roman" w:hAnsi="Arial" w:cs="Arial"/>
          <w:color w:val="14251F"/>
          <w:sz w:val="18"/>
          <w:szCs w:val="18"/>
        </w:rPr>
      </w:pPr>
    </w:p>
    <w:p w:rsidR="0045073D" w:rsidRDefault="0045073D">
      <w:bookmarkStart w:id="0" w:name="_GoBack"/>
      <w:bookmarkEnd w:id="0"/>
    </w:p>
    <w:sectPr w:rsidR="004507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55CD7"/>
    <w:multiLevelType w:val="multilevel"/>
    <w:tmpl w:val="D1F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E20"/>
    <w:rsid w:val="00097E20"/>
    <w:rsid w:val="0045073D"/>
    <w:rsid w:val="00E20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05B6"/>
  <w15:chartTrackingRefBased/>
  <w15:docId w15:val="{2750A340-26ED-4BAB-B80C-E5296EFF0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7E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31913">
      <w:bodyDiv w:val="1"/>
      <w:marLeft w:val="0"/>
      <w:marRight w:val="0"/>
      <w:marTop w:val="0"/>
      <w:marBottom w:val="0"/>
      <w:divBdr>
        <w:top w:val="none" w:sz="0" w:space="0" w:color="auto"/>
        <w:left w:val="none" w:sz="0" w:space="0" w:color="auto"/>
        <w:bottom w:val="none" w:sz="0" w:space="0" w:color="auto"/>
        <w:right w:val="none" w:sz="0" w:space="0" w:color="auto"/>
      </w:divBdr>
      <w:divsChild>
        <w:div w:id="1299144557">
          <w:marLeft w:val="0"/>
          <w:marRight w:val="0"/>
          <w:marTop w:val="0"/>
          <w:marBottom w:val="0"/>
          <w:divBdr>
            <w:top w:val="none" w:sz="0" w:space="0" w:color="auto"/>
            <w:left w:val="none" w:sz="0" w:space="0" w:color="auto"/>
            <w:bottom w:val="none" w:sz="0" w:space="0" w:color="auto"/>
            <w:right w:val="none" w:sz="0" w:space="0" w:color="auto"/>
          </w:divBdr>
          <w:divsChild>
            <w:div w:id="2105489600">
              <w:marLeft w:val="0"/>
              <w:marRight w:val="0"/>
              <w:marTop w:val="0"/>
              <w:marBottom w:val="0"/>
              <w:divBdr>
                <w:top w:val="none" w:sz="0" w:space="0" w:color="auto"/>
                <w:left w:val="none" w:sz="0" w:space="0" w:color="auto"/>
                <w:bottom w:val="none" w:sz="0" w:space="0" w:color="auto"/>
                <w:right w:val="none" w:sz="0" w:space="0" w:color="auto"/>
              </w:divBdr>
              <w:divsChild>
                <w:div w:id="2004775770">
                  <w:marLeft w:val="0"/>
                  <w:marRight w:val="0"/>
                  <w:marTop w:val="0"/>
                  <w:marBottom w:val="0"/>
                  <w:divBdr>
                    <w:top w:val="none" w:sz="0" w:space="0" w:color="auto"/>
                    <w:left w:val="none" w:sz="0" w:space="0" w:color="auto"/>
                    <w:bottom w:val="none" w:sz="0" w:space="0" w:color="auto"/>
                    <w:right w:val="none" w:sz="0" w:space="0" w:color="auto"/>
                  </w:divBdr>
                </w:div>
              </w:divsChild>
            </w:div>
            <w:div w:id="1478183486">
              <w:marLeft w:val="0"/>
              <w:marRight w:val="0"/>
              <w:marTop w:val="0"/>
              <w:marBottom w:val="150"/>
              <w:divBdr>
                <w:top w:val="none" w:sz="0" w:space="0" w:color="auto"/>
                <w:left w:val="none" w:sz="0" w:space="0" w:color="auto"/>
                <w:bottom w:val="none" w:sz="0" w:space="0" w:color="auto"/>
                <w:right w:val="none" w:sz="0" w:space="0" w:color="auto"/>
              </w:divBdr>
              <w:divsChild>
                <w:div w:id="1153520324">
                  <w:marLeft w:val="0"/>
                  <w:marRight w:val="0"/>
                  <w:marTop w:val="0"/>
                  <w:marBottom w:val="0"/>
                  <w:divBdr>
                    <w:top w:val="none" w:sz="0" w:space="0" w:color="auto"/>
                    <w:left w:val="none" w:sz="0" w:space="0" w:color="auto"/>
                    <w:bottom w:val="none" w:sz="0" w:space="0" w:color="auto"/>
                    <w:right w:val="none" w:sz="0" w:space="0" w:color="auto"/>
                  </w:divBdr>
                  <w:divsChild>
                    <w:div w:id="99996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35211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1176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Ingilab</dc:creator>
  <cp:keywords/>
  <dc:description/>
  <cp:lastModifiedBy>Ingilab</cp:lastModifiedBy>
  <cp:revision>1</cp:revision>
  <dcterms:created xsi:type="dcterms:W3CDTF">2016-11-12T17:26:00Z</dcterms:created>
  <dcterms:modified xsi:type="dcterms:W3CDTF">2016-11-12T17:44:00Z</dcterms:modified>
</cp:coreProperties>
</file>