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Khajavi,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Plazas,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NYU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U.S.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Bonvoy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prototype.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myriad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Marriott's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franchisees,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know-how.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 Khajavi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 Plazas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NYU Newsdesk_Diana Plazas - Marriott Internation... (Completed  07/08/24)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Jul 08, 2024 -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VSEOJ4T-EStgaaB_Q99pPEyG2Kaxqlquz7otpb53candjFRovn9pumDnnyGIRHYX8lW3RZVerv__nSTOAq6CFFBhkwQ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