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5CFEE" w14:textId="59ABA466" w:rsidR="00611669" w:rsidRDefault="00440D7C" w:rsidP="009F20B8">
      <w:r w:rsidRPr="00D96E7E">
        <w:rPr>
          <w:noProof/>
          <w:lang w:eastAsia="en-US"/>
        </w:rPr>
        <mc:AlternateContent>
          <mc:Choice Requires="wps">
            <w:drawing>
              <wp:anchor distT="0" distB="0" distL="114935" distR="114935" simplePos="0" relativeHeight="251657728" behindDoc="0" locked="0" layoutInCell="1" allowOverlap="1" wp14:anchorId="5C2BA2EE" wp14:editId="3040A20D">
                <wp:simplePos x="0" y="0"/>
                <wp:positionH relativeFrom="page">
                  <wp:posOffset>542925</wp:posOffset>
                </wp:positionH>
                <wp:positionV relativeFrom="page">
                  <wp:posOffset>1028699</wp:posOffset>
                </wp:positionV>
                <wp:extent cx="6480175" cy="138112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381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475BB535" w:rsidR="00261852" w:rsidRPr="00440D7C" w:rsidRDefault="00261852" w:rsidP="00440D7C">
                            <w:pPr>
                              <w:pStyle w:val="Title"/>
                              <w:rPr>
                                <w:lang w:val="en-IN"/>
                              </w:rPr>
                            </w:pPr>
                            <w:r w:rsidRPr="00440D7C">
                              <w:rPr>
                                <w:lang w:val="en-IN"/>
                              </w:rPr>
                              <w:t xml:space="preserve">Application of Clustering </w:t>
                            </w:r>
                            <w:r w:rsidR="002C11A1">
                              <w:rPr>
                                <w:lang w:val="en-IN"/>
                              </w:rPr>
                              <w:t>Techniques</w:t>
                            </w:r>
                            <w:r w:rsidR="002C11A1" w:rsidRPr="00440D7C">
                              <w:rPr>
                                <w:lang w:val="en-IN"/>
                              </w:rPr>
                              <w:t xml:space="preserve"> </w:t>
                            </w:r>
                            <w:r w:rsidRPr="00440D7C">
                              <w:rPr>
                                <w:lang w:val="en-IN"/>
                              </w:rPr>
                              <w:t xml:space="preserve">in Acoustic Emission Monitoring of Reinforced </w:t>
                            </w:r>
                            <w:r w:rsidR="002C11A1">
                              <w:rPr>
                                <w:lang w:val="en-IN"/>
                              </w:rPr>
                              <w:t>C</w:t>
                            </w:r>
                            <w:r w:rsidR="002C11A1" w:rsidRPr="00440D7C">
                              <w:rPr>
                                <w:lang w:val="en-IN"/>
                              </w:rPr>
                              <w:t xml:space="preserve">oncrete </w:t>
                            </w:r>
                            <w:r w:rsidR="002C11A1">
                              <w:rPr>
                                <w:lang w:val="en-IN"/>
                              </w:rPr>
                              <w:t>S</w:t>
                            </w:r>
                            <w:r w:rsidR="002C11A1" w:rsidRPr="00440D7C">
                              <w:rPr>
                                <w:lang w:val="en-IN"/>
                              </w:rPr>
                              <w:t>tructures</w:t>
                            </w:r>
                            <w:r w:rsidRPr="00440D7C">
                              <w:rPr>
                                <w:lang w:val="en-IN"/>
                              </w:rPr>
                              <w:t>: A Preliminary Study</w:t>
                            </w:r>
                            <w:r>
                              <w:t xml:space="preserve"> </w:t>
                            </w:r>
                          </w:p>
                          <w:p w14:paraId="0A142B20" w14:textId="0969E674" w:rsidR="00261852" w:rsidRPr="00531DA2" w:rsidRDefault="00261852" w:rsidP="00D96E7E">
                            <w:pPr>
                              <w:pStyle w:val="Authors"/>
                              <w:rPr>
                                <w:vertAlign w:val="superscript"/>
                                <w:lang w:val="en-CA"/>
                              </w:rPr>
                            </w:pPr>
                            <w:r>
                              <w:rPr>
                                <w:lang w:val="en-CA"/>
                              </w:rPr>
                              <w:t>Paresh Mirgal</w:t>
                            </w:r>
                            <w:r w:rsidRPr="00531DA2">
                              <w:rPr>
                                <w:vertAlign w:val="superscript"/>
                                <w:lang w:val="en-CA"/>
                              </w:rPr>
                              <w:t>1</w:t>
                            </w:r>
                            <w:r w:rsidRPr="00531DA2">
                              <w:rPr>
                                <w:lang w:val="en-CA"/>
                              </w:rPr>
                              <w:t xml:space="preserve">, </w:t>
                            </w:r>
                            <w:r>
                              <w:rPr>
                                <w:lang w:val="en-CA"/>
                              </w:rPr>
                              <w:t>Harsh Mahajan</w:t>
                            </w:r>
                            <w:r w:rsidRPr="00531DA2">
                              <w:rPr>
                                <w:vertAlign w:val="superscript"/>
                                <w:lang w:val="en-CA"/>
                              </w:rPr>
                              <w:t>2</w:t>
                            </w:r>
                            <w:r w:rsidRPr="00531DA2">
                              <w:rPr>
                                <w:lang w:val="en-CA"/>
                              </w:rPr>
                              <w:t xml:space="preserve">, </w:t>
                            </w:r>
                            <w:r>
                              <w:rPr>
                                <w:lang w:val="en-CA"/>
                              </w:rPr>
                              <w:t>Sauvik Banerjee</w:t>
                            </w:r>
                            <w:r w:rsidR="00B51FB4">
                              <w:rPr>
                                <w:vertAlign w:val="superscript"/>
                                <w:lang w:val="en-CA"/>
                              </w:rPr>
                              <w:t>3</w:t>
                            </w:r>
                            <w:bookmarkStart w:id="1" w:name="_GoBack"/>
                            <w:bookmarkEnd w:id="1"/>
                          </w:p>
                          <w:p w14:paraId="7C56D2BE" w14:textId="523BD207" w:rsidR="00261852" w:rsidRPr="00531DA2" w:rsidRDefault="00261852" w:rsidP="00611669">
                            <w:pPr>
                              <w:pStyle w:val="Authors"/>
                              <w:rPr>
                                <w:lang w:val="en-CA"/>
                              </w:rPr>
                            </w:pPr>
                            <w:r w:rsidRPr="00531DA2">
                              <w:rPr>
                                <w:vertAlign w:val="superscript"/>
                                <w:lang w:val="en-CA"/>
                              </w:rPr>
                              <w:t>1</w:t>
                            </w:r>
                            <w:r>
                              <w:rPr>
                                <w:vertAlign w:val="superscript"/>
                                <w:lang w:val="en-CA"/>
                              </w:rPr>
                              <w:t>,2</w:t>
                            </w:r>
                            <w:r w:rsidRPr="00440D7C">
                              <w:rPr>
                                <w:rFonts w:eastAsiaTheme="minorHAnsi"/>
                                <w:color w:val="000000"/>
                                <w:lang w:val="en-IN" w:eastAsia="en-US"/>
                              </w:rPr>
                              <w:t xml:space="preserve"> </w:t>
                            </w:r>
                            <w:r w:rsidRPr="00440D7C">
                              <w:rPr>
                                <w:lang w:val="en-IN"/>
                              </w:rPr>
                              <w:t>PhD Research Scholar,</w:t>
                            </w:r>
                            <w:r w:rsidRPr="00440D7C">
                              <w:rPr>
                                <w:lang w:val="en-US"/>
                              </w:rPr>
                              <w:t xml:space="preserve"> Department of Civil Engineering, Indian Institute of Technology, Bombay, Powai, Mumbai,400076, India. </w:t>
                            </w:r>
                          </w:p>
                          <w:p w14:paraId="29DFAF26" w14:textId="372927C6" w:rsidR="00261852" w:rsidRPr="00531DA2" w:rsidRDefault="00261852" w:rsidP="00611669">
                            <w:pPr>
                              <w:pStyle w:val="Authors"/>
                              <w:rPr>
                                <w:lang w:val="en-CA"/>
                              </w:rPr>
                            </w:pPr>
                            <w:r>
                              <w:rPr>
                                <w:vertAlign w:val="superscript"/>
                                <w:lang w:val="en-CA"/>
                              </w:rPr>
                              <w:t xml:space="preserve">3 </w:t>
                            </w:r>
                            <w:r>
                              <w:rPr>
                                <w:lang w:val="en-CA"/>
                              </w:rPr>
                              <w:t>Professor,</w:t>
                            </w:r>
                            <w:r w:rsidRPr="00440D7C">
                              <w:rPr>
                                <w:lang w:val="en-US"/>
                              </w:rPr>
                              <w:t xml:space="preserve"> Department of Civil Engineering, Indian Institute of Technology, Bombay, Powai, Mumbai,400076, India</w:t>
                            </w:r>
                            <w:r>
                              <w:rPr>
                                <w:lang w:val="en-CA"/>
                              </w:rPr>
                              <w:t xml:space="preserve"> </w:t>
                            </w:r>
                          </w:p>
                          <w:p w14:paraId="054EFC7B" w14:textId="606E2A1A" w:rsidR="00261852" w:rsidRDefault="00261852" w:rsidP="00611669">
                            <w:pPr>
                              <w:pStyle w:val="Authors"/>
                            </w:pPr>
                            <w:r>
                              <w:t xml:space="preserve">Email : </w:t>
                            </w:r>
                            <w:hyperlink r:id="rId11" w:history="1">
                              <w:r w:rsidRPr="004B702E">
                                <w:rPr>
                                  <w:rStyle w:val="Hyperlink"/>
                                </w:rPr>
                                <w:t>parsh49@gmail.com</w:t>
                              </w:r>
                            </w:hyperlink>
                            <w:r>
                              <w:t xml:space="preserve">, </w:t>
                            </w:r>
                            <w:hyperlink r:id="rId12" w:history="1">
                              <w:r w:rsidRPr="004B702E">
                                <w:rPr>
                                  <w:rStyle w:val="Hyperlink"/>
                                </w:rPr>
                                <w:t>mahajanharsh1909@gmail.com</w:t>
                              </w:r>
                            </w:hyperlink>
                            <w:r>
                              <w:t xml:space="preserve">, </w:t>
                            </w:r>
                            <w:hyperlink r:id="rId13" w:history="1">
                              <w:r w:rsidRPr="004B702E">
                                <w:rPr>
                                  <w:rStyle w:val="Hyperlink"/>
                                </w:rPr>
                                <w:t>sauvik@civil.iitb.ac.in</w:t>
                              </w:r>
                            </w:hyperlink>
                            <w:r>
                              <w:t xml:space="preserve"> </w:t>
                            </w:r>
                          </w:p>
                          <w:p w14:paraId="10B7E6CC" w14:textId="77777777" w:rsidR="00261852" w:rsidRDefault="00261852" w:rsidP="00611669">
                            <w:pPr>
                              <w:pStyle w:val="Authors"/>
                            </w:pPr>
                          </w:p>
                          <w:p w14:paraId="23561DD1" w14:textId="795CE8AB" w:rsidR="00261852" w:rsidRDefault="00261852"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75pt;margin-top:81pt;width:510.25pt;height:108.7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" stroked="f">
                <v:fill opacity="0"/>
                <v:textbox inset="0,0,0,0">
                  <w:txbxContent>
                    <w:p w14:paraId="1D881ED9" w14:textId="475BB535" w:rsidR="00261852" w:rsidRPr="00440D7C" w:rsidRDefault="00261852" w:rsidP="00440D7C">
                      <w:pPr>
                        <w:pStyle w:val="Title"/>
                        <w:rPr>
                          <w:lang w:val="en-IN"/>
                        </w:rPr>
                      </w:pPr>
                      <w:r w:rsidRPr="00440D7C">
                        <w:rPr>
                          <w:lang w:val="en-IN"/>
                        </w:rPr>
                        <w:t xml:space="preserve">Application of Clustering </w:t>
                      </w:r>
                      <w:r w:rsidR="002C11A1">
                        <w:rPr>
                          <w:lang w:val="en-IN"/>
                        </w:rPr>
                        <w:t>Techniques</w:t>
                      </w:r>
                      <w:r w:rsidR="002C11A1" w:rsidRPr="00440D7C">
                        <w:rPr>
                          <w:lang w:val="en-IN"/>
                        </w:rPr>
                        <w:t xml:space="preserve"> </w:t>
                      </w:r>
                      <w:r w:rsidRPr="00440D7C">
                        <w:rPr>
                          <w:lang w:val="en-IN"/>
                        </w:rPr>
                        <w:t xml:space="preserve">in Acoustic Emission Monitoring of Reinforced </w:t>
                      </w:r>
                      <w:r w:rsidR="002C11A1">
                        <w:rPr>
                          <w:lang w:val="en-IN"/>
                        </w:rPr>
                        <w:t>C</w:t>
                      </w:r>
                      <w:r w:rsidR="002C11A1" w:rsidRPr="00440D7C">
                        <w:rPr>
                          <w:lang w:val="en-IN"/>
                        </w:rPr>
                        <w:t xml:space="preserve">oncrete </w:t>
                      </w:r>
                      <w:r w:rsidR="002C11A1">
                        <w:rPr>
                          <w:lang w:val="en-IN"/>
                        </w:rPr>
                        <w:t>S</w:t>
                      </w:r>
                      <w:r w:rsidR="002C11A1" w:rsidRPr="00440D7C">
                        <w:rPr>
                          <w:lang w:val="en-IN"/>
                        </w:rPr>
                        <w:t>tructures</w:t>
                      </w:r>
                      <w:r w:rsidRPr="00440D7C">
                        <w:rPr>
                          <w:lang w:val="en-IN"/>
                        </w:rPr>
                        <w:t>: A Preliminary Study</w:t>
                      </w:r>
                      <w:r>
                        <w:t xml:space="preserve"> </w:t>
                      </w:r>
                    </w:p>
                    <w:p w14:paraId="0A142B20" w14:textId="0969E674" w:rsidR="00261852" w:rsidRPr="00531DA2" w:rsidRDefault="00261852" w:rsidP="00D96E7E">
                      <w:pPr>
                        <w:pStyle w:val="Authors"/>
                        <w:rPr>
                          <w:vertAlign w:val="superscript"/>
                          <w:lang w:val="en-CA"/>
                        </w:rPr>
                      </w:pPr>
                      <w:r>
                        <w:rPr>
                          <w:lang w:val="en-CA"/>
                        </w:rPr>
                        <w:t>Paresh Mirgal</w:t>
                      </w:r>
                      <w:r w:rsidRPr="00531DA2">
                        <w:rPr>
                          <w:vertAlign w:val="superscript"/>
                          <w:lang w:val="en-CA"/>
                        </w:rPr>
                        <w:t>1</w:t>
                      </w:r>
                      <w:r w:rsidRPr="00531DA2">
                        <w:rPr>
                          <w:lang w:val="en-CA"/>
                        </w:rPr>
                        <w:t xml:space="preserve">, </w:t>
                      </w:r>
                      <w:r>
                        <w:rPr>
                          <w:lang w:val="en-CA"/>
                        </w:rPr>
                        <w:t>Harsh Mahajan</w:t>
                      </w:r>
                      <w:r w:rsidRPr="00531DA2">
                        <w:rPr>
                          <w:vertAlign w:val="superscript"/>
                          <w:lang w:val="en-CA"/>
                        </w:rPr>
                        <w:t>2</w:t>
                      </w:r>
                      <w:r w:rsidRPr="00531DA2">
                        <w:rPr>
                          <w:lang w:val="en-CA"/>
                        </w:rPr>
                        <w:t xml:space="preserve">, </w:t>
                      </w:r>
                      <w:r>
                        <w:rPr>
                          <w:lang w:val="en-CA"/>
                        </w:rPr>
                        <w:t>Sauvik Banerjee</w:t>
                      </w:r>
                      <w:r w:rsidR="00B51FB4">
                        <w:rPr>
                          <w:vertAlign w:val="superscript"/>
                          <w:lang w:val="en-CA"/>
                        </w:rPr>
                        <w:t>3</w:t>
                      </w:r>
                      <w:bookmarkStart w:id="2" w:name="_GoBack"/>
                      <w:bookmarkEnd w:id="2"/>
                    </w:p>
                    <w:p w14:paraId="7C56D2BE" w14:textId="523BD207" w:rsidR="00261852" w:rsidRPr="00531DA2" w:rsidRDefault="00261852" w:rsidP="00611669">
                      <w:pPr>
                        <w:pStyle w:val="Authors"/>
                        <w:rPr>
                          <w:lang w:val="en-CA"/>
                        </w:rPr>
                      </w:pPr>
                      <w:r w:rsidRPr="00531DA2">
                        <w:rPr>
                          <w:vertAlign w:val="superscript"/>
                          <w:lang w:val="en-CA"/>
                        </w:rPr>
                        <w:t>1</w:t>
                      </w:r>
                      <w:r>
                        <w:rPr>
                          <w:vertAlign w:val="superscript"/>
                          <w:lang w:val="en-CA"/>
                        </w:rPr>
                        <w:t>,2</w:t>
                      </w:r>
                      <w:r w:rsidRPr="00440D7C">
                        <w:rPr>
                          <w:rFonts w:eastAsiaTheme="minorHAnsi"/>
                          <w:color w:val="000000"/>
                          <w:lang w:val="en-IN" w:eastAsia="en-US"/>
                        </w:rPr>
                        <w:t xml:space="preserve"> </w:t>
                      </w:r>
                      <w:r w:rsidRPr="00440D7C">
                        <w:rPr>
                          <w:lang w:val="en-IN"/>
                        </w:rPr>
                        <w:t>PhD Research Scholar,</w:t>
                      </w:r>
                      <w:r w:rsidRPr="00440D7C">
                        <w:rPr>
                          <w:lang w:val="en-US"/>
                        </w:rPr>
                        <w:t xml:space="preserve"> Department of Civil Engineering, Indian Institute of Technology, Bombay, Powai, Mumbai,400076, India. </w:t>
                      </w:r>
                    </w:p>
                    <w:p w14:paraId="29DFAF26" w14:textId="372927C6" w:rsidR="00261852" w:rsidRPr="00531DA2" w:rsidRDefault="00261852" w:rsidP="00611669">
                      <w:pPr>
                        <w:pStyle w:val="Authors"/>
                        <w:rPr>
                          <w:lang w:val="en-CA"/>
                        </w:rPr>
                      </w:pPr>
                      <w:r>
                        <w:rPr>
                          <w:vertAlign w:val="superscript"/>
                          <w:lang w:val="en-CA"/>
                        </w:rPr>
                        <w:t xml:space="preserve">3 </w:t>
                      </w:r>
                      <w:r>
                        <w:rPr>
                          <w:lang w:val="en-CA"/>
                        </w:rPr>
                        <w:t>Professor,</w:t>
                      </w:r>
                      <w:r w:rsidRPr="00440D7C">
                        <w:rPr>
                          <w:lang w:val="en-US"/>
                        </w:rPr>
                        <w:t xml:space="preserve"> Department of Civil Engineering, Indian Institute of Technology, Bombay, Powai, Mumbai,400076, India</w:t>
                      </w:r>
                      <w:r>
                        <w:rPr>
                          <w:lang w:val="en-CA"/>
                        </w:rPr>
                        <w:t xml:space="preserve"> </w:t>
                      </w:r>
                    </w:p>
                    <w:p w14:paraId="054EFC7B" w14:textId="606E2A1A" w:rsidR="00261852" w:rsidRDefault="00261852" w:rsidP="00611669">
                      <w:pPr>
                        <w:pStyle w:val="Authors"/>
                      </w:pPr>
                      <w:r>
                        <w:t xml:space="preserve">Email : </w:t>
                      </w:r>
                      <w:hyperlink r:id="rId14" w:history="1">
                        <w:r w:rsidRPr="004B702E">
                          <w:rPr>
                            <w:rStyle w:val="Hyperlink"/>
                          </w:rPr>
                          <w:t>parsh49@gmail.com</w:t>
                        </w:r>
                      </w:hyperlink>
                      <w:r>
                        <w:t xml:space="preserve">, </w:t>
                      </w:r>
                      <w:hyperlink r:id="rId15" w:history="1">
                        <w:r w:rsidRPr="004B702E">
                          <w:rPr>
                            <w:rStyle w:val="Hyperlink"/>
                          </w:rPr>
                          <w:t>mahajanharsh1909@gmail.com</w:t>
                        </w:r>
                      </w:hyperlink>
                      <w:r>
                        <w:t xml:space="preserve">, </w:t>
                      </w:r>
                      <w:hyperlink r:id="rId16" w:history="1">
                        <w:r w:rsidRPr="004B702E">
                          <w:rPr>
                            <w:rStyle w:val="Hyperlink"/>
                          </w:rPr>
                          <w:t>sauvik@civil.iitb.ac.in</w:t>
                        </w:r>
                      </w:hyperlink>
                      <w:r>
                        <w:t xml:space="preserve"> </w:t>
                      </w:r>
                    </w:p>
                    <w:p w14:paraId="10B7E6CC" w14:textId="77777777" w:rsidR="00261852" w:rsidRDefault="00261852" w:rsidP="00611669">
                      <w:pPr>
                        <w:pStyle w:val="Authors"/>
                      </w:pPr>
                    </w:p>
                    <w:p w14:paraId="23561DD1" w14:textId="795CE8AB" w:rsidR="00261852" w:rsidRDefault="00261852" w:rsidP="00611669">
                      <w:pPr>
                        <w:pStyle w:val="Authors"/>
                      </w:pPr>
                    </w:p>
                  </w:txbxContent>
                </v:textbox>
                <w10:wrap type="square" anchorx="page" anchory="page"/>
              </v:shape>
            </w:pict>
          </mc:Fallback>
        </mc:AlternateContent>
      </w:r>
    </w:p>
    <w:p w14:paraId="438BEE62" w14:textId="77777777" w:rsidR="00611669" w:rsidRDefault="00611669" w:rsidP="009F20B8"/>
    <w:p w14:paraId="3EFDF107" w14:textId="0ADB0DA8" w:rsidR="00D6516D" w:rsidRPr="009C2D08" w:rsidRDefault="009C2D08" w:rsidP="00C152D9">
      <w:pPr>
        <w:rPr>
          <w:rFonts w:ascii="TimesNewRomanPSMT" w:hAnsi="TimesNewRomanPSMT"/>
          <w:color w:val="000000"/>
        </w:rPr>
      </w:pPr>
      <w:r>
        <w:rPr>
          <w:rStyle w:val="fontstyle01"/>
        </w:rPr>
        <w:t>The Acoustic Emission (AE) technique has gained popularity over the last two decades as a monitoring methodology and assessment</w:t>
      </w:r>
      <w:r>
        <w:rPr>
          <w:rFonts w:ascii="TimesNewRomanPSMT" w:hAnsi="TimesNewRomanPSMT"/>
          <w:color w:val="000000"/>
        </w:rPr>
        <w:t xml:space="preserve"> </w:t>
      </w:r>
      <w:r>
        <w:rPr>
          <w:rStyle w:val="fontstyle01"/>
        </w:rPr>
        <w:t xml:space="preserve">tool for evaluating the safety and reliability of reinforced concrete structures, historic structures, and masonry buildings. However, widespread acceptance of analytical strategies for the management and interpretation of AE data is still limited. </w:t>
      </w:r>
      <w:r w:rsidR="00D6516D">
        <w:rPr>
          <w:rStyle w:val="fontstyle01"/>
        </w:rPr>
        <w:t>Recently</w:t>
      </w:r>
      <w:r w:rsidR="00904C43">
        <w:rPr>
          <w:rStyle w:val="fontstyle01"/>
        </w:rPr>
        <w:t>,</w:t>
      </w:r>
      <w:r>
        <w:rPr>
          <w:rStyle w:val="fontstyle01"/>
        </w:rPr>
        <w:t xml:space="preserve"> </w:t>
      </w:r>
      <w:r w:rsidR="00D6516D">
        <w:rPr>
          <w:rStyle w:val="fontstyle01"/>
        </w:rPr>
        <w:t xml:space="preserve">unsupervised machine learning </w:t>
      </w:r>
      <w:r>
        <w:rPr>
          <w:rStyle w:val="fontstyle01"/>
        </w:rPr>
        <w:t>methods</w:t>
      </w:r>
      <w:r w:rsidR="00D6516D">
        <w:rPr>
          <w:rStyle w:val="fontstyle01"/>
        </w:rPr>
        <w:t xml:space="preserve"> such as clustering technique and discriminant analysis </w:t>
      </w:r>
      <w:r>
        <w:rPr>
          <w:rStyle w:val="fontstyle01"/>
        </w:rPr>
        <w:t>have</w:t>
      </w:r>
      <w:r w:rsidR="00D6516D">
        <w:rPr>
          <w:rStyle w:val="fontstyle01"/>
        </w:rPr>
        <w:t xml:space="preserve"> been used to classify AE</w:t>
      </w:r>
      <w:r>
        <w:rPr>
          <w:rStyle w:val="fontstyle01"/>
        </w:rPr>
        <w:t xml:space="preserve"> </w:t>
      </w:r>
      <w:r w:rsidR="00D6516D">
        <w:rPr>
          <w:rStyle w:val="fontstyle01"/>
        </w:rPr>
        <w:t>patterns and to determine the mode of damage. The purpose of the proposed work is to develop and compare various clustering</w:t>
      </w:r>
      <w:r>
        <w:rPr>
          <w:rStyle w:val="fontstyle01"/>
        </w:rPr>
        <w:t xml:space="preserve"> </w:t>
      </w:r>
      <w:r w:rsidR="00D6516D">
        <w:rPr>
          <w:rStyle w:val="fontstyle01"/>
        </w:rPr>
        <w:t xml:space="preserve">methodologies for determining the processes of cracking in </w:t>
      </w:r>
      <w:r>
        <w:rPr>
          <w:rStyle w:val="fontstyle01"/>
        </w:rPr>
        <w:t xml:space="preserve">the </w:t>
      </w:r>
      <w:r w:rsidR="00D6516D">
        <w:rPr>
          <w:rStyle w:val="fontstyle01"/>
        </w:rPr>
        <w:t>concrete structure. As analytical tools, unsupervised approaches</w:t>
      </w:r>
      <w:r>
        <w:rPr>
          <w:rStyle w:val="fontstyle01"/>
        </w:rPr>
        <w:t xml:space="preserve"> </w:t>
      </w:r>
      <w:r w:rsidR="00D6516D">
        <w:rPr>
          <w:rStyle w:val="fontstyle01"/>
        </w:rPr>
        <w:t>such</w:t>
      </w:r>
      <w:r>
        <w:rPr>
          <w:rFonts w:ascii="TimesNewRomanPSMT" w:hAnsi="TimesNewRomanPSMT"/>
          <w:color w:val="000000"/>
        </w:rPr>
        <w:t xml:space="preserve"> </w:t>
      </w:r>
      <w:r w:rsidR="00D6516D">
        <w:rPr>
          <w:rStyle w:val="fontstyle01"/>
        </w:rPr>
        <w:t xml:space="preserve">as k - mean, fuzzy c-mean and DB-SCAN were used. </w:t>
      </w:r>
      <w:r>
        <w:rPr>
          <w:rStyle w:val="fontstyle01"/>
        </w:rPr>
        <w:t>The principal</w:t>
      </w:r>
      <w:r w:rsidR="00D6516D">
        <w:rPr>
          <w:rStyle w:val="fontstyle01"/>
        </w:rPr>
        <w:t xml:space="preserve"> component analysis (PCA) method was also explored</w:t>
      </w:r>
      <w:r>
        <w:rPr>
          <w:rStyle w:val="fontstyle01"/>
        </w:rPr>
        <w:t xml:space="preserve"> </w:t>
      </w:r>
      <w:r w:rsidR="00D6516D">
        <w:rPr>
          <w:rStyle w:val="fontstyle01"/>
        </w:rPr>
        <w:t>for</w:t>
      </w:r>
      <w:r>
        <w:rPr>
          <w:rFonts w:ascii="TimesNewRomanPSMT" w:hAnsi="TimesNewRomanPSMT"/>
          <w:color w:val="000000"/>
        </w:rPr>
        <w:t xml:space="preserve"> </w:t>
      </w:r>
      <w:r w:rsidR="00D6516D">
        <w:rPr>
          <w:rStyle w:val="fontstyle01"/>
        </w:rPr>
        <w:t xml:space="preserve">dimensional reduction. Certain features of AE </w:t>
      </w:r>
      <w:r>
        <w:rPr>
          <w:rStyle w:val="fontstyle01"/>
        </w:rPr>
        <w:t>waves</w:t>
      </w:r>
      <w:r w:rsidR="00D6516D">
        <w:rPr>
          <w:rStyle w:val="fontstyle01"/>
        </w:rPr>
        <w:t xml:space="preserve"> such as peak amplitude, peak frequency, centroid frequency, RA</w:t>
      </w:r>
      <w:r>
        <w:rPr>
          <w:rStyle w:val="fontstyle01"/>
        </w:rPr>
        <w:t xml:space="preserve"> </w:t>
      </w:r>
      <w:r w:rsidR="00D6516D">
        <w:rPr>
          <w:rStyle w:val="fontstyle01"/>
        </w:rPr>
        <w:t>value</w:t>
      </w:r>
      <w:r w:rsidR="00904C43">
        <w:rPr>
          <w:rStyle w:val="fontstyle01"/>
        </w:rPr>
        <w:t>,</w:t>
      </w:r>
      <w:r>
        <w:rPr>
          <w:rStyle w:val="fontstyle01"/>
        </w:rPr>
        <w:t xml:space="preserve"> </w:t>
      </w:r>
      <w:r w:rsidR="002C11A1">
        <w:rPr>
          <w:rStyle w:val="fontstyle01"/>
        </w:rPr>
        <w:t xml:space="preserve">and </w:t>
      </w:r>
      <w:r w:rsidR="00D6516D">
        <w:rPr>
          <w:rStyle w:val="fontstyle01"/>
        </w:rPr>
        <w:t xml:space="preserve">AE </w:t>
      </w:r>
      <w:r w:rsidR="002C11A1">
        <w:rPr>
          <w:rStyle w:val="fontstyle01"/>
        </w:rPr>
        <w:t xml:space="preserve">hits </w:t>
      </w:r>
      <w:r>
        <w:rPr>
          <w:rStyle w:val="fontstyle01"/>
        </w:rPr>
        <w:t>were</w:t>
      </w:r>
      <w:r w:rsidR="00D6516D">
        <w:rPr>
          <w:rStyle w:val="fontstyle01"/>
        </w:rPr>
        <w:t xml:space="preserve"> used. The findings imply that frequency may be used to deduce the processes behind the AE sources. The</w:t>
      </w:r>
      <w:r>
        <w:rPr>
          <w:rStyle w:val="fontstyle01"/>
        </w:rPr>
        <w:t xml:space="preserve"> </w:t>
      </w:r>
      <w:r w:rsidR="00D6516D">
        <w:rPr>
          <w:rStyle w:val="fontstyle01"/>
        </w:rPr>
        <w:t>analytic</w:t>
      </w:r>
      <w:r>
        <w:rPr>
          <w:rFonts w:ascii="TimesNewRomanPSMT" w:hAnsi="TimesNewRomanPSMT"/>
          <w:color w:val="000000"/>
        </w:rPr>
        <w:t xml:space="preserve"> </w:t>
      </w:r>
      <w:r w:rsidR="00D6516D">
        <w:rPr>
          <w:rStyle w:val="fontstyle01"/>
        </w:rPr>
        <w:t xml:space="preserve">approach was shown to be successful and may be utilised to classify future AE data. This study </w:t>
      </w:r>
      <w:r>
        <w:rPr>
          <w:rStyle w:val="fontstyle01"/>
        </w:rPr>
        <w:t>provides</w:t>
      </w:r>
      <w:r w:rsidR="00D6516D">
        <w:rPr>
          <w:rStyle w:val="fontstyle01"/>
        </w:rPr>
        <w:t xml:space="preserve"> direction for</w:t>
      </w:r>
      <w:r>
        <w:rPr>
          <w:rStyle w:val="fontstyle01"/>
        </w:rPr>
        <w:t xml:space="preserve"> utilization</w:t>
      </w:r>
      <w:r>
        <w:rPr>
          <w:rFonts w:ascii="TimesNewRomanPSMT" w:hAnsi="TimesNewRomanPSMT"/>
          <w:color w:val="000000"/>
        </w:rPr>
        <w:t xml:space="preserve"> </w:t>
      </w:r>
      <w:r w:rsidR="00D6516D">
        <w:rPr>
          <w:rStyle w:val="fontstyle01"/>
        </w:rPr>
        <w:t>of unsupervised ML techniques for real-time analysis of acoustic emission testing leading to more robust and efficient</w:t>
      </w:r>
      <w:r>
        <w:rPr>
          <w:rStyle w:val="fontstyle01"/>
        </w:rPr>
        <w:t xml:space="preserve"> </w:t>
      </w:r>
      <w:r w:rsidR="00D6516D">
        <w:rPr>
          <w:rStyle w:val="fontstyle01"/>
        </w:rPr>
        <w:t>testing</w:t>
      </w:r>
      <w:r>
        <w:rPr>
          <w:rFonts w:ascii="TimesNewRomanPSMT" w:hAnsi="TimesNewRomanPSMT"/>
          <w:color w:val="000000"/>
        </w:rPr>
        <w:t xml:space="preserve"> </w:t>
      </w:r>
      <w:r w:rsidR="00D6516D">
        <w:rPr>
          <w:rStyle w:val="fontstyle01"/>
        </w:rPr>
        <w:t>technique.</w:t>
      </w:r>
    </w:p>
    <w:p w14:paraId="1C5F3A3E" w14:textId="6A438F17" w:rsidR="00F0721F" w:rsidRPr="00CD176A" w:rsidRDefault="00F0721F" w:rsidP="00F0721F">
      <w:pPr>
        <w:pStyle w:val="KeyWords"/>
      </w:pPr>
      <w:r>
        <w:t xml:space="preserve">KEY WORDS: Reinforced concrete beam, AE data clustering, </w:t>
      </w:r>
      <w:r w:rsidR="009C2D08">
        <w:t>principal</w:t>
      </w:r>
      <w:r>
        <w:t xml:space="preserve"> component analysis (PCA)</w:t>
      </w:r>
      <w:r w:rsidRPr="00CD176A">
        <w:t>.</w:t>
      </w:r>
    </w:p>
    <w:p w14:paraId="5A5F4C4B" w14:textId="346351AA" w:rsidR="009C2D08" w:rsidRDefault="009C2D08" w:rsidP="0060791A">
      <w:pPr>
        <w:pStyle w:val="NormalIndent"/>
        <w:numPr>
          <w:ilvl w:val="0"/>
          <w:numId w:val="29"/>
        </w:numPr>
      </w:pPr>
      <w:r>
        <w:t>INTRODUCTION:</w:t>
      </w:r>
    </w:p>
    <w:p w14:paraId="6140A339" w14:textId="44C19A7D" w:rsidR="009C2D08" w:rsidRPr="00F47E73" w:rsidRDefault="009C2D08" w:rsidP="003F75F0">
      <w:pPr>
        <w:pStyle w:val="NormalIndent"/>
        <w:rPr>
          <w:rFonts w:ascii="TimesNewRomanPSMT" w:hAnsi="TimesNewRomanPSMT"/>
          <w:color w:val="000000"/>
        </w:rPr>
      </w:pPr>
      <w:r w:rsidRPr="009C2D08">
        <w:rPr>
          <w:rStyle w:val="fontstyle01"/>
        </w:rPr>
        <w:t>In the last two decades, the Acoustic Emission (AE) technique has grown in popularity as a monitoring method and evaluation tool for evaluating the safety and dependability of reinforced concrete structures, historic structures, and masonry buildings. However, analytical methodologies for the administration and interpretation of AE data are still not widely accepted.</w:t>
      </w:r>
      <w:r w:rsidR="00F47E73">
        <w:rPr>
          <w:rStyle w:val="fontstyle01"/>
        </w:rPr>
        <w:t xml:space="preserve"> </w:t>
      </w:r>
      <w:r w:rsidR="00F47E73" w:rsidRPr="00F47E73">
        <w:rPr>
          <w:rStyle w:val="fontstyle01"/>
        </w:rPr>
        <w:t>When the</w:t>
      </w:r>
      <w:r w:rsidR="00F47E73">
        <w:rPr>
          <w:rStyle w:val="fontstyle01"/>
        </w:rPr>
        <w:t xml:space="preserve"> </w:t>
      </w:r>
      <w:r w:rsidR="00F47E73" w:rsidRPr="00F47E73">
        <w:rPr>
          <w:rStyle w:val="fontstyle01"/>
        </w:rPr>
        <w:t xml:space="preserve">nature of </w:t>
      </w:r>
      <w:r w:rsidR="00F47E73">
        <w:rPr>
          <w:rStyle w:val="fontstyle01"/>
        </w:rPr>
        <w:t xml:space="preserve">the </w:t>
      </w:r>
      <w:r w:rsidR="00F47E73" w:rsidRPr="00F47E73">
        <w:rPr>
          <w:rStyle w:val="fontstyle01"/>
        </w:rPr>
        <w:t xml:space="preserve">damage process is known in advance, supervised pattern recognition techniques such as the K-nearest </w:t>
      </w:r>
      <w:proofErr w:type="spellStart"/>
      <w:r w:rsidR="00F47E73" w:rsidRPr="00F47E73">
        <w:rPr>
          <w:rStyle w:val="fontstyle01"/>
        </w:rPr>
        <w:t>neighbours</w:t>
      </w:r>
      <w:proofErr w:type="spellEnd"/>
      <w:r w:rsidR="00F47E73">
        <w:rPr>
          <w:rStyle w:val="fontstyle01"/>
        </w:rPr>
        <w:t xml:space="preserve"> </w:t>
      </w:r>
      <w:r w:rsidR="00F47E73" w:rsidRPr="00F47E73">
        <w:rPr>
          <w:rStyle w:val="fontstyle01"/>
        </w:rPr>
        <w:t>method</w:t>
      </w:r>
      <w:r w:rsidR="00F47E73">
        <w:rPr>
          <w:rStyle w:val="fontstyle01"/>
        </w:rPr>
        <w:t xml:space="preserve"> </w:t>
      </w:r>
      <w:r w:rsidR="006A0BBA">
        <w:rPr>
          <w:rStyle w:val="fontstyle01"/>
        </w:rPr>
        <w:t>(K-NN method) are u</w:t>
      </w:r>
      <w:r w:rsidR="00F47E73" w:rsidRPr="00F47E73">
        <w:rPr>
          <w:rStyle w:val="fontstyle01"/>
        </w:rPr>
        <w:t xml:space="preserve">sed </w:t>
      </w:r>
      <w:r w:rsidR="0034393C">
        <w:rPr>
          <w:rStyle w:val="fontstyle01"/>
        </w:rPr>
        <w:t>[1,2]</w:t>
      </w:r>
      <w:r w:rsidR="00F47E73" w:rsidRPr="00F47E73">
        <w:rPr>
          <w:rStyle w:val="fontstyle01"/>
        </w:rPr>
        <w:t xml:space="preserve">. </w:t>
      </w:r>
      <w:r w:rsidR="00F47E73">
        <w:rPr>
          <w:rStyle w:val="fontstyle01"/>
        </w:rPr>
        <w:t>On</w:t>
      </w:r>
      <w:r w:rsidR="00F47E73" w:rsidRPr="00F47E73">
        <w:rPr>
          <w:rStyle w:val="fontstyle01"/>
        </w:rPr>
        <w:t xml:space="preserve"> other hand, unsupervised pattern</w:t>
      </w:r>
      <w:r w:rsidR="00F47E73">
        <w:rPr>
          <w:rStyle w:val="fontstyle01"/>
        </w:rPr>
        <w:t xml:space="preserve"> </w:t>
      </w:r>
      <w:r w:rsidR="00F47E73" w:rsidRPr="00F47E73">
        <w:rPr>
          <w:rStyle w:val="fontstyle01"/>
        </w:rPr>
        <w:t>recognition refers to the whole approach comprising procedures for descriptors selection, cluster analysis, and cluster validity</w:t>
      </w:r>
      <w:r w:rsidR="00F47E73">
        <w:rPr>
          <w:rStyle w:val="fontstyle01"/>
        </w:rPr>
        <w:t xml:space="preserve"> </w:t>
      </w:r>
      <w:r w:rsidR="00F47E73" w:rsidRPr="00F47E73">
        <w:rPr>
          <w:rStyle w:val="fontstyle01"/>
        </w:rPr>
        <w:t>when there is no information on attended clusters. The k-means algorithm is a prominent clusteri</w:t>
      </w:r>
      <w:r w:rsidR="006C2733">
        <w:rPr>
          <w:rStyle w:val="fontstyle01"/>
        </w:rPr>
        <w:t>ng strategy [4-6]</w:t>
      </w:r>
      <w:r w:rsidR="00F47E73" w:rsidRPr="00F47E73">
        <w:rPr>
          <w:rStyle w:val="fontstyle01"/>
        </w:rPr>
        <w:t>. Principal component analysis (PCA), a traditional method of multivariate statistics, might alternatively be utilised to</w:t>
      </w:r>
      <w:r w:rsidR="00F47E73">
        <w:rPr>
          <w:rStyle w:val="fontstyle01"/>
        </w:rPr>
        <w:t xml:space="preserve"> </w:t>
      </w:r>
      <w:r w:rsidR="00F47E73" w:rsidRPr="00F47E73">
        <w:rPr>
          <w:rStyle w:val="fontstyle01"/>
        </w:rPr>
        <w:t>obtain the dimens</w:t>
      </w:r>
      <w:r w:rsidR="006C2733">
        <w:rPr>
          <w:rStyle w:val="fontstyle01"/>
        </w:rPr>
        <w:t>ion reduction of big data sets [4]</w:t>
      </w:r>
      <w:r w:rsidR="00F47E73" w:rsidRPr="00F47E73">
        <w:rPr>
          <w:rStyle w:val="fontstyle01"/>
        </w:rPr>
        <w:t>.</w:t>
      </w:r>
      <w:r w:rsidR="003F75F0">
        <w:rPr>
          <w:rStyle w:val="fontstyle01"/>
        </w:rPr>
        <w:t xml:space="preserve"> </w:t>
      </w:r>
      <w:r w:rsidR="00F47E73" w:rsidRPr="00F47E73">
        <w:rPr>
          <w:rStyle w:val="fontstyle01"/>
        </w:rPr>
        <w:t>PCA is a mathematical process that turns a set of potentially linked variables into a smaller set of uncorrelated variables known</w:t>
      </w:r>
      <w:r w:rsidR="00F47E73">
        <w:rPr>
          <w:rStyle w:val="fontstyle01"/>
        </w:rPr>
        <w:t xml:space="preserve"> </w:t>
      </w:r>
      <w:r w:rsidR="00F47E73" w:rsidRPr="00F47E73">
        <w:rPr>
          <w:rStyle w:val="fontstyle01"/>
        </w:rPr>
        <w:t>as principal components. The first principal component accounts for as much of the data's variability as possible, and each</w:t>
      </w:r>
      <w:r w:rsidR="00F47E73">
        <w:rPr>
          <w:rStyle w:val="fontstyle01"/>
        </w:rPr>
        <w:t xml:space="preserve"> </w:t>
      </w:r>
      <w:r w:rsidR="00F47E73" w:rsidRPr="00F47E73">
        <w:rPr>
          <w:rStyle w:val="fontstyle01"/>
        </w:rPr>
        <w:t>subsequent component accounts for the remaining variability.</w:t>
      </w:r>
    </w:p>
    <w:p w14:paraId="4BF1BF60" w14:textId="1CCD9DDF" w:rsidR="00C152D9" w:rsidRPr="00C152D9" w:rsidRDefault="00C152D9" w:rsidP="00C152D9">
      <w:pPr>
        <w:pStyle w:val="NormalIndent"/>
        <w:rPr>
          <w:lang w:val="en-IN"/>
        </w:rPr>
      </w:pPr>
      <w:r w:rsidRPr="00C152D9">
        <w:rPr>
          <w:lang w:val="en-IN"/>
        </w:rPr>
        <w:t xml:space="preserve">Numerous recognised statistical approaches (Z, RA, b, and </w:t>
      </w:r>
      <w:proofErr w:type="spellStart"/>
      <w:r w:rsidRPr="00C152D9">
        <w:rPr>
          <w:lang w:val="en-IN"/>
        </w:rPr>
        <w:t>Ib</w:t>
      </w:r>
      <w:proofErr w:type="spellEnd"/>
      <w:r w:rsidRPr="00C152D9">
        <w:rPr>
          <w:lang w:val="en-IN"/>
        </w:rPr>
        <w:t xml:space="preserve"> values) may be utilised to analyse AE data in order to determine the damage state of a building subjected to a specific loading situation. Recently, </w:t>
      </w:r>
      <w:r w:rsidR="008E685A">
        <w:rPr>
          <w:lang w:val="en-IN"/>
        </w:rPr>
        <w:t xml:space="preserve">machine learning algorithms and </w:t>
      </w:r>
      <w:r w:rsidRPr="00C152D9">
        <w:rPr>
          <w:lang w:val="en-IN"/>
        </w:rPr>
        <w:t xml:space="preserve">artificial neural networks (ANN) have been used to decrease data redundancy and improve the feature set of AE signals. Generally, cluster analysis </w:t>
      </w:r>
      <w:r w:rsidR="001F1458">
        <w:rPr>
          <w:lang w:val="en-IN"/>
        </w:rPr>
        <w:t>can be</w:t>
      </w:r>
      <w:r w:rsidRPr="00C152D9">
        <w:rPr>
          <w:lang w:val="en-IN"/>
        </w:rPr>
        <w:t xml:space="preserve"> used to </w:t>
      </w:r>
      <w:r w:rsidR="001F1458">
        <w:rPr>
          <w:lang w:val="en-IN"/>
        </w:rPr>
        <w:t>separate</w:t>
      </w:r>
      <w:r w:rsidRPr="00C152D9">
        <w:rPr>
          <w:lang w:val="en-IN"/>
        </w:rPr>
        <w:t xml:space="preserve"> a collection of </w:t>
      </w:r>
      <w:r w:rsidR="001F1458">
        <w:rPr>
          <w:lang w:val="en-IN"/>
        </w:rPr>
        <w:t>data</w:t>
      </w:r>
      <w:r w:rsidRPr="00C152D9">
        <w:rPr>
          <w:lang w:val="en-IN"/>
        </w:rPr>
        <w:t xml:space="preserve"> into various groups </w:t>
      </w:r>
      <w:r w:rsidR="001F1458">
        <w:rPr>
          <w:lang w:val="en-IN"/>
        </w:rPr>
        <w:t xml:space="preserve">based on their </w:t>
      </w:r>
      <w:r w:rsidRPr="00C152D9">
        <w:rPr>
          <w:lang w:val="en-IN"/>
        </w:rPr>
        <w:t xml:space="preserve">underlying </w:t>
      </w:r>
      <w:r w:rsidR="001F1458">
        <w:rPr>
          <w:lang w:val="en-IN"/>
        </w:rPr>
        <w:t>pattern in parameters</w:t>
      </w:r>
      <w:r w:rsidRPr="00C152D9">
        <w:rPr>
          <w:lang w:val="en-IN"/>
        </w:rPr>
        <w:t>. This analytical approach was used in this article to evaluate the acoustic emission data collected during 3-point bending tests on concrete beams under cycling and constant load conditions, as well as rising loads.</w:t>
      </w:r>
      <w:r w:rsidR="001F1458">
        <w:rPr>
          <w:lang w:val="en-IN"/>
        </w:rPr>
        <w:t xml:space="preserve"> Three clustering algorithms were utilised with same set of features: K-mean clustering, fuzzy c-means and DB-SCAN</w:t>
      </w:r>
      <w:r w:rsidRPr="00C152D9">
        <w:rPr>
          <w:lang w:val="en-IN"/>
        </w:rPr>
        <w:t xml:space="preserve">. </w:t>
      </w:r>
      <w:r w:rsidR="001F1458">
        <w:rPr>
          <w:lang w:val="en-IN"/>
        </w:rPr>
        <w:t xml:space="preserve">PCA was also utilised prior to applying mentioned algorithms for dimension reduction. </w:t>
      </w:r>
      <w:r w:rsidRPr="00C152D9">
        <w:rPr>
          <w:lang w:val="en-IN"/>
        </w:rPr>
        <w:t>By</w:t>
      </w:r>
      <w:r w:rsidR="001F1458">
        <w:rPr>
          <w:lang w:val="en-IN"/>
        </w:rPr>
        <w:t xml:space="preserve"> employing the methodologies</w:t>
      </w:r>
      <w:r w:rsidRPr="00C152D9">
        <w:rPr>
          <w:lang w:val="en-IN"/>
        </w:rPr>
        <w:t>, it was feasible to assess the degree of the damage and to track its progress during the test.</w:t>
      </w:r>
    </w:p>
    <w:p w14:paraId="41D4C9E3" w14:textId="77777777" w:rsidR="00C152D9" w:rsidRDefault="00C152D9" w:rsidP="00C152D9">
      <w:pPr>
        <w:pStyle w:val="NormalIndent"/>
        <w:ind w:firstLine="0"/>
        <w:rPr>
          <w:lang w:val="en-IN"/>
        </w:rPr>
      </w:pPr>
    </w:p>
    <w:p w14:paraId="1447AD6E" w14:textId="17A0B2D6" w:rsidR="00C152D9" w:rsidRPr="00C152D9" w:rsidRDefault="00C152D9" w:rsidP="0060791A">
      <w:pPr>
        <w:pStyle w:val="NormalIndent"/>
        <w:numPr>
          <w:ilvl w:val="0"/>
          <w:numId w:val="29"/>
        </w:numPr>
        <w:rPr>
          <w:lang w:val="en-IN"/>
        </w:rPr>
      </w:pPr>
      <w:r w:rsidRPr="00C152D9">
        <w:rPr>
          <w:lang w:val="en-IN"/>
        </w:rPr>
        <w:t>EXPERIMENTAL SET UP</w:t>
      </w:r>
      <w:r>
        <w:rPr>
          <w:lang w:val="en-IN"/>
        </w:rPr>
        <w:t>:</w:t>
      </w:r>
    </w:p>
    <w:p w14:paraId="33D9C08D" w14:textId="13653973" w:rsidR="00C152D9" w:rsidRPr="001F1458" w:rsidRDefault="00C152D9" w:rsidP="001F1458">
      <w:pPr>
        <w:pStyle w:val="NormalIndent"/>
        <w:rPr>
          <w:color w:val="FF0000"/>
          <w:lang w:val="en-IN"/>
        </w:rPr>
      </w:pPr>
      <w:r w:rsidRPr="00C152D9">
        <w:rPr>
          <w:lang w:val="en-IN"/>
        </w:rPr>
        <w:t>The experimental setup consisted of a universal testing machine (UTM) and AE monitoring system. The beam samples were subjected to displacement-controlled loading up to the failure load with a loading rate equivalent to a mid-span deflection of 0.001 mm/seconds. The M30 grade concrete beam specimen was prepared with a mix proportion according to guidelines from IS 10262:2019</w:t>
      </w:r>
      <w:r w:rsidR="006C2733">
        <w:rPr>
          <w:lang w:val="en-IN"/>
        </w:rPr>
        <w:t xml:space="preserve"> [7]</w:t>
      </w:r>
      <w:r w:rsidRPr="00C152D9">
        <w:rPr>
          <w:lang w:val="en-IN"/>
        </w:rPr>
        <w:t>. The 445 kg/m</w:t>
      </w:r>
      <w:r w:rsidRPr="00C152D9">
        <w:rPr>
          <w:vertAlign w:val="superscript"/>
          <w:lang w:val="en-IN"/>
        </w:rPr>
        <w:t xml:space="preserve">3 </w:t>
      </w:r>
      <w:r w:rsidRPr="00C152D9">
        <w:rPr>
          <w:lang w:val="en-IN"/>
        </w:rPr>
        <w:t>of cement, 1061 kg/m</w:t>
      </w:r>
      <w:r w:rsidRPr="00C152D9">
        <w:rPr>
          <w:vertAlign w:val="superscript"/>
          <w:lang w:val="en-IN"/>
        </w:rPr>
        <w:t xml:space="preserve">3 </w:t>
      </w:r>
      <w:r w:rsidRPr="00C152D9">
        <w:rPr>
          <w:lang w:val="en-IN"/>
        </w:rPr>
        <w:t>of aggregates and 751 kg/m</w:t>
      </w:r>
      <w:r w:rsidRPr="00C152D9">
        <w:rPr>
          <w:vertAlign w:val="superscript"/>
          <w:lang w:val="en-IN"/>
        </w:rPr>
        <w:t xml:space="preserve">3 </w:t>
      </w:r>
      <w:r w:rsidRPr="00C152D9">
        <w:rPr>
          <w:lang w:val="en-IN"/>
        </w:rPr>
        <w:t>of sand are mixed with 197 kg/m</w:t>
      </w:r>
      <w:r w:rsidRPr="00C152D9">
        <w:rPr>
          <w:vertAlign w:val="superscript"/>
          <w:lang w:val="en-IN"/>
        </w:rPr>
        <w:t>3</w:t>
      </w:r>
      <w:r w:rsidRPr="00C152D9">
        <w:rPr>
          <w:lang w:val="en-IN"/>
        </w:rPr>
        <w:t xml:space="preserve"> of water for the concrete mix used for the beam sample. The Water-cement ratio was considered as 0.44.  </w:t>
      </w:r>
      <w:r w:rsidR="00CD6BD8">
        <w:rPr>
          <w:lang w:val="en-IN"/>
        </w:rPr>
        <w:t xml:space="preserve">The </w:t>
      </w:r>
      <w:r w:rsidR="00AB647C">
        <w:rPr>
          <w:lang w:val="en-IN"/>
        </w:rPr>
        <w:t xml:space="preserve">two numbers of steel </w:t>
      </w:r>
      <w:r w:rsidR="00CD6BD8">
        <w:rPr>
          <w:lang w:val="en-IN"/>
        </w:rPr>
        <w:t xml:space="preserve">reinforcements with diameter 12 mm </w:t>
      </w:r>
      <w:r w:rsidR="00AB647C">
        <w:rPr>
          <w:lang w:val="en-IN"/>
        </w:rPr>
        <w:t xml:space="preserve">and 10 mm are </w:t>
      </w:r>
      <w:r w:rsidR="00CD6BD8">
        <w:rPr>
          <w:lang w:val="en-IN"/>
        </w:rPr>
        <w:t>provided with</w:t>
      </w:r>
      <w:r w:rsidR="00AB647C">
        <w:rPr>
          <w:lang w:val="en-IN"/>
        </w:rPr>
        <w:t xml:space="preserve"> </w:t>
      </w:r>
      <w:r w:rsidR="00CD6BD8">
        <w:rPr>
          <w:lang w:val="en-IN"/>
        </w:rPr>
        <w:t>stirrups</w:t>
      </w:r>
      <w:r w:rsidR="00AB647C">
        <w:rPr>
          <w:lang w:val="en-IN"/>
        </w:rPr>
        <w:t xml:space="preserve"> placed at 120 mm c/c.</w:t>
      </w:r>
      <w:r w:rsidR="00CD6BD8">
        <w:rPr>
          <w:lang w:val="en-IN"/>
        </w:rPr>
        <w:t xml:space="preserve"> </w:t>
      </w:r>
      <w:r w:rsidRPr="00C152D9">
        <w:rPr>
          <w:lang w:val="en-IN"/>
        </w:rPr>
        <w:t>Three beams samples of size 150 mm x 150 mm x 700 mm were prepared following RILEM TC 212-ACD recommendations</w:t>
      </w:r>
      <w:r w:rsidR="006C2733">
        <w:rPr>
          <w:lang w:val="en-IN"/>
        </w:rPr>
        <w:t xml:space="preserve"> [8]</w:t>
      </w:r>
      <w:r w:rsidRPr="00C152D9">
        <w:rPr>
          <w:lang w:val="en-IN"/>
        </w:rPr>
        <w:t>.  A notch of width, approximately 10 mm, was created at the bottom of the beam mid-span for stable and controlled crack growth.</w:t>
      </w:r>
    </w:p>
    <w:p w14:paraId="013CBBFF" w14:textId="77777777" w:rsidR="00BE68D9" w:rsidRDefault="00BE68D9" w:rsidP="00C152D9">
      <w:pPr>
        <w:pStyle w:val="NormalIndent"/>
        <w:jc w:val="center"/>
        <w:rPr>
          <w:lang w:val="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BE68D9" w14:paraId="54B1F02B" w14:textId="77777777" w:rsidTr="00BE68D9">
        <w:tc>
          <w:tcPr>
            <w:tcW w:w="5154" w:type="dxa"/>
          </w:tcPr>
          <w:p w14:paraId="29750FC1" w14:textId="31FB8321" w:rsidR="00BE68D9" w:rsidRDefault="00BE68D9" w:rsidP="00C152D9">
            <w:pPr>
              <w:pStyle w:val="NormalIndent"/>
              <w:ind w:firstLine="0"/>
              <w:jc w:val="center"/>
              <w:rPr>
                <w:lang w:val="en-IN"/>
              </w:rPr>
            </w:pPr>
            <w:r w:rsidRPr="00C152D9">
              <w:rPr>
                <w:noProof/>
                <w:lang w:eastAsia="en-US"/>
              </w:rPr>
              <w:lastRenderedPageBreak/>
              <w:drawing>
                <wp:inline distT="0" distB="0" distL="0" distR="0" wp14:anchorId="18E26634" wp14:editId="40778ADE">
                  <wp:extent cx="3086100" cy="1438275"/>
                  <wp:effectExtent l="0" t="0" r="0" b="9525"/>
                  <wp:docPr id="11" name="Picture 4"/>
                  <wp:cNvGraphicFramePr/>
                  <a:graphic xmlns:a="http://schemas.openxmlformats.org/drawingml/2006/main">
                    <a:graphicData uri="http://schemas.openxmlformats.org/drawingml/2006/picture">
                      <pic:pic xmlns:pic="http://schemas.openxmlformats.org/drawingml/2006/picture">
                        <pic:nvPicPr>
                          <pic:cNvPr id="8216" name="Picture 16"/>
                          <pic:cNvPicPr>
                            <a:picLocks noChangeAspect="1" noChangeArrowheads="1"/>
                          </pic:cNvPicPr>
                        </pic:nvPicPr>
                        <pic:blipFill>
                          <a:blip r:embed="rId17"/>
                          <a:srcRect/>
                          <a:stretch>
                            <a:fillRect/>
                          </a:stretch>
                        </pic:blipFill>
                        <pic:spPr bwMode="auto">
                          <a:xfrm>
                            <a:off x="0" y="0"/>
                            <a:ext cx="3086100" cy="1438275"/>
                          </a:xfrm>
                          <a:prstGeom prst="rect">
                            <a:avLst/>
                          </a:prstGeom>
                          <a:noFill/>
                          <a:ln w="9525">
                            <a:noFill/>
                            <a:miter lim="800000"/>
                            <a:headEnd/>
                            <a:tailEnd/>
                          </a:ln>
                        </pic:spPr>
                      </pic:pic>
                    </a:graphicData>
                  </a:graphic>
                </wp:inline>
              </w:drawing>
            </w:r>
          </w:p>
        </w:tc>
        <w:tc>
          <w:tcPr>
            <w:tcW w:w="5155" w:type="dxa"/>
          </w:tcPr>
          <w:p w14:paraId="0AEA2C4B" w14:textId="7BE64AF4" w:rsidR="00BE68D9" w:rsidRDefault="00BE68D9" w:rsidP="00C152D9">
            <w:pPr>
              <w:pStyle w:val="NormalIndent"/>
              <w:ind w:firstLine="0"/>
              <w:jc w:val="center"/>
              <w:rPr>
                <w:lang w:val="en-IN"/>
              </w:rPr>
            </w:pPr>
            <w:r w:rsidRPr="00C152D9">
              <w:rPr>
                <w:noProof/>
                <w:lang w:eastAsia="en-US"/>
              </w:rPr>
              <w:drawing>
                <wp:inline distT="0" distB="0" distL="0" distR="0" wp14:anchorId="4CD66A3A" wp14:editId="58B60903">
                  <wp:extent cx="2952750" cy="1426178"/>
                  <wp:effectExtent l="0" t="0" r="0"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t="9600" b="26000"/>
                          <a:stretch/>
                        </pic:blipFill>
                        <pic:spPr>
                          <a:xfrm>
                            <a:off x="0" y="0"/>
                            <a:ext cx="2956478" cy="1427979"/>
                          </a:xfrm>
                          <a:prstGeom prst="rect">
                            <a:avLst/>
                          </a:prstGeom>
                        </pic:spPr>
                      </pic:pic>
                    </a:graphicData>
                  </a:graphic>
                </wp:inline>
              </w:drawing>
            </w:r>
          </w:p>
        </w:tc>
      </w:tr>
      <w:tr w:rsidR="00BE68D9" w14:paraId="5EC8CC8A" w14:textId="77777777" w:rsidTr="00BE68D9">
        <w:tc>
          <w:tcPr>
            <w:tcW w:w="5154" w:type="dxa"/>
          </w:tcPr>
          <w:p w14:paraId="495780EE" w14:textId="6CA621F6" w:rsidR="00BE68D9" w:rsidRDefault="00BE68D9" w:rsidP="00C152D9">
            <w:pPr>
              <w:pStyle w:val="NormalIndent"/>
              <w:ind w:firstLine="0"/>
              <w:jc w:val="center"/>
              <w:rPr>
                <w:lang w:val="en-IN"/>
              </w:rPr>
            </w:pPr>
            <w:r>
              <w:rPr>
                <w:lang w:val="en-IN"/>
              </w:rPr>
              <w:t>(a)</w:t>
            </w:r>
          </w:p>
        </w:tc>
        <w:tc>
          <w:tcPr>
            <w:tcW w:w="5155" w:type="dxa"/>
          </w:tcPr>
          <w:p w14:paraId="3CFA0619" w14:textId="710207ED" w:rsidR="00BE68D9" w:rsidRDefault="00BE68D9" w:rsidP="00C152D9">
            <w:pPr>
              <w:pStyle w:val="NormalIndent"/>
              <w:ind w:firstLine="0"/>
              <w:jc w:val="center"/>
              <w:rPr>
                <w:lang w:val="en-IN"/>
              </w:rPr>
            </w:pPr>
            <w:r>
              <w:rPr>
                <w:lang w:val="en-IN"/>
              </w:rPr>
              <w:t>(b)</w:t>
            </w:r>
          </w:p>
        </w:tc>
      </w:tr>
    </w:tbl>
    <w:p w14:paraId="51A54D8D" w14:textId="6F0CA2F5" w:rsidR="00C152D9" w:rsidRPr="00C152D9" w:rsidRDefault="00C152D9" w:rsidP="00C152D9">
      <w:pPr>
        <w:pStyle w:val="NormalIndent"/>
        <w:jc w:val="center"/>
        <w:rPr>
          <w:lang w:val="en-IN"/>
        </w:rPr>
      </w:pPr>
      <w:r w:rsidRPr="00C152D9">
        <w:rPr>
          <w:lang w:val="en-IN"/>
        </w:rPr>
        <w:t xml:space="preserve">Figure 1. </w:t>
      </w:r>
      <w:r w:rsidR="00BE68D9">
        <w:rPr>
          <w:lang w:val="en-IN"/>
        </w:rPr>
        <w:t xml:space="preserve">(a) </w:t>
      </w:r>
      <w:r w:rsidRPr="00C152D9">
        <w:rPr>
          <w:lang w:val="en-IN"/>
        </w:rPr>
        <w:t>Schematic representation of AE system</w:t>
      </w:r>
      <w:r w:rsidR="00BE68D9">
        <w:rPr>
          <w:lang w:val="en-IN"/>
        </w:rPr>
        <w:t>;</w:t>
      </w:r>
      <w:r w:rsidR="00BE68D9" w:rsidRPr="00BE68D9">
        <w:rPr>
          <w:lang w:val="en-IN"/>
        </w:rPr>
        <w:t xml:space="preserve"> </w:t>
      </w:r>
      <w:r w:rsidR="00BE68D9">
        <w:rPr>
          <w:lang w:val="en-IN"/>
        </w:rPr>
        <w:t>(b) RC beam specimen after failure</w:t>
      </w:r>
    </w:p>
    <w:p w14:paraId="3356356C" w14:textId="386E8FFB" w:rsidR="00C152D9" w:rsidRPr="00C152D9" w:rsidRDefault="00C152D9" w:rsidP="00C152D9">
      <w:pPr>
        <w:pStyle w:val="NormalIndent"/>
        <w:rPr>
          <w:lang w:val="en-IN"/>
        </w:rPr>
      </w:pPr>
      <w:r w:rsidRPr="00C152D9">
        <w:rPr>
          <w:lang w:val="en-IN"/>
        </w:rPr>
        <w:t>The AE signals emitted during the experiment was captured with the help of eight AE sensors (type R6D with the resonant frequency of 60 kHz). The sensors in the present experiment are located in such a way that they would capture the complete fracture process during the loading. Four sensors are placed along the front face of the specimen, and two sensors are placed at 100 mm distance at the top as well at the bottom, as show</w:t>
      </w:r>
      <w:r w:rsidR="006A0BBA">
        <w:rPr>
          <w:lang w:val="en-IN"/>
        </w:rPr>
        <w:t>n in Figure 1 (a</w:t>
      </w:r>
      <w:r w:rsidR="00BE68D9">
        <w:rPr>
          <w:lang w:val="en-IN"/>
        </w:rPr>
        <w:t>).</w:t>
      </w:r>
    </w:p>
    <w:p w14:paraId="406665A5" w14:textId="77777777" w:rsidR="00C152D9" w:rsidRPr="00C152D9" w:rsidRDefault="00C152D9" w:rsidP="00C152D9">
      <w:pPr>
        <w:pStyle w:val="NormalIndent"/>
        <w:rPr>
          <w:lang w:val="en-IN"/>
        </w:rPr>
      </w:pPr>
    </w:p>
    <w:p w14:paraId="0371094E" w14:textId="14112548" w:rsidR="00C152D9" w:rsidRPr="00C152D9" w:rsidRDefault="00C152D9" w:rsidP="0060791A">
      <w:pPr>
        <w:pStyle w:val="NormalIndent"/>
        <w:numPr>
          <w:ilvl w:val="0"/>
          <w:numId w:val="29"/>
        </w:numPr>
        <w:rPr>
          <w:lang w:val="en-IN"/>
        </w:rPr>
      </w:pPr>
      <w:r w:rsidRPr="00C152D9">
        <w:rPr>
          <w:lang w:val="en-IN"/>
        </w:rPr>
        <w:t>AE DATA CLUSTERING</w:t>
      </w:r>
      <w:r>
        <w:rPr>
          <w:lang w:val="en-IN"/>
        </w:rPr>
        <w:t>:</w:t>
      </w:r>
    </w:p>
    <w:p w14:paraId="469B6B8C" w14:textId="58456AA7" w:rsidR="00962BAA" w:rsidRDefault="00D6516D" w:rsidP="00665151">
      <w:pPr>
        <w:pStyle w:val="NormalIndent"/>
        <w:ind w:firstLine="0"/>
        <w:rPr>
          <w:rStyle w:val="fontstyle01"/>
        </w:rPr>
      </w:pPr>
      <w:r>
        <w:rPr>
          <w:rStyle w:val="fontstyle01"/>
        </w:rPr>
        <w:t xml:space="preserve">  When significant datasets of AE signals are obtained, recording all raw AE signals (i.e. voltage vs time history for each sensor)</w:t>
      </w:r>
      <w:r>
        <w:rPr>
          <w:rFonts w:ascii="TimesNewRomanPSMT" w:hAnsi="TimesNewRomanPSMT"/>
          <w:color w:val="000000"/>
        </w:rPr>
        <w:br/>
      </w:r>
      <w:r>
        <w:rPr>
          <w:rStyle w:val="fontstyle01"/>
        </w:rPr>
        <w:t>becomes prohibitively expensive from a hardware perspective. More often than not, signals are reduced to a collection of patterns</w:t>
      </w:r>
      <w:r>
        <w:rPr>
          <w:rFonts w:ascii="TimesNewRomanPSMT" w:hAnsi="TimesNewRomanPSMT"/>
          <w:color w:val="000000"/>
        </w:rPr>
        <w:br/>
      </w:r>
      <w:r>
        <w:rPr>
          <w:rStyle w:val="fontstyle01"/>
        </w:rPr>
        <w:t>that describe the signal. We classified these patterns into three categories: the amplitude, counts, duration, rise-time, and energy</w:t>
      </w:r>
      <w:r>
        <w:rPr>
          <w:rFonts w:ascii="TimesNewRomanPSMT" w:hAnsi="TimesNewRomanPSMT"/>
          <w:color w:val="000000"/>
        </w:rPr>
        <w:br/>
      </w:r>
      <w:r>
        <w:rPr>
          <w:rStyle w:val="fontstyle01"/>
        </w:rPr>
        <w:t>patterns that the acquisition system calculates from the raw AE wave input. The second group includes statistical patterns derived</w:t>
      </w:r>
      <w:r>
        <w:rPr>
          <w:rFonts w:ascii="TimesNewRomanPSMT" w:hAnsi="TimesNewRomanPSMT"/>
          <w:color w:val="000000"/>
        </w:rPr>
        <w:br/>
      </w:r>
      <w:r>
        <w:rPr>
          <w:rStyle w:val="fontstyle01"/>
        </w:rPr>
        <w:t>on the population of AE hits, such as the historical index and severity, as well as the RA value and average frequency. The last</w:t>
      </w:r>
      <w:r>
        <w:rPr>
          <w:rFonts w:ascii="TimesNewRomanPSMT" w:hAnsi="TimesNewRomanPSMT"/>
          <w:color w:val="000000"/>
        </w:rPr>
        <w:br/>
      </w:r>
      <w:r>
        <w:rPr>
          <w:rStyle w:val="fontstyle01"/>
        </w:rPr>
        <w:t>category contained factors such as time, sensor identification, and external variables such as loading state. On the basis of a 12-</w:t>
      </w:r>
      <w:r>
        <w:rPr>
          <w:rFonts w:ascii="TimesNewRomanPSMT" w:hAnsi="TimesNewRomanPSMT"/>
          <w:color w:val="000000"/>
        </w:rPr>
        <w:br/>
      </w:r>
      <w:r>
        <w:rPr>
          <w:rStyle w:val="fontstyle01"/>
        </w:rPr>
        <w:t>variable dataset, a multi-step technique is provided here for identifying homogenous clusters of AE signals associated with certain</w:t>
      </w:r>
      <w:r>
        <w:rPr>
          <w:rFonts w:ascii="TimesNewRomanPSMT" w:hAnsi="TimesNewRomanPSMT"/>
          <w:color w:val="000000"/>
        </w:rPr>
        <w:br/>
      </w:r>
      <w:r>
        <w:rPr>
          <w:rStyle w:val="fontstyle01"/>
        </w:rPr>
        <w:t>damage circumstances (e.g. tensile or shear cracks, micro or macro</w:t>
      </w:r>
      <w:r w:rsidR="00CD6BD8">
        <w:rPr>
          <w:rStyle w:val="fontstyle01"/>
        </w:rPr>
        <w:t xml:space="preserve"> </w:t>
      </w:r>
      <w:r>
        <w:rPr>
          <w:rStyle w:val="fontstyle01"/>
        </w:rPr>
        <w:t>cracking). At the time of data collection, the data were filtered</w:t>
      </w:r>
      <w:r>
        <w:rPr>
          <w:rFonts w:ascii="TimesNewRomanPSMT" w:hAnsi="TimesNewRomanPSMT"/>
          <w:color w:val="000000"/>
        </w:rPr>
        <w:br/>
      </w:r>
      <w:r>
        <w:rPr>
          <w:rStyle w:val="fontstyle01"/>
        </w:rPr>
        <w:t>in hardware using a 40dB high pass filter to remove low amplitude noise.</w:t>
      </w:r>
    </w:p>
    <w:p w14:paraId="0770A1C9" w14:textId="605AFB97" w:rsidR="00665151" w:rsidRDefault="00962BAA" w:rsidP="00665151">
      <w:pPr>
        <w:pStyle w:val="NormalIndent"/>
        <w:ind w:firstLine="0"/>
        <w:rPr>
          <w:lang w:val="en-IN"/>
        </w:rPr>
      </w:pPr>
      <w:r>
        <w:rPr>
          <w:rStyle w:val="fontstyle01"/>
        </w:rPr>
        <w:t xml:space="preserve">  </w:t>
      </w:r>
    </w:p>
    <w:p w14:paraId="3DF5D5D7" w14:textId="09E7469F" w:rsidR="003F75F0" w:rsidRDefault="000F7FE2" w:rsidP="00962BAA">
      <w:pPr>
        <w:pStyle w:val="NormalIndent"/>
        <w:numPr>
          <w:ilvl w:val="0"/>
          <w:numId w:val="29"/>
        </w:numPr>
        <w:rPr>
          <w:rStyle w:val="fontstyle01"/>
        </w:rPr>
      </w:pPr>
      <w:r>
        <w:rPr>
          <w:rStyle w:val="fontstyle01"/>
        </w:rPr>
        <w:t>RESULT AND DISCUSSION:</w:t>
      </w:r>
    </w:p>
    <w:p w14:paraId="088CF71D" w14:textId="0F0FBBBD" w:rsidR="000F7FE2" w:rsidRDefault="000F7FE2" w:rsidP="000F7FE2">
      <w:pPr>
        <w:pStyle w:val="NormalIndent"/>
        <w:numPr>
          <w:ilvl w:val="1"/>
          <w:numId w:val="29"/>
        </w:numPr>
        <w:ind w:left="720"/>
        <w:rPr>
          <w:rStyle w:val="fontstyle01"/>
        </w:rPr>
      </w:pPr>
      <w:r>
        <w:rPr>
          <w:rStyle w:val="fontstyle01"/>
        </w:rPr>
        <w:t>Parametric analysis of AE data:</w:t>
      </w:r>
    </w:p>
    <w:p w14:paraId="29D8C3D9" w14:textId="46255EB3" w:rsidR="001B5E4D" w:rsidRDefault="000F7FE2" w:rsidP="001B5E4D">
      <w:pPr>
        <w:pStyle w:val="NormalIndent"/>
        <w:ind w:firstLine="0"/>
        <w:rPr>
          <w:lang w:val="en-IN"/>
        </w:rPr>
      </w:pPr>
      <w:r>
        <w:rPr>
          <w:rStyle w:val="fontstyle01"/>
        </w:rPr>
        <w:t xml:space="preserve">The temporal variation in AE parameters like counts and energy are studied as these parameters are </w:t>
      </w:r>
      <w:r w:rsidR="00E87E27">
        <w:rPr>
          <w:rStyle w:val="fontstyle01"/>
        </w:rPr>
        <w:t>affecting directly the final outcome of the AE experiments. The graphical presentation in Figure 2</w:t>
      </w:r>
      <w:r w:rsidR="008D58C3">
        <w:rPr>
          <w:rStyle w:val="fontstyle01"/>
        </w:rPr>
        <w:t xml:space="preserve"> (a)</w:t>
      </w:r>
      <w:r w:rsidR="00E87E27">
        <w:rPr>
          <w:rStyle w:val="fontstyle01"/>
        </w:rPr>
        <w:t xml:space="preserve"> showing the increase in the activities near the peak loading suggesting the critical failure.</w:t>
      </w:r>
      <w:r w:rsidR="00896560">
        <w:rPr>
          <w:lang w:val="en-IN"/>
        </w:rPr>
        <w:t xml:space="preserve"> </w:t>
      </w:r>
      <w:r w:rsidR="001B5E4D">
        <w:rPr>
          <w:lang w:val="en-IN"/>
        </w:rPr>
        <w:t xml:space="preserve">The parametric analysis of the AE data recorded from the experiment suggesting the low frequency events during the final failure indicating the shear crack. The same can be observed in Figure </w:t>
      </w:r>
      <w:r w:rsidR="0050764B">
        <w:rPr>
          <w:lang w:val="en-IN"/>
        </w:rPr>
        <w:t>2</w:t>
      </w:r>
      <w:r w:rsidR="001B5E4D">
        <w:rPr>
          <w:lang w:val="en-IN"/>
        </w:rPr>
        <w:t xml:space="preserve"> (b).</w:t>
      </w:r>
    </w:p>
    <w:p w14:paraId="2230378A" w14:textId="240E9199" w:rsidR="00E87E27" w:rsidRDefault="00E87E27" w:rsidP="008F134D">
      <w:pPr>
        <w:pStyle w:val="NormalIndent"/>
        <w:ind w:left="90" w:firstLine="90"/>
        <w:rPr>
          <w:rStyle w:val="fontstyle01"/>
        </w:rPr>
      </w:pPr>
    </w:p>
    <w:p w14:paraId="60932FF2" w14:textId="10F9B8C2" w:rsidR="000F7FE2" w:rsidRDefault="00E87E27" w:rsidP="000F7FE2">
      <w:pPr>
        <w:pStyle w:val="NormalIndent"/>
        <w:ind w:left="90" w:firstLine="0"/>
        <w:rPr>
          <w:rStyle w:val="fontstyle01"/>
        </w:rPr>
      </w:pPr>
      <w:r>
        <w:rPr>
          <w:rStyle w:val="fontstyle01"/>
        </w:rPr>
        <w:t xml:space="preserve"> </w:t>
      </w:r>
      <w:r w:rsidR="000F7FE2">
        <w:rPr>
          <w:rStyle w:val="fontstyle01"/>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5074"/>
      </w:tblGrid>
      <w:tr w:rsidR="009C784B" w14:paraId="2AF4C250" w14:textId="77777777" w:rsidTr="009C784B">
        <w:tc>
          <w:tcPr>
            <w:tcW w:w="4680" w:type="dxa"/>
          </w:tcPr>
          <w:p w14:paraId="38EB2C1F" w14:textId="2639B7CA" w:rsidR="009C784B" w:rsidRDefault="00791B9D" w:rsidP="009C784B">
            <w:pPr>
              <w:pStyle w:val="NormalIndent"/>
              <w:ind w:firstLine="0"/>
              <w:jc w:val="center"/>
              <w:rPr>
                <w:rStyle w:val="fontstyle01"/>
              </w:rPr>
            </w:pPr>
            <w:r>
              <w:rPr>
                <w:rStyle w:val="fontstyle01"/>
                <w:noProof/>
                <w:lang w:eastAsia="en-US"/>
              </w:rPr>
              <w:drawing>
                <wp:inline distT="0" distB="0" distL="0" distR="0" wp14:anchorId="5A7C534F" wp14:editId="1CC33602">
                  <wp:extent cx="2834640" cy="227660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4640" cy="2276608"/>
                          </a:xfrm>
                          <a:prstGeom prst="rect">
                            <a:avLst/>
                          </a:prstGeom>
                          <a:noFill/>
                        </pic:spPr>
                      </pic:pic>
                    </a:graphicData>
                  </a:graphic>
                </wp:inline>
              </w:drawing>
            </w:r>
          </w:p>
        </w:tc>
        <w:tc>
          <w:tcPr>
            <w:tcW w:w="4919" w:type="dxa"/>
          </w:tcPr>
          <w:p w14:paraId="31086AC5" w14:textId="69348782" w:rsidR="009C784B" w:rsidRDefault="00791B9D" w:rsidP="009C784B">
            <w:pPr>
              <w:pStyle w:val="NormalIndent"/>
              <w:ind w:firstLine="0"/>
              <w:jc w:val="center"/>
              <w:rPr>
                <w:rStyle w:val="fontstyle01"/>
              </w:rPr>
            </w:pPr>
            <w:r>
              <w:rPr>
                <w:rStyle w:val="fontstyle01"/>
                <w:noProof/>
                <w:lang w:eastAsia="en-US"/>
              </w:rPr>
              <w:drawing>
                <wp:inline distT="0" distB="0" distL="0" distR="0" wp14:anchorId="353F0625" wp14:editId="1F2CED8A">
                  <wp:extent cx="3200400" cy="207208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072085"/>
                          </a:xfrm>
                          <a:prstGeom prst="rect">
                            <a:avLst/>
                          </a:prstGeom>
                          <a:noFill/>
                        </pic:spPr>
                      </pic:pic>
                    </a:graphicData>
                  </a:graphic>
                </wp:inline>
              </w:drawing>
            </w:r>
          </w:p>
        </w:tc>
      </w:tr>
      <w:tr w:rsidR="009C784B" w14:paraId="4D10DE7C" w14:textId="77777777" w:rsidTr="009C784B">
        <w:tc>
          <w:tcPr>
            <w:tcW w:w="4680" w:type="dxa"/>
          </w:tcPr>
          <w:p w14:paraId="0ACF3A20" w14:textId="1CD1A92C" w:rsidR="009C784B" w:rsidRDefault="009C784B" w:rsidP="009C784B">
            <w:pPr>
              <w:pStyle w:val="NormalIndent"/>
              <w:ind w:firstLine="0"/>
              <w:jc w:val="center"/>
              <w:rPr>
                <w:rStyle w:val="fontstyle01"/>
              </w:rPr>
            </w:pPr>
            <w:r>
              <w:rPr>
                <w:rStyle w:val="fontstyle01"/>
              </w:rPr>
              <w:t>(a)</w:t>
            </w:r>
          </w:p>
        </w:tc>
        <w:tc>
          <w:tcPr>
            <w:tcW w:w="4919" w:type="dxa"/>
          </w:tcPr>
          <w:p w14:paraId="4AF5A6E8" w14:textId="4C20ECFB" w:rsidR="009C784B" w:rsidRDefault="009C784B" w:rsidP="009C784B">
            <w:pPr>
              <w:pStyle w:val="NormalIndent"/>
              <w:ind w:firstLine="0"/>
              <w:jc w:val="center"/>
              <w:rPr>
                <w:rStyle w:val="fontstyle01"/>
              </w:rPr>
            </w:pPr>
            <w:r>
              <w:rPr>
                <w:rStyle w:val="fontstyle01"/>
              </w:rPr>
              <w:t>(b)</w:t>
            </w:r>
          </w:p>
        </w:tc>
      </w:tr>
    </w:tbl>
    <w:p w14:paraId="3133C5E6" w14:textId="775DCCD4" w:rsidR="003F75F0" w:rsidRDefault="009C784B" w:rsidP="003F75F0">
      <w:pPr>
        <w:pStyle w:val="NormalIndent"/>
        <w:ind w:left="720" w:firstLine="0"/>
        <w:rPr>
          <w:lang w:val="en-IN"/>
        </w:rPr>
      </w:pPr>
      <w:r>
        <w:rPr>
          <w:lang w:val="en-IN"/>
        </w:rPr>
        <w:t>Figure 2</w:t>
      </w:r>
      <w:r w:rsidRPr="00C152D9">
        <w:rPr>
          <w:lang w:val="en-IN"/>
        </w:rPr>
        <w:t xml:space="preserve">. </w:t>
      </w:r>
      <w:r>
        <w:rPr>
          <w:lang w:val="en-IN"/>
        </w:rPr>
        <w:t>(a) Variation of AE energy with load along the experiment; (b) Parametric analysis of the experiment</w:t>
      </w:r>
    </w:p>
    <w:p w14:paraId="4A6819F9" w14:textId="77777777" w:rsidR="00A74174" w:rsidRDefault="00A74174" w:rsidP="003F75F0">
      <w:pPr>
        <w:pStyle w:val="NormalIndent"/>
        <w:ind w:left="720" w:firstLine="0"/>
        <w:rPr>
          <w:lang w:val="en-IN"/>
        </w:rPr>
      </w:pPr>
    </w:p>
    <w:p w14:paraId="12358F44" w14:textId="52BDBCE5" w:rsidR="00261852" w:rsidRDefault="00261852" w:rsidP="00261852">
      <w:pPr>
        <w:pStyle w:val="NormalIndent"/>
        <w:numPr>
          <w:ilvl w:val="1"/>
          <w:numId w:val="29"/>
        </w:numPr>
        <w:rPr>
          <w:lang w:val="en-IN"/>
        </w:rPr>
      </w:pPr>
      <w:r>
        <w:rPr>
          <w:lang w:val="en-IN"/>
        </w:rPr>
        <w:t xml:space="preserve">AE clustering </w:t>
      </w:r>
    </w:p>
    <w:p w14:paraId="54047BC0" w14:textId="50CA13FD" w:rsidR="00CE3B03" w:rsidRDefault="00836668" w:rsidP="008F134D">
      <w:pPr>
        <w:pStyle w:val="NormalIndent"/>
        <w:ind w:left="90" w:firstLine="180"/>
      </w:pPr>
      <w:r w:rsidRPr="00836668">
        <w:t xml:space="preserve">Due to noise sources, acoustic emission testing generated a good </w:t>
      </w:r>
      <w:r w:rsidR="008D58C3">
        <w:t>amount</w:t>
      </w:r>
      <w:r w:rsidRPr="00836668">
        <w:t xml:space="preserve"> of data. It is essential to distinguish true signals from other data sources. Three clustering techniques were utilised: k-means, Fuzzy C-means, and DB-SCAN. These wave-based characteristics have time-domain, frequency-domain, and parametric characteristics. Principal component analysis (PCA) was also utilised to minimise dimensions, hence enhancing performance and efficiency, because these attributes were linked</w:t>
      </w:r>
      <w:r w:rsidR="008F134D">
        <w:t xml:space="preserve">. </w:t>
      </w:r>
    </w:p>
    <w:p w14:paraId="736DA4FA" w14:textId="505F0361" w:rsidR="0050764B" w:rsidRDefault="0050764B" w:rsidP="008F134D">
      <w:pPr>
        <w:pStyle w:val="NormalIndent"/>
        <w:ind w:left="90" w:firstLine="180"/>
        <w:rPr>
          <w:lang w:val="en-IN"/>
        </w:rPr>
      </w:pPr>
      <w:r w:rsidRPr="006F4C37">
        <w:lastRenderedPageBreak/>
        <w:t>The best number of clusters is determined by doing clustering with varying numbers of clusters and assessing quality criteria. The silhouette score is a commonly used cluster quality metric; a higher score suggests a superior solution. To compute the silhouette score for each observation/data point, it is necessary to determine the distances between each cluster's observations. Figure 3 demonstrates that five clusters are optimum and that PCA paired with k-means produces the highest silhouette score among all techniques</w:t>
      </w:r>
      <w:r>
        <w:t>.</w:t>
      </w:r>
    </w:p>
    <w:p w14:paraId="09324BB9" w14:textId="5CE567CD" w:rsidR="008F134D" w:rsidRDefault="002310CD" w:rsidP="002310CD">
      <w:pPr>
        <w:pStyle w:val="NormalIndent"/>
        <w:ind w:left="1080" w:firstLine="0"/>
        <w:jc w:val="center"/>
        <w:rPr>
          <w:lang w:val="en-IN"/>
        </w:rPr>
      </w:pPr>
      <w:r>
        <w:rPr>
          <w:noProof/>
          <w:lang w:eastAsia="en-US"/>
        </w:rPr>
        <w:drawing>
          <wp:inline distT="0" distB="0" distL="0" distR="0" wp14:anchorId="016C1A64" wp14:editId="76375190">
            <wp:extent cx="3390900" cy="239403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8621" cy="2399486"/>
                    </a:xfrm>
                    <a:prstGeom prst="rect">
                      <a:avLst/>
                    </a:prstGeom>
                    <a:noFill/>
                  </pic:spPr>
                </pic:pic>
              </a:graphicData>
            </a:graphic>
          </wp:inline>
        </w:drawing>
      </w:r>
    </w:p>
    <w:p w14:paraId="67CC1CDB" w14:textId="6FC0D9CB" w:rsidR="002310CD" w:rsidRPr="008D58C3" w:rsidRDefault="002310CD" w:rsidP="002310CD">
      <w:pPr>
        <w:pStyle w:val="NormalIndent"/>
        <w:ind w:left="1080" w:firstLine="0"/>
        <w:jc w:val="center"/>
        <w:rPr>
          <w:lang w:val="en-IN"/>
        </w:rPr>
      </w:pPr>
      <w:r w:rsidRPr="008D58C3">
        <w:rPr>
          <w:lang w:val="en-IN"/>
        </w:rPr>
        <w:t xml:space="preserve">Figure 3. </w:t>
      </w:r>
      <w:r w:rsidR="00BF5328" w:rsidRPr="008D58C3">
        <w:rPr>
          <w:lang w:val="en-IN"/>
        </w:rPr>
        <w:t>Comparison of Silhouette score of each clustering technique and number of cluster</w:t>
      </w:r>
    </w:p>
    <w:p w14:paraId="562D1F59" w14:textId="1335EEB4" w:rsidR="00E13D99" w:rsidRDefault="00CD6BD8" w:rsidP="00CD6BD8">
      <w:pPr>
        <w:pStyle w:val="NormalIndent"/>
        <w:ind w:firstLine="0"/>
      </w:pPr>
      <w:r>
        <w:t xml:space="preserve">  </w:t>
      </w:r>
    </w:p>
    <w:p w14:paraId="2CA25266" w14:textId="4EC0E442" w:rsidR="0050764B" w:rsidRDefault="0050764B" w:rsidP="0050764B">
      <w:pPr>
        <w:pStyle w:val="NormalIndent"/>
        <w:ind w:firstLine="0"/>
        <w:rPr>
          <w:szCs w:val="24"/>
          <w:lang w:val="en-GB" w:eastAsia="en-GB"/>
        </w:rPr>
      </w:pPr>
      <w:r>
        <w:rPr>
          <w:szCs w:val="24"/>
          <w:lang w:val="en-GB" w:eastAsia="en-GB"/>
        </w:rPr>
        <w:t xml:space="preserve">  </w:t>
      </w:r>
      <w:r w:rsidRPr="006F4C37">
        <w:rPr>
          <w:szCs w:val="24"/>
          <w:lang w:val="en-GB" w:eastAsia="en-GB"/>
        </w:rPr>
        <w:t>Figure 4a illustrates the clusters in terms of energy and rise time. It is evident that cluster 0 and cluster 3 are both noisy datasets that may not include any meaningful AE signals due to their extremely weak energy components. Now, the signals belonging to clusters 1,</w:t>
      </w:r>
      <w:r>
        <w:rPr>
          <w:szCs w:val="24"/>
          <w:lang w:val="en-GB" w:eastAsia="en-GB"/>
        </w:rPr>
        <w:t xml:space="preserve"> </w:t>
      </w:r>
      <w:r w:rsidRPr="006F4C37">
        <w:rPr>
          <w:szCs w:val="24"/>
          <w:lang w:val="en-GB" w:eastAsia="en-GB"/>
        </w:rPr>
        <w:t xml:space="preserve">2 and 4 are extracted from the dataset and their occurrence times during the experiment are shown. Peak energy signals can be recorded on </w:t>
      </w:r>
      <w:r w:rsidR="00896560">
        <w:rPr>
          <w:szCs w:val="24"/>
          <w:lang w:val="en-GB" w:eastAsia="en-GB"/>
        </w:rPr>
        <w:t>all</w:t>
      </w:r>
      <w:r w:rsidRPr="006F4C37">
        <w:rPr>
          <w:szCs w:val="24"/>
          <w:lang w:val="en-GB" w:eastAsia="en-GB"/>
        </w:rPr>
        <w:t xml:space="preserve"> channels, showing energy release under peak load. (Refer figure 4(b)).</w:t>
      </w:r>
    </w:p>
    <w:p w14:paraId="47C35BB7" w14:textId="77777777" w:rsidR="0050764B" w:rsidRDefault="0050764B" w:rsidP="00CD6BD8">
      <w:pPr>
        <w:pStyle w:val="Normal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E13D99" w14:paraId="73AC5B44" w14:textId="77777777" w:rsidTr="00E13D99">
        <w:tc>
          <w:tcPr>
            <w:tcW w:w="5154" w:type="dxa"/>
          </w:tcPr>
          <w:p w14:paraId="065D0F0B" w14:textId="4E69D968" w:rsidR="00E13D99" w:rsidRDefault="00E13D99" w:rsidP="00E13D99">
            <w:pPr>
              <w:pStyle w:val="NormalIndent"/>
              <w:ind w:firstLine="0"/>
              <w:jc w:val="center"/>
            </w:pPr>
            <w:r w:rsidRPr="00E13D99">
              <w:rPr>
                <w:noProof/>
                <w:lang w:eastAsia="en-US"/>
              </w:rPr>
              <w:drawing>
                <wp:inline distT="0" distB="0" distL="0" distR="0" wp14:anchorId="65C56B3B" wp14:editId="6302E354">
                  <wp:extent cx="2971800" cy="2299400"/>
                  <wp:effectExtent l="0" t="0" r="0" b="5715"/>
                  <wp:docPr id="15" name="Picture 15" descr="F:\Journal Papers\SHMII-11\Harsh\outp12323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Journal Papers\SHMII-11\Harsh\outp12323u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2299400"/>
                          </a:xfrm>
                          <a:prstGeom prst="rect">
                            <a:avLst/>
                          </a:prstGeom>
                          <a:noFill/>
                          <a:ln>
                            <a:noFill/>
                          </a:ln>
                        </pic:spPr>
                      </pic:pic>
                    </a:graphicData>
                  </a:graphic>
                </wp:inline>
              </w:drawing>
            </w:r>
          </w:p>
        </w:tc>
        <w:tc>
          <w:tcPr>
            <w:tcW w:w="5155" w:type="dxa"/>
          </w:tcPr>
          <w:p w14:paraId="3B16C5BB" w14:textId="37BF6152" w:rsidR="00E13D99" w:rsidRDefault="00E13D99" w:rsidP="00E13D99">
            <w:pPr>
              <w:pStyle w:val="NormalIndent"/>
              <w:ind w:firstLine="0"/>
              <w:jc w:val="center"/>
            </w:pPr>
            <w:r w:rsidRPr="00E13D99">
              <w:rPr>
                <w:noProof/>
                <w:lang w:eastAsia="en-US"/>
              </w:rPr>
              <w:drawing>
                <wp:inline distT="0" distB="0" distL="0" distR="0" wp14:anchorId="3FF29BD3" wp14:editId="73DB7325">
                  <wp:extent cx="2971800" cy="2299400"/>
                  <wp:effectExtent l="0" t="0" r="0" b="5715"/>
                  <wp:docPr id="16" name="Picture 16" descr="F:\Journal Papers\SHMII-11\Harsh\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Journal Papers\SHMII-11\Harsh\outpu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299400"/>
                          </a:xfrm>
                          <a:prstGeom prst="rect">
                            <a:avLst/>
                          </a:prstGeom>
                          <a:noFill/>
                          <a:ln>
                            <a:noFill/>
                          </a:ln>
                        </pic:spPr>
                      </pic:pic>
                    </a:graphicData>
                  </a:graphic>
                </wp:inline>
              </w:drawing>
            </w:r>
          </w:p>
        </w:tc>
      </w:tr>
      <w:tr w:rsidR="00E13D99" w14:paraId="594D1525" w14:textId="77777777" w:rsidTr="00E13D99">
        <w:tc>
          <w:tcPr>
            <w:tcW w:w="5154" w:type="dxa"/>
          </w:tcPr>
          <w:p w14:paraId="363632B8" w14:textId="64DFD7C2" w:rsidR="00E13D99" w:rsidRDefault="00E13D99" w:rsidP="00E13D99">
            <w:pPr>
              <w:pStyle w:val="NormalIndent"/>
              <w:ind w:firstLine="0"/>
              <w:jc w:val="center"/>
            </w:pPr>
            <w:r>
              <w:t>(a)</w:t>
            </w:r>
          </w:p>
        </w:tc>
        <w:tc>
          <w:tcPr>
            <w:tcW w:w="5155" w:type="dxa"/>
          </w:tcPr>
          <w:p w14:paraId="58448FCA" w14:textId="09C3836B" w:rsidR="00E13D99" w:rsidRDefault="00E13D99" w:rsidP="00E13D99">
            <w:pPr>
              <w:pStyle w:val="NormalIndent"/>
              <w:ind w:firstLine="0"/>
              <w:jc w:val="center"/>
            </w:pPr>
            <w:r>
              <w:t>(b)</w:t>
            </w:r>
          </w:p>
        </w:tc>
      </w:tr>
    </w:tbl>
    <w:p w14:paraId="45E1BBB3" w14:textId="12B1C5F2" w:rsidR="000C0921" w:rsidRDefault="004F24F9" w:rsidP="00896560">
      <w:pPr>
        <w:pStyle w:val="NormalIndent"/>
        <w:ind w:firstLine="0"/>
        <w:jc w:val="center"/>
        <w:rPr>
          <w:lang w:val="en-IN"/>
        </w:rPr>
      </w:pPr>
      <w:r w:rsidRPr="000C0921">
        <w:t>Figure 4.</w:t>
      </w:r>
      <w:r w:rsidR="00BF5328" w:rsidRPr="000C0921">
        <w:t xml:space="preserve"> Result from clustering (a) Cluster labels with respect to energy and rise time (b) Experiment time vs energy for selected clusters</w:t>
      </w:r>
    </w:p>
    <w:p w14:paraId="61EF2540" w14:textId="77777777" w:rsidR="0050764B" w:rsidRDefault="0050764B" w:rsidP="002310CD">
      <w:pPr>
        <w:pStyle w:val="NormalIndent"/>
        <w:ind w:firstLine="0"/>
        <w:rPr>
          <w:lang w:val="en-IN"/>
        </w:rPr>
      </w:pPr>
    </w:p>
    <w:p w14:paraId="4DD0988D" w14:textId="77777777" w:rsidR="00261852" w:rsidRPr="00261852" w:rsidRDefault="00261852" w:rsidP="00261852">
      <w:pPr>
        <w:pStyle w:val="NormalIndent"/>
        <w:numPr>
          <w:ilvl w:val="1"/>
          <w:numId w:val="29"/>
        </w:numPr>
        <w:rPr>
          <w:rFonts w:ascii="TimesNewRomanPSMT" w:hAnsi="TimesNewRomanPSMT"/>
          <w:color w:val="000000"/>
        </w:rPr>
      </w:pPr>
      <w:r>
        <w:rPr>
          <w:lang w:val="en-IN"/>
        </w:rPr>
        <w:t>AE waveforms selection</w:t>
      </w:r>
    </w:p>
    <w:p w14:paraId="5D7C83A5" w14:textId="02AAC5CC" w:rsidR="00261852" w:rsidRDefault="00722094" w:rsidP="00722094">
      <w:pPr>
        <w:pStyle w:val="NormalIndent"/>
        <w:ind w:firstLine="0"/>
        <w:rPr>
          <w:lang w:val="en-IN"/>
        </w:rPr>
      </w:pPr>
      <w:r>
        <w:rPr>
          <w:lang w:val="en-IN"/>
        </w:rPr>
        <w:t xml:space="preserve">   </w:t>
      </w:r>
      <w:r w:rsidR="0000320A">
        <w:rPr>
          <w:lang w:val="en-IN"/>
        </w:rPr>
        <w:t>The sign</w:t>
      </w:r>
      <w:r w:rsidR="008D58C3">
        <w:rPr>
          <w:lang w:val="en-IN"/>
        </w:rPr>
        <w:t>al having highest energy from fi</w:t>
      </w:r>
      <w:r w:rsidR="0000320A">
        <w:rPr>
          <w:lang w:val="en-IN"/>
        </w:rPr>
        <w:t xml:space="preserve">gure 4(b) has been selected and wave analysis is presented. </w:t>
      </w:r>
      <w:r w:rsidR="00261852">
        <w:rPr>
          <w:lang w:val="en-IN"/>
        </w:rPr>
        <w:t xml:space="preserve">The parametric analysis and AE data clustering were used for the selection of good AE signals. The good AE signals are the one which can justify the AE event with the parameters associated with the same. This can be done by frequency analysis (wavelet transform) of the AE signals. As observed in the Figure </w:t>
      </w:r>
      <w:r w:rsidR="000C0921">
        <w:rPr>
          <w:lang w:val="en-IN"/>
        </w:rPr>
        <w:t>2</w:t>
      </w:r>
      <w:r w:rsidR="00261852">
        <w:rPr>
          <w:lang w:val="en-IN"/>
        </w:rPr>
        <w:t xml:space="preserve"> (b), the initial events associated with the tensile cracks are having high frequency, whereas events due to shear cracks are having low frequency. </w:t>
      </w:r>
    </w:p>
    <w:p w14:paraId="6C72D815" w14:textId="57A50151" w:rsidR="000C0921" w:rsidRDefault="000C0921" w:rsidP="00722094">
      <w:pPr>
        <w:pStyle w:val="NormalIndent"/>
        <w:ind w:firstLine="0"/>
        <w:rPr>
          <w:lang w:val="en-IN"/>
        </w:rPr>
      </w:pPr>
      <w:r>
        <w:rPr>
          <w:lang w:val="en-IN"/>
        </w:rPr>
        <w:t xml:space="preserve">  The sample waveform of AE response received at the bottom sensor shown in Figure 5. The waveform is corresponding to the tensile cracks generated at the bottom in the initial phase of the experiment. The FFT and wavelet transforms of the signal showing the higher frequency indicating the tensile crack.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5160"/>
      </w:tblGrid>
      <w:tr w:rsidR="007B6631" w14:paraId="50ECB9FF" w14:textId="77777777" w:rsidTr="007B6631">
        <w:trPr>
          <w:jc w:val="center"/>
        </w:trPr>
        <w:tc>
          <w:tcPr>
            <w:tcW w:w="2424" w:type="pct"/>
          </w:tcPr>
          <w:p w14:paraId="66B8C756" w14:textId="6536E4AE" w:rsidR="007B6631" w:rsidRDefault="007B6631" w:rsidP="007B6631">
            <w:pPr>
              <w:pStyle w:val="NormalIndent"/>
              <w:ind w:firstLine="0"/>
              <w:jc w:val="center"/>
              <w:rPr>
                <w:rStyle w:val="fontstyle01"/>
              </w:rPr>
            </w:pPr>
            <w:r w:rsidRPr="007B6631">
              <w:rPr>
                <w:rFonts w:ascii="TimesNewRomanPSMT" w:hAnsi="TimesNewRomanPSMT"/>
                <w:noProof/>
                <w:color w:val="000000"/>
                <w:lang w:eastAsia="en-US"/>
              </w:rPr>
              <w:lastRenderedPageBreak/>
              <w:drawing>
                <wp:inline distT="0" distB="0" distL="0" distR="0" wp14:anchorId="05EFCE8A" wp14:editId="73862565">
                  <wp:extent cx="3200400" cy="1707176"/>
                  <wp:effectExtent l="0" t="0" r="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4" cstate="print">
                            <a:extLst>
                              <a:ext uri="{28A0092B-C50C-407E-A947-70E740481C1C}">
                                <a14:useLocalDpi xmlns:a14="http://schemas.microsoft.com/office/drawing/2010/main" val="0"/>
                              </a:ext>
                            </a:extLst>
                          </a:blip>
                          <a:srcRect l="6867" r="7281"/>
                          <a:stretch/>
                        </pic:blipFill>
                        <pic:spPr>
                          <a:xfrm>
                            <a:off x="0" y="0"/>
                            <a:ext cx="3200400" cy="1707176"/>
                          </a:xfrm>
                          <a:prstGeom prst="rect">
                            <a:avLst/>
                          </a:prstGeom>
                        </pic:spPr>
                      </pic:pic>
                    </a:graphicData>
                  </a:graphic>
                </wp:inline>
              </w:drawing>
            </w:r>
          </w:p>
        </w:tc>
        <w:tc>
          <w:tcPr>
            <w:tcW w:w="2576" w:type="pct"/>
          </w:tcPr>
          <w:p w14:paraId="59C40B27" w14:textId="3E55A2DD" w:rsidR="007B6631" w:rsidRDefault="007B6631" w:rsidP="007B6631">
            <w:pPr>
              <w:pStyle w:val="NormalIndent"/>
              <w:ind w:firstLine="0"/>
              <w:jc w:val="center"/>
              <w:rPr>
                <w:rStyle w:val="fontstyle01"/>
              </w:rPr>
            </w:pPr>
            <w:r w:rsidRPr="007B6631">
              <w:rPr>
                <w:rFonts w:ascii="TimesNewRomanPSMT" w:hAnsi="TimesNewRomanPSMT"/>
                <w:noProof/>
                <w:color w:val="000000"/>
                <w:lang w:eastAsia="en-US"/>
              </w:rPr>
              <w:drawing>
                <wp:inline distT="0" distB="0" distL="0" distR="0" wp14:anchorId="7655CCA7" wp14:editId="7642DE22">
                  <wp:extent cx="3200400" cy="16002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stretch>
                            <a:fillRect/>
                          </a:stretch>
                        </pic:blipFill>
                        <pic:spPr>
                          <a:xfrm>
                            <a:off x="0" y="0"/>
                            <a:ext cx="3200400" cy="1600200"/>
                          </a:xfrm>
                          <a:prstGeom prst="rect">
                            <a:avLst/>
                          </a:prstGeom>
                        </pic:spPr>
                      </pic:pic>
                    </a:graphicData>
                  </a:graphic>
                </wp:inline>
              </w:drawing>
            </w:r>
          </w:p>
        </w:tc>
      </w:tr>
      <w:tr w:rsidR="007B6631" w14:paraId="5D81D8F8" w14:textId="77777777" w:rsidTr="007B6631">
        <w:trPr>
          <w:jc w:val="center"/>
        </w:trPr>
        <w:tc>
          <w:tcPr>
            <w:tcW w:w="2424" w:type="pct"/>
          </w:tcPr>
          <w:p w14:paraId="24A85BE2" w14:textId="708A96A3" w:rsidR="007B6631" w:rsidRDefault="007B6631" w:rsidP="007B6631">
            <w:pPr>
              <w:pStyle w:val="NormalIndent"/>
              <w:ind w:firstLine="0"/>
              <w:jc w:val="center"/>
              <w:rPr>
                <w:rStyle w:val="fontstyle01"/>
              </w:rPr>
            </w:pPr>
            <w:r>
              <w:rPr>
                <w:rStyle w:val="fontstyle01"/>
              </w:rPr>
              <w:t>(a)</w:t>
            </w:r>
          </w:p>
        </w:tc>
        <w:tc>
          <w:tcPr>
            <w:tcW w:w="2576" w:type="pct"/>
          </w:tcPr>
          <w:p w14:paraId="69D9A452" w14:textId="1281DE2D" w:rsidR="007B6631" w:rsidRDefault="007B6631" w:rsidP="007B6631">
            <w:pPr>
              <w:pStyle w:val="NormalIndent"/>
              <w:ind w:firstLine="0"/>
              <w:jc w:val="center"/>
              <w:rPr>
                <w:rStyle w:val="fontstyle01"/>
              </w:rPr>
            </w:pPr>
            <w:r>
              <w:rPr>
                <w:rStyle w:val="fontstyle01"/>
              </w:rPr>
              <w:t>(b)</w:t>
            </w:r>
          </w:p>
        </w:tc>
      </w:tr>
    </w:tbl>
    <w:p w14:paraId="4A1E6AD7" w14:textId="22B685D3" w:rsidR="007B6631" w:rsidRDefault="007B6631" w:rsidP="007B6631">
      <w:pPr>
        <w:pStyle w:val="NormalIndent"/>
        <w:ind w:left="1080" w:firstLine="0"/>
        <w:jc w:val="center"/>
        <w:rPr>
          <w:rStyle w:val="fontstyle01"/>
        </w:rPr>
      </w:pPr>
      <w:r>
        <w:rPr>
          <w:rStyle w:val="fontstyle01"/>
        </w:rPr>
        <w:t xml:space="preserve">Figure </w:t>
      </w:r>
      <w:r w:rsidR="00777834">
        <w:rPr>
          <w:rStyle w:val="fontstyle01"/>
        </w:rPr>
        <w:t>5</w:t>
      </w:r>
      <w:r>
        <w:rPr>
          <w:rStyle w:val="fontstyle01"/>
        </w:rPr>
        <w:t>. Frequency analysis of the selected AE waveform</w:t>
      </w:r>
      <w:r w:rsidR="008D58C3">
        <w:rPr>
          <w:rStyle w:val="fontstyle01"/>
        </w:rPr>
        <w:t xml:space="preserve"> received at bottom sensor </w:t>
      </w:r>
    </w:p>
    <w:p w14:paraId="4F38B0EA" w14:textId="77777777" w:rsidR="00CD6BD8" w:rsidRDefault="00CD6BD8" w:rsidP="007B6631">
      <w:pPr>
        <w:pStyle w:val="NormalIndent"/>
        <w:ind w:left="1080" w:firstLine="0"/>
        <w:jc w:val="center"/>
        <w:rPr>
          <w:rStyle w:val="fontstyle01"/>
        </w:rPr>
      </w:pPr>
    </w:p>
    <w:p w14:paraId="58A2080E" w14:textId="000DEC6D" w:rsidR="00962BAA" w:rsidRDefault="00962BAA" w:rsidP="00962BAA">
      <w:pPr>
        <w:pStyle w:val="NormalIndent"/>
        <w:numPr>
          <w:ilvl w:val="0"/>
          <w:numId w:val="29"/>
        </w:numPr>
        <w:rPr>
          <w:rStyle w:val="fontstyle01"/>
        </w:rPr>
      </w:pPr>
      <w:r>
        <w:rPr>
          <w:rStyle w:val="fontstyle01"/>
        </w:rPr>
        <w:t>SUMMARY</w:t>
      </w:r>
    </w:p>
    <w:p w14:paraId="63D4EAA7" w14:textId="77777777" w:rsidR="00CE3B03" w:rsidRPr="00513349" w:rsidRDefault="00CE3B03" w:rsidP="00CE3B03">
      <w:pPr>
        <w:pStyle w:val="NormalIndent"/>
      </w:pPr>
      <w:r w:rsidRPr="00513349">
        <w:t>The Acoustic Emission approach is receiving increasing recognition in the field of assessing the structural health of reinforced</w:t>
      </w:r>
      <w:r w:rsidRPr="00513349">
        <w:br/>
        <w:t>concrete structures. However, noise reduction and suppression continue to be a challenge in AE data processing. Clustering</w:t>
      </w:r>
      <w:r w:rsidRPr="00513349">
        <w:br/>
        <w:t>techniques have been offered in this study as a means of resolving this issue. Indeed, clustering can aid in the identification of underlying correlations between sets of data, such as fracture development mechanisms or noisy perturbations. It may serve as a</w:t>
      </w:r>
      <w:r w:rsidRPr="00513349">
        <w:br/>
        <w:t>fundamental tool not only for classifying existing classes, but also for discovering new relevant classes.</w:t>
      </w:r>
    </w:p>
    <w:p w14:paraId="2A134765" w14:textId="56DFD400" w:rsidR="00CE3B03" w:rsidRPr="00513349" w:rsidRDefault="00CE3B03" w:rsidP="00CE3B03">
      <w:pPr>
        <w:pStyle w:val="NormalIndent"/>
      </w:pPr>
      <w:r w:rsidRPr="00513349">
        <w:t>Several techniques for automatically clustering and separating AE events based on several characteristics were used in this</w:t>
      </w:r>
      <w:r w:rsidRPr="00513349">
        <w:br/>
        <w:t>work. The noise was isolated from the important events and then eliminated using a variety of different techniques such as PCA</w:t>
      </w:r>
      <w:r w:rsidRPr="00513349">
        <w:br/>
        <w:t>and the k-means approach. Numerous validation strategies have also been devised for the examination of AE expression data. To enhance prediction of the number of relevant clusters, procedures for normalisation and validity aggregation have been presented.</w:t>
      </w:r>
    </w:p>
    <w:p w14:paraId="0AC1464B" w14:textId="2A58A2D7" w:rsidR="00962BAA" w:rsidRPr="00513349" w:rsidRDefault="000C0921" w:rsidP="00962BAA">
      <w:pPr>
        <w:pStyle w:val="NormalIndent"/>
      </w:pPr>
      <w:r>
        <w:t>Us</w:t>
      </w:r>
      <w:r w:rsidR="00962BAA" w:rsidRPr="00513349">
        <w:t>ing acoustic emission for non-destructive testing of concrete structure reveals significant information of structure present condition as well as its serviceability in future. However, the process of acoustic emission, due to presence of various sources of noise and wide band of sensor, generates huge amount of data. AE data usually contains distinguishable groups based on their underlying patterns. To understand the damage process in concrete and to form a robust algorithm for damage detection, an algorithm based on unsupervised ML algorithm was developed based on features of AE waveform. This algorithm resulted in few separate clusters with distinctive properties. Thus, for further analysis, dataset can be filtered based on clusters.</w:t>
      </w:r>
    </w:p>
    <w:p w14:paraId="2FC973D7" w14:textId="2A7582F6" w:rsidR="00962BAA" w:rsidRDefault="00962BAA" w:rsidP="0034393C">
      <w:pPr>
        <w:pStyle w:val="NormalIndent"/>
        <w:ind w:left="720" w:firstLine="0"/>
        <w:jc w:val="left"/>
        <w:rPr>
          <w:rStyle w:val="fontstyle01"/>
          <w:sz w:val="18"/>
          <w:szCs w:val="18"/>
        </w:rPr>
      </w:pPr>
      <w:r>
        <w:rPr>
          <w:rFonts w:ascii="TimesNewRomanPSMT" w:hAnsi="TimesNewRomanPSMT"/>
          <w:color w:val="000000"/>
        </w:rPr>
        <w:br/>
      </w:r>
      <w:r>
        <w:rPr>
          <w:rStyle w:val="fontstyle01"/>
          <w:sz w:val="18"/>
          <w:szCs w:val="18"/>
        </w:rPr>
        <w:t xml:space="preserve"> REFERENCES</w:t>
      </w:r>
    </w:p>
    <w:p w14:paraId="5059BE64" w14:textId="6FF60ABF" w:rsidR="00665151" w:rsidRPr="00CD176A" w:rsidRDefault="00665151" w:rsidP="0034393C">
      <w:pPr>
        <w:pStyle w:val="NormalIndent"/>
        <w:ind w:left="720" w:firstLine="0"/>
        <w:sectPr w:rsidR="00665151" w:rsidRPr="00CD176A" w:rsidSect="009529EB">
          <w:headerReference w:type="default" r:id="rId26"/>
          <w:footerReference w:type="default" r:id="rId27"/>
          <w:headerReference w:type="first" r:id="rId28"/>
          <w:footerReference w:type="first" r:id="rId29"/>
          <w:pgSz w:w="11907" w:h="16839" w:code="9"/>
          <w:pgMar w:top="1418" w:right="794" w:bottom="1418" w:left="794" w:header="709" w:footer="709" w:gutter="0"/>
          <w:cols w:space="708"/>
          <w:titlePg/>
          <w:docGrid w:linePitch="360"/>
        </w:sectPr>
      </w:pPr>
    </w:p>
    <w:p w14:paraId="601052CB" w14:textId="47F4191C" w:rsidR="000C0921" w:rsidRPr="00CD6BD8" w:rsidRDefault="00CD6BD8" w:rsidP="00CD6BD8">
      <w:pPr>
        <w:pStyle w:val="Heading1"/>
        <w:numPr>
          <w:ilvl w:val="0"/>
          <w:numId w:val="0"/>
        </w:numPr>
        <w:spacing w:before="0" w:after="0"/>
        <w:rPr>
          <w:caps w:val="0"/>
          <w:kern w:val="0"/>
          <w:sz w:val="16"/>
          <w:szCs w:val="16"/>
        </w:rPr>
      </w:pPr>
      <w:r>
        <w:rPr>
          <w:caps w:val="0"/>
          <w:kern w:val="0"/>
          <w:sz w:val="16"/>
          <w:szCs w:val="16"/>
        </w:rPr>
        <w:t xml:space="preserve"> </w:t>
      </w:r>
    </w:p>
    <w:p w14:paraId="6A6D5289" w14:textId="77777777" w:rsidR="00CD6BD8" w:rsidRPr="00CD6BD8" w:rsidRDefault="00CD6BD8" w:rsidP="0034393C">
      <w:pPr>
        <w:pStyle w:val="References"/>
        <w:rPr>
          <w:szCs w:val="16"/>
        </w:rPr>
      </w:pPr>
      <w:r w:rsidRPr="00CD6BD8">
        <w:rPr>
          <w:szCs w:val="16"/>
          <w:lang w:val="en-IN"/>
        </w:rPr>
        <w:t>Parhizkar, Tarannom. (2021). Evaluation and improvement of energy consumption prediction models using principal component analysis based feature reduction, Journal of Cleaner Production, 279.</w:t>
      </w:r>
    </w:p>
    <w:p w14:paraId="443A6771" w14:textId="221D35E5" w:rsidR="0034393C" w:rsidRPr="0034393C" w:rsidRDefault="001F4084" w:rsidP="00CD6BD8">
      <w:pPr>
        <w:pStyle w:val="References"/>
        <w:numPr>
          <w:ilvl w:val="0"/>
          <w:numId w:val="0"/>
        </w:numPr>
        <w:ind w:left="360"/>
        <w:rPr>
          <w:szCs w:val="16"/>
        </w:rPr>
      </w:pPr>
      <w:hyperlink r:id="rId30" w:tgtFrame="_blank" w:tooltip="Persistent link using digital object identifier" w:history="1">
        <w:r w:rsidR="00CD6BD8" w:rsidRPr="00CD6BD8">
          <w:rPr>
            <w:szCs w:val="16"/>
            <w:lang w:val="en-IN"/>
          </w:rPr>
          <w:t>https://doi.org/10.1016/j.jclepro.2020.123866</w:t>
        </w:r>
      </w:hyperlink>
    </w:p>
    <w:p w14:paraId="43CC6216" w14:textId="2994958F" w:rsidR="007B2213" w:rsidRPr="0034393C" w:rsidRDefault="007B2213" w:rsidP="007B2213">
      <w:pPr>
        <w:pStyle w:val="References"/>
        <w:rPr>
          <w:szCs w:val="16"/>
        </w:rPr>
      </w:pPr>
      <w:r w:rsidRPr="0034393C">
        <w:rPr>
          <w:szCs w:val="16"/>
          <w:lang w:val="en-IN"/>
        </w:rPr>
        <w:t xml:space="preserve">Soucy, Pascal &amp; </w:t>
      </w:r>
      <w:proofErr w:type="spellStart"/>
      <w:r w:rsidRPr="0034393C">
        <w:rPr>
          <w:szCs w:val="16"/>
          <w:lang w:val="en-IN"/>
        </w:rPr>
        <w:t>Mineau</w:t>
      </w:r>
      <w:proofErr w:type="spellEnd"/>
      <w:r w:rsidRPr="0034393C">
        <w:rPr>
          <w:szCs w:val="16"/>
          <w:lang w:val="en-IN"/>
        </w:rPr>
        <w:t>, Guy. (2001). A simple KNN algorithm for text categorization. 647 - 648. 10.1109/ICDM.2001.989592</w:t>
      </w:r>
    </w:p>
    <w:p w14:paraId="3A8BA4A3" w14:textId="77777777" w:rsidR="007B2213" w:rsidRPr="0034393C" w:rsidRDefault="007B2213" w:rsidP="007B2213">
      <w:pPr>
        <w:pStyle w:val="References"/>
        <w:rPr>
          <w:szCs w:val="16"/>
        </w:rPr>
      </w:pPr>
      <w:r w:rsidRPr="0034393C">
        <w:rPr>
          <w:szCs w:val="16"/>
          <w:lang w:val="en-IN"/>
        </w:rPr>
        <w:t xml:space="preserve">Jiang, </w:t>
      </w:r>
      <w:proofErr w:type="spellStart"/>
      <w:r w:rsidRPr="0034393C">
        <w:rPr>
          <w:szCs w:val="16"/>
          <w:lang w:val="en-IN"/>
        </w:rPr>
        <w:t>Qiuhong</w:t>
      </w:r>
      <w:proofErr w:type="spellEnd"/>
      <w:r w:rsidRPr="0034393C">
        <w:rPr>
          <w:szCs w:val="16"/>
          <w:lang w:val="en-IN"/>
        </w:rPr>
        <w:t xml:space="preserve"> &amp; Liu, </w:t>
      </w:r>
      <w:proofErr w:type="spellStart"/>
      <w:r w:rsidRPr="0034393C">
        <w:rPr>
          <w:szCs w:val="16"/>
          <w:lang w:val="en-IN"/>
        </w:rPr>
        <w:t>Zhi</w:t>
      </w:r>
      <w:proofErr w:type="spellEnd"/>
      <w:r w:rsidRPr="0034393C">
        <w:rPr>
          <w:szCs w:val="16"/>
          <w:lang w:val="en-IN"/>
        </w:rPr>
        <w:t xml:space="preserve">-Chao &amp; Liu, Weiwei &amp; Li, Tao &amp; Cong, </w:t>
      </w:r>
      <w:proofErr w:type="spellStart"/>
      <w:r w:rsidRPr="0034393C">
        <w:rPr>
          <w:szCs w:val="16"/>
          <w:lang w:val="en-IN"/>
        </w:rPr>
        <w:t>Weilong</w:t>
      </w:r>
      <w:proofErr w:type="spellEnd"/>
      <w:r w:rsidRPr="0034393C">
        <w:rPr>
          <w:szCs w:val="16"/>
          <w:lang w:val="en-IN"/>
        </w:rPr>
        <w:t xml:space="preserve"> &amp; Zhang, </w:t>
      </w:r>
      <w:proofErr w:type="spellStart"/>
      <w:r w:rsidRPr="0034393C">
        <w:rPr>
          <w:szCs w:val="16"/>
          <w:lang w:val="en-IN"/>
        </w:rPr>
        <w:t>Hongchao</w:t>
      </w:r>
      <w:proofErr w:type="spellEnd"/>
      <w:r w:rsidRPr="0034393C">
        <w:rPr>
          <w:szCs w:val="16"/>
          <w:lang w:val="en-IN"/>
        </w:rPr>
        <w:t xml:space="preserve"> &amp; Shi, </w:t>
      </w:r>
      <w:proofErr w:type="spellStart"/>
      <w:r w:rsidRPr="0034393C">
        <w:rPr>
          <w:szCs w:val="16"/>
          <w:lang w:val="en-IN"/>
        </w:rPr>
        <w:t>Junli</w:t>
      </w:r>
      <w:proofErr w:type="spellEnd"/>
      <w:r w:rsidRPr="0034393C">
        <w:rPr>
          <w:szCs w:val="16"/>
          <w:lang w:val="en-IN"/>
        </w:rPr>
        <w:t>. (2018). A principal component analysis based three-dimensional sustainability assessment model to evaluate corporate sustainable performance. Journal of Cleaner Production. 187. 10.1016/j.jclepro.2018.03.255.</w:t>
      </w:r>
    </w:p>
    <w:p w14:paraId="71A35C21" w14:textId="77777777" w:rsidR="000C0921" w:rsidRDefault="0034393C" w:rsidP="0034393C">
      <w:pPr>
        <w:pStyle w:val="References"/>
        <w:rPr>
          <w:szCs w:val="16"/>
          <w:lang w:val="en-IN"/>
        </w:rPr>
      </w:pPr>
      <w:r w:rsidRPr="0034393C">
        <w:rPr>
          <w:szCs w:val="16"/>
          <w:lang w:val="en-IN"/>
        </w:rPr>
        <w:t>Harsh Mahajan, Sauvik Banerjee (2022). A machine learning framework for guided wave-based damage detection of rail head using surface-bonded piezo-electric wafer transducers. Machine Learning with Applications. Volume 7,100216, ISSN 2666-8270,</w:t>
      </w:r>
    </w:p>
    <w:p w14:paraId="59DA43BD" w14:textId="4AACFEC3" w:rsidR="0034393C" w:rsidRPr="0034393C" w:rsidRDefault="001F4084" w:rsidP="000C0921">
      <w:pPr>
        <w:pStyle w:val="References"/>
        <w:numPr>
          <w:ilvl w:val="0"/>
          <w:numId w:val="0"/>
        </w:numPr>
        <w:ind w:left="360"/>
        <w:rPr>
          <w:szCs w:val="16"/>
          <w:lang w:val="en-IN"/>
        </w:rPr>
      </w:pPr>
      <w:hyperlink r:id="rId31" w:history="1">
        <w:r w:rsidR="0034393C" w:rsidRPr="0034393C">
          <w:rPr>
            <w:rStyle w:val="Hyperlink"/>
            <w:szCs w:val="16"/>
            <w:lang w:val="en-IN"/>
          </w:rPr>
          <w:t>https://doi.org/10.1016/j.mlwa.2021.100216</w:t>
        </w:r>
      </w:hyperlink>
      <w:r w:rsidR="0034393C" w:rsidRPr="0034393C">
        <w:rPr>
          <w:szCs w:val="16"/>
          <w:lang w:val="en-IN"/>
        </w:rPr>
        <w:t>.</w:t>
      </w:r>
    </w:p>
    <w:p w14:paraId="33AE08CE" w14:textId="10349ADE" w:rsidR="006C2733" w:rsidRPr="006C2733" w:rsidRDefault="006C2733" w:rsidP="006C2733">
      <w:pPr>
        <w:pStyle w:val="References"/>
        <w:rPr>
          <w:szCs w:val="16"/>
          <w:lang w:val="en-IN"/>
        </w:rPr>
      </w:pPr>
      <w:proofErr w:type="spellStart"/>
      <w:r w:rsidRPr="0034393C">
        <w:rPr>
          <w:szCs w:val="16"/>
          <w:lang w:val="en-IN"/>
        </w:rPr>
        <w:t>Pashmforous</w:t>
      </w:r>
      <w:r w:rsidR="00CD6BD8">
        <w:rPr>
          <w:szCs w:val="16"/>
          <w:lang w:val="en-IN"/>
        </w:rPr>
        <w:t>h</w:t>
      </w:r>
      <w:proofErr w:type="spellEnd"/>
      <w:r w:rsidR="00CD6BD8">
        <w:rPr>
          <w:szCs w:val="16"/>
          <w:lang w:val="en-IN"/>
        </w:rPr>
        <w:t xml:space="preserve"> F, </w:t>
      </w:r>
      <w:proofErr w:type="spellStart"/>
      <w:r w:rsidR="00CD6BD8">
        <w:rPr>
          <w:szCs w:val="16"/>
          <w:lang w:val="en-IN"/>
        </w:rPr>
        <w:t>Khamedi</w:t>
      </w:r>
      <w:proofErr w:type="spellEnd"/>
      <w:r w:rsidR="00CD6BD8">
        <w:rPr>
          <w:szCs w:val="16"/>
          <w:lang w:val="en-IN"/>
        </w:rPr>
        <w:t xml:space="preserve"> R, </w:t>
      </w:r>
      <w:proofErr w:type="spellStart"/>
      <w:r w:rsidR="00CD6BD8">
        <w:rPr>
          <w:szCs w:val="16"/>
          <w:lang w:val="en-IN"/>
        </w:rPr>
        <w:t>Fotouhi</w:t>
      </w:r>
      <w:proofErr w:type="spellEnd"/>
      <w:r w:rsidR="00CD6BD8">
        <w:rPr>
          <w:szCs w:val="16"/>
          <w:lang w:val="en-IN"/>
        </w:rPr>
        <w:t xml:space="preserve"> M (2014)</w:t>
      </w:r>
      <w:r w:rsidRPr="0034393C">
        <w:rPr>
          <w:szCs w:val="16"/>
          <w:lang w:val="en-IN"/>
        </w:rPr>
        <w:t xml:space="preserve">. Damage Classification of Sandwich Composites Using Acoustic Emission Technique and k-means Genetic Algorithm. Journal of </w:t>
      </w:r>
      <w:proofErr w:type="spellStart"/>
      <w:r w:rsidRPr="0034393C">
        <w:rPr>
          <w:szCs w:val="16"/>
          <w:lang w:val="en-IN"/>
        </w:rPr>
        <w:t>Nond</w:t>
      </w:r>
      <w:r w:rsidR="00CD6BD8">
        <w:rPr>
          <w:szCs w:val="16"/>
          <w:lang w:val="en-IN"/>
        </w:rPr>
        <w:t>estructive</w:t>
      </w:r>
      <w:proofErr w:type="spellEnd"/>
      <w:r w:rsidR="00CD6BD8">
        <w:rPr>
          <w:szCs w:val="16"/>
          <w:lang w:val="en-IN"/>
        </w:rPr>
        <w:t xml:space="preserve"> Evaluation</w:t>
      </w:r>
      <w:r w:rsidRPr="0034393C">
        <w:rPr>
          <w:szCs w:val="16"/>
          <w:lang w:val="en-IN"/>
        </w:rPr>
        <w:t>;</w:t>
      </w:r>
      <w:r w:rsidR="00CD6BD8">
        <w:rPr>
          <w:szCs w:val="16"/>
          <w:lang w:val="en-IN"/>
        </w:rPr>
        <w:t xml:space="preserve"> </w:t>
      </w:r>
      <w:r w:rsidRPr="0034393C">
        <w:rPr>
          <w:szCs w:val="16"/>
          <w:lang w:val="en-IN"/>
        </w:rPr>
        <w:t xml:space="preserve">33:481–492.  </w:t>
      </w:r>
      <w:hyperlink r:id="rId32" w:history="1">
        <w:r w:rsidRPr="0034393C">
          <w:rPr>
            <w:rStyle w:val="Hyperlink"/>
            <w:szCs w:val="16"/>
            <w:lang w:val="en-IN"/>
          </w:rPr>
          <w:t>https://doi.org/10.1007/s10921-014-0243-y</w:t>
        </w:r>
      </w:hyperlink>
      <w:r w:rsidRPr="0034393C">
        <w:rPr>
          <w:szCs w:val="16"/>
          <w:lang w:val="en-IN"/>
        </w:rPr>
        <w:t>.</w:t>
      </w:r>
    </w:p>
    <w:p w14:paraId="4EF81B20" w14:textId="05E16A0C" w:rsidR="0034393C" w:rsidRPr="0034393C" w:rsidRDefault="0034393C" w:rsidP="0034393C">
      <w:pPr>
        <w:pStyle w:val="References"/>
        <w:rPr>
          <w:szCs w:val="16"/>
          <w:lang w:val="en-IN"/>
        </w:rPr>
      </w:pPr>
      <w:proofErr w:type="spellStart"/>
      <w:r w:rsidRPr="0034393C">
        <w:rPr>
          <w:szCs w:val="16"/>
          <w:lang w:val="en-IN"/>
        </w:rPr>
        <w:t>Farhidzadeh</w:t>
      </w:r>
      <w:proofErr w:type="spellEnd"/>
      <w:r w:rsidRPr="0034393C">
        <w:rPr>
          <w:szCs w:val="16"/>
          <w:lang w:val="en-IN"/>
        </w:rPr>
        <w:t xml:space="preserve"> A, </w:t>
      </w:r>
      <w:proofErr w:type="spellStart"/>
      <w:r w:rsidRPr="0034393C">
        <w:rPr>
          <w:szCs w:val="16"/>
          <w:lang w:val="en-IN"/>
        </w:rPr>
        <w:t>Dehghan-Niri</w:t>
      </w:r>
      <w:proofErr w:type="spellEnd"/>
      <w:r w:rsidRPr="0034393C">
        <w:rPr>
          <w:szCs w:val="16"/>
          <w:lang w:val="en-IN"/>
        </w:rPr>
        <w:t xml:space="preserve"> E, Salamone S. Gaussian Mixture </w:t>
      </w:r>
      <w:proofErr w:type="spellStart"/>
      <w:r w:rsidRPr="0034393C">
        <w:rPr>
          <w:szCs w:val="16"/>
          <w:lang w:val="en-IN"/>
        </w:rPr>
        <w:t>Modeling</w:t>
      </w:r>
      <w:proofErr w:type="spellEnd"/>
      <w:r w:rsidRPr="0034393C">
        <w:rPr>
          <w:szCs w:val="16"/>
          <w:lang w:val="en-IN"/>
        </w:rPr>
        <w:t xml:space="preserve"> of Acoustic Emissions for Structural Health Monitoring of Reinforced Concrete Structures. Proceedings of SPIE - The International Society for Optical Engineering. 2013.</w:t>
      </w:r>
    </w:p>
    <w:p w14:paraId="42B8FA2F" w14:textId="77777777" w:rsidR="0034393C" w:rsidRPr="0034393C" w:rsidRDefault="0034393C" w:rsidP="0034393C">
      <w:pPr>
        <w:pStyle w:val="References"/>
        <w:rPr>
          <w:rStyle w:val="fontstyle01"/>
          <w:rFonts w:ascii="Times New Roman" w:hAnsi="Times New Roman"/>
          <w:color w:val="auto"/>
          <w:sz w:val="16"/>
          <w:szCs w:val="16"/>
          <w:lang w:val="en-IN"/>
        </w:rPr>
      </w:pPr>
      <w:r w:rsidRPr="0034393C">
        <w:rPr>
          <w:rStyle w:val="fontstyle01"/>
          <w:rFonts w:ascii="Times New Roman" w:hAnsi="Times New Roman"/>
          <w:sz w:val="16"/>
          <w:szCs w:val="16"/>
        </w:rPr>
        <w:t>IS (Indian Standard) 10262:2019. Concrete mix proportioning – guidelines. Second revision.</w:t>
      </w:r>
    </w:p>
    <w:p w14:paraId="5A9A9D0F" w14:textId="02ACE4CD" w:rsidR="0034393C" w:rsidRPr="0034393C" w:rsidRDefault="0034393C" w:rsidP="0034393C">
      <w:pPr>
        <w:pStyle w:val="References"/>
        <w:rPr>
          <w:szCs w:val="16"/>
          <w:lang w:val="en-IN"/>
        </w:rPr>
      </w:pPr>
      <w:r w:rsidRPr="0034393C">
        <w:rPr>
          <w:rStyle w:val="fontstyle01"/>
          <w:rFonts w:ascii="Times New Roman" w:hAnsi="Times New Roman"/>
          <w:sz w:val="16"/>
          <w:szCs w:val="16"/>
        </w:rPr>
        <w:t xml:space="preserve">RILEM (Réunion </w:t>
      </w:r>
      <w:proofErr w:type="spellStart"/>
      <w:r w:rsidRPr="0034393C">
        <w:rPr>
          <w:rStyle w:val="fontstyle01"/>
          <w:rFonts w:ascii="Times New Roman" w:hAnsi="Times New Roman"/>
          <w:sz w:val="16"/>
          <w:szCs w:val="16"/>
        </w:rPr>
        <w:t>Internationale</w:t>
      </w:r>
      <w:proofErr w:type="spellEnd"/>
      <w:r w:rsidRPr="0034393C">
        <w:rPr>
          <w:rStyle w:val="fontstyle01"/>
          <w:rFonts w:ascii="Times New Roman" w:hAnsi="Times New Roman"/>
          <w:sz w:val="16"/>
          <w:szCs w:val="16"/>
        </w:rPr>
        <w:t xml:space="preserve"> des </w:t>
      </w:r>
      <w:proofErr w:type="spellStart"/>
      <w:r w:rsidRPr="0034393C">
        <w:rPr>
          <w:rStyle w:val="fontstyle01"/>
          <w:rFonts w:ascii="Times New Roman" w:hAnsi="Times New Roman"/>
          <w:sz w:val="16"/>
          <w:szCs w:val="16"/>
        </w:rPr>
        <w:t>Laboratoires</w:t>
      </w:r>
      <w:proofErr w:type="spellEnd"/>
      <w:r w:rsidRPr="0034393C">
        <w:rPr>
          <w:rStyle w:val="fontstyle01"/>
          <w:rFonts w:ascii="Times New Roman" w:hAnsi="Times New Roman"/>
          <w:sz w:val="16"/>
          <w:szCs w:val="16"/>
        </w:rPr>
        <w:t xml:space="preserve"> et Experts des </w:t>
      </w:r>
      <w:proofErr w:type="spellStart"/>
      <w:r w:rsidRPr="0034393C">
        <w:rPr>
          <w:rStyle w:val="fontstyle01"/>
          <w:rFonts w:ascii="Times New Roman" w:hAnsi="Times New Roman"/>
          <w:sz w:val="16"/>
          <w:szCs w:val="16"/>
        </w:rPr>
        <w:t>Matériaux</w:t>
      </w:r>
      <w:proofErr w:type="spellEnd"/>
      <w:r w:rsidRPr="0034393C">
        <w:rPr>
          <w:rStyle w:val="fontstyle01"/>
          <w:rFonts w:ascii="Times New Roman" w:hAnsi="Times New Roman"/>
          <w:sz w:val="16"/>
          <w:szCs w:val="16"/>
        </w:rPr>
        <w:t xml:space="preserve">, </w:t>
      </w:r>
      <w:proofErr w:type="spellStart"/>
      <w:r w:rsidRPr="0034393C">
        <w:rPr>
          <w:rStyle w:val="fontstyle01"/>
          <w:rFonts w:ascii="Times New Roman" w:hAnsi="Times New Roman"/>
          <w:sz w:val="16"/>
          <w:szCs w:val="16"/>
        </w:rPr>
        <w:t>systèmes</w:t>
      </w:r>
      <w:proofErr w:type="spellEnd"/>
      <w:r w:rsidRPr="0034393C">
        <w:rPr>
          <w:rStyle w:val="fontstyle01"/>
          <w:rFonts w:ascii="Times New Roman" w:hAnsi="Times New Roman"/>
          <w:sz w:val="16"/>
          <w:szCs w:val="16"/>
        </w:rPr>
        <w:t xml:space="preserve"> de construction et </w:t>
      </w:r>
      <w:proofErr w:type="spellStart"/>
      <w:r w:rsidRPr="0034393C">
        <w:rPr>
          <w:rStyle w:val="fontstyle01"/>
          <w:rFonts w:ascii="Times New Roman" w:hAnsi="Times New Roman"/>
          <w:sz w:val="16"/>
          <w:szCs w:val="16"/>
        </w:rPr>
        <w:t>ouvrages</w:t>
      </w:r>
      <w:proofErr w:type="spellEnd"/>
      <w:r w:rsidRPr="0034393C">
        <w:rPr>
          <w:rStyle w:val="fontstyle01"/>
          <w:rFonts w:ascii="Times New Roman" w:hAnsi="Times New Roman"/>
          <w:sz w:val="16"/>
          <w:szCs w:val="16"/>
        </w:rPr>
        <w:t xml:space="preserve"> [International Union of Laboratories and Experts in Construction Materials, Systems and Structures]. [In French]). 2010. Acoustic emission and related NDE techniques for crack detection and damage evaluation in concrete, TC212-ACD,Material Structure 43:1177–81</w:t>
      </w:r>
    </w:p>
    <w:p w14:paraId="4C3F20CA" w14:textId="77777777" w:rsidR="00962BAA" w:rsidRPr="00153248" w:rsidRDefault="00962BAA" w:rsidP="0060791A">
      <w:pPr>
        <w:pStyle w:val="References"/>
        <w:numPr>
          <w:ilvl w:val="0"/>
          <w:numId w:val="0"/>
        </w:numPr>
        <w:ind w:left="360" w:hanging="360"/>
      </w:pPr>
    </w:p>
    <w:sectPr w:rsidR="00962BAA" w:rsidRPr="00153248"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EB058" w14:textId="77777777" w:rsidR="001F4084" w:rsidRDefault="001F4084" w:rsidP="00531DA2">
      <w:r>
        <w:separator/>
      </w:r>
    </w:p>
  </w:endnote>
  <w:endnote w:type="continuationSeparator" w:id="0">
    <w:p w14:paraId="13FA7EBD" w14:textId="77777777" w:rsidR="001F4084" w:rsidRDefault="001F4084"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078669"/>
      <w:docPartObj>
        <w:docPartGallery w:val="Page Numbers (Bottom of Page)"/>
        <w:docPartUnique/>
      </w:docPartObj>
    </w:sdtPr>
    <w:sdtEndPr>
      <w:rPr>
        <w:noProof/>
      </w:rPr>
    </w:sdtEndPr>
    <w:sdtContent>
      <w:p w14:paraId="6D21D7BC" w14:textId="129C6022" w:rsidR="00261852" w:rsidRDefault="00261852">
        <w:pPr>
          <w:pStyle w:val="Footer"/>
          <w:jc w:val="right"/>
        </w:pPr>
        <w:r>
          <w:fldChar w:fldCharType="begin"/>
        </w:r>
        <w:r>
          <w:instrText xml:space="preserve"> PAGE   \* MERGEFORMAT </w:instrText>
        </w:r>
        <w:r>
          <w:fldChar w:fldCharType="separate"/>
        </w:r>
        <w:r w:rsidR="008E24DE">
          <w:rPr>
            <w:noProof/>
          </w:rPr>
          <w:t>4</w:t>
        </w:r>
        <w:r>
          <w:rPr>
            <w:noProof/>
          </w:rPr>
          <w:fldChar w:fldCharType="end"/>
        </w:r>
      </w:p>
    </w:sdtContent>
  </w:sdt>
  <w:p w14:paraId="2E617DBF" w14:textId="77777777" w:rsidR="00261852" w:rsidRDefault="002618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3867"/>
      <w:docPartObj>
        <w:docPartGallery w:val="Page Numbers (Bottom of Page)"/>
        <w:docPartUnique/>
      </w:docPartObj>
    </w:sdtPr>
    <w:sdtEndPr>
      <w:rPr>
        <w:noProof/>
      </w:rPr>
    </w:sdtEndPr>
    <w:sdtContent>
      <w:p w14:paraId="497B6E1A" w14:textId="32612484" w:rsidR="00261852" w:rsidRDefault="00261852">
        <w:pPr>
          <w:pStyle w:val="Footer"/>
          <w:jc w:val="right"/>
        </w:pPr>
        <w:r>
          <w:fldChar w:fldCharType="begin"/>
        </w:r>
        <w:r>
          <w:instrText xml:space="preserve"> PAGE   \* MERGEFORMAT </w:instrText>
        </w:r>
        <w:r>
          <w:fldChar w:fldCharType="separate"/>
        </w:r>
        <w:r w:rsidR="00AB647C">
          <w:rPr>
            <w:noProof/>
          </w:rPr>
          <w:t>1</w:t>
        </w:r>
        <w:r>
          <w:rPr>
            <w:noProof/>
          </w:rPr>
          <w:fldChar w:fldCharType="end"/>
        </w:r>
      </w:p>
    </w:sdtContent>
  </w:sdt>
  <w:p w14:paraId="2309C947" w14:textId="77777777" w:rsidR="00261852" w:rsidRDefault="00261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F5B43" w14:textId="77777777" w:rsidR="001F4084" w:rsidRDefault="001F4084" w:rsidP="00531DA2">
      <w:bookmarkStart w:id="0" w:name="_Hlk93279580"/>
      <w:bookmarkEnd w:id="0"/>
      <w:r>
        <w:separator/>
      </w:r>
    </w:p>
  </w:footnote>
  <w:footnote w:type="continuationSeparator" w:id="0">
    <w:p w14:paraId="4DFBE47F" w14:textId="77777777" w:rsidR="001F4084" w:rsidRDefault="001F4084"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B10B8" w14:textId="2EC9DC82" w:rsidR="00261852" w:rsidRPr="00160B18" w:rsidRDefault="00261852" w:rsidP="00160B18">
    <w:pPr>
      <w:pStyle w:val="Header"/>
      <w:jc w:val="right"/>
      <w:rPr>
        <w:i/>
        <w:iCs/>
      </w:rPr>
    </w:pPr>
    <w:r w:rsidRPr="00160B18">
      <w:rPr>
        <w:bCs/>
        <w:i/>
        <w:iCs/>
      </w:rPr>
      <w:t>Paper ID</w:t>
    </w:r>
    <w:r w:rsidRPr="00BD5258">
      <w:rPr>
        <w:bCs/>
        <w:i/>
        <w:iCs/>
      </w:rPr>
      <w:t xml:space="preserve"># </w:t>
    </w:r>
    <w:r w:rsidRPr="00BD5258">
      <w:rPr>
        <w:bCs/>
        <w:i/>
      </w:rPr>
      <w:t>SHMII-11_T02-02</w:t>
    </w:r>
    <w:r w:rsidRPr="00160B18">
      <w:rPr>
        <w:bCs/>
        <w:i/>
        <w:iCs/>
      </w:rPr>
      <w:t xml:space="preserve">, </w:t>
    </w:r>
    <w:r>
      <w:rPr>
        <w:bCs/>
        <w:i/>
        <w:iCs/>
      </w:rPr>
      <w:t>Mirgal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4B9F" w14:textId="0EF07099" w:rsidR="00261852" w:rsidRPr="00476CB6" w:rsidRDefault="00261852" w:rsidP="00476CB6">
    <w:pPr>
      <w:pStyle w:val="a"/>
      <w:wordWrap/>
      <w:spacing w:line="240" w:lineRule="auto"/>
      <w:rPr>
        <w:rFonts w:ascii="Times New Roman" w:hAnsi="Times New Roman" w:cs="Times New Roman"/>
        <w:b/>
        <w:sz w:val="18"/>
        <w:szCs w:val="18"/>
      </w:rPr>
    </w:pPr>
    <w:r w:rsidRPr="002D14AF">
      <w:rPr>
        <w:b/>
        <w:noProof/>
        <w:lang w:eastAsia="en-US"/>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28A42386" w:rsidR="00261852" w:rsidRPr="009529EB" w:rsidRDefault="00261852" w:rsidP="009529EB">
    <w:pPr>
      <w:pStyle w:val="Header"/>
      <w:rPr>
        <w:bCs/>
      </w:rPr>
    </w:pPr>
    <w:r>
      <w:rPr>
        <w:bCs/>
      </w:rPr>
      <w:t xml:space="preserve">                       </w:t>
    </w:r>
    <w:r w:rsidRPr="009529EB">
      <w:rPr>
        <w:bCs/>
      </w:rPr>
      <w:t>August 8-12, 2022, Montreal, QC, Canada</w:t>
    </w:r>
    <w:r>
      <w:rPr>
        <w:bCs/>
      </w:rPr>
      <w:t xml:space="preserve">. </w:t>
    </w:r>
    <w:r w:rsidRPr="00160B18">
      <w:rPr>
        <w:bCs/>
      </w:rPr>
      <w:t xml:space="preserve">Paper ID# </w:t>
    </w:r>
    <w:r w:rsidRPr="00BD5258">
      <w:rPr>
        <w:bCs/>
      </w:rPr>
      <w:t>SHMII-11_T02-02</w:t>
    </w:r>
    <w:r w:rsidRPr="00160B18">
      <w:rPr>
        <w:bCs/>
      </w:rPr>
      <w:t xml:space="preserve">, </w:t>
    </w:r>
    <w:r>
      <w:rPr>
        <w:bCs/>
      </w:rPr>
      <w:t>Mirgal</w:t>
    </w:r>
  </w:p>
  <w:p w14:paraId="7BC8F5B8" w14:textId="36B44AE9" w:rsidR="00261852" w:rsidRDefault="00261852" w:rsidP="009529EB">
    <w:r>
      <w:rPr>
        <w:noProof/>
        <w:lang w:eastAsia="en-US"/>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261852" w:rsidRDefault="002618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FF0387"/>
    <w:multiLevelType w:val="hybridMultilevel"/>
    <w:tmpl w:val="A622FA18"/>
    <w:lvl w:ilvl="0" w:tplc="729AFA7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DE15DE"/>
    <w:multiLevelType w:val="multilevel"/>
    <w:tmpl w:val="440498D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21"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3"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22"/>
  </w:num>
  <w:num w:numId="14">
    <w:abstractNumId w:val="19"/>
  </w:num>
  <w:num w:numId="15">
    <w:abstractNumId w:val="18"/>
  </w:num>
  <w:num w:numId="16">
    <w:abstractNumId w:val="12"/>
  </w:num>
  <w:num w:numId="17">
    <w:abstractNumId w:val="23"/>
  </w:num>
  <w:num w:numId="18">
    <w:abstractNumId w:val="26"/>
  </w:num>
  <w:num w:numId="19">
    <w:abstractNumId w:val="13"/>
  </w:num>
  <w:num w:numId="20">
    <w:abstractNumId w:val="15"/>
  </w:num>
  <w:num w:numId="21">
    <w:abstractNumId w:val="25"/>
  </w:num>
  <w:num w:numId="22">
    <w:abstractNumId w:val="27"/>
  </w:num>
  <w:num w:numId="23">
    <w:abstractNumId w:val="28"/>
  </w:num>
  <w:num w:numId="24">
    <w:abstractNumId w:val="20"/>
  </w:num>
  <w:num w:numId="25">
    <w:abstractNumId w:val="14"/>
  </w:num>
  <w:num w:numId="26">
    <w:abstractNumId w:val="21"/>
  </w:num>
  <w:num w:numId="27">
    <w:abstractNumId w:val="24"/>
  </w:num>
  <w:num w:numId="28">
    <w:abstractNumId w:val="11"/>
  </w:num>
  <w:num w:numId="29">
    <w:abstractNumId w:val="1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CA" w:vendorID="64" w:dllVersion="4096" w:nlCheck="1" w:checkStyle="0"/>
  <w:activeWritingStyle w:appName="MSWord" w:lang="en-IN" w:vendorID="64" w:dllVersion="4096" w:nlCheck="1" w:checkStyle="0"/>
  <w:activeWritingStyle w:appName="MSWord" w:lang="en-IN" w:vendorID="64" w:dllVersion="0" w:nlCheck="1" w:checkStyle="0"/>
  <w:activeWritingStyle w:appName="MSWord" w:lang="en-IN"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1NbewMDYzMLawNDBQ0lEKTi0uzszPAykwqgUAK5wYjCwAAAA="/>
  </w:docVars>
  <w:rsids>
    <w:rsidRoot w:val="00D96E7E"/>
    <w:rsid w:val="0000320A"/>
    <w:rsid w:val="0001088F"/>
    <w:rsid w:val="00060324"/>
    <w:rsid w:val="000C0921"/>
    <w:rsid w:val="000F7FE2"/>
    <w:rsid w:val="00132ACD"/>
    <w:rsid w:val="00153248"/>
    <w:rsid w:val="00160B18"/>
    <w:rsid w:val="00166E0B"/>
    <w:rsid w:val="001B5E4D"/>
    <w:rsid w:val="001F02DD"/>
    <w:rsid w:val="001F1458"/>
    <w:rsid w:val="001F4084"/>
    <w:rsid w:val="002078A6"/>
    <w:rsid w:val="0022400C"/>
    <w:rsid w:val="002310CD"/>
    <w:rsid w:val="002500E0"/>
    <w:rsid w:val="00261852"/>
    <w:rsid w:val="00272AE5"/>
    <w:rsid w:val="002C11A1"/>
    <w:rsid w:val="002D14AF"/>
    <w:rsid w:val="0034393C"/>
    <w:rsid w:val="003A0E33"/>
    <w:rsid w:val="003A7747"/>
    <w:rsid w:val="003A7980"/>
    <w:rsid w:val="003F2A78"/>
    <w:rsid w:val="003F34D2"/>
    <w:rsid w:val="003F75F0"/>
    <w:rsid w:val="00414E82"/>
    <w:rsid w:val="00422899"/>
    <w:rsid w:val="004230AF"/>
    <w:rsid w:val="00431CE5"/>
    <w:rsid w:val="00436F8A"/>
    <w:rsid w:val="00440D7C"/>
    <w:rsid w:val="00470445"/>
    <w:rsid w:val="00476CB6"/>
    <w:rsid w:val="00485F4F"/>
    <w:rsid w:val="004968AB"/>
    <w:rsid w:val="004A54D8"/>
    <w:rsid w:val="004E4907"/>
    <w:rsid w:val="004F24F9"/>
    <w:rsid w:val="004F69A3"/>
    <w:rsid w:val="0050764B"/>
    <w:rsid w:val="00513349"/>
    <w:rsid w:val="00531DA2"/>
    <w:rsid w:val="005942C5"/>
    <w:rsid w:val="0059491B"/>
    <w:rsid w:val="005A74A4"/>
    <w:rsid w:val="005B708F"/>
    <w:rsid w:val="0060791A"/>
    <w:rsid w:val="00611669"/>
    <w:rsid w:val="0061702D"/>
    <w:rsid w:val="00622593"/>
    <w:rsid w:val="006317F2"/>
    <w:rsid w:val="00665151"/>
    <w:rsid w:val="006861C5"/>
    <w:rsid w:val="006A0BBA"/>
    <w:rsid w:val="006A4D59"/>
    <w:rsid w:val="006C2733"/>
    <w:rsid w:val="006D364F"/>
    <w:rsid w:val="006F4C37"/>
    <w:rsid w:val="00705406"/>
    <w:rsid w:val="00706AD5"/>
    <w:rsid w:val="00722094"/>
    <w:rsid w:val="007259D7"/>
    <w:rsid w:val="00777834"/>
    <w:rsid w:val="00791B9D"/>
    <w:rsid w:val="007B2213"/>
    <w:rsid w:val="007B6631"/>
    <w:rsid w:val="007C3F10"/>
    <w:rsid w:val="007D285F"/>
    <w:rsid w:val="007D65EE"/>
    <w:rsid w:val="007E284E"/>
    <w:rsid w:val="007F0BB9"/>
    <w:rsid w:val="00800D54"/>
    <w:rsid w:val="008155F7"/>
    <w:rsid w:val="008158FC"/>
    <w:rsid w:val="00831AAE"/>
    <w:rsid w:val="00836668"/>
    <w:rsid w:val="00842BFC"/>
    <w:rsid w:val="0084325B"/>
    <w:rsid w:val="00861FB4"/>
    <w:rsid w:val="00865AAD"/>
    <w:rsid w:val="0087067F"/>
    <w:rsid w:val="00896560"/>
    <w:rsid w:val="008C1FAA"/>
    <w:rsid w:val="008C52DC"/>
    <w:rsid w:val="008D58C3"/>
    <w:rsid w:val="008E24DE"/>
    <w:rsid w:val="008E685A"/>
    <w:rsid w:val="008F134D"/>
    <w:rsid w:val="00900E4E"/>
    <w:rsid w:val="009033B4"/>
    <w:rsid w:val="00904C43"/>
    <w:rsid w:val="00910FE0"/>
    <w:rsid w:val="009529EB"/>
    <w:rsid w:val="00955B33"/>
    <w:rsid w:val="00962BAA"/>
    <w:rsid w:val="009B11CA"/>
    <w:rsid w:val="009C2D08"/>
    <w:rsid w:val="009C784B"/>
    <w:rsid w:val="009F20B8"/>
    <w:rsid w:val="00A06BA8"/>
    <w:rsid w:val="00A43B1D"/>
    <w:rsid w:val="00A517D7"/>
    <w:rsid w:val="00A51BF9"/>
    <w:rsid w:val="00A53E9C"/>
    <w:rsid w:val="00A74174"/>
    <w:rsid w:val="00AB647C"/>
    <w:rsid w:val="00AD00D0"/>
    <w:rsid w:val="00B3539D"/>
    <w:rsid w:val="00B51FB4"/>
    <w:rsid w:val="00B75B7B"/>
    <w:rsid w:val="00B81E54"/>
    <w:rsid w:val="00B859C0"/>
    <w:rsid w:val="00BC611A"/>
    <w:rsid w:val="00BD5258"/>
    <w:rsid w:val="00BE68D9"/>
    <w:rsid w:val="00BF5328"/>
    <w:rsid w:val="00C152D9"/>
    <w:rsid w:val="00C354B4"/>
    <w:rsid w:val="00CD176A"/>
    <w:rsid w:val="00CD6BD8"/>
    <w:rsid w:val="00CE3B03"/>
    <w:rsid w:val="00D2423B"/>
    <w:rsid w:val="00D379BC"/>
    <w:rsid w:val="00D6516D"/>
    <w:rsid w:val="00D66D9D"/>
    <w:rsid w:val="00D96E7E"/>
    <w:rsid w:val="00DB1AEB"/>
    <w:rsid w:val="00DD6EFA"/>
    <w:rsid w:val="00E13D99"/>
    <w:rsid w:val="00E17062"/>
    <w:rsid w:val="00E31190"/>
    <w:rsid w:val="00E60EBC"/>
    <w:rsid w:val="00E87E27"/>
    <w:rsid w:val="00EA526D"/>
    <w:rsid w:val="00F0721F"/>
    <w:rsid w:val="00F13313"/>
    <w:rsid w:val="00F25B8D"/>
    <w:rsid w:val="00F44DB3"/>
    <w:rsid w:val="00F47E73"/>
    <w:rsid w:val="00F64AD3"/>
    <w:rsid w:val="00F835D0"/>
    <w:rsid w:val="00F87330"/>
    <w:rsid w:val="00FB2471"/>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character" w:customStyle="1" w:styleId="UnresolvedMention2">
    <w:name w:val="Unresolved Mention2"/>
    <w:basedOn w:val="DefaultParagraphFont"/>
    <w:uiPriority w:val="99"/>
    <w:semiHidden/>
    <w:unhideWhenUsed/>
    <w:rsid w:val="00440D7C"/>
    <w:rPr>
      <w:color w:val="605E5C"/>
      <w:shd w:val="clear" w:color="auto" w:fill="E1DFDD"/>
    </w:rPr>
  </w:style>
  <w:style w:type="character" w:styleId="CommentReference">
    <w:name w:val="annotation reference"/>
    <w:basedOn w:val="DefaultParagraphFont"/>
    <w:rsid w:val="008E685A"/>
    <w:rPr>
      <w:sz w:val="16"/>
      <w:szCs w:val="16"/>
    </w:rPr>
  </w:style>
  <w:style w:type="paragraph" w:styleId="CommentText">
    <w:name w:val="annotation text"/>
    <w:basedOn w:val="Normal"/>
    <w:link w:val="CommentTextChar"/>
    <w:rsid w:val="008E685A"/>
  </w:style>
  <w:style w:type="character" w:customStyle="1" w:styleId="CommentTextChar">
    <w:name w:val="Comment Text Char"/>
    <w:basedOn w:val="DefaultParagraphFont"/>
    <w:link w:val="CommentText"/>
    <w:rsid w:val="008E685A"/>
    <w:rPr>
      <w:rFonts w:ascii="Times New Roman" w:eastAsia="Times New Roman" w:hAnsi="Times New Roman"/>
      <w:lang w:val="en-US" w:eastAsia="ar-SA"/>
    </w:rPr>
  </w:style>
  <w:style w:type="paragraph" w:styleId="CommentSubject">
    <w:name w:val="annotation subject"/>
    <w:basedOn w:val="CommentText"/>
    <w:next w:val="CommentText"/>
    <w:link w:val="CommentSubjectChar"/>
    <w:rsid w:val="008E685A"/>
    <w:rPr>
      <w:b/>
      <w:bCs/>
    </w:rPr>
  </w:style>
  <w:style w:type="character" w:customStyle="1" w:styleId="CommentSubjectChar">
    <w:name w:val="Comment Subject Char"/>
    <w:basedOn w:val="CommentTextChar"/>
    <w:link w:val="CommentSubject"/>
    <w:rsid w:val="008E685A"/>
    <w:rPr>
      <w:rFonts w:ascii="Times New Roman" w:eastAsia="Times New Roman" w:hAnsi="Times New Roman"/>
      <w:b/>
      <w:bCs/>
      <w:lang w:val="en-US" w:eastAsia="ar-SA"/>
    </w:rPr>
  </w:style>
  <w:style w:type="paragraph" w:styleId="BalloonText">
    <w:name w:val="Balloon Text"/>
    <w:basedOn w:val="Normal"/>
    <w:link w:val="BalloonTextChar"/>
    <w:semiHidden/>
    <w:unhideWhenUsed/>
    <w:rsid w:val="00BD5258"/>
    <w:rPr>
      <w:rFonts w:ascii="Segoe UI" w:hAnsi="Segoe UI" w:cs="Segoe UI"/>
      <w:sz w:val="18"/>
      <w:szCs w:val="18"/>
    </w:rPr>
  </w:style>
  <w:style w:type="character" w:customStyle="1" w:styleId="BalloonTextChar">
    <w:name w:val="Balloon Text Char"/>
    <w:basedOn w:val="DefaultParagraphFont"/>
    <w:link w:val="BalloonText"/>
    <w:semiHidden/>
    <w:rsid w:val="00BD5258"/>
    <w:rPr>
      <w:rFonts w:ascii="Segoe UI" w:eastAsia="Times New Roman" w:hAnsi="Segoe UI" w:cs="Segoe UI"/>
      <w:sz w:val="18"/>
      <w:szCs w:val="18"/>
      <w:lang w:val="en-US" w:eastAsia="ar-SA"/>
    </w:rPr>
  </w:style>
  <w:style w:type="character" w:customStyle="1" w:styleId="fontstyle01">
    <w:name w:val="fontstyle01"/>
    <w:basedOn w:val="DefaultParagraphFont"/>
    <w:rsid w:val="00D6516D"/>
    <w:rPr>
      <w:rFonts w:ascii="TimesNewRomanPSMT" w:hAnsi="TimesNewRomanPSMT" w:hint="default"/>
      <w:b w:val="0"/>
      <w:bCs w:val="0"/>
      <w:i w:val="0"/>
      <w:iCs w:val="0"/>
      <w:color w:val="000000"/>
      <w:sz w:val="20"/>
      <w:szCs w:val="20"/>
    </w:rPr>
  </w:style>
  <w:style w:type="character" w:customStyle="1" w:styleId="red-underline">
    <w:name w:val="red-underline"/>
    <w:basedOn w:val="DefaultParagraphFont"/>
    <w:rsid w:val="008F134D"/>
  </w:style>
  <w:style w:type="paragraph" w:styleId="NoSpacing">
    <w:name w:val="No Spacing"/>
    <w:uiPriority w:val="1"/>
    <w:qFormat/>
    <w:rsid w:val="008F134D"/>
    <w:pPr>
      <w:jc w:val="both"/>
    </w:pPr>
    <w:rPr>
      <w:rFonts w:ascii="Times New Roman" w:eastAsiaTheme="minorHAnsi" w:hAnsi="Times New Roman" w:cstheme="minorBidi"/>
      <w:sz w:val="24"/>
      <w:szCs w:val="22"/>
      <w:lang w:val="en-IN" w:eastAsia="en-US"/>
    </w:rPr>
  </w:style>
  <w:style w:type="paragraph" w:customStyle="1" w:styleId="Newparagraph">
    <w:name w:val="New paragraph"/>
    <w:basedOn w:val="Normal"/>
    <w:qFormat/>
    <w:rsid w:val="008F134D"/>
    <w:pPr>
      <w:suppressAutoHyphens w:val="0"/>
      <w:autoSpaceDE/>
      <w:spacing w:line="480" w:lineRule="auto"/>
      <w:ind w:firstLine="720"/>
      <w:jc w:val="left"/>
    </w:pPr>
    <w:rPr>
      <w:sz w:val="24"/>
      <w:szCs w:val="24"/>
      <w:lang w:val="en-GB" w:eastAsia="en-GB"/>
    </w:rPr>
  </w:style>
  <w:style w:type="character" w:customStyle="1" w:styleId="title-text">
    <w:name w:val="title-text"/>
    <w:basedOn w:val="DefaultParagraphFont"/>
    <w:rsid w:val="000C0921"/>
  </w:style>
  <w:style w:type="character" w:styleId="Emphasis">
    <w:name w:val="Emphasis"/>
    <w:basedOn w:val="DefaultParagraphFont"/>
    <w:qFormat/>
    <w:rsid w:val="00896560"/>
    <w:rPr>
      <w:i/>
      <w:iCs/>
    </w:rPr>
  </w:style>
  <w:style w:type="paragraph" w:styleId="Revision">
    <w:name w:val="Revision"/>
    <w:hidden/>
    <w:uiPriority w:val="71"/>
    <w:semiHidden/>
    <w:rsid w:val="00896560"/>
    <w:rPr>
      <w:rFonts w:ascii="Times New Roman" w:eastAsia="Times New Roman" w:hAnsi="Times New Roman"/>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93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uvik@civil.iitb.ac.in" TargetMode="Externa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ahajanharsh1909@gmail.com"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auvik@civil.iitb.ac.in"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rsh49@gmail.com" TargetMode="External"/><Relationship Id="rId24" Type="http://schemas.openxmlformats.org/officeDocument/2006/relationships/image" Target="media/image8.jpeg"/><Relationship Id="rId32" Type="http://schemas.openxmlformats.org/officeDocument/2006/relationships/hyperlink" Target="https://doi.org/10.1007/s10921-014-0243-y" TargetMode="External"/><Relationship Id="rId5" Type="http://schemas.openxmlformats.org/officeDocument/2006/relationships/numbering" Target="numbering.xml"/><Relationship Id="rId15" Type="http://schemas.openxmlformats.org/officeDocument/2006/relationships/hyperlink" Target="mailto:mahajanharsh1909@gmail.com"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doi.org/10.1016/j.mlwa.2021.10021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rsh49@gmail.com"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hyperlink" Target="https://doi.org/10.1016/j.jclepro.2020.123866"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5EE66F-68B8-4E3D-A293-85B968679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2094</Words>
  <Characters>11937</Characters>
  <Application>Microsoft Office Word</Application>
  <DocSecurity>0</DocSecurity>
  <Lines>99</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14003</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Prasad</cp:lastModifiedBy>
  <cp:revision>4</cp:revision>
  <cp:lastPrinted>2010-10-25T22:56:00Z</cp:lastPrinted>
  <dcterms:created xsi:type="dcterms:W3CDTF">2022-07-24T05:52:00Z</dcterms:created>
  <dcterms:modified xsi:type="dcterms:W3CDTF">2022-07-24T18:14:00Z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