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11413" w14:textId="0E8232DF" w:rsidR="0060181F" w:rsidRPr="0060181F" w:rsidRDefault="00166E0B" w:rsidP="00705EEC">
      <w:r w:rsidRPr="00D96E7E">
        <w:rPr>
          <w:noProof/>
          <w:lang w:eastAsia="en-US"/>
        </w:rPr>
        <mc:AlternateContent>
          <mc:Choice Requires="wps">
            <w:drawing>
              <wp:anchor distT="0" distB="0" distL="114935" distR="114935" simplePos="0" relativeHeight="251657728" behindDoc="0" locked="0" layoutInCell="1" allowOverlap="1" wp14:anchorId="5C2BA2EE" wp14:editId="0B0D9C75">
                <wp:simplePos x="0" y="0"/>
                <wp:positionH relativeFrom="page">
                  <wp:posOffset>545135</wp:posOffset>
                </wp:positionH>
                <wp:positionV relativeFrom="page">
                  <wp:posOffset>1032714</wp:posOffset>
                </wp:positionV>
                <wp:extent cx="6480175" cy="12642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264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61DD1" w14:textId="076BD4F3" w:rsidR="000F0E99" w:rsidRPr="00363200" w:rsidRDefault="005B5067" w:rsidP="00236759">
                            <w:pPr>
                              <w:pStyle w:val="Authors"/>
                              <w:rPr>
                                <w:b/>
                                <w:sz w:val="28"/>
                                <w:lang w:val="en-US"/>
                              </w:rPr>
                            </w:pPr>
                            <w:r w:rsidRPr="00363200">
                              <w:rPr>
                                <w:b/>
                                <w:sz w:val="28"/>
                                <w:lang w:val="en-US"/>
                              </w:rPr>
                              <w:t xml:space="preserve">On vibration analysis of MRE </w:t>
                            </w:r>
                            <w:r w:rsidR="00F422C6">
                              <w:rPr>
                                <w:b/>
                                <w:sz w:val="28"/>
                                <w:lang w:val="en-US"/>
                              </w:rPr>
                              <w:t>based</w:t>
                            </w:r>
                            <w:r w:rsidR="00F422C6" w:rsidRPr="00363200">
                              <w:rPr>
                                <w:b/>
                                <w:sz w:val="28"/>
                                <w:lang w:val="en-US"/>
                              </w:rPr>
                              <w:t xml:space="preserve"> </w:t>
                            </w:r>
                            <w:r w:rsidR="00236759" w:rsidRPr="00363200">
                              <w:rPr>
                                <w:b/>
                                <w:sz w:val="28"/>
                                <w:lang w:val="en-US"/>
                              </w:rPr>
                              <w:t>sandwich plates using finite element method</w:t>
                            </w:r>
                          </w:p>
                          <w:p w14:paraId="4F6B3EBF" w14:textId="605312B5" w:rsidR="00236759" w:rsidRDefault="00236759" w:rsidP="00236759">
                            <w:pPr>
                              <w:pStyle w:val="Authors"/>
                              <w:rPr>
                                <w:lang w:val="en-US"/>
                              </w:rPr>
                            </w:pPr>
                          </w:p>
                          <w:p w14:paraId="1D8CFBC7" w14:textId="5769DE8B" w:rsidR="00236759" w:rsidRPr="00531DA2" w:rsidRDefault="00F422C6" w:rsidP="00236759">
                            <w:pPr>
                              <w:pStyle w:val="Authors"/>
                              <w:rPr>
                                <w:vertAlign w:val="superscript"/>
                                <w:lang w:val="en-CA"/>
                              </w:rPr>
                            </w:pPr>
                            <w:r>
                              <w:rPr>
                                <w:lang w:val="en-CA"/>
                              </w:rPr>
                              <w:t xml:space="preserve">Maryam </w:t>
                            </w:r>
                            <w:proofErr w:type="spellStart"/>
                            <w:r>
                              <w:rPr>
                                <w:lang w:val="en-CA"/>
                              </w:rPr>
                              <w:t>Zare</w:t>
                            </w:r>
                            <w:proofErr w:type="spellEnd"/>
                            <w:r w:rsidR="00236759" w:rsidRPr="00531DA2">
                              <w:rPr>
                                <w:lang w:val="en-CA"/>
                              </w:rPr>
                              <w:t xml:space="preserve">, </w:t>
                            </w:r>
                            <w:proofErr w:type="spellStart"/>
                            <w:r>
                              <w:rPr>
                                <w:lang w:val="en-CA"/>
                              </w:rPr>
                              <w:t>Ramin</w:t>
                            </w:r>
                            <w:proofErr w:type="spellEnd"/>
                            <w:r>
                              <w:rPr>
                                <w:lang w:val="en-CA"/>
                              </w:rPr>
                              <w:t xml:space="preserve"> </w:t>
                            </w:r>
                            <w:proofErr w:type="spellStart"/>
                            <w:r>
                              <w:rPr>
                                <w:lang w:val="en-CA"/>
                              </w:rPr>
                              <w:t>Sedaghati</w:t>
                            </w:r>
                            <w:proofErr w:type="spellEnd"/>
                          </w:p>
                          <w:p w14:paraId="44A3B4C5" w14:textId="655CDFD3" w:rsidR="00236759" w:rsidRPr="00531DA2" w:rsidRDefault="00236759" w:rsidP="007D7E8E">
                            <w:pPr>
                              <w:pStyle w:val="Authors"/>
                              <w:rPr>
                                <w:lang w:val="en-CA"/>
                              </w:rPr>
                            </w:pPr>
                            <w:r w:rsidRPr="00531DA2">
                              <w:rPr>
                                <w:lang w:val="en-CA"/>
                              </w:rPr>
                              <w:t xml:space="preserve">Department of Mechanical </w:t>
                            </w:r>
                            <w:r>
                              <w:rPr>
                                <w:lang w:val="en-CA"/>
                              </w:rPr>
                              <w:t>Industrial and Aerospace Engineering</w:t>
                            </w:r>
                            <w:r w:rsidRPr="00531DA2">
                              <w:rPr>
                                <w:lang w:val="en-CA"/>
                              </w:rPr>
                              <w:t xml:space="preserve">, </w:t>
                            </w:r>
                            <w:r>
                              <w:rPr>
                                <w:lang w:val="en-CA"/>
                              </w:rPr>
                              <w:t xml:space="preserve">Gina Cody School </w:t>
                            </w:r>
                            <w:r w:rsidRPr="00531DA2">
                              <w:rPr>
                                <w:lang w:val="en-CA"/>
                              </w:rPr>
                              <w:t>of Engineering</w:t>
                            </w:r>
                            <w:r>
                              <w:rPr>
                                <w:lang w:val="en-CA"/>
                              </w:rPr>
                              <w:t xml:space="preserve"> and Computer Science</w:t>
                            </w:r>
                            <w:r w:rsidRPr="00531DA2">
                              <w:rPr>
                                <w:lang w:val="en-CA"/>
                              </w:rPr>
                              <w:t xml:space="preserve">, </w:t>
                            </w:r>
                            <w:r>
                              <w:rPr>
                                <w:lang w:val="en-CA"/>
                              </w:rPr>
                              <w:t>Concordia University</w:t>
                            </w:r>
                            <w:r w:rsidRPr="00531DA2">
                              <w:rPr>
                                <w:lang w:val="en-CA"/>
                              </w:rPr>
                              <w:t xml:space="preserve">, </w:t>
                            </w:r>
                            <w:r>
                              <w:rPr>
                                <w:lang w:val="en-CA"/>
                              </w:rPr>
                              <w:t>Montreal</w:t>
                            </w:r>
                            <w:r w:rsidRPr="00531DA2">
                              <w:rPr>
                                <w:lang w:val="en-CA"/>
                              </w:rPr>
                              <w:t xml:space="preserve">, </w:t>
                            </w:r>
                            <w:r>
                              <w:rPr>
                                <w:lang w:val="en-CA"/>
                              </w:rPr>
                              <w:t>Quebec</w:t>
                            </w:r>
                            <w:r w:rsidRPr="00531DA2">
                              <w:rPr>
                                <w:lang w:val="en-CA"/>
                              </w:rPr>
                              <w:t xml:space="preserve">, </w:t>
                            </w:r>
                            <w:r>
                              <w:rPr>
                                <w:lang w:val="en-CA"/>
                              </w:rPr>
                              <w:t>Canada, H3G 1M8</w:t>
                            </w:r>
                          </w:p>
                          <w:p w14:paraId="4ECDEC8D" w14:textId="1C7FD89E" w:rsidR="00236759" w:rsidRDefault="00236759" w:rsidP="00236759">
                            <w:pPr>
                              <w:pStyle w:val="Authors"/>
                            </w:pPr>
                            <w:r>
                              <w:t xml:space="preserve">Email : </w:t>
                            </w:r>
                            <w:r w:rsidR="00176770" w:rsidRPr="00176770">
                              <w:t>maryam.zare@mail.concordia.ca</w:t>
                            </w:r>
                            <w:r>
                              <w:t xml:space="preserve">, </w:t>
                            </w:r>
                            <w:r w:rsidR="00F422C6">
                              <w:t>ramin.sedaghari@concordia.ca</w:t>
                            </w:r>
                          </w:p>
                          <w:p w14:paraId="4CF8AB73" w14:textId="77777777" w:rsidR="00236759" w:rsidRDefault="00236759" w:rsidP="00236759">
                            <w:pPr>
                              <w:pStyle w:val="Authors"/>
                            </w:pPr>
                          </w:p>
                          <w:p w14:paraId="6E01841D" w14:textId="4B364EFC" w:rsidR="00236759" w:rsidRDefault="00236759" w:rsidP="00236759">
                            <w:pPr>
                              <w:pStyle w:val="Authors"/>
                              <w:rPr>
                                <w:lang w:val="en-US"/>
                              </w:rPr>
                            </w:pPr>
                          </w:p>
                          <w:p w14:paraId="7D80FC86" w14:textId="77777777" w:rsidR="00236759" w:rsidRPr="0060181F" w:rsidRDefault="00236759" w:rsidP="00236759">
                            <w:pPr>
                              <w:pStyle w:val="Authors"/>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9pt;margin-top:81.3pt;width:510.25pt;height:99.5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" stroked="f">
                <v:fill opacity="0"/>
                <v:textbox inset="0,0,0,0">
                  <w:txbxContent>
                    <w:p w14:paraId="23561DD1" w14:textId="076BD4F3" w:rsidR="000F0E99" w:rsidRPr="00363200" w:rsidRDefault="005B5067" w:rsidP="00236759">
                      <w:pPr>
                        <w:pStyle w:val="Authors"/>
                        <w:rPr>
                          <w:b/>
                          <w:sz w:val="28"/>
                          <w:lang w:val="en-US"/>
                        </w:rPr>
                      </w:pPr>
                      <w:r w:rsidRPr="00363200">
                        <w:rPr>
                          <w:b/>
                          <w:sz w:val="28"/>
                          <w:lang w:val="en-US"/>
                        </w:rPr>
                        <w:t xml:space="preserve">On vibration analysis of MRE </w:t>
                      </w:r>
                      <w:r w:rsidR="00F422C6">
                        <w:rPr>
                          <w:b/>
                          <w:sz w:val="28"/>
                          <w:lang w:val="en-US"/>
                        </w:rPr>
                        <w:t>based</w:t>
                      </w:r>
                      <w:r w:rsidR="00F422C6" w:rsidRPr="00363200">
                        <w:rPr>
                          <w:b/>
                          <w:sz w:val="28"/>
                          <w:lang w:val="en-US"/>
                        </w:rPr>
                        <w:t xml:space="preserve"> </w:t>
                      </w:r>
                      <w:r w:rsidR="00236759" w:rsidRPr="00363200">
                        <w:rPr>
                          <w:b/>
                          <w:sz w:val="28"/>
                          <w:lang w:val="en-US"/>
                        </w:rPr>
                        <w:t>sandwich plates using finite element method</w:t>
                      </w:r>
                    </w:p>
                    <w:p w14:paraId="4F6B3EBF" w14:textId="605312B5" w:rsidR="00236759" w:rsidRDefault="00236759" w:rsidP="00236759">
                      <w:pPr>
                        <w:pStyle w:val="Authors"/>
                        <w:rPr>
                          <w:lang w:val="en-US"/>
                        </w:rPr>
                      </w:pPr>
                    </w:p>
                    <w:p w14:paraId="1D8CFBC7" w14:textId="5769DE8B" w:rsidR="00236759" w:rsidRPr="00531DA2" w:rsidRDefault="00F422C6" w:rsidP="00236759">
                      <w:pPr>
                        <w:pStyle w:val="Authors"/>
                        <w:rPr>
                          <w:vertAlign w:val="superscript"/>
                          <w:lang w:val="en-CA"/>
                        </w:rPr>
                      </w:pPr>
                      <w:r>
                        <w:rPr>
                          <w:lang w:val="en-CA"/>
                        </w:rPr>
                        <w:t xml:space="preserve">Maryam </w:t>
                      </w:r>
                      <w:proofErr w:type="spellStart"/>
                      <w:r>
                        <w:rPr>
                          <w:lang w:val="en-CA"/>
                        </w:rPr>
                        <w:t>Zare</w:t>
                      </w:r>
                      <w:proofErr w:type="spellEnd"/>
                      <w:r w:rsidR="00236759" w:rsidRPr="00531DA2">
                        <w:rPr>
                          <w:lang w:val="en-CA"/>
                        </w:rPr>
                        <w:t xml:space="preserve">, </w:t>
                      </w:r>
                      <w:proofErr w:type="spellStart"/>
                      <w:r>
                        <w:rPr>
                          <w:lang w:val="en-CA"/>
                        </w:rPr>
                        <w:t>Ramin</w:t>
                      </w:r>
                      <w:proofErr w:type="spellEnd"/>
                      <w:r>
                        <w:rPr>
                          <w:lang w:val="en-CA"/>
                        </w:rPr>
                        <w:t xml:space="preserve"> </w:t>
                      </w:r>
                      <w:proofErr w:type="spellStart"/>
                      <w:r>
                        <w:rPr>
                          <w:lang w:val="en-CA"/>
                        </w:rPr>
                        <w:t>Sedaghati</w:t>
                      </w:r>
                      <w:proofErr w:type="spellEnd"/>
                    </w:p>
                    <w:p w14:paraId="44A3B4C5" w14:textId="655CDFD3" w:rsidR="00236759" w:rsidRPr="00531DA2" w:rsidRDefault="00236759" w:rsidP="007D7E8E">
                      <w:pPr>
                        <w:pStyle w:val="Authors"/>
                        <w:rPr>
                          <w:lang w:val="en-CA"/>
                        </w:rPr>
                      </w:pPr>
                      <w:r w:rsidRPr="00531DA2">
                        <w:rPr>
                          <w:lang w:val="en-CA"/>
                        </w:rPr>
                        <w:t xml:space="preserve">Department of Mechanical </w:t>
                      </w:r>
                      <w:r>
                        <w:rPr>
                          <w:lang w:val="en-CA"/>
                        </w:rPr>
                        <w:t>Industrial and Aerospace Engineering</w:t>
                      </w:r>
                      <w:r w:rsidRPr="00531DA2">
                        <w:rPr>
                          <w:lang w:val="en-CA"/>
                        </w:rPr>
                        <w:t xml:space="preserve">, </w:t>
                      </w:r>
                      <w:r>
                        <w:rPr>
                          <w:lang w:val="en-CA"/>
                        </w:rPr>
                        <w:t xml:space="preserve">Gina Cody School </w:t>
                      </w:r>
                      <w:r w:rsidRPr="00531DA2">
                        <w:rPr>
                          <w:lang w:val="en-CA"/>
                        </w:rPr>
                        <w:t>of Engineering</w:t>
                      </w:r>
                      <w:r>
                        <w:rPr>
                          <w:lang w:val="en-CA"/>
                        </w:rPr>
                        <w:t xml:space="preserve"> and Computer Science</w:t>
                      </w:r>
                      <w:r w:rsidRPr="00531DA2">
                        <w:rPr>
                          <w:lang w:val="en-CA"/>
                        </w:rPr>
                        <w:t xml:space="preserve">, </w:t>
                      </w:r>
                      <w:r>
                        <w:rPr>
                          <w:lang w:val="en-CA"/>
                        </w:rPr>
                        <w:t>Concordia University</w:t>
                      </w:r>
                      <w:r w:rsidRPr="00531DA2">
                        <w:rPr>
                          <w:lang w:val="en-CA"/>
                        </w:rPr>
                        <w:t xml:space="preserve">, </w:t>
                      </w:r>
                      <w:r>
                        <w:rPr>
                          <w:lang w:val="en-CA"/>
                        </w:rPr>
                        <w:t>Montreal</w:t>
                      </w:r>
                      <w:r w:rsidRPr="00531DA2">
                        <w:rPr>
                          <w:lang w:val="en-CA"/>
                        </w:rPr>
                        <w:t xml:space="preserve">, </w:t>
                      </w:r>
                      <w:r>
                        <w:rPr>
                          <w:lang w:val="en-CA"/>
                        </w:rPr>
                        <w:t>Quebec</w:t>
                      </w:r>
                      <w:r w:rsidRPr="00531DA2">
                        <w:rPr>
                          <w:lang w:val="en-CA"/>
                        </w:rPr>
                        <w:t xml:space="preserve">, </w:t>
                      </w:r>
                      <w:r>
                        <w:rPr>
                          <w:lang w:val="en-CA"/>
                        </w:rPr>
                        <w:t>Canada, H3G 1M8</w:t>
                      </w:r>
                    </w:p>
                    <w:p w14:paraId="4ECDEC8D" w14:textId="1C7FD89E" w:rsidR="00236759" w:rsidRDefault="00236759" w:rsidP="00236759">
                      <w:pPr>
                        <w:pStyle w:val="Authors"/>
                      </w:pPr>
                      <w:r>
                        <w:t xml:space="preserve">Email : </w:t>
                      </w:r>
                      <w:r w:rsidR="00176770" w:rsidRPr="00176770">
                        <w:t>maryam.zare@mail.concordia.ca</w:t>
                      </w:r>
                      <w:r>
                        <w:t xml:space="preserve">, </w:t>
                      </w:r>
                      <w:r w:rsidR="00F422C6">
                        <w:t>ramin.sedaghari@concordia.ca</w:t>
                      </w:r>
                    </w:p>
                    <w:p w14:paraId="4CF8AB73" w14:textId="77777777" w:rsidR="00236759" w:rsidRDefault="00236759" w:rsidP="00236759">
                      <w:pPr>
                        <w:pStyle w:val="Authors"/>
                      </w:pPr>
                    </w:p>
                    <w:p w14:paraId="6E01841D" w14:textId="4B364EFC" w:rsidR="00236759" w:rsidRDefault="00236759" w:rsidP="00236759">
                      <w:pPr>
                        <w:pStyle w:val="Authors"/>
                        <w:rPr>
                          <w:lang w:val="en-US"/>
                        </w:rPr>
                      </w:pPr>
                    </w:p>
                    <w:p w14:paraId="7D80FC86" w14:textId="77777777" w:rsidR="00236759" w:rsidRPr="0060181F" w:rsidRDefault="00236759" w:rsidP="00236759">
                      <w:pPr>
                        <w:pStyle w:val="Authors"/>
                        <w:rPr>
                          <w:lang w:val="en-US"/>
                        </w:rPr>
                      </w:pPr>
                    </w:p>
                  </w:txbxContent>
                </v:textbox>
                <w10:wrap type="square" anchorx="page" anchory="page"/>
              </v:shape>
            </w:pict>
          </mc:Fallback>
        </mc:AlternateContent>
      </w:r>
    </w:p>
    <w:p w14:paraId="11F7547E" w14:textId="599D168A" w:rsidR="00BD7CA3" w:rsidRDefault="00950746" w:rsidP="00C16295">
      <w:r>
        <w:t>Magnetorheological elastomers (MRE</w:t>
      </w:r>
      <w:r w:rsidR="0060181F">
        <w:t>s</w:t>
      </w:r>
      <w:r>
        <w:t xml:space="preserve">) are smart </w:t>
      </w:r>
      <w:r w:rsidR="00F422C6">
        <w:t xml:space="preserve">elastomeric </w:t>
      </w:r>
      <w:r>
        <w:t>materials,</w:t>
      </w:r>
      <w:r w:rsidR="00F1214B">
        <w:t xml:space="preserve"> </w:t>
      </w:r>
      <w:r w:rsidR="00FE2AEF">
        <w:t xml:space="preserve">with </w:t>
      </w:r>
      <w:r w:rsidR="00F422C6">
        <w:t xml:space="preserve">magnetic </w:t>
      </w:r>
      <w:r w:rsidR="00176770">
        <w:t>field-dependent</w:t>
      </w:r>
      <w:r w:rsidR="00F422C6">
        <w:t xml:space="preserve"> stiffness</w:t>
      </w:r>
      <w:r>
        <w:t xml:space="preserve"> and damping </w:t>
      </w:r>
      <w:r w:rsidR="00F422C6">
        <w:t>properties</w:t>
      </w:r>
      <w:r>
        <w:t>.</w:t>
      </w:r>
      <w:r w:rsidR="00F1214B">
        <w:t xml:space="preserve"> In this study, the vibration characteristics of sandwich plates with </w:t>
      </w:r>
      <w:r w:rsidR="00F422C6">
        <w:t xml:space="preserve">integrated </w:t>
      </w:r>
      <w:r w:rsidR="00F1214B">
        <w:t xml:space="preserve">MREs as the core layer </w:t>
      </w:r>
      <w:r w:rsidR="00176770">
        <w:t xml:space="preserve">are </w:t>
      </w:r>
      <w:r w:rsidR="00F1214B">
        <w:t xml:space="preserve">investigated. </w:t>
      </w:r>
      <w:r w:rsidR="00C16295" w:rsidRPr="00C16295">
        <w:t>MRE based sandwich plates can be effectively used in development of novel adaptive structures for real-time</w:t>
      </w:r>
      <w:r w:rsidR="00C16295">
        <w:t xml:space="preserve"> vibration control applications</w:t>
      </w:r>
      <w:r w:rsidR="00C16295" w:rsidRPr="00C16295">
        <w:t xml:space="preserve">. </w:t>
      </w:r>
      <w:r w:rsidR="008977C6">
        <w:t>In this study, t</w:t>
      </w:r>
      <w:r w:rsidR="00884679">
        <w:t xml:space="preserve">he </w:t>
      </w:r>
      <w:r w:rsidR="006B7A1B">
        <w:t xml:space="preserve">free-vibration governing equations of the MRE sandwich plate in </w:t>
      </w:r>
      <w:r w:rsidR="00884679">
        <w:t>finite</w:t>
      </w:r>
      <w:r w:rsidR="00F1214B">
        <w:t xml:space="preserve"> element </w:t>
      </w:r>
      <w:r w:rsidR="006B7A1B">
        <w:t>form</w:t>
      </w:r>
      <w:r w:rsidR="00176770">
        <w:t xml:space="preserve"> have</w:t>
      </w:r>
      <w:r w:rsidR="006B7A1B">
        <w:t xml:space="preserve"> been derived</w:t>
      </w:r>
      <w:r w:rsidR="00176770">
        <w:t xml:space="preserve"> </w:t>
      </w:r>
      <w:r w:rsidR="006B7A1B">
        <w:t>using Hamilton’s principle. The</w:t>
      </w:r>
      <w:r w:rsidR="00CF1BAF">
        <w:t xml:space="preserve"> effect of the </w:t>
      </w:r>
      <w:r w:rsidR="006B7A1B">
        <w:t xml:space="preserve">applied </w:t>
      </w:r>
      <w:r w:rsidR="00CF1BAF">
        <w:t>magneti</w:t>
      </w:r>
      <w:r w:rsidR="004C5360">
        <w:t>c</w:t>
      </w:r>
      <w:r w:rsidR="006B7A1B">
        <w:t xml:space="preserve"> field</w:t>
      </w:r>
      <w:r w:rsidR="00CF1BAF">
        <w:t xml:space="preserve"> on the</w:t>
      </w:r>
      <w:r w:rsidR="006B7A1B">
        <w:t xml:space="preserve"> first </w:t>
      </w:r>
      <w:r w:rsidR="001E33A8">
        <w:t>three natural</w:t>
      </w:r>
      <w:r w:rsidR="00CF1BAF">
        <w:t xml:space="preserve"> frequencies</w:t>
      </w:r>
      <w:r w:rsidR="006B7A1B">
        <w:t xml:space="preserve"> of the MRE </w:t>
      </w:r>
      <w:r w:rsidR="001E33A8">
        <w:t>plate is</w:t>
      </w:r>
      <w:r w:rsidR="00CF1BAF">
        <w:t xml:space="preserve"> investigated. </w:t>
      </w:r>
      <w:r w:rsidR="00F1214B">
        <w:t xml:space="preserve"> </w:t>
      </w:r>
      <w:r w:rsidR="001E33A8">
        <w:t>Results show</w:t>
      </w:r>
      <w:r w:rsidR="00ED0B7B">
        <w:t xml:space="preserve"> </w:t>
      </w:r>
      <w:r w:rsidR="00176770">
        <w:t xml:space="preserve">a </w:t>
      </w:r>
      <w:r w:rsidR="00ED0B7B">
        <w:t>noticeable increase of</w:t>
      </w:r>
      <w:r w:rsidR="001E33A8">
        <w:t xml:space="preserve"> 13.3</w:t>
      </w:r>
      <w:r w:rsidR="00ED0B7B">
        <w:t xml:space="preserve">%, </w:t>
      </w:r>
      <w:r w:rsidR="001E33A8">
        <w:t>11.9</w:t>
      </w:r>
      <w:r w:rsidR="00ED0B7B">
        <w:t>%</w:t>
      </w:r>
      <w:r w:rsidR="00176770">
        <w:t>,</w:t>
      </w:r>
      <w:r w:rsidR="00ED0B7B">
        <w:t xml:space="preserve"> and</w:t>
      </w:r>
      <w:r w:rsidR="001E33A8">
        <w:t xml:space="preserve"> 10</w:t>
      </w:r>
      <w:r w:rsidR="00ED0B7B">
        <w:t xml:space="preserve">% in </w:t>
      </w:r>
      <w:r w:rsidR="00176770">
        <w:t xml:space="preserve">the </w:t>
      </w:r>
      <w:r w:rsidR="00ED0B7B">
        <w:t>first, second</w:t>
      </w:r>
      <w:r w:rsidR="00176770">
        <w:t>,</w:t>
      </w:r>
      <w:r w:rsidR="00ED0B7B">
        <w:t xml:space="preserve"> and third natural frequencies of a clamped MRE plate, respectively</w:t>
      </w:r>
      <w:r w:rsidR="00176770">
        <w:t xml:space="preserve"> </w:t>
      </w:r>
      <w:r w:rsidR="00ED0B7B">
        <w:t xml:space="preserve">under </w:t>
      </w:r>
      <w:r w:rsidR="00176770">
        <w:t xml:space="preserve">the </w:t>
      </w:r>
      <w:r w:rsidR="00ED0B7B">
        <w:t xml:space="preserve">application of 600 </w:t>
      </w:r>
      <w:proofErr w:type="spellStart"/>
      <w:r w:rsidR="00ED0B7B">
        <w:t>mT</w:t>
      </w:r>
      <w:proofErr w:type="spellEnd"/>
      <w:r w:rsidR="00ED0B7B">
        <w:t xml:space="preserve"> magnetic flux density.  </w:t>
      </w:r>
    </w:p>
    <w:p w14:paraId="22B18985" w14:textId="380170B8" w:rsidR="00D96E7E" w:rsidRDefault="00884679" w:rsidP="00CD176A">
      <w:pPr>
        <w:pStyle w:val="KeyWords"/>
      </w:pPr>
      <w:r>
        <w:t>KEYWORDS</w:t>
      </w:r>
      <w:r w:rsidR="00414E82">
        <w:t>:</w:t>
      </w:r>
      <w:r w:rsidR="00FE2AEF">
        <w:t xml:space="preserve"> Magnetorheological elastomer, Finite element method, Sandwich MRE embedded plate</w:t>
      </w:r>
    </w:p>
    <w:p w14:paraId="5059BE64" w14:textId="0FF5654C" w:rsidR="00705EEC" w:rsidRPr="00CD176A" w:rsidRDefault="00705EEC" w:rsidP="00CD176A">
      <w:pPr>
        <w:pStyle w:val="KeyWords"/>
        <w:sectPr w:rsidR="00705EEC" w:rsidRPr="00CD176A" w:rsidSect="009529EB">
          <w:headerReference w:type="default" r:id="rId11"/>
          <w:footerReference w:type="default" r:id="rId12"/>
          <w:headerReference w:type="first" r:id="rId13"/>
          <w:footerReference w:type="first" r:id="rId14"/>
          <w:pgSz w:w="11907" w:h="16839" w:code="9"/>
          <w:pgMar w:top="1418" w:right="794" w:bottom="1418" w:left="794" w:header="709" w:footer="709" w:gutter="0"/>
          <w:cols w:space="708"/>
          <w:titlePg/>
          <w:docGrid w:linePitch="360"/>
        </w:sectPr>
      </w:pPr>
    </w:p>
    <w:p w14:paraId="54F681C8" w14:textId="3D02B451" w:rsidR="00705EEC" w:rsidRPr="00705EEC" w:rsidRDefault="00705EEC" w:rsidP="007D7E8E">
      <w:pPr>
        <w:pStyle w:val="Heading1"/>
      </w:pPr>
      <w:r>
        <w:lastRenderedPageBreak/>
        <w:t>INTRODUCTION</w:t>
      </w:r>
    </w:p>
    <w:p w14:paraId="46A00CB4" w14:textId="651F318C" w:rsidR="00F80147" w:rsidRDefault="00ED0B7B" w:rsidP="001D00AA">
      <w:r>
        <w:t>Magnetorheological elastomers (</w:t>
      </w:r>
      <w:r w:rsidR="00BD6ECE">
        <w:t>MREs</w:t>
      </w:r>
      <w:r>
        <w:t>)</w:t>
      </w:r>
      <w:r w:rsidR="00EF5AC3">
        <w:t xml:space="preserve"> are </w:t>
      </w:r>
      <w:r w:rsidR="00884679">
        <w:t xml:space="preserve">a </w:t>
      </w:r>
      <w:r w:rsidR="00EF5AC3">
        <w:t xml:space="preserve">class of </w:t>
      </w:r>
      <w:r>
        <w:t xml:space="preserve">smart elastomeric </w:t>
      </w:r>
      <w:r w:rsidR="00EF5AC3">
        <w:t xml:space="preserve">materials </w:t>
      </w:r>
      <w:r>
        <w:t xml:space="preserve">which are </w:t>
      </w:r>
      <w:r w:rsidR="00EF5AC3">
        <w:t xml:space="preserve">made of </w:t>
      </w:r>
      <w:r w:rsidR="00884679">
        <w:t xml:space="preserve">the </w:t>
      </w:r>
      <w:r w:rsidR="00EF5AC3">
        <w:t>polymeric matrix and</w:t>
      </w:r>
      <w:r w:rsidR="00BD6ECE">
        <w:t xml:space="preserve"> </w:t>
      </w:r>
      <w:r w:rsidR="00EF5AC3" w:rsidRPr="00186E0B">
        <w:t xml:space="preserve">embedded </w:t>
      </w:r>
      <w:r w:rsidR="00495FA5">
        <w:t>micro-ferromagnetic</w:t>
      </w:r>
      <w:r w:rsidR="00EF5AC3" w:rsidRPr="00186E0B">
        <w:t> particles</w:t>
      </w:r>
      <w:r w:rsidR="00555B61">
        <w:t>,</w:t>
      </w:r>
      <w:r w:rsidR="00EF5AC3" w:rsidRPr="00186E0B">
        <w:t xml:space="preserve"> such as </w:t>
      </w:r>
      <w:hyperlink r:id="rId15" w:tooltip="Carbonyl iron" w:history="1">
        <w:r w:rsidR="00EF5AC3" w:rsidRPr="00186E0B">
          <w:t>carbonyl iron</w:t>
        </w:r>
      </w:hyperlink>
      <w:r>
        <w:t xml:space="preserve"> particles</w:t>
      </w:r>
      <w:r w:rsidR="00495FA5">
        <w:t xml:space="preserve"> </w:t>
      </w:r>
      <w:r>
        <w:t xml:space="preserve">due to their high saturation limit. MREs can be in the form of isotropic (cured in the absence of an external magnetic field) in which iron particles are randomly dispersed or the </w:t>
      </w:r>
      <w:r w:rsidR="00495FA5">
        <w:t>inform</w:t>
      </w:r>
      <w:r>
        <w:t xml:space="preserve"> of anisotropic (cured in the presence of an external magnetic field) in which iron particles are structured in the direction of the </w:t>
      </w:r>
      <w:r w:rsidR="00280594">
        <w:t>field</w:t>
      </w:r>
      <w:r w:rsidR="00EF5AC3" w:rsidRPr="001012CB">
        <w:t>.</w:t>
      </w:r>
      <w:r w:rsidR="00296CD2">
        <w:t xml:space="preserve"> </w:t>
      </w:r>
      <w:r w:rsidR="00280594">
        <w:t xml:space="preserve">Due to their unique </w:t>
      </w:r>
      <w:r w:rsidR="00495FA5">
        <w:t>field-dependent</w:t>
      </w:r>
      <w:r w:rsidR="00280594">
        <w:t xml:space="preserve"> variable stiffness and damping properties</w:t>
      </w:r>
      <w:r w:rsidR="00495FA5">
        <w:t>,</w:t>
      </w:r>
      <w:r w:rsidR="00280594">
        <w:t xml:space="preserve"> MREs have been effectively utilized in many adaptive devices to semi-actively isolate or absorb vibration. MREs have also been used as core </w:t>
      </w:r>
      <w:r w:rsidR="00495FA5">
        <w:t>layers</w:t>
      </w:r>
      <w:r w:rsidR="00280594">
        <w:t xml:space="preserve"> in sandwich plates to </w:t>
      </w:r>
      <w:proofErr w:type="spellStart"/>
      <w:r w:rsidR="00280594">
        <w:t>develope</w:t>
      </w:r>
      <w:proofErr w:type="spellEnd"/>
      <w:r w:rsidR="00495FA5">
        <w:t xml:space="preserve"> </w:t>
      </w:r>
      <w:r w:rsidR="00280594">
        <w:t xml:space="preserve">adaptive continuous </w:t>
      </w:r>
      <w:r w:rsidR="00495FA5">
        <w:t>structures</w:t>
      </w:r>
      <w:r w:rsidR="00280594">
        <w:t xml:space="preserve"> whose vibration modes can be tuned using applied magnetic field</w:t>
      </w:r>
      <w:r w:rsidR="00495FA5">
        <w:t>.</w:t>
      </w:r>
      <w:r w:rsidR="00280594">
        <w:t xml:space="preserve">  </w:t>
      </w:r>
      <w:r w:rsidR="00495FA5">
        <w:t>A number</w:t>
      </w:r>
      <w:r w:rsidR="00280594">
        <w:t xml:space="preserve"> of studies have</w:t>
      </w:r>
      <w:r w:rsidR="00296CD2">
        <w:t xml:space="preserve"> </w:t>
      </w:r>
      <w:r w:rsidR="00280594">
        <w:t xml:space="preserve">investigated </w:t>
      </w:r>
      <w:r w:rsidR="00296CD2">
        <w:t xml:space="preserve">the behavior of sandwich structures with MRE </w:t>
      </w:r>
      <w:r w:rsidR="004E66D8">
        <w:t>core</w:t>
      </w:r>
      <w:r w:rsidR="0062748C">
        <w:t xml:space="preserve"> </w:t>
      </w:r>
      <w:r w:rsidR="00296CD2">
        <w:t xml:space="preserve">layers. </w:t>
      </w:r>
      <w:r w:rsidR="00F80147" w:rsidRPr="00F80147">
        <w:t>Nayak</w:t>
      </w:r>
      <w:r w:rsidR="00F80147">
        <w:t xml:space="preserve"> et.al [</w:t>
      </w:r>
      <w:r w:rsidR="001D00AA">
        <w:t>1</w:t>
      </w:r>
      <w:r w:rsidR="00F80147">
        <w:t xml:space="preserve">], studied the </w:t>
      </w:r>
      <w:r w:rsidR="001D00AA">
        <w:t xml:space="preserve">behavior of </w:t>
      </w:r>
      <w:r w:rsidR="00884679">
        <w:t xml:space="preserve">a </w:t>
      </w:r>
      <w:r w:rsidR="00F80147">
        <w:t xml:space="preserve">magnetorheological MRE cored sandwich beam subjected to </w:t>
      </w:r>
      <w:r w:rsidR="00884679">
        <w:t>time-varying</w:t>
      </w:r>
      <w:r w:rsidR="00F80147">
        <w:t xml:space="preserve"> axial load. In their study, the finite element method and </w:t>
      </w:r>
      <w:r w:rsidR="00884679">
        <w:t>the Guyana</w:t>
      </w:r>
      <w:r w:rsidR="00F80147">
        <w:t xml:space="preserve"> reduction method were applied</w:t>
      </w:r>
      <w:r w:rsidR="001D00AA">
        <w:t xml:space="preserve"> to derive and solve the governing equations</w:t>
      </w:r>
      <w:r w:rsidR="00F80147">
        <w:t xml:space="preserve">. </w:t>
      </w:r>
    </w:p>
    <w:p w14:paraId="3B83AE37" w14:textId="30287880" w:rsidR="0000062E" w:rsidRDefault="007D7E8E" w:rsidP="00091205">
      <w:pPr>
        <w:pStyle w:val="NormalIndent"/>
      </w:pPr>
      <w:proofErr w:type="spellStart"/>
      <w:r>
        <w:t>Eshaghi</w:t>
      </w:r>
      <w:proofErr w:type="spellEnd"/>
      <w:r w:rsidR="0000062E">
        <w:t xml:space="preserve"> et.al [2] studied the vibration charact</w:t>
      </w:r>
      <w:r w:rsidR="0038121A">
        <w:t>e</w:t>
      </w:r>
      <w:r w:rsidR="0000062E">
        <w:t>ristics of a partially treated MR fluid sandwich plate by developing a finite element method</w:t>
      </w:r>
      <w:r w:rsidR="00555B61">
        <w:t>,</w:t>
      </w:r>
      <w:r w:rsidR="0000062E">
        <w:t xml:space="preserve"> as well as</w:t>
      </w:r>
      <w:r w:rsidR="00555B61">
        <w:t>,</w:t>
      </w:r>
      <w:r w:rsidR="0000062E">
        <w:t xml:space="preserve"> laboratory experiments. </w:t>
      </w:r>
      <w:r w:rsidR="00091205">
        <w:t xml:space="preserve">In their study, </w:t>
      </w:r>
      <w:r w:rsidR="0000062E">
        <w:t>slippage between the constraining top and</w:t>
      </w:r>
      <w:r w:rsidR="00091205">
        <w:t xml:space="preserve"> </w:t>
      </w:r>
      <w:r w:rsidR="0000062E">
        <w:t>bottom layers</w:t>
      </w:r>
      <w:r w:rsidR="00091205">
        <w:t xml:space="preserve"> </w:t>
      </w:r>
      <w:r w:rsidR="00ED0341">
        <w:t>is</w:t>
      </w:r>
      <w:r w:rsidR="00091205">
        <w:t xml:space="preserve"> considered</w:t>
      </w:r>
      <w:r w:rsidR="0000062E">
        <w:t>.</w:t>
      </w:r>
    </w:p>
    <w:p w14:paraId="764313A9" w14:textId="4C315638" w:rsidR="00CF1BAF" w:rsidRPr="00CF1BAF" w:rsidRDefault="00EC7147" w:rsidP="00555B61">
      <w:pPr>
        <w:pStyle w:val="NormalIndent"/>
      </w:pPr>
      <w:r>
        <w:t xml:space="preserve">The finite element dynamic analysis of an orthotropic rectangular sandwich plate with an electrorheological (ER) fluid core </w:t>
      </w:r>
      <w:r w:rsidR="007D7E8E">
        <w:t xml:space="preserve">layer </w:t>
      </w:r>
      <w:r w:rsidR="003C5B54">
        <w:t xml:space="preserve">was </w:t>
      </w:r>
      <w:r w:rsidR="007D7E8E">
        <w:t xml:space="preserve">studied </w:t>
      </w:r>
      <w:r w:rsidR="003C5B54">
        <w:t>by Jia-Yi et.al [3]</w:t>
      </w:r>
      <w:r w:rsidR="00D22FF4">
        <w:t>.</w:t>
      </w:r>
      <w:r>
        <w:t xml:space="preserve"> </w:t>
      </w:r>
      <w:r w:rsidR="00D22FF4">
        <w:t xml:space="preserve">In their study, the effect of the layers’ </w:t>
      </w:r>
      <w:r w:rsidR="004E66D8">
        <w:t xml:space="preserve">geometrical </w:t>
      </w:r>
      <w:r w:rsidR="00555B61">
        <w:t>properties</w:t>
      </w:r>
      <w:r w:rsidR="00D22FF4">
        <w:t xml:space="preserve"> </w:t>
      </w:r>
      <w:r>
        <w:t>on the natural frequencies and modal loss</w:t>
      </w:r>
      <w:r w:rsidR="00D22FF4">
        <w:t xml:space="preserve"> </w:t>
      </w:r>
      <w:r>
        <w:t xml:space="preserve">factors </w:t>
      </w:r>
      <w:r w:rsidR="00555B61">
        <w:t>i</w:t>
      </w:r>
      <w:r w:rsidR="00D22FF4">
        <w:t>s</w:t>
      </w:r>
      <w:r>
        <w:t xml:space="preserve"> discussed.</w:t>
      </w:r>
    </w:p>
    <w:p w14:paraId="606E3E41" w14:textId="32571222" w:rsidR="00EC7147" w:rsidRDefault="00EC7147" w:rsidP="007D7E8E">
      <w:pPr>
        <w:ind w:firstLine="284"/>
      </w:pPr>
      <w:r>
        <w:t xml:space="preserve">In this study, the </w:t>
      </w:r>
      <w:r w:rsidR="004E66D8">
        <w:t>variation of natural frequencies</w:t>
      </w:r>
      <w:r w:rsidR="005C5D6B">
        <w:t xml:space="preserve"> </w:t>
      </w:r>
      <w:r>
        <w:t>of MRE sandwich plates</w:t>
      </w:r>
      <w:r w:rsidR="004E66D8">
        <w:t xml:space="preserve"> under varying applied magnetic </w:t>
      </w:r>
      <w:r w:rsidR="005C5D6B">
        <w:t>fields</w:t>
      </w:r>
      <w:r>
        <w:t xml:space="preserve"> is investigated</w:t>
      </w:r>
      <w:r w:rsidR="004E66D8">
        <w:t xml:space="preserve"> using </w:t>
      </w:r>
      <w:r w:rsidR="005C5D6B">
        <w:t xml:space="preserve">the </w:t>
      </w:r>
      <w:r w:rsidR="004E66D8">
        <w:t>finite element method</w:t>
      </w:r>
      <w:r>
        <w:t xml:space="preserve">. </w:t>
      </w:r>
      <w:r w:rsidR="004E66D8">
        <w:t xml:space="preserve">A </w:t>
      </w:r>
      <w:r w:rsidR="007915CE">
        <w:t xml:space="preserve">4-node </w:t>
      </w:r>
      <w:r w:rsidR="004E66D8">
        <w:t xml:space="preserve">quadrilateral </w:t>
      </w:r>
      <w:r w:rsidR="007915CE">
        <w:t>element</w:t>
      </w:r>
      <w:r w:rsidR="004E66D8">
        <w:t xml:space="preserve"> having 28 DOFs </w:t>
      </w:r>
      <w:r w:rsidR="0062748C">
        <w:t xml:space="preserve">together with Hamilton’s principle </w:t>
      </w:r>
      <w:r w:rsidR="004E66D8">
        <w:t xml:space="preserve">has been </w:t>
      </w:r>
      <w:r w:rsidR="0062748C">
        <w:t xml:space="preserve">used to formulate the free-vibration governing equations in finite element format. </w:t>
      </w:r>
      <w:r w:rsidR="00F00AC9">
        <w:t xml:space="preserve"> </w:t>
      </w:r>
      <w:r w:rsidR="00555B61">
        <w:t xml:space="preserve"> </w:t>
      </w:r>
    </w:p>
    <w:p w14:paraId="69E26DA5" w14:textId="719C32D6" w:rsidR="00705EEC" w:rsidRPr="00705EEC" w:rsidRDefault="00705EEC" w:rsidP="007D7E8E">
      <w:pPr>
        <w:pStyle w:val="Heading1"/>
      </w:pPr>
      <w:r>
        <w:lastRenderedPageBreak/>
        <w:t xml:space="preserve">finite </w:t>
      </w:r>
      <w:r w:rsidR="005C5D6B">
        <w:t xml:space="preserve">ELEMENT </w:t>
      </w:r>
      <w:r>
        <w:t xml:space="preserve">modeling of the </w:t>
      </w:r>
      <w:r w:rsidR="0062748C">
        <w:t xml:space="preserve">MRE SANDWICH </w:t>
      </w:r>
      <w:r>
        <w:t>plate</w:t>
      </w:r>
    </w:p>
    <w:p w14:paraId="7FCD2B26" w14:textId="05C12BC3" w:rsidR="00D8672E" w:rsidRDefault="001D5F3E" w:rsidP="0048441C">
      <w:pPr>
        <w:pStyle w:val="NormalIndent"/>
        <w:ind w:firstLine="0"/>
      </w:pPr>
      <w:r w:rsidRPr="00647B02">
        <w:t>Figure 1 shows t</w:t>
      </w:r>
      <w:r w:rsidR="000E7233" w:rsidRPr="00647B02">
        <w:t xml:space="preserve">he schematic view of the multilayer plate considered in this study. </w:t>
      </w:r>
      <w:r w:rsidR="0062748C">
        <w:t>The sandwich</w:t>
      </w:r>
      <w:r w:rsidR="000E7233" w:rsidRPr="00647B02">
        <w:t xml:space="preserve"> structure consists of </w:t>
      </w:r>
      <w:r w:rsidR="0062748C">
        <w:t>bottom and top elastic Aluminum layers</w:t>
      </w:r>
      <w:r w:rsidR="0062748C" w:rsidRPr="00647B02">
        <w:t xml:space="preserve"> </w:t>
      </w:r>
      <w:r w:rsidR="00D8672E" w:rsidRPr="00647B02">
        <w:t xml:space="preserve">and the </w:t>
      </w:r>
      <w:proofErr w:type="gramStart"/>
      <w:r w:rsidR="00D8672E" w:rsidRPr="00647B02">
        <w:t>MRE  as</w:t>
      </w:r>
      <w:proofErr w:type="gramEnd"/>
      <w:r w:rsidR="00D8672E" w:rsidRPr="00647B02">
        <w:t xml:space="preserve"> the core</w:t>
      </w:r>
      <w:r w:rsidR="0062748C">
        <w:t xml:space="preserve"> layer</w:t>
      </w:r>
      <w:r w:rsidR="00D8672E" w:rsidRPr="00647B02">
        <w:t xml:space="preserve">.  </w:t>
      </w:r>
      <w:proofErr w:type="spellStart"/>
      <w:r w:rsidR="00D8672E" w:rsidRPr="00647B02">
        <w:t>Kirchoff’s</w:t>
      </w:r>
      <w:proofErr w:type="spellEnd"/>
      <w:r w:rsidR="00D8672E" w:rsidRPr="00647B02">
        <w:t xml:space="preserve"> plate theory is used for modeling the top and bottom layers. </w:t>
      </w:r>
      <w:r w:rsidR="000E7233" w:rsidRPr="00647B02">
        <w:t xml:space="preserve"> </w:t>
      </w:r>
      <w:r w:rsidR="00D8672E" w:rsidRPr="00647B02">
        <w:t>Also</w:t>
      </w:r>
      <w:r w:rsidR="00B77D85" w:rsidRPr="00647B02">
        <w:t>,</w:t>
      </w:r>
      <w:r w:rsidR="00D8672E" w:rsidRPr="00647B02">
        <w:t xml:space="preserve"> th</w:t>
      </w:r>
      <w:r w:rsidR="007D7E8E">
        <w:t>e core</w:t>
      </w:r>
      <w:r w:rsidR="00D8672E" w:rsidRPr="00647B02">
        <w:t xml:space="preserve"> layer is assumed to be </w:t>
      </w:r>
      <w:r w:rsidR="00B77D85" w:rsidRPr="00647B02">
        <w:t>isotropic</w:t>
      </w:r>
      <w:r w:rsidR="007D7E8E">
        <w:t xml:space="preserve"> MRE</w:t>
      </w:r>
      <w:r w:rsidR="00B77D85" w:rsidRPr="00647B02">
        <w:t xml:space="preserve"> </w:t>
      </w:r>
      <w:r w:rsidR="0062748C">
        <w:t>operat</w:t>
      </w:r>
      <w:r w:rsidR="007D7E8E">
        <w:t>ing</w:t>
      </w:r>
      <w:r w:rsidR="0062748C">
        <w:t xml:space="preserve"> in </w:t>
      </w:r>
      <w:r w:rsidR="00B77D85" w:rsidRPr="00647B02">
        <w:t>linear viscoelasticity</w:t>
      </w:r>
      <w:r w:rsidR="0062748C">
        <w:t xml:space="preserve"> region</w:t>
      </w:r>
      <w:r w:rsidR="00B77D85" w:rsidRPr="00647B02">
        <w:t xml:space="preserve">. </w:t>
      </w:r>
      <w:r w:rsidR="007D7E8E">
        <w:t xml:space="preserve">It is noted that </w:t>
      </w:r>
      <w:r w:rsidR="00B77D85" w:rsidRPr="00647B02">
        <w:t xml:space="preserve">the layers are considered </w:t>
      </w:r>
      <w:r w:rsidR="00E2095B">
        <w:t>completely</w:t>
      </w:r>
      <w:r w:rsidR="00B77D85" w:rsidRPr="00647B02">
        <w:t xml:space="preserve"> bonded to each other without any </w:t>
      </w:r>
      <w:r w:rsidR="0062748C">
        <w:t>Slippage.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7"/>
      </w:tblGrid>
      <w:tr w:rsidR="00B77D85" w:rsidRPr="00647B02" w14:paraId="5079A41C" w14:textId="77777777" w:rsidTr="004302EA">
        <w:tc>
          <w:tcPr>
            <w:tcW w:w="5017" w:type="dxa"/>
          </w:tcPr>
          <w:p w14:paraId="27284F5F" w14:textId="0FD4C561" w:rsidR="00B77D85" w:rsidRPr="00647B02" w:rsidRDefault="004302EA" w:rsidP="004302EA">
            <w:pPr>
              <w:pStyle w:val="NormalIndent"/>
              <w:ind w:firstLine="0"/>
            </w:pPr>
            <w:r>
              <w:object w:dxaOrig="10185" w:dyaOrig="3660" w14:anchorId="63E97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6pt;height:94.9pt" o:ole="">
                  <v:imagedata r:id="rId16" o:title=""/>
                </v:shape>
                <o:OLEObject Type="Embed" ProgID="PBrush" ShapeID="_x0000_i1025" DrawAspect="Content" ObjectID="_1721063285" r:id="rId17"/>
              </w:object>
            </w:r>
          </w:p>
        </w:tc>
      </w:tr>
      <w:tr w:rsidR="00B77D85" w:rsidRPr="00647B02" w14:paraId="548D82E1" w14:textId="77777777" w:rsidTr="004302EA">
        <w:tc>
          <w:tcPr>
            <w:tcW w:w="5017" w:type="dxa"/>
            <w:vAlign w:val="center"/>
          </w:tcPr>
          <w:p w14:paraId="6599B3A4" w14:textId="72DE5F40" w:rsidR="00B77D85" w:rsidRPr="00647B02" w:rsidRDefault="00B77D85" w:rsidP="00363200">
            <w:pPr>
              <w:pStyle w:val="NormalIndent"/>
              <w:ind w:firstLine="0"/>
              <w:jc w:val="center"/>
            </w:pPr>
            <w:r w:rsidRPr="00647B02">
              <w:t>Figure 1: Schematic view of the MRE core sandwich plate</w:t>
            </w:r>
          </w:p>
        </w:tc>
      </w:tr>
    </w:tbl>
    <w:p w14:paraId="2E2D7AE9" w14:textId="77777777" w:rsidR="00B77D85" w:rsidRPr="00647B02" w:rsidRDefault="00B77D85" w:rsidP="00455E6C">
      <w:pPr>
        <w:pStyle w:val="NormalIndent"/>
      </w:pPr>
    </w:p>
    <w:p w14:paraId="391B29E5" w14:textId="622303E4" w:rsidR="00B77D85" w:rsidRPr="00647B02" w:rsidRDefault="00B77D85" w:rsidP="00455E6C">
      <w:pPr>
        <w:pStyle w:val="NormalIndent"/>
      </w:pPr>
    </w:p>
    <w:p w14:paraId="74012B69" w14:textId="6426DB23" w:rsidR="00C25F72" w:rsidRPr="00647B02" w:rsidRDefault="00DD67E9" w:rsidP="00455E6C">
      <w:pPr>
        <w:pStyle w:val="NormalIndent"/>
      </w:pPr>
      <w:r w:rsidRPr="00647B02">
        <w:t xml:space="preserve">The sandwich plate is discretized </w:t>
      </w:r>
      <w:r w:rsidR="007D7E8E">
        <w:t>using</w:t>
      </w:r>
      <w:r w:rsidRPr="00647B02">
        <w:t xml:space="preserve"> 4-noded rectangular elements</w:t>
      </w:r>
      <w:r w:rsidR="006509EF" w:rsidRPr="00647B02">
        <w:t xml:space="preserve"> as shown in</w:t>
      </w:r>
      <w:r w:rsidRPr="00647B02">
        <w:t xml:space="preserve"> Figure.2.</w:t>
      </w:r>
      <w:r w:rsidR="00893B5D" w:rsidRPr="00647B02">
        <w:t xml:space="preserve"> </w:t>
      </w:r>
    </w:p>
    <w:p w14:paraId="3C5BF6D7" w14:textId="77777777" w:rsidR="00C25F72" w:rsidRPr="00647B02" w:rsidRDefault="00C25F72" w:rsidP="00455E6C">
      <w:pPr>
        <w:pStyle w:val="NormalInden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7"/>
      </w:tblGrid>
      <w:tr w:rsidR="00C25F72" w:rsidRPr="00647B02" w14:paraId="114C10EA" w14:textId="77777777" w:rsidTr="005619C2">
        <w:tc>
          <w:tcPr>
            <w:tcW w:w="5007" w:type="dxa"/>
          </w:tcPr>
          <w:p w14:paraId="46BA57D8" w14:textId="77777777" w:rsidR="005619C2" w:rsidRDefault="005619C2" w:rsidP="00670CC0">
            <w:pPr>
              <w:pStyle w:val="NormalIndent"/>
              <w:ind w:firstLine="0"/>
              <w:jc w:val="center"/>
              <w:rPr>
                <w:noProof/>
              </w:rPr>
            </w:pPr>
          </w:p>
          <w:p w14:paraId="349D4AD1" w14:textId="191E9EAF" w:rsidR="00C25F72" w:rsidRPr="00647B02" w:rsidRDefault="00670CC0" w:rsidP="00670CC0">
            <w:pPr>
              <w:pStyle w:val="NormalIndent"/>
              <w:ind w:firstLine="0"/>
              <w:jc w:val="center"/>
            </w:pPr>
            <w:r w:rsidRPr="00647B02">
              <w:rPr>
                <w:noProof/>
                <w:lang w:eastAsia="en-US"/>
              </w:rPr>
              <w:drawing>
                <wp:inline distT="0" distB="0" distL="0" distR="0" wp14:anchorId="1435D7CB" wp14:editId="5418EDEF">
                  <wp:extent cx="3134484" cy="1249696"/>
                  <wp:effectExtent l="0" t="0" r="889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7983" t="31549" r="37920" b="51370"/>
                          <a:stretch/>
                        </pic:blipFill>
                        <pic:spPr bwMode="auto">
                          <a:xfrm>
                            <a:off x="0" y="0"/>
                            <a:ext cx="3236519" cy="1290377"/>
                          </a:xfrm>
                          <a:prstGeom prst="rect">
                            <a:avLst/>
                          </a:prstGeom>
                          <a:ln>
                            <a:noFill/>
                          </a:ln>
                          <a:extLst>
                            <a:ext uri="{53640926-AAD7-44D8-BBD7-CCE9431645EC}">
                              <a14:shadowObscured xmlns:a14="http://schemas.microsoft.com/office/drawing/2010/main"/>
                            </a:ext>
                          </a:extLst>
                        </pic:spPr>
                      </pic:pic>
                    </a:graphicData>
                  </a:graphic>
                </wp:inline>
              </w:drawing>
            </w:r>
          </w:p>
        </w:tc>
      </w:tr>
      <w:tr w:rsidR="00C25F72" w:rsidRPr="00647B02" w14:paraId="417E6F2C" w14:textId="77777777" w:rsidTr="005619C2">
        <w:tc>
          <w:tcPr>
            <w:tcW w:w="5007" w:type="dxa"/>
          </w:tcPr>
          <w:p w14:paraId="2E31A472" w14:textId="37A861CE" w:rsidR="00C25F72" w:rsidRPr="00647B02" w:rsidRDefault="00C25F72" w:rsidP="005619C2">
            <w:pPr>
              <w:pStyle w:val="NormalIndent"/>
              <w:ind w:firstLine="0"/>
              <w:jc w:val="center"/>
            </w:pPr>
            <w:r w:rsidRPr="00647B02">
              <w:t xml:space="preserve">Figure </w:t>
            </w:r>
            <w:r w:rsidR="00461995" w:rsidRPr="00647B02">
              <w:t>2</w:t>
            </w:r>
            <w:r w:rsidRPr="00647B02">
              <w:t xml:space="preserve">: </w:t>
            </w:r>
            <w:r w:rsidR="00461995" w:rsidRPr="00647B02">
              <w:t>Four</w:t>
            </w:r>
            <w:r w:rsidR="006509EF" w:rsidRPr="00647B02">
              <w:t>-</w:t>
            </w:r>
            <w:r w:rsidR="00461995" w:rsidRPr="00647B02">
              <w:t>node rectangular element</w:t>
            </w:r>
            <w:r w:rsidR="00E2095B">
              <w:t xml:space="preserve"> [4]</w:t>
            </w:r>
          </w:p>
        </w:tc>
      </w:tr>
    </w:tbl>
    <w:p w14:paraId="7C057E4F" w14:textId="77777777" w:rsidR="00C25F72" w:rsidRPr="00647B02" w:rsidRDefault="00C25F72" w:rsidP="00455E6C">
      <w:pPr>
        <w:pStyle w:val="NormalIndent"/>
      </w:pPr>
    </w:p>
    <w:p w14:paraId="01D88C31" w14:textId="53948167" w:rsidR="00893B5D" w:rsidRPr="00647B02" w:rsidRDefault="00893B5D" w:rsidP="00455E6C">
      <w:pPr>
        <w:pStyle w:val="NormalIndent"/>
      </w:pPr>
      <w:r w:rsidRPr="00647B02">
        <w:t>Each node has seven degrees of freedom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59"/>
      </w:tblGrid>
      <w:tr w:rsidR="003B77C1" w:rsidRPr="00647B02" w14:paraId="69B4A511" w14:textId="77777777" w:rsidTr="005619C2">
        <w:tc>
          <w:tcPr>
            <w:tcW w:w="4248" w:type="dxa"/>
          </w:tcPr>
          <w:p w14:paraId="243F1433" w14:textId="27EFF016" w:rsidR="003B77C1" w:rsidRPr="00647B02" w:rsidRDefault="003B77C1" w:rsidP="000F0E99">
            <w:pPr>
              <w:pStyle w:val="NormalIndent"/>
              <w:tabs>
                <w:tab w:val="center" w:pos="2020"/>
                <w:tab w:val="right" w:pos="4040"/>
              </w:tabs>
              <w:ind w:firstLine="0"/>
            </w:pPr>
            <w:r w:rsidRPr="00647B02">
              <w:lastRenderedPageBreak/>
              <w:tab/>
            </w:r>
            <w:r w:rsidRPr="00647B02">
              <w:rPr>
                <w:position w:val="-14"/>
              </w:rPr>
              <w:object w:dxaOrig="2400" w:dyaOrig="380" w14:anchorId="28AD87CA">
                <v:shape id="_x0000_i1026" type="#_x0000_t75" style="width:119.7pt;height:19.65pt" o:ole="">
                  <v:imagedata r:id="rId19" o:title=""/>
                </v:shape>
                <o:OLEObject Type="Embed" ProgID="Equation.DSMT4" ShapeID="_x0000_i1026" DrawAspect="Content" ObjectID="_1721063286" r:id="rId20"/>
              </w:object>
            </w:r>
          </w:p>
        </w:tc>
        <w:tc>
          <w:tcPr>
            <w:tcW w:w="759" w:type="dxa"/>
            <w:vAlign w:val="center"/>
          </w:tcPr>
          <w:p w14:paraId="22F69B68" w14:textId="2919B6D2" w:rsidR="003B77C1" w:rsidRPr="00647B02" w:rsidRDefault="003B77C1" w:rsidP="003B77C1">
            <w:pPr>
              <w:pStyle w:val="NormalIndent"/>
              <w:ind w:firstLine="0"/>
              <w:jc w:val="center"/>
            </w:pPr>
            <w:r w:rsidRPr="00647B02">
              <w:t>(1)</w:t>
            </w:r>
          </w:p>
        </w:tc>
      </w:tr>
    </w:tbl>
    <w:p w14:paraId="0297BF76" w14:textId="31E219CD" w:rsidR="00B77D85" w:rsidRDefault="0062748C" w:rsidP="00392671">
      <w:pPr>
        <w:pStyle w:val="NormalIndent"/>
        <w:ind w:firstLine="0"/>
      </w:pPr>
      <w:r>
        <w:t>w</w:t>
      </w:r>
      <w:r w:rsidRPr="00647B02">
        <w:t>here</w:t>
      </w:r>
      <w:r w:rsidR="00AA6CB0" w:rsidRPr="00647B02">
        <w:t xml:space="preserve">, </w:t>
      </w:r>
      <m:oMath>
        <m:sSub>
          <m:sSubPr>
            <m:ctrlPr>
              <w:rPr>
                <w:rFonts w:ascii="Cambria Math" w:hAnsi="Cambria Math"/>
                <w:i/>
              </w:rPr>
            </m:ctrlPr>
          </m:sSubPr>
          <m:e>
            <m:r>
              <w:rPr>
                <w:rFonts w:ascii="Cambria Math" w:hAnsi="Cambria Math"/>
              </w:rPr>
              <m:t>u</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p</m:t>
            </m:r>
          </m:sub>
        </m:sSub>
      </m:oMath>
      <w:r w:rsidR="00C25F72" w:rsidRPr="00647B02">
        <w:t xml:space="preserve"> are </w:t>
      </w:r>
      <w:r w:rsidR="00AA6CB0" w:rsidRPr="00647B02">
        <w:t>the longitudinal displacements of the top and bottom layers</w:t>
      </w:r>
      <w:r>
        <w:t xml:space="preserve"> and</w:t>
      </w:r>
      <w:r w:rsidRPr="00647B02">
        <w:t xml:space="preserve"> </w:t>
      </w:r>
      <m:oMath>
        <m:r>
          <w:rPr>
            <w:rFonts w:ascii="Cambria Math" w:hAnsi="Cambria Math"/>
          </w:rPr>
          <m:t>w</m:t>
        </m:r>
      </m:oMath>
      <w:r w:rsidR="00AA6CB0" w:rsidRPr="00647B02">
        <w:t xml:space="preserve"> is the transverse deflection of the laye</w:t>
      </w:r>
      <w:r w:rsidR="00C25F72" w:rsidRPr="00647B02">
        <w:t>r</w:t>
      </w:r>
      <w:r w:rsidR="00AA6CB0" w:rsidRPr="00647B02">
        <w:t>s</w:t>
      </w:r>
      <w:r w:rsidR="00C25F72" w:rsidRPr="00647B02">
        <w:t>. Also,</w:t>
      </w:r>
      <w:r w:rsidR="00AA6CB0" w:rsidRPr="00647B02">
        <w:t xml:space="preserve"> the slopes </w:t>
      </w:r>
      <w:r w:rsidR="00C25F72" w:rsidRPr="00647B02">
        <w:t xml:space="preserve">of the deflection line </w:t>
      </w:r>
      <w:r>
        <w:t xml:space="preserve">about </w:t>
      </w:r>
      <m:oMath>
        <m:r>
          <w:rPr>
            <w:rFonts w:ascii="Cambria Math" w:hAnsi="Cambria Math"/>
          </w:rPr>
          <m:t>x</m:t>
        </m:r>
      </m:oMath>
      <w:r>
        <w:t xml:space="preserve"> and </w:t>
      </w:r>
      <m:oMath>
        <m:r>
          <w:rPr>
            <w:rFonts w:ascii="Cambria Math" w:hAnsi="Cambria Math"/>
          </w:rPr>
          <m:t xml:space="preserve">y </m:t>
        </m:r>
      </m:oMath>
      <w:r>
        <w:t>axes are described</w:t>
      </w:r>
      <w:r w:rsidR="00C25F72" w:rsidRPr="00647B02">
        <w:t xml:space="preserve"> by </w:t>
      </w:r>
      <m:oMath>
        <m:sSub>
          <m:sSubPr>
            <m:ctrlPr>
              <w:rPr>
                <w:rFonts w:ascii="Cambria Math" w:hAnsi="Cambria Math"/>
                <w:i/>
              </w:rPr>
            </m:ctrlPr>
          </m:sSubPr>
          <m:e>
            <m:r>
              <w:rPr>
                <w:rFonts w:ascii="Cambria Math" w:hAnsi="Cambria Math"/>
              </w:rPr>
              <m:t>θ</m:t>
            </m:r>
          </m:e>
          <m:sub>
            <m:r>
              <w:rPr>
                <w:rFonts w:ascii="Cambria Math" w:hAnsi="Cambria Math"/>
              </w:rPr>
              <m:t>x</m:t>
            </m:r>
          </m:sub>
        </m:sSub>
      </m:oMath>
      <w:r w:rsidR="00C25F72" w:rsidRPr="00647B02">
        <w:t xml:space="preserve"> and </w:t>
      </w:r>
      <m:oMath>
        <m:sSub>
          <m:sSubPr>
            <m:ctrlPr>
              <w:rPr>
                <w:rFonts w:ascii="Cambria Math" w:hAnsi="Cambria Math"/>
                <w:i/>
              </w:rPr>
            </m:ctrlPr>
          </m:sSubPr>
          <m:e>
            <m:r>
              <w:rPr>
                <w:rFonts w:ascii="Cambria Math" w:hAnsi="Cambria Math"/>
              </w:rPr>
              <m:t>θ</m:t>
            </m:r>
          </m:e>
          <m:sub>
            <m:r>
              <w:rPr>
                <w:rFonts w:ascii="Cambria Math" w:hAnsi="Cambria Math"/>
              </w:rPr>
              <m:t>y</m:t>
            </m:r>
          </m:sub>
        </m:sSub>
      </m:oMath>
      <w:r w:rsidR="00C25F72" w:rsidRPr="00647B02">
        <w:t xml:space="preserve">. </w:t>
      </w:r>
    </w:p>
    <w:p w14:paraId="0B7B3FC4" w14:textId="64372105" w:rsidR="00B77D85" w:rsidRDefault="00392671" w:rsidP="00392671">
      <w:pPr>
        <w:pStyle w:val="NormalIndent"/>
        <w:tabs>
          <w:tab w:val="left" w:pos="284"/>
        </w:tabs>
        <w:ind w:firstLine="284"/>
      </w:pPr>
      <w:r>
        <w:t xml:space="preserve">The </w:t>
      </w:r>
      <w:r w:rsidR="00480DE1">
        <w:t xml:space="preserve">displacement of any point </w:t>
      </w:r>
      <w:r w:rsidR="0062748C">
        <w:t xml:space="preserve">through the thickness </w:t>
      </w:r>
      <w:r w:rsidR="00480DE1">
        <w:t>of the structure can be expressed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59"/>
      </w:tblGrid>
      <w:tr w:rsidR="00480DE1" w14:paraId="5D750F08" w14:textId="77777777" w:rsidTr="005619C2">
        <w:tc>
          <w:tcPr>
            <w:tcW w:w="4248" w:type="dxa"/>
          </w:tcPr>
          <w:p w14:paraId="55136502" w14:textId="059D5BA4" w:rsidR="00480DE1" w:rsidRPr="00AA6CB0" w:rsidRDefault="000D553A" w:rsidP="000D553A">
            <w:pPr>
              <w:pStyle w:val="NormalIndent"/>
              <w:tabs>
                <w:tab w:val="center" w:pos="2020"/>
                <w:tab w:val="right" w:pos="4040"/>
              </w:tabs>
              <w:ind w:firstLine="0"/>
            </w:pPr>
            <w:r>
              <w:tab/>
            </w:r>
            <w:r w:rsidR="003B77C1" w:rsidRPr="003B77C1">
              <w:rPr>
                <w:position w:val="-54"/>
              </w:rPr>
              <w:object w:dxaOrig="2160" w:dyaOrig="1420" w14:anchorId="622EDB19">
                <v:shape id="_x0000_i1027" type="#_x0000_t75" style="width:108.45pt;height:71.55pt" o:ole="">
                  <v:imagedata r:id="rId21" o:title=""/>
                </v:shape>
                <o:OLEObject Type="Embed" ProgID="Equation.DSMT4" ShapeID="_x0000_i1027" DrawAspect="Content" ObjectID="_1721063287" r:id="rId22"/>
              </w:object>
            </w:r>
          </w:p>
        </w:tc>
        <w:tc>
          <w:tcPr>
            <w:tcW w:w="759" w:type="dxa"/>
            <w:vAlign w:val="center"/>
          </w:tcPr>
          <w:p w14:paraId="6416E5A6" w14:textId="3B57326D" w:rsidR="00480DE1" w:rsidRDefault="00480DE1" w:rsidP="005619C2">
            <w:pPr>
              <w:pStyle w:val="NormalIndent"/>
              <w:ind w:firstLine="0"/>
              <w:jc w:val="center"/>
            </w:pPr>
            <w:r>
              <w:t>(2)</w:t>
            </w:r>
          </w:p>
        </w:tc>
      </w:tr>
    </w:tbl>
    <w:p w14:paraId="0532181A" w14:textId="210758B0" w:rsidR="00480DE1" w:rsidRDefault="000D553A" w:rsidP="003B77C1">
      <w:pPr>
        <w:pStyle w:val="NormalIndent"/>
      </w:pPr>
      <w:r>
        <w:t>The potential and kinetic energy of the</w:t>
      </w:r>
      <w:r w:rsidR="003B77C1">
        <w:t xml:space="preserve"> </w:t>
      </w:r>
      <w:r>
        <w:t>sandwich plate element can be</w:t>
      </w:r>
      <w:r w:rsidR="00392671">
        <w:t xml:space="preserve"> then</w:t>
      </w:r>
      <w:r>
        <w:t xml:space="preserve"> expressed as:</w:t>
      </w:r>
    </w:p>
    <w:p w14:paraId="5E7F764B" w14:textId="5AEA033F" w:rsidR="000D553A" w:rsidRDefault="000D553A" w:rsidP="000D553A">
      <w:pPr>
        <w:pStyle w:val="NormalInden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59"/>
      </w:tblGrid>
      <w:tr w:rsidR="000D553A" w14:paraId="70D3C92A" w14:textId="77777777" w:rsidTr="005619C2">
        <w:tc>
          <w:tcPr>
            <w:tcW w:w="4248" w:type="dxa"/>
          </w:tcPr>
          <w:p w14:paraId="5D39DECA" w14:textId="769E8EE9" w:rsidR="000D553A" w:rsidRPr="00AA6CB0" w:rsidRDefault="000D553A" w:rsidP="000F0E99">
            <w:pPr>
              <w:pStyle w:val="NormalIndent"/>
              <w:tabs>
                <w:tab w:val="center" w:pos="2020"/>
                <w:tab w:val="right" w:pos="4040"/>
              </w:tabs>
              <w:ind w:firstLine="0"/>
            </w:pPr>
            <w:r>
              <w:tab/>
            </w:r>
            <w:r w:rsidR="003B77C1" w:rsidRPr="003B77C1">
              <w:rPr>
                <w:position w:val="-26"/>
              </w:rPr>
              <w:object w:dxaOrig="1280" w:dyaOrig="620" w14:anchorId="7D55BCD3">
                <v:shape id="_x0000_i1028" type="#_x0000_t75" style="width:64.05pt;height:30.4pt" o:ole="">
                  <v:imagedata r:id="rId23" o:title=""/>
                </v:shape>
                <o:OLEObject Type="Embed" ProgID="Equation.DSMT4" ShapeID="_x0000_i1028" DrawAspect="Content" ObjectID="_1721063288" r:id="rId24"/>
              </w:object>
            </w:r>
          </w:p>
        </w:tc>
        <w:tc>
          <w:tcPr>
            <w:tcW w:w="759" w:type="dxa"/>
          </w:tcPr>
          <w:p w14:paraId="1024DA34" w14:textId="1096997F" w:rsidR="000D553A" w:rsidRDefault="000D553A" w:rsidP="000F0E99">
            <w:pPr>
              <w:pStyle w:val="NormalIndent"/>
              <w:ind w:firstLine="0"/>
              <w:jc w:val="right"/>
            </w:pPr>
            <w:r>
              <w:t xml:space="preserve">                                         (</w:t>
            </w:r>
            <w:r w:rsidR="003B77C1">
              <w:t>3</w:t>
            </w:r>
            <w:r>
              <w:t>)</w:t>
            </w:r>
          </w:p>
        </w:tc>
      </w:tr>
    </w:tbl>
    <w:p w14:paraId="0855631D" w14:textId="4A049A59" w:rsidR="00075B01" w:rsidRDefault="00075B01" w:rsidP="0062748C">
      <w:pPr>
        <w:pStyle w:val="NormalIndent"/>
        <w:ind w:firstLine="0"/>
      </w:pPr>
      <w:r>
        <w:t xml:space="preserve">where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t>, an</w:t>
      </w:r>
      <m:oMath>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3</m:t>
            </m:r>
          </m:sub>
        </m:sSub>
      </m:oMath>
      <w:r>
        <w:t xml:space="preserve"> are the total strain energies of the top </w:t>
      </w:r>
      <w:r w:rsidR="0062748C">
        <w:t>and bottom</w:t>
      </w:r>
      <w:r>
        <w:t xml:space="preserve"> layers, respectively, </w:t>
      </w:r>
      <w:r w:rsidR="00537C4C">
        <w:t xml:space="preserve">while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 xml:space="preserve"> </m:t>
        </m:r>
      </m:oMath>
      <w:r>
        <w:t xml:space="preserve">represents the shear strain energy of the core layer.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537C4C">
        <w:t xml:space="preserve"> </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are </w:t>
      </w:r>
      <w:r w:rsidR="00537C4C">
        <w:t xml:space="preserve">also </w:t>
      </w:r>
      <w:r>
        <w:t xml:space="preserve">the kinetic energy associated with the transverse and axial deformations in the top and bottom layers, respectively, and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537C4C">
        <w:t xml:space="preserve"> </w:t>
      </w:r>
      <w:r>
        <w:t xml:space="preserve"> denotes the kinetic energy due to rotational deformation of the core layer.</w:t>
      </w:r>
    </w:p>
    <w:p w14:paraId="1E6F9C29" w14:textId="41E3DCB9" w:rsidR="00D8672E" w:rsidRDefault="00537C4C" w:rsidP="00455E6C">
      <w:pPr>
        <w:pStyle w:val="NormalIndent"/>
      </w:pPr>
      <w:r>
        <w:t xml:space="preserve">Considering </w:t>
      </w:r>
      <w:proofErr w:type="spellStart"/>
      <w:r w:rsidR="00D11E3B">
        <w:t>Eq</w:t>
      </w:r>
      <w:r w:rsidR="002B2609">
        <w:t>.</w:t>
      </w:r>
      <w:r w:rsidR="00D11E3B">
        <w:t>s</w:t>
      </w:r>
      <w:proofErr w:type="spellEnd"/>
      <w:r w:rsidR="003B77C1">
        <w:t xml:space="preserve"> (1-3)</w:t>
      </w:r>
      <w:r w:rsidR="00EA5EEF">
        <w:t xml:space="preserve"> and </w:t>
      </w:r>
      <w:r>
        <w:t>applying</w:t>
      </w:r>
      <w:r w:rsidR="00EA5EEF">
        <w:t xml:space="preserve"> Hamilton’s principle</w:t>
      </w:r>
      <w:r w:rsidR="00D11E3B">
        <w:t xml:space="preserve">, one can obtain </w:t>
      </w:r>
      <w:r w:rsidR="00ED72F6">
        <w:t>the following eigenvalue equation</w:t>
      </w:r>
      <w:r>
        <w:t xml:space="preserve">s describing the free-vibration of the MRE sandwich plate in the finite element form. </w:t>
      </w:r>
      <w:r w:rsidR="00EA5EEF">
        <w:t xml:space="preserve"> In this equation</w:t>
      </w:r>
      <w:r w:rsidR="00ED72F6">
        <w:t xml:space="preserve">, </w:t>
      </w:r>
      <m:oMath>
        <m:r>
          <w:rPr>
            <w:rFonts w:ascii="Cambria Math" w:hAnsi="Cambria Math"/>
          </w:rPr>
          <m:t>K</m:t>
        </m:r>
      </m:oMath>
      <w:r w:rsidR="00135B26">
        <w:t xml:space="preserve"> </w:t>
      </w:r>
      <w:r w:rsidR="00ED72F6">
        <w:t xml:space="preserve">and </w:t>
      </w:r>
      <m:oMath>
        <m:r>
          <w:rPr>
            <w:rFonts w:ascii="Cambria Math" w:hAnsi="Cambria Math"/>
          </w:rPr>
          <m:t>M</m:t>
        </m:r>
      </m:oMath>
      <w:r w:rsidR="00ED72F6">
        <w:t xml:space="preserve"> are the</w:t>
      </w:r>
      <w:r w:rsidR="00392671">
        <w:t xml:space="preserve"> complex</w:t>
      </w:r>
      <w:r w:rsidR="00ED72F6">
        <w:t xml:space="preserve"> stiffness and mass matrixes of the sandwich plate and </w:t>
      </w:r>
      <w:r w:rsidR="003B77C1" w:rsidRPr="003B77C1">
        <w:rPr>
          <w:position w:val="-6"/>
        </w:rPr>
        <w:object w:dxaOrig="240" w:dyaOrig="220" w14:anchorId="5EC4CE76">
          <v:shape id="_x0000_i1029" type="#_x0000_t75" style="width:12.15pt;height:11.7pt" o:ole="">
            <v:imagedata r:id="rId25" o:title=""/>
          </v:shape>
          <o:OLEObject Type="Embed" ProgID="Equation.DSMT4" ShapeID="_x0000_i1029" DrawAspect="Content" ObjectID="_1721063289" r:id="rId26"/>
        </w:object>
      </w:r>
      <w:r w:rsidR="00ED72F6">
        <w:t xml:space="preserve"> is the natural frequency of the plate. </w:t>
      </w:r>
    </w:p>
    <w:p w14:paraId="7E38D93B" w14:textId="65F2A644" w:rsidR="003B77C1" w:rsidRDefault="003B77C1" w:rsidP="00455E6C">
      <w:pPr>
        <w:pStyle w:val="NormalInden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59"/>
      </w:tblGrid>
      <w:tr w:rsidR="003B77C1" w14:paraId="32E4F399" w14:textId="77777777" w:rsidTr="005619C2">
        <w:tc>
          <w:tcPr>
            <w:tcW w:w="4248" w:type="dxa"/>
            <w:vAlign w:val="center"/>
          </w:tcPr>
          <w:p w14:paraId="1D592555" w14:textId="33B08B59" w:rsidR="003B77C1" w:rsidRPr="00AA6CB0" w:rsidRDefault="003B77C1" w:rsidP="003C217A">
            <w:pPr>
              <w:pStyle w:val="NormalIndent"/>
              <w:tabs>
                <w:tab w:val="center" w:pos="2020"/>
                <w:tab w:val="right" w:pos="4040"/>
              </w:tabs>
              <w:ind w:firstLine="0"/>
              <w:jc w:val="center"/>
            </w:pPr>
            <w:r w:rsidRPr="003B77C1">
              <w:rPr>
                <w:position w:val="-12"/>
              </w:rPr>
              <w:object w:dxaOrig="1820" w:dyaOrig="340" w14:anchorId="6A1406E3">
                <v:shape id="_x0000_i1030" type="#_x0000_t75" style="width:91.65pt;height:16.85pt" o:ole="">
                  <v:imagedata r:id="rId27" o:title=""/>
                </v:shape>
                <o:OLEObject Type="Embed" ProgID="Equation.DSMT4" ShapeID="_x0000_i1030" DrawAspect="Content" ObjectID="_1721063290" r:id="rId28"/>
              </w:object>
            </w:r>
          </w:p>
        </w:tc>
        <w:tc>
          <w:tcPr>
            <w:tcW w:w="759" w:type="dxa"/>
            <w:vAlign w:val="center"/>
          </w:tcPr>
          <w:p w14:paraId="7FF9F2CF" w14:textId="16DE9C38" w:rsidR="003B77C1" w:rsidRDefault="003B77C1" w:rsidP="003C217A">
            <w:pPr>
              <w:pStyle w:val="NormalIndent"/>
              <w:ind w:firstLine="0"/>
              <w:jc w:val="center"/>
            </w:pPr>
            <w:r>
              <w:t>(4)</w:t>
            </w:r>
          </w:p>
        </w:tc>
      </w:tr>
    </w:tbl>
    <w:p w14:paraId="0AF9C567" w14:textId="3D51F05C" w:rsidR="00705EEC" w:rsidRPr="0035091C" w:rsidRDefault="00705EEC" w:rsidP="0035091C">
      <w:pPr>
        <w:pStyle w:val="Heading1"/>
      </w:pPr>
      <w:r>
        <w:t>RE</w:t>
      </w:r>
      <w:r w:rsidR="00F37650">
        <w:t xml:space="preserve">SULTS </w:t>
      </w:r>
      <w:r w:rsidR="0035091C">
        <w:t>AND DISCUSSIONS</w:t>
      </w:r>
    </w:p>
    <w:p w14:paraId="4B87A52A" w14:textId="29F5E835" w:rsidR="00EC61BF" w:rsidRDefault="00EC61BF" w:rsidP="00455E6C">
      <w:pPr>
        <w:pStyle w:val="NormalIndent"/>
      </w:pPr>
      <w:r>
        <w:t xml:space="preserve">For the purpose of investigating the accuracy of the </w:t>
      </w:r>
      <w:r w:rsidR="00537C4C">
        <w:t xml:space="preserve">developed </w:t>
      </w:r>
      <w:r>
        <w:t>finite element model, a viscoelastic sandwich plate with the following properties is considered.</w:t>
      </w:r>
      <w:r w:rsidR="000D3C55">
        <w:t xml:space="preserve"> Note that the plate is considered clamped at four sides. </w:t>
      </w:r>
    </w:p>
    <w:p w14:paraId="3E48D361" w14:textId="77777777" w:rsidR="00EC61BF" w:rsidRDefault="00EC61BF" w:rsidP="00455E6C">
      <w:pPr>
        <w:pStyle w:val="NormalIndent"/>
      </w:pPr>
    </w:p>
    <w:p w14:paraId="6107E29E" w14:textId="4858CAB4" w:rsidR="00462916" w:rsidRDefault="00EC61BF" w:rsidP="00462916">
      <w:pPr>
        <w:pStyle w:val="NormalIndent"/>
        <w:ind w:firstLine="0"/>
        <w:jc w:val="center"/>
      </w:pPr>
      <w:r>
        <w:t xml:space="preserve">Table </w:t>
      </w:r>
      <w:r w:rsidR="00EB0161">
        <w:t xml:space="preserve">1: Mechanical properties of the </w:t>
      </w:r>
      <w:r w:rsidR="00537C4C">
        <w:t xml:space="preserve">clamped </w:t>
      </w:r>
      <w:r w:rsidR="00EB0161">
        <w:t xml:space="preserve">sandwich plate </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993"/>
        <w:gridCol w:w="2235"/>
        <w:gridCol w:w="1134"/>
      </w:tblGrid>
      <w:tr w:rsidR="006604F4" w:rsidRPr="00462916" w14:paraId="31901CFF" w14:textId="77777777" w:rsidTr="00525A2F">
        <w:trPr>
          <w:trHeight w:val="180"/>
          <w:jc w:val="center"/>
        </w:trPr>
        <w:tc>
          <w:tcPr>
            <w:tcW w:w="993" w:type="dxa"/>
            <w:vMerge w:val="restart"/>
            <w:vAlign w:val="center"/>
          </w:tcPr>
          <w:p w14:paraId="7A2D668C" w14:textId="77777777" w:rsidR="006604F4" w:rsidRPr="00462916" w:rsidRDefault="006604F4" w:rsidP="00462916">
            <w:pPr>
              <w:pStyle w:val="NormalIndent"/>
              <w:ind w:firstLine="0"/>
              <w:jc w:val="center"/>
            </w:pPr>
            <w:r w:rsidRPr="00462916">
              <w:t>Top and bottom layers</w:t>
            </w:r>
          </w:p>
          <w:p w14:paraId="0F71078F" w14:textId="77777777" w:rsidR="006604F4" w:rsidRPr="00462916" w:rsidRDefault="006604F4" w:rsidP="00462916">
            <w:pPr>
              <w:pStyle w:val="NormalIndent"/>
              <w:ind w:firstLine="0"/>
              <w:jc w:val="center"/>
            </w:pPr>
          </w:p>
          <w:p w14:paraId="32CAFD84" w14:textId="3AC41547" w:rsidR="006604F4" w:rsidRPr="00462916" w:rsidRDefault="006604F4" w:rsidP="00462916">
            <w:pPr>
              <w:pStyle w:val="NormalIndent"/>
              <w:ind w:firstLine="0"/>
              <w:jc w:val="center"/>
            </w:pPr>
          </w:p>
        </w:tc>
        <w:tc>
          <w:tcPr>
            <w:tcW w:w="2235" w:type="dxa"/>
            <w:vAlign w:val="center"/>
          </w:tcPr>
          <w:p w14:paraId="306C8626" w14:textId="3DE3DEE0" w:rsidR="006604F4" w:rsidRPr="00462916" w:rsidRDefault="006604F4" w:rsidP="00462916">
            <w:pPr>
              <w:pStyle w:val="NormalIndent"/>
              <w:ind w:firstLine="0"/>
              <w:jc w:val="center"/>
            </w:pPr>
            <w:r w:rsidRPr="00462916">
              <w:t>Young’s modulus</w:t>
            </w:r>
          </w:p>
        </w:tc>
        <w:tc>
          <w:tcPr>
            <w:tcW w:w="1134" w:type="dxa"/>
            <w:vAlign w:val="center"/>
          </w:tcPr>
          <w:p w14:paraId="4E632770" w14:textId="5F12BEBD" w:rsidR="006604F4" w:rsidRPr="00462916" w:rsidRDefault="006604F4" w:rsidP="00462916">
            <w:pPr>
              <w:pStyle w:val="NormalIndent"/>
              <w:ind w:firstLine="0"/>
              <w:jc w:val="center"/>
            </w:pPr>
            <w:r w:rsidRPr="00462916">
              <w:t xml:space="preserve">71 </w:t>
            </w:r>
            <w:proofErr w:type="spellStart"/>
            <w:r w:rsidRPr="00462916">
              <w:t>Gpa</w:t>
            </w:r>
            <w:proofErr w:type="spellEnd"/>
          </w:p>
        </w:tc>
      </w:tr>
      <w:tr w:rsidR="006604F4" w:rsidRPr="00462916" w14:paraId="67E51205" w14:textId="77777777" w:rsidTr="00525A2F">
        <w:trPr>
          <w:trHeight w:val="180"/>
          <w:jc w:val="center"/>
        </w:trPr>
        <w:tc>
          <w:tcPr>
            <w:tcW w:w="993" w:type="dxa"/>
            <w:vMerge/>
            <w:vAlign w:val="center"/>
          </w:tcPr>
          <w:p w14:paraId="6F1BB4E2" w14:textId="77777777" w:rsidR="006604F4" w:rsidRPr="00462916" w:rsidRDefault="006604F4" w:rsidP="00462916">
            <w:pPr>
              <w:pStyle w:val="NormalIndent"/>
              <w:ind w:firstLine="0"/>
              <w:jc w:val="center"/>
            </w:pPr>
          </w:p>
        </w:tc>
        <w:tc>
          <w:tcPr>
            <w:tcW w:w="2235" w:type="dxa"/>
            <w:vAlign w:val="center"/>
          </w:tcPr>
          <w:p w14:paraId="14F74647" w14:textId="49E7FDD2" w:rsidR="006604F4" w:rsidRPr="00462916" w:rsidRDefault="006604F4" w:rsidP="00462916">
            <w:pPr>
              <w:pStyle w:val="NormalIndent"/>
              <w:ind w:firstLine="0"/>
              <w:jc w:val="center"/>
            </w:pPr>
            <w:r w:rsidRPr="00462916">
              <w:t>Poison’s ratio</w:t>
            </w:r>
          </w:p>
        </w:tc>
        <w:tc>
          <w:tcPr>
            <w:tcW w:w="1134" w:type="dxa"/>
            <w:vAlign w:val="center"/>
          </w:tcPr>
          <w:p w14:paraId="6D4FD527" w14:textId="69A0EFF8" w:rsidR="006604F4" w:rsidRPr="00462916" w:rsidRDefault="006604F4" w:rsidP="00462916">
            <w:pPr>
              <w:pStyle w:val="NormalIndent"/>
              <w:ind w:firstLine="0"/>
              <w:jc w:val="center"/>
            </w:pPr>
            <w:r w:rsidRPr="00462916">
              <w:t>0.3</w:t>
            </w:r>
          </w:p>
        </w:tc>
      </w:tr>
      <w:tr w:rsidR="006604F4" w:rsidRPr="00462916" w14:paraId="58A36093" w14:textId="77777777" w:rsidTr="00525A2F">
        <w:trPr>
          <w:trHeight w:val="180"/>
          <w:jc w:val="center"/>
        </w:trPr>
        <w:tc>
          <w:tcPr>
            <w:tcW w:w="993" w:type="dxa"/>
            <w:vMerge/>
            <w:vAlign w:val="center"/>
          </w:tcPr>
          <w:p w14:paraId="59F128AD" w14:textId="77777777" w:rsidR="006604F4" w:rsidRPr="00462916" w:rsidRDefault="006604F4" w:rsidP="00462916">
            <w:pPr>
              <w:pStyle w:val="NormalIndent"/>
              <w:ind w:firstLine="0"/>
              <w:jc w:val="center"/>
            </w:pPr>
          </w:p>
        </w:tc>
        <w:tc>
          <w:tcPr>
            <w:tcW w:w="2235" w:type="dxa"/>
            <w:vAlign w:val="center"/>
          </w:tcPr>
          <w:p w14:paraId="13B24D0B" w14:textId="19E96792" w:rsidR="006604F4" w:rsidRPr="00462916" w:rsidRDefault="006604F4" w:rsidP="00462916">
            <w:pPr>
              <w:pStyle w:val="NormalIndent"/>
              <w:ind w:firstLine="0"/>
              <w:jc w:val="center"/>
            </w:pPr>
            <w:r w:rsidRPr="00462916">
              <w:t>Mass density</w:t>
            </w:r>
          </w:p>
        </w:tc>
        <w:tc>
          <w:tcPr>
            <w:tcW w:w="1134" w:type="dxa"/>
            <w:vAlign w:val="center"/>
          </w:tcPr>
          <w:p w14:paraId="3A424A75" w14:textId="49252FEB" w:rsidR="006604F4" w:rsidRPr="00462916" w:rsidRDefault="006604F4" w:rsidP="00462916">
            <w:pPr>
              <w:pStyle w:val="NormalIndent"/>
              <w:ind w:firstLine="0"/>
              <w:jc w:val="center"/>
            </w:pPr>
            <w:r w:rsidRPr="00462916">
              <w:t>2700 kg/m</w:t>
            </w:r>
            <w:r w:rsidRPr="00462916">
              <w:rPr>
                <w:vertAlign w:val="superscript"/>
              </w:rPr>
              <w:t>3</w:t>
            </w:r>
          </w:p>
        </w:tc>
      </w:tr>
      <w:tr w:rsidR="006604F4" w:rsidRPr="00462916" w14:paraId="56C9E16E" w14:textId="77777777" w:rsidTr="00525A2F">
        <w:trPr>
          <w:trHeight w:val="180"/>
          <w:jc w:val="center"/>
        </w:trPr>
        <w:tc>
          <w:tcPr>
            <w:tcW w:w="993" w:type="dxa"/>
            <w:vMerge/>
            <w:vAlign w:val="center"/>
          </w:tcPr>
          <w:p w14:paraId="0EBCDA45" w14:textId="77777777" w:rsidR="006604F4" w:rsidRPr="00462916" w:rsidRDefault="006604F4" w:rsidP="00462916">
            <w:pPr>
              <w:pStyle w:val="NormalIndent"/>
              <w:ind w:firstLine="0"/>
              <w:jc w:val="center"/>
            </w:pPr>
          </w:p>
        </w:tc>
        <w:tc>
          <w:tcPr>
            <w:tcW w:w="2235" w:type="dxa"/>
            <w:vAlign w:val="center"/>
          </w:tcPr>
          <w:p w14:paraId="7E0E4DFF" w14:textId="3F34C67F" w:rsidR="006604F4" w:rsidRPr="00462916" w:rsidRDefault="006604F4" w:rsidP="00462916">
            <w:pPr>
              <w:pStyle w:val="NormalIndent"/>
              <w:ind w:firstLine="0"/>
              <w:jc w:val="center"/>
            </w:pPr>
            <w:r w:rsidRPr="00462916">
              <w:t>Top layer thickness</w:t>
            </w:r>
          </w:p>
        </w:tc>
        <w:tc>
          <w:tcPr>
            <w:tcW w:w="1134" w:type="dxa"/>
            <w:vAlign w:val="center"/>
          </w:tcPr>
          <w:p w14:paraId="05D3340A" w14:textId="727872EB" w:rsidR="006604F4" w:rsidRPr="00462916" w:rsidRDefault="006604F4" w:rsidP="00462916">
            <w:pPr>
              <w:pStyle w:val="NormalIndent"/>
              <w:ind w:firstLine="0"/>
              <w:jc w:val="center"/>
            </w:pPr>
            <w:r w:rsidRPr="00462916">
              <w:t>0.001 m</w:t>
            </w:r>
          </w:p>
        </w:tc>
      </w:tr>
      <w:tr w:rsidR="006604F4" w:rsidRPr="00462916" w14:paraId="248D9676" w14:textId="77777777" w:rsidTr="00525A2F">
        <w:trPr>
          <w:trHeight w:val="180"/>
          <w:jc w:val="center"/>
        </w:trPr>
        <w:tc>
          <w:tcPr>
            <w:tcW w:w="993" w:type="dxa"/>
            <w:vMerge/>
            <w:vAlign w:val="center"/>
          </w:tcPr>
          <w:p w14:paraId="1908B95D" w14:textId="77777777" w:rsidR="006604F4" w:rsidRPr="00462916" w:rsidRDefault="006604F4" w:rsidP="00462916">
            <w:pPr>
              <w:pStyle w:val="NormalIndent"/>
              <w:ind w:firstLine="0"/>
              <w:jc w:val="center"/>
            </w:pPr>
          </w:p>
        </w:tc>
        <w:tc>
          <w:tcPr>
            <w:tcW w:w="2235" w:type="dxa"/>
            <w:vAlign w:val="center"/>
          </w:tcPr>
          <w:p w14:paraId="7EBBF388" w14:textId="57F4C09E" w:rsidR="006604F4" w:rsidRPr="00462916" w:rsidRDefault="006604F4" w:rsidP="00462916">
            <w:pPr>
              <w:pStyle w:val="NormalIndent"/>
              <w:ind w:firstLine="0"/>
              <w:jc w:val="center"/>
            </w:pPr>
            <w:r w:rsidRPr="00462916">
              <w:t>Bottom layer thickness</w:t>
            </w:r>
          </w:p>
        </w:tc>
        <w:tc>
          <w:tcPr>
            <w:tcW w:w="1134" w:type="dxa"/>
            <w:vAlign w:val="center"/>
          </w:tcPr>
          <w:p w14:paraId="0B7AA4F1" w14:textId="4042E033" w:rsidR="006604F4" w:rsidRPr="00462916" w:rsidRDefault="006604F4" w:rsidP="00462916">
            <w:pPr>
              <w:pStyle w:val="NormalIndent"/>
              <w:ind w:firstLine="0"/>
              <w:jc w:val="center"/>
            </w:pPr>
            <w:r w:rsidRPr="00462916">
              <w:t>0.003 m</w:t>
            </w:r>
          </w:p>
        </w:tc>
      </w:tr>
      <w:tr w:rsidR="006604F4" w:rsidRPr="00462916" w14:paraId="68347AD7" w14:textId="77777777" w:rsidTr="00525A2F">
        <w:trPr>
          <w:trHeight w:val="109"/>
          <w:jc w:val="center"/>
        </w:trPr>
        <w:tc>
          <w:tcPr>
            <w:tcW w:w="993" w:type="dxa"/>
            <w:vMerge w:val="restart"/>
            <w:vAlign w:val="center"/>
          </w:tcPr>
          <w:p w14:paraId="5655BF43" w14:textId="32AC3824" w:rsidR="006604F4" w:rsidRPr="00462916" w:rsidRDefault="006604F4" w:rsidP="00462916">
            <w:pPr>
              <w:pStyle w:val="NormalIndent"/>
              <w:ind w:firstLine="0"/>
              <w:jc w:val="center"/>
            </w:pPr>
            <w:r w:rsidRPr="00462916">
              <w:t>Core layer</w:t>
            </w:r>
          </w:p>
          <w:p w14:paraId="74B171EB" w14:textId="77777777" w:rsidR="006604F4" w:rsidRPr="00462916" w:rsidRDefault="006604F4" w:rsidP="00462916">
            <w:pPr>
              <w:pStyle w:val="NormalIndent"/>
              <w:ind w:firstLine="0"/>
              <w:jc w:val="center"/>
            </w:pPr>
          </w:p>
          <w:p w14:paraId="00B5228E" w14:textId="329762AE" w:rsidR="006604F4" w:rsidRPr="00462916" w:rsidRDefault="006604F4" w:rsidP="00462916">
            <w:pPr>
              <w:pStyle w:val="NormalIndent"/>
              <w:ind w:firstLine="0"/>
              <w:jc w:val="center"/>
            </w:pPr>
          </w:p>
        </w:tc>
        <w:tc>
          <w:tcPr>
            <w:tcW w:w="2235" w:type="dxa"/>
            <w:vAlign w:val="center"/>
          </w:tcPr>
          <w:p w14:paraId="3FFB52BD" w14:textId="7BA371DA" w:rsidR="006604F4" w:rsidRPr="00462916" w:rsidRDefault="006604F4" w:rsidP="00462916">
            <w:pPr>
              <w:pStyle w:val="NormalIndent"/>
              <w:ind w:firstLine="0"/>
              <w:jc w:val="center"/>
            </w:pPr>
            <w:r w:rsidRPr="00462916">
              <w:t>Shear modulus</w:t>
            </w:r>
          </w:p>
        </w:tc>
        <w:tc>
          <w:tcPr>
            <w:tcW w:w="1134" w:type="dxa"/>
            <w:vAlign w:val="center"/>
          </w:tcPr>
          <w:p w14:paraId="27A1FC7F" w14:textId="37C76DD0" w:rsidR="006604F4" w:rsidRPr="00462916" w:rsidRDefault="006604F4" w:rsidP="00462916">
            <w:pPr>
              <w:pStyle w:val="NormalIndent"/>
              <w:ind w:firstLine="0"/>
              <w:jc w:val="center"/>
            </w:pPr>
            <w:r w:rsidRPr="00462916">
              <w:t xml:space="preserve">0.896 </w:t>
            </w:r>
            <w:proofErr w:type="spellStart"/>
            <w:r w:rsidRPr="00462916">
              <w:t>Mpa</w:t>
            </w:r>
            <w:proofErr w:type="spellEnd"/>
          </w:p>
        </w:tc>
      </w:tr>
      <w:tr w:rsidR="006604F4" w:rsidRPr="00462916" w14:paraId="42765834" w14:textId="77777777" w:rsidTr="00525A2F">
        <w:trPr>
          <w:trHeight w:val="107"/>
          <w:jc w:val="center"/>
        </w:trPr>
        <w:tc>
          <w:tcPr>
            <w:tcW w:w="993" w:type="dxa"/>
            <w:vMerge/>
            <w:vAlign w:val="center"/>
          </w:tcPr>
          <w:p w14:paraId="5BE12152" w14:textId="77777777" w:rsidR="006604F4" w:rsidRPr="00462916" w:rsidRDefault="006604F4" w:rsidP="00462916">
            <w:pPr>
              <w:pStyle w:val="NormalIndent"/>
              <w:ind w:firstLine="0"/>
              <w:jc w:val="center"/>
            </w:pPr>
          </w:p>
        </w:tc>
        <w:tc>
          <w:tcPr>
            <w:tcW w:w="2235" w:type="dxa"/>
            <w:vAlign w:val="center"/>
          </w:tcPr>
          <w:p w14:paraId="66C82CFD" w14:textId="4ECA7351" w:rsidR="006604F4" w:rsidRPr="00462916" w:rsidRDefault="006604F4" w:rsidP="00462916">
            <w:pPr>
              <w:pStyle w:val="NormalIndent"/>
              <w:ind w:firstLine="0"/>
              <w:jc w:val="center"/>
            </w:pPr>
            <w:r w:rsidRPr="00462916">
              <w:t>Poison’s ratio</w:t>
            </w:r>
          </w:p>
        </w:tc>
        <w:tc>
          <w:tcPr>
            <w:tcW w:w="1134" w:type="dxa"/>
            <w:vAlign w:val="center"/>
          </w:tcPr>
          <w:p w14:paraId="2872DCD3" w14:textId="1F23E987" w:rsidR="006604F4" w:rsidRPr="00462916" w:rsidRDefault="006604F4" w:rsidP="00462916">
            <w:pPr>
              <w:pStyle w:val="NormalIndent"/>
              <w:ind w:firstLine="0"/>
              <w:jc w:val="center"/>
            </w:pPr>
            <w:r w:rsidRPr="00462916">
              <w:t>0.498</w:t>
            </w:r>
          </w:p>
        </w:tc>
      </w:tr>
      <w:tr w:rsidR="006604F4" w:rsidRPr="00462916" w14:paraId="78483E51" w14:textId="77777777" w:rsidTr="00525A2F">
        <w:trPr>
          <w:trHeight w:val="107"/>
          <w:jc w:val="center"/>
        </w:trPr>
        <w:tc>
          <w:tcPr>
            <w:tcW w:w="993" w:type="dxa"/>
            <w:vMerge/>
            <w:vAlign w:val="center"/>
          </w:tcPr>
          <w:p w14:paraId="51228906" w14:textId="77777777" w:rsidR="006604F4" w:rsidRPr="00462916" w:rsidRDefault="006604F4" w:rsidP="00462916">
            <w:pPr>
              <w:pStyle w:val="NormalIndent"/>
              <w:ind w:firstLine="0"/>
              <w:jc w:val="center"/>
            </w:pPr>
          </w:p>
        </w:tc>
        <w:tc>
          <w:tcPr>
            <w:tcW w:w="2235" w:type="dxa"/>
            <w:vAlign w:val="center"/>
          </w:tcPr>
          <w:p w14:paraId="34EF859E" w14:textId="1467D6B3" w:rsidR="006604F4" w:rsidRPr="00462916" w:rsidRDefault="006604F4" w:rsidP="00462916">
            <w:pPr>
              <w:pStyle w:val="NormalIndent"/>
              <w:ind w:firstLine="0"/>
              <w:jc w:val="center"/>
            </w:pPr>
            <w:r w:rsidRPr="00462916">
              <w:t>Mass density</w:t>
            </w:r>
          </w:p>
        </w:tc>
        <w:tc>
          <w:tcPr>
            <w:tcW w:w="1134" w:type="dxa"/>
            <w:vAlign w:val="center"/>
          </w:tcPr>
          <w:p w14:paraId="63E5E174" w14:textId="57624B4B" w:rsidR="006604F4" w:rsidRPr="00462916" w:rsidRDefault="006604F4" w:rsidP="00462916">
            <w:pPr>
              <w:pStyle w:val="NormalIndent"/>
              <w:ind w:firstLine="0"/>
              <w:jc w:val="center"/>
              <w:rPr>
                <w:vertAlign w:val="superscript"/>
              </w:rPr>
            </w:pPr>
            <w:r w:rsidRPr="00462916">
              <w:t>999 kg/m</w:t>
            </w:r>
            <w:r w:rsidRPr="00462916">
              <w:rPr>
                <w:vertAlign w:val="superscript"/>
              </w:rPr>
              <w:t>3</w:t>
            </w:r>
          </w:p>
        </w:tc>
      </w:tr>
      <w:tr w:rsidR="006604F4" w:rsidRPr="00462916" w14:paraId="70DA2327" w14:textId="77777777" w:rsidTr="00525A2F">
        <w:trPr>
          <w:trHeight w:val="70"/>
          <w:jc w:val="center"/>
        </w:trPr>
        <w:tc>
          <w:tcPr>
            <w:tcW w:w="993" w:type="dxa"/>
            <w:vMerge/>
            <w:vAlign w:val="center"/>
          </w:tcPr>
          <w:p w14:paraId="068BA5BC" w14:textId="77777777" w:rsidR="006604F4" w:rsidRPr="00462916" w:rsidRDefault="006604F4" w:rsidP="00462916">
            <w:pPr>
              <w:pStyle w:val="NormalIndent"/>
              <w:ind w:firstLine="0"/>
              <w:jc w:val="center"/>
            </w:pPr>
          </w:p>
        </w:tc>
        <w:tc>
          <w:tcPr>
            <w:tcW w:w="2235" w:type="dxa"/>
            <w:vAlign w:val="center"/>
          </w:tcPr>
          <w:p w14:paraId="3661DDF6" w14:textId="1E9B73D7" w:rsidR="006604F4" w:rsidRPr="00462916" w:rsidRDefault="006604F4" w:rsidP="00462916">
            <w:pPr>
              <w:pStyle w:val="NormalIndent"/>
              <w:ind w:firstLine="0"/>
              <w:jc w:val="center"/>
            </w:pPr>
            <w:r w:rsidRPr="00462916">
              <w:t>Loss factor</w:t>
            </w:r>
          </w:p>
        </w:tc>
        <w:tc>
          <w:tcPr>
            <w:tcW w:w="1134" w:type="dxa"/>
            <w:vAlign w:val="center"/>
          </w:tcPr>
          <w:p w14:paraId="638CF6D7" w14:textId="5D1DB3B0" w:rsidR="006604F4" w:rsidRPr="00462916" w:rsidRDefault="006604F4" w:rsidP="00462916">
            <w:pPr>
              <w:pStyle w:val="NormalIndent"/>
              <w:ind w:firstLine="0"/>
              <w:jc w:val="center"/>
            </w:pPr>
            <w:r w:rsidRPr="00462916">
              <w:t>0.9683</w:t>
            </w:r>
          </w:p>
        </w:tc>
      </w:tr>
      <w:tr w:rsidR="006604F4" w:rsidRPr="00462916" w14:paraId="74EC8091" w14:textId="77777777" w:rsidTr="00525A2F">
        <w:trPr>
          <w:trHeight w:val="70"/>
          <w:jc w:val="center"/>
        </w:trPr>
        <w:tc>
          <w:tcPr>
            <w:tcW w:w="993" w:type="dxa"/>
            <w:vMerge/>
            <w:vAlign w:val="center"/>
          </w:tcPr>
          <w:p w14:paraId="08D87650" w14:textId="77777777" w:rsidR="006604F4" w:rsidRPr="00462916" w:rsidRDefault="006604F4" w:rsidP="00462916">
            <w:pPr>
              <w:pStyle w:val="NormalIndent"/>
              <w:ind w:firstLine="0"/>
              <w:jc w:val="center"/>
            </w:pPr>
          </w:p>
        </w:tc>
        <w:tc>
          <w:tcPr>
            <w:tcW w:w="2235" w:type="dxa"/>
            <w:vAlign w:val="center"/>
          </w:tcPr>
          <w:p w14:paraId="733F8758" w14:textId="07DEB847" w:rsidR="006604F4" w:rsidRPr="00462916" w:rsidRDefault="006604F4" w:rsidP="00462916">
            <w:pPr>
              <w:pStyle w:val="NormalIndent"/>
              <w:ind w:firstLine="0"/>
              <w:jc w:val="center"/>
            </w:pPr>
            <w:r w:rsidRPr="00462916">
              <w:t>Thickness</w:t>
            </w:r>
          </w:p>
        </w:tc>
        <w:tc>
          <w:tcPr>
            <w:tcW w:w="1134" w:type="dxa"/>
            <w:vAlign w:val="center"/>
          </w:tcPr>
          <w:p w14:paraId="67382238" w14:textId="046A1C5D" w:rsidR="006604F4" w:rsidRPr="00462916" w:rsidRDefault="006604F4" w:rsidP="00462916">
            <w:pPr>
              <w:pStyle w:val="NormalIndent"/>
              <w:ind w:firstLine="0"/>
              <w:jc w:val="center"/>
            </w:pPr>
            <w:r w:rsidRPr="00462916">
              <w:t>0.001 m</w:t>
            </w:r>
          </w:p>
        </w:tc>
      </w:tr>
      <w:tr w:rsidR="006604F4" w:rsidRPr="00462916" w14:paraId="5997C763" w14:textId="77777777" w:rsidTr="00525A2F">
        <w:trPr>
          <w:jc w:val="center"/>
        </w:trPr>
        <w:tc>
          <w:tcPr>
            <w:tcW w:w="993" w:type="dxa"/>
            <w:vMerge w:val="restart"/>
            <w:vAlign w:val="center"/>
          </w:tcPr>
          <w:p w14:paraId="40596598" w14:textId="4ED7C71D" w:rsidR="006604F4" w:rsidRPr="00462916" w:rsidRDefault="006604F4" w:rsidP="00462916">
            <w:pPr>
              <w:pStyle w:val="NormalIndent"/>
              <w:ind w:firstLine="0"/>
              <w:jc w:val="center"/>
            </w:pPr>
            <w:r w:rsidRPr="00462916">
              <w:t>Structure size</w:t>
            </w:r>
          </w:p>
        </w:tc>
        <w:tc>
          <w:tcPr>
            <w:tcW w:w="2235" w:type="dxa"/>
            <w:vAlign w:val="center"/>
          </w:tcPr>
          <w:p w14:paraId="409B49BE" w14:textId="2EE39F8C" w:rsidR="006604F4" w:rsidRPr="00462916" w:rsidRDefault="006604F4" w:rsidP="00462916">
            <w:pPr>
              <w:pStyle w:val="NormalIndent"/>
              <w:ind w:firstLine="0"/>
              <w:jc w:val="center"/>
            </w:pPr>
            <w:r w:rsidRPr="00462916">
              <w:t>Length</w:t>
            </w:r>
          </w:p>
        </w:tc>
        <w:tc>
          <w:tcPr>
            <w:tcW w:w="1134" w:type="dxa"/>
            <w:vAlign w:val="center"/>
          </w:tcPr>
          <w:p w14:paraId="2068C97A" w14:textId="5B13FC0A" w:rsidR="006604F4" w:rsidRPr="00462916" w:rsidRDefault="006604F4" w:rsidP="00462916">
            <w:pPr>
              <w:pStyle w:val="NormalIndent"/>
              <w:ind w:firstLine="0"/>
              <w:jc w:val="center"/>
            </w:pPr>
            <w:r w:rsidRPr="00462916">
              <w:t>0.4 m</w:t>
            </w:r>
          </w:p>
        </w:tc>
      </w:tr>
      <w:tr w:rsidR="006604F4" w:rsidRPr="00462916" w14:paraId="6B891B89" w14:textId="77777777" w:rsidTr="00525A2F">
        <w:trPr>
          <w:jc w:val="center"/>
        </w:trPr>
        <w:tc>
          <w:tcPr>
            <w:tcW w:w="993" w:type="dxa"/>
            <w:vMerge/>
            <w:vAlign w:val="center"/>
          </w:tcPr>
          <w:p w14:paraId="2EC8F410" w14:textId="315C3F2D" w:rsidR="006604F4" w:rsidRPr="00462916" w:rsidRDefault="006604F4" w:rsidP="00462916">
            <w:pPr>
              <w:pStyle w:val="NormalIndent"/>
              <w:ind w:firstLine="0"/>
              <w:jc w:val="center"/>
            </w:pPr>
          </w:p>
        </w:tc>
        <w:tc>
          <w:tcPr>
            <w:tcW w:w="2235" w:type="dxa"/>
            <w:vAlign w:val="center"/>
          </w:tcPr>
          <w:p w14:paraId="6E47CE25" w14:textId="7F11801B" w:rsidR="006604F4" w:rsidRPr="00462916" w:rsidRDefault="006604F4" w:rsidP="00462916">
            <w:pPr>
              <w:pStyle w:val="NormalIndent"/>
              <w:ind w:firstLine="0"/>
              <w:jc w:val="center"/>
            </w:pPr>
            <w:r w:rsidRPr="00462916">
              <w:t>Width</w:t>
            </w:r>
          </w:p>
        </w:tc>
        <w:tc>
          <w:tcPr>
            <w:tcW w:w="1134" w:type="dxa"/>
            <w:vAlign w:val="center"/>
          </w:tcPr>
          <w:p w14:paraId="53BC5475" w14:textId="5A870AC3" w:rsidR="006604F4" w:rsidRPr="00462916" w:rsidRDefault="006604F4" w:rsidP="00462916">
            <w:pPr>
              <w:pStyle w:val="NormalIndent"/>
              <w:ind w:firstLine="0"/>
              <w:jc w:val="center"/>
            </w:pPr>
            <w:r w:rsidRPr="00462916">
              <w:t>0.4 m</w:t>
            </w:r>
          </w:p>
        </w:tc>
      </w:tr>
    </w:tbl>
    <w:p w14:paraId="297F87E7" w14:textId="77777777" w:rsidR="00525A2F" w:rsidRDefault="00525A2F" w:rsidP="001C45F2">
      <w:pPr>
        <w:pStyle w:val="NormalIndent"/>
        <w:ind w:firstLine="0"/>
      </w:pPr>
    </w:p>
    <w:p w14:paraId="397128AC" w14:textId="2EB8CAFB" w:rsidR="00EB0161" w:rsidRDefault="00537C4C" w:rsidP="001C45F2">
      <w:pPr>
        <w:pStyle w:val="NormalIndent"/>
        <w:ind w:firstLine="0"/>
      </w:pPr>
      <w:r>
        <w:t xml:space="preserve">The comparison between the obtained </w:t>
      </w:r>
      <w:r w:rsidR="00EB0161">
        <w:t xml:space="preserve">natural frequencies </w:t>
      </w:r>
      <w:r>
        <w:t>and those by Huang et</w:t>
      </w:r>
      <w:r w:rsidR="005C5D6B">
        <w:t xml:space="preserve"> </w:t>
      </w:r>
      <w:r>
        <w:t>al</w:t>
      </w:r>
      <w:r w:rsidR="005C5D6B">
        <w:t>.</w:t>
      </w:r>
      <w:r>
        <w:t xml:space="preserve"> [4] is provided in Table 2 which shows </w:t>
      </w:r>
      <w:r w:rsidR="005C5D6B">
        <w:t xml:space="preserve">an </w:t>
      </w:r>
      <w:r>
        <w:t xml:space="preserve">error </w:t>
      </w:r>
      <w:r w:rsidR="005C5D6B">
        <w:t xml:space="preserve">of </w:t>
      </w:r>
      <w:r>
        <w:t xml:space="preserve">less than 1% for the first three modes. </w:t>
      </w:r>
    </w:p>
    <w:p w14:paraId="3A1E9838" w14:textId="77777777" w:rsidR="00537C4C" w:rsidRDefault="00537C4C" w:rsidP="001C45F2">
      <w:pPr>
        <w:pStyle w:val="NormalIndent"/>
        <w:ind w:firstLine="0"/>
      </w:pPr>
    </w:p>
    <w:p w14:paraId="235ED6AD" w14:textId="0DEC7357" w:rsidR="00135B26" w:rsidRDefault="00462916" w:rsidP="00462916">
      <w:pPr>
        <w:pStyle w:val="NormalIndent"/>
        <w:ind w:firstLine="0"/>
        <w:jc w:val="center"/>
      </w:pPr>
      <w:r>
        <w:t xml:space="preserve">Table 2: Comparison of present natural frequencies with available literature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51"/>
        <w:gridCol w:w="1252"/>
        <w:gridCol w:w="1252"/>
        <w:gridCol w:w="1252"/>
      </w:tblGrid>
      <w:tr w:rsidR="00135B26" w14:paraId="262CFBED" w14:textId="77777777" w:rsidTr="00462916">
        <w:tc>
          <w:tcPr>
            <w:tcW w:w="1251" w:type="dxa"/>
            <w:vAlign w:val="center"/>
          </w:tcPr>
          <w:p w14:paraId="2B5356B0" w14:textId="7A8C3172" w:rsidR="00135B26" w:rsidRDefault="00135B26" w:rsidP="00462916">
            <w:pPr>
              <w:pStyle w:val="NormalIndent"/>
              <w:ind w:firstLine="0"/>
              <w:jc w:val="center"/>
            </w:pPr>
            <w:r>
              <w:t>Natural frequencies</w:t>
            </w:r>
          </w:p>
        </w:tc>
        <w:tc>
          <w:tcPr>
            <w:tcW w:w="1252" w:type="dxa"/>
            <w:vAlign w:val="center"/>
          </w:tcPr>
          <w:p w14:paraId="3731668B" w14:textId="2472FF8A" w:rsidR="00135B26" w:rsidRDefault="00135B26" w:rsidP="00462916">
            <w:pPr>
              <w:pStyle w:val="NormalIndent"/>
              <w:ind w:firstLine="0"/>
              <w:jc w:val="center"/>
            </w:pPr>
            <w:r>
              <w:t>Present method</w:t>
            </w:r>
            <w:bookmarkStart w:id="1" w:name="_GoBack"/>
            <w:bookmarkEnd w:id="1"/>
          </w:p>
        </w:tc>
        <w:tc>
          <w:tcPr>
            <w:tcW w:w="1252" w:type="dxa"/>
            <w:vAlign w:val="center"/>
          </w:tcPr>
          <w:p w14:paraId="7D37BCB5" w14:textId="3EEF39E1" w:rsidR="00135B26" w:rsidRDefault="00462916" w:rsidP="00462916">
            <w:pPr>
              <w:pStyle w:val="NormalIndent"/>
              <w:ind w:firstLine="0"/>
              <w:jc w:val="center"/>
            </w:pPr>
            <w:r w:rsidRPr="001D5F3E">
              <w:t>Huang</w:t>
            </w:r>
            <w:r>
              <w:t xml:space="preserve"> </w:t>
            </w:r>
            <w:r w:rsidR="00461995">
              <w:t>et.al [</w:t>
            </w:r>
            <w:r>
              <w:t>4</w:t>
            </w:r>
            <w:r w:rsidR="00461995">
              <w:t>]</w:t>
            </w:r>
          </w:p>
        </w:tc>
        <w:tc>
          <w:tcPr>
            <w:tcW w:w="1252" w:type="dxa"/>
            <w:vAlign w:val="center"/>
          </w:tcPr>
          <w:p w14:paraId="5E4F6044" w14:textId="6F51D1E8" w:rsidR="00135B26" w:rsidRDefault="00135B26" w:rsidP="00462916">
            <w:pPr>
              <w:pStyle w:val="NormalIndent"/>
              <w:ind w:firstLine="0"/>
              <w:jc w:val="center"/>
            </w:pPr>
            <w:r>
              <w:t>Error</w:t>
            </w:r>
            <w:r w:rsidR="0016431B">
              <w:t xml:space="preserve"> (%)</w:t>
            </w:r>
          </w:p>
        </w:tc>
      </w:tr>
      <w:tr w:rsidR="00135B26" w14:paraId="0355CE10" w14:textId="77777777" w:rsidTr="00462916">
        <w:tc>
          <w:tcPr>
            <w:tcW w:w="1251" w:type="dxa"/>
            <w:vAlign w:val="center"/>
          </w:tcPr>
          <w:p w14:paraId="26C98A2B" w14:textId="55BD4D5A" w:rsidR="00135B26" w:rsidRDefault="00135B26" w:rsidP="00462916">
            <w:pPr>
              <w:pStyle w:val="NormalIndent"/>
              <w:ind w:firstLine="0"/>
              <w:jc w:val="center"/>
            </w:pPr>
            <w:r>
              <w:t>First</w:t>
            </w:r>
          </w:p>
        </w:tc>
        <w:tc>
          <w:tcPr>
            <w:tcW w:w="1252" w:type="dxa"/>
            <w:vAlign w:val="center"/>
          </w:tcPr>
          <w:p w14:paraId="1CC649A6" w14:textId="7246DCD3" w:rsidR="00135B26" w:rsidRDefault="00461995" w:rsidP="00462916">
            <w:pPr>
              <w:pStyle w:val="NormalIndent"/>
              <w:ind w:firstLine="0"/>
              <w:jc w:val="center"/>
            </w:pPr>
            <w:r>
              <w:t>94.1</w:t>
            </w:r>
            <w:r w:rsidR="00A51484">
              <w:t>8</w:t>
            </w:r>
          </w:p>
        </w:tc>
        <w:tc>
          <w:tcPr>
            <w:tcW w:w="1252" w:type="dxa"/>
            <w:vAlign w:val="center"/>
          </w:tcPr>
          <w:p w14:paraId="7E04175A" w14:textId="2E3C83A2" w:rsidR="00135B26" w:rsidRDefault="00A51484" w:rsidP="00462916">
            <w:pPr>
              <w:pStyle w:val="NormalIndent"/>
              <w:ind w:firstLine="0"/>
              <w:jc w:val="center"/>
            </w:pPr>
            <w:r>
              <w:t>95.09</w:t>
            </w:r>
          </w:p>
        </w:tc>
        <w:tc>
          <w:tcPr>
            <w:tcW w:w="1252" w:type="dxa"/>
            <w:vAlign w:val="center"/>
          </w:tcPr>
          <w:p w14:paraId="7E00E4C8" w14:textId="59EBDAD5" w:rsidR="00135B26" w:rsidRDefault="0016431B" w:rsidP="00462916">
            <w:pPr>
              <w:pStyle w:val="NormalIndent"/>
              <w:ind w:firstLine="0"/>
              <w:jc w:val="center"/>
            </w:pPr>
            <w:r>
              <w:t>0.95</w:t>
            </w:r>
          </w:p>
        </w:tc>
      </w:tr>
      <w:tr w:rsidR="00135B26" w14:paraId="1CC9328D" w14:textId="77777777" w:rsidTr="00462916">
        <w:tc>
          <w:tcPr>
            <w:tcW w:w="1251" w:type="dxa"/>
            <w:vAlign w:val="center"/>
          </w:tcPr>
          <w:p w14:paraId="0DCEE39A" w14:textId="28B606F3" w:rsidR="00135B26" w:rsidRDefault="00135B26" w:rsidP="00462916">
            <w:pPr>
              <w:pStyle w:val="NormalIndent"/>
              <w:ind w:firstLine="0"/>
              <w:jc w:val="center"/>
            </w:pPr>
            <w:r>
              <w:t>Second</w:t>
            </w:r>
          </w:p>
        </w:tc>
        <w:tc>
          <w:tcPr>
            <w:tcW w:w="1252" w:type="dxa"/>
            <w:vAlign w:val="center"/>
          </w:tcPr>
          <w:p w14:paraId="54FE4FBB" w14:textId="3FC26D48" w:rsidR="00135B26" w:rsidRDefault="00461995" w:rsidP="00462916">
            <w:pPr>
              <w:pStyle w:val="NormalIndent"/>
              <w:ind w:firstLine="0"/>
              <w:jc w:val="center"/>
            </w:pPr>
            <w:r>
              <w:t>113.2</w:t>
            </w:r>
            <w:r w:rsidR="00A51484">
              <w:t>9</w:t>
            </w:r>
          </w:p>
        </w:tc>
        <w:tc>
          <w:tcPr>
            <w:tcW w:w="1252" w:type="dxa"/>
            <w:vAlign w:val="center"/>
          </w:tcPr>
          <w:p w14:paraId="3B458908" w14:textId="52098414" w:rsidR="00135B26" w:rsidRDefault="00A51484" w:rsidP="00462916">
            <w:pPr>
              <w:pStyle w:val="NormalIndent"/>
              <w:ind w:firstLine="0"/>
              <w:jc w:val="center"/>
            </w:pPr>
            <w:r>
              <w:t>112.70</w:t>
            </w:r>
          </w:p>
        </w:tc>
        <w:tc>
          <w:tcPr>
            <w:tcW w:w="1252" w:type="dxa"/>
            <w:vAlign w:val="center"/>
          </w:tcPr>
          <w:p w14:paraId="75A6D869" w14:textId="0201C2EE" w:rsidR="00135B26" w:rsidRDefault="0016431B" w:rsidP="00462916">
            <w:pPr>
              <w:pStyle w:val="NormalIndent"/>
              <w:ind w:firstLine="0"/>
              <w:jc w:val="center"/>
            </w:pPr>
            <w:r>
              <w:t>0.52</w:t>
            </w:r>
          </w:p>
        </w:tc>
      </w:tr>
      <w:tr w:rsidR="00135B26" w14:paraId="0D2B0CAB" w14:textId="77777777" w:rsidTr="00462916">
        <w:tc>
          <w:tcPr>
            <w:tcW w:w="1251" w:type="dxa"/>
            <w:vAlign w:val="center"/>
          </w:tcPr>
          <w:p w14:paraId="6DA50F2E" w14:textId="0B0241E9" w:rsidR="00135B26" w:rsidRDefault="00135B26" w:rsidP="00462916">
            <w:pPr>
              <w:pStyle w:val="NormalIndent"/>
              <w:ind w:firstLine="0"/>
              <w:jc w:val="center"/>
            </w:pPr>
            <w:r>
              <w:t>Third</w:t>
            </w:r>
          </w:p>
        </w:tc>
        <w:tc>
          <w:tcPr>
            <w:tcW w:w="1252" w:type="dxa"/>
            <w:vAlign w:val="center"/>
          </w:tcPr>
          <w:p w14:paraId="70444E3F" w14:textId="5FB1D01D" w:rsidR="00135B26" w:rsidRDefault="00461995" w:rsidP="00462916">
            <w:pPr>
              <w:pStyle w:val="NormalIndent"/>
              <w:ind w:firstLine="0"/>
              <w:jc w:val="center"/>
            </w:pPr>
            <w:r>
              <w:t>186.04</w:t>
            </w:r>
          </w:p>
        </w:tc>
        <w:tc>
          <w:tcPr>
            <w:tcW w:w="1252" w:type="dxa"/>
            <w:vAlign w:val="center"/>
          </w:tcPr>
          <w:p w14:paraId="077AAE84" w14:textId="3186B08A" w:rsidR="00135B26" w:rsidRDefault="00A51484" w:rsidP="00462916">
            <w:pPr>
              <w:pStyle w:val="NormalIndent"/>
              <w:ind w:firstLine="0"/>
              <w:jc w:val="center"/>
            </w:pPr>
            <w:r>
              <w:t>187.25</w:t>
            </w:r>
          </w:p>
        </w:tc>
        <w:tc>
          <w:tcPr>
            <w:tcW w:w="1252" w:type="dxa"/>
            <w:vAlign w:val="center"/>
          </w:tcPr>
          <w:p w14:paraId="0885B986" w14:textId="37CE11D3" w:rsidR="00135B26" w:rsidRDefault="0016431B" w:rsidP="00462916">
            <w:pPr>
              <w:pStyle w:val="NormalIndent"/>
              <w:ind w:firstLine="0"/>
              <w:jc w:val="center"/>
            </w:pPr>
            <w:r>
              <w:t>0.65</w:t>
            </w:r>
          </w:p>
        </w:tc>
      </w:tr>
    </w:tbl>
    <w:p w14:paraId="71CE1213" w14:textId="77777777" w:rsidR="00135B26" w:rsidRDefault="00135B26" w:rsidP="001C45F2">
      <w:pPr>
        <w:pStyle w:val="NormalIndent"/>
        <w:ind w:firstLine="0"/>
      </w:pPr>
    </w:p>
    <w:p w14:paraId="608797BE" w14:textId="47C4D686" w:rsidR="00781485" w:rsidRDefault="00537C4C" w:rsidP="001C45F2">
      <w:pPr>
        <w:pStyle w:val="NormalIndent"/>
        <w:ind w:firstLine="0"/>
      </w:pPr>
      <w:r>
        <w:t xml:space="preserve">The validated finite element model is then effectively </w:t>
      </w:r>
      <w:r w:rsidR="00BC32A5">
        <w:t>used to</w:t>
      </w:r>
      <w:r>
        <w:t xml:space="preserve"> investigate the </w:t>
      </w:r>
      <w:r w:rsidR="000F0E99">
        <w:t>effect of the</w:t>
      </w:r>
      <w:r>
        <w:t xml:space="preserve"> </w:t>
      </w:r>
      <w:r w:rsidR="00BC32A5">
        <w:t>applied magnetic</w:t>
      </w:r>
      <w:r w:rsidR="000F0E99">
        <w:t xml:space="preserve"> field</w:t>
      </w:r>
      <w:r>
        <w:t xml:space="preserve"> on the</w:t>
      </w:r>
      <w:r w:rsidR="000F0E99">
        <w:t xml:space="preserve"> </w:t>
      </w:r>
      <w:r w:rsidR="00BC32A5">
        <w:t>natural</w:t>
      </w:r>
      <w:r w:rsidR="000F0E99">
        <w:t xml:space="preserve"> frequencies of the </w:t>
      </w:r>
      <w:r w:rsidR="00BC32A5">
        <w:t xml:space="preserve">MRE sandwich </w:t>
      </w:r>
      <w:r w:rsidR="000F0E99">
        <w:t>plate</w:t>
      </w:r>
      <w:r w:rsidR="00BC32A5">
        <w:t xml:space="preserve">. Results are provided </w:t>
      </w:r>
      <w:r w:rsidR="00A72F87">
        <w:t xml:space="preserve">in Table 3. </w:t>
      </w:r>
      <w:r w:rsidR="00C83430">
        <w:t xml:space="preserve">(Note that the shear modulus of the MRE layer is a function of the </w:t>
      </w:r>
      <w:r w:rsidR="00BC32A5">
        <w:t xml:space="preserve">applied </w:t>
      </w:r>
      <w:r w:rsidR="00C83430">
        <w:t xml:space="preserve">magnetic </w:t>
      </w:r>
      <w:r w:rsidR="00BC32A5">
        <w:t xml:space="preserve">field given in Ref. </w:t>
      </w:r>
      <w:r w:rsidR="00C83430">
        <w:t>[1]).</w:t>
      </w:r>
    </w:p>
    <w:p w14:paraId="1847AF2B" w14:textId="4BFE29E9" w:rsidR="00F76457" w:rsidRDefault="00F76457" w:rsidP="001C45F2">
      <w:pPr>
        <w:pStyle w:val="NormalIndent"/>
        <w:ind w:firstLine="0"/>
      </w:pPr>
    </w:p>
    <w:p w14:paraId="709AB3F9" w14:textId="53ECA440" w:rsidR="00462916" w:rsidRDefault="00462916" w:rsidP="000D3C55">
      <w:pPr>
        <w:pStyle w:val="NormalIndent"/>
        <w:ind w:firstLine="0"/>
        <w:jc w:val="center"/>
      </w:pPr>
      <w:r>
        <w:t xml:space="preserve">Table 3: Effect of magnetic field on the natural frequencies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73"/>
        <w:gridCol w:w="766"/>
        <w:gridCol w:w="1639"/>
        <w:gridCol w:w="1639"/>
      </w:tblGrid>
      <w:tr w:rsidR="00F76457" w14:paraId="0CE35003" w14:textId="77777777" w:rsidTr="005619C2">
        <w:trPr>
          <w:trHeight w:val="145"/>
        </w:trPr>
        <w:tc>
          <w:tcPr>
            <w:tcW w:w="896" w:type="dxa"/>
            <w:vMerge w:val="restart"/>
            <w:vAlign w:val="center"/>
          </w:tcPr>
          <w:p w14:paraId="1F37C419" w14:textId="4A82CB88" w:rsidR="00F76457" w:rsidRDefault="00F76457" w:rsidP="00D44CEF">
            <w:pPr>
              <w:pStyle w:val="NormalIndent"/>
              <w:ind w:firstLine="0"/>
              <w:jc w:val="center"/>
            </w:pPr>
            <w:r>
              <w:t xml:space="preserve">Magnetic field </w:t>
            </w:r>
            <w:r w:rsidR="00D44CEF">
              <w:t>(T)</w:t>
            </w:r>
          </w:p>
        </w:tc>
        <w:tc>
          <w:tcPr>
            <w:tcW w:w="4111" w:type="dxa"/>
            <w:gridSpan w:val="3"/>
            <w:vAlign w:val="center"/>
          </w:tcPr>
          <w:p w14:paraId="3A4F3E59" w14:textId="5CF96865" w:rsidR="00F76457" w:rsidRDefault="00F76457" w:rsidP="00D44CEF">
            <w:pPr>
              <w:pStyle w:val="NormalIndent"/>
              <w:ind w:firstLine="0"/>
              <w:jc w:val="center"/>
            </w:pPr>
            <w:r>
              <w:t xml:space="preserve">Natural </w:t>
            </w:r>
            <w:r w:rsidR="00D44CEF">
              <w:t>F</w:t>
            </w:r>
            <w:r>
              <w:t>requency</w:t>
            </w:r>
            <w:r w:rsidR="00D44CEF">
              <w:t xml:space="preserve"> (HZ)</w:t>
            </w:r>
          </w:p>
          <w:p w14:paraId="5C178201" w14:textId="0D17B14E" w:rsidR="00F76457" w:rsidRDefault="00F76457" w:rsidP="00D44CEF">
            <w:pPr>
              <w:pStyle w:val="NormalIndent"/>
              <w:ind w:firstLine="0"/>
              <w:jc w:val="center"/>
            </w:pPr>
          </w:p>
        </w:tc>
      </w:tr>
      <w:tr w:rsidR="00976FDA" w14:paraId="0208EEF9" w14:textId="77777777" w:rsidTr="005619C2">
        <w:trPr>
          <w:trHeight w:val="145"/>
        </w:trPr>
        <w:tc>
          <w:tcPr>
            <w:tcW w:w="896" w:type="dxa"/>
            <w:vMerge/>
            <w:vAlign w:val="center"/>
          </w:tcPr>
          <w:p w14:paraId="7DD9CD47" w14:textId="77777777" w:rsidR="00976FDA" w:rsidRDefault="00976FDA" w:rsidP="00D44CEF">
            <w:pPr>
              <w:pStyle w:val="NormalIndent"/>
              <w:ind w:firstLine="0"/>
              <w:jc w:val="center"/>
            </w:pPr>
          </w:p>
        </w:tc>
        <w:tc>
          <w:tcPr>
            <w:tcW w:w="711" w:type="dxa"/>
            <w:vAlign w:val="center"/>
          </w:tcPr>
          <w:p w14:paraId="1E83ED4E" w14:textId="03849706" w:rsidR="00976FDA" w:rsidRDefault="00D44CEF" w:rsidP="00D44CEF">
            <w:pPr>
              <w:pStyle w:val="NormalIndent"/>
              <w:ind w:firstLine="0"/>
              <w:jc w:val="center"/>
            </w:pPr>
            <w:r>
              <w:t>First</w:t>
            </w:r>
          </w:p>
        </w:tc>
        <w:tc>
          <w:tcPr>
            <w:tcW w:w="1700" w:type="dxa"/>
            <w:vAlign w:val="center"/>
          </w:tcPr>
          <w:p w14:paraId="46337F22" w14:textId="060319FA" w:rsidR="00976FDA" w:rsidRDefault="00D44CEF" w:rsidP="00D44CEF">
            <w:pPr>
              <w:pStyle w:val="NormalIndent"/>
              <w:ind w:firstLine="0"/>
              <w:jc w:val="center"/>
            </w:pPr>
            <w:r>
              <w:t>Second</w:t>
            </w:r>
          </w:p>
        </w:tc>
        <w:tc>
          <w:tcPr>
            <w:tcW w:w="1700" w:type="dxa"/>
            <w:vAlign w:val="center"/>
          </w:tcPr>
          <w:p w14:paraId="27A50DA3" w14:textId="4E65C912" w:rsidR="00976FDA" w:rsidRDefault="00D44CEF" w:rsidP="00D44CEF">
            <w:pPr>
              <w:pStyle w:val="NormalIndent"/>
              <w:ind w:firstLine="0"/>
              <w:jc w:val="center"/>
            </w:pPr>
            <w:r>
              <w:t>Third</w:t>
            </w:r>
          </w:p>
        </w:tc>
      </w:tr>
      <w:tr w:rsidR="00D44CEF" w14:paraId="3A0D2062" w14:textId="77777777" w:rsidTr="00462916">
        <w:tc>
          <w:tcPr>
            <w:tcW w:w="896" w:type="dxa"/>
            <w:vAlign w:val="center"/>
          </w:tcPr>
          <w:p w14:paraId="078128EF" w14:textId="6A1950D9" w:rsidR="00D44CEF" w:rsidRDefault="00D44CEF" w:rsidP="00462916">
            <w:pPr>
              <w:pStyle w:val="NormalIndent"/>
              <w:ind w:firstLine="0"/>
              <w:jc w:val="center"/>
            </w:pPr>
            <w:r>
              <w:t>B=0</w:t>
            </w:r>
          </w:p>
        </w:tc>
        <w:tc>
          <w:tcPr>
            <w:tcW w:w="711" w:type="dxa"/>
            <w:vAlign w:val="center"/>
          </w:tcPr>
          <w:p w14:paraId="010C01E4" w14:textId="1EC60E65" w:rsidR="00D44CEF" w:rsidRDefault="00D44CEF" w:rsidP="00462916">
            <w:pPr>
              <w:pStyle w:val="NormalIndent"/>
              <w:ind w:firstLine="0"/>
              <w:jc w:val="center"/>
            </w:pPr>
            <w:r w:rsidRPr="008A5AD0">
              <w:t>104</w:t>
            </w:r>
            <w:r>
              <w:t>.</w:t>
            </w:r>
            <w:r w:rsidRPr="008A5AD0">
              <w:t>5</w:t>
            </w:r>
            <w:r>
              <w:t>2</w:t>
            </w:r>
          </w:p>
        </w:tc>
        <w:tc>
          <w:tcPr>
            <w:tcW w:w="1700" w:type="dxa"/>
            <w:vAlign w:val="center"/>
          </w:tcPr>
          <w:p w14:paraId="44B1299F" w14:textId="7C2E73A5" w:rsidR="00D44CEF" w:rsidRDefault="00D44CEF" w:rsidP="00462916">
            <w:pPr>
              <w:pStyle w:val="NormalIndent"/>
              <w:jc w:val="center"/>
            </w:pPr>
            <w:r>
              <w:t>124.34</w:t>
            </w:r>
          </w:p>
        </w:tc>
        <w:tc>
          <w:tcPr>
            <w:tcW w:w="1700" w:type="dxa"/>
            <w:vAlign w:val="center"/>
          </w:tcPr>
          <w:p w14:paraId="5B968F87" w14:textId="79BBEEFF" w:rsidR="00D44CEF" w:rsidRDefault="00D44CEF" w:rsidP="00462916">
            <w:pPr>
              <w:pStyle w:val="NormalIndent"/>
              <w:ind w:firstLine="0"/>
              <w:jc w:val="center"/>
            </w:pPr>
            <w:r>
              <w:t>205.59</w:t>
            </w:r>
          </w:p>
        </w:tc>
      </w:tr>
      <w:tr w:rsidR="00D44CEF" w14:paraId="6571AFC9" w14:textId="77777777" w:rsidTr="00462916">
        <w:tc>
          <w:tcPr>
            <w:tcW w:w="896" w:type="dxa"/>
            <w:vAlign w:val="center"/>
          </w:tcPr>
          <w:p w14:paraId="24A0307C" w14:textId="27D1BF0F" w:rsidR="00D44CEF" w:rsidRDefault="00D44CEF" w:rsidP="00462916">
            <w:pPr>
              <w:pStyle w:val="NormalIndent"/>
              <w:ind w:firstLine="0"/>
              <w:jc w:val="center"/>
            </w:pPr>
            <w:r w:rsidRPr="00FE0DFD">
              <w:t>B=0.</w:t>
            </w:r>
            <w:r>
              <w:t>2</w:t>
            </w:r>
          </w:p>
        </w:tc>
        <w:tc>
          <w:tcPr>
            <w:tcW w:w="711" w:type="dxa"/>
            <w:vAlign w:val="center"/>
          </w:tcPr>
          <w:p w14:paraId="3070D991" w14:textId="61CE5818" w:rsidR="00D44CEF" w:rsidRDefault="00D44CEF" w:rsidP="00462916">
            <w:pPr>
              <w:pStyle w:val="NormalIndent"/>
              <w:ind w:firstLine="0"/>
              <w:jc w:val="center"/>
            </w:pPr>
            <w:r w:rsidRPr="00FE0DFD">
              <w:t>110.94</w:t>
            </w:r>
          </w:p>
        </w:tc>
        <w:tc>
          <w:tcPr>
            <w:tcW w:w="1700" w:type="dxa"/>
            <w:vAlign w:val="center"/>
          </w:tcPr>
          <w:p w14:paraId="74576551" w14:textId="44168D40" w:rsidR="00D44CEF" w:rsidRDefault="00D44CEF" w:rsidP="00462916">
            <w:pPr>
              <w:pStyle w:val="NormalIndent"/>
              <w:ind w:firstLine="0"/>
              <w:jc w:val="center"/>
            </w:pPr>
            <w:r w:rsidRPr="00FE0DFD">
              <w:t>131.17</w:t>
            </w:r>
          </w:p>
        </w:tc>
        <w:tc>
          <w:tcPr>
            <w:tcW w:w="1700" w:type="dxa"/>
            <w:vAlign w:val="center"/>
          </w:tcPr>
          <w:p w14:paraId="57D6C5DE" w14:textId="3035A5BF" w:rsidR="00D44CEF" w:rsidRDefault="00D44CEF" w:rsidP="00462916">
            <w:pPr>
              <w:pStyle w:val="NormalIndent"/>
              <w:ind w:firstLine="0"/>
              <w:jc w:val="center"/>
            </w:pPr>
            <w:r w:rsidRPr="00FE0DFD">
              <w:t>216.87</w:t>
            </w:r>
          </w:p>
        </w:tc>
      </w:tr>
      <w:tr w:rsidR="00D44CEF" w14:paraId="6A0A5A5B" w14:textId="77777777" w:rsidTr="00462916">
        <w:tc>
          <w:tcPr>
            <w:tcW w:w="896" w:type="dxa"/>
            <w:vAlign w:val="center"/>
          </w:tcPr>
          <w:p w14:paraId="55719F90" w14:textId="2728A631" w:rsidR="003B20B2" w:rsidRDefault="00D44CEF" w:rsidP="00462916">
            <w:pPr>
              <w:pStyle w:val="NormalIndent"/>
              <w:ind w:firstLine="0"/>
              <w:jc w:val="center"/>
            </w:pPr>
            <w:r w:rsidRPr="00FE0DFD">
              <w:t>B=0.</w:t>
            </w:r>
            <w:r>
              <w:t>4</w:t>
            </w:r>
          </w:p>
        </w:tc>
        <w:tc>
          <w:tcPr>
            <w:tcW w:w="711" w:type="dxa"/>
            <w:vAlign w:val="center"/>
          </w:tcPr>
          <w:p w14:paraId="03034696" w14:textId="33D107FB" w:rsidR="003B20B2" w:rsidRDefault="00D44CEF" w:rsidP="00462916">
            <w:pPr>
              <w:pStyle w:val="NormalIndent"/>
              <w:ind w:firstLine="0"/>
              <w:jc w:val="center"/>
            </w:pPr>
            <w:r>
              <w:t>116.52</w:t>
            </w:r>
          </w:p>
        </w:tc>
        <w:tc>
          <w:tcPr>
            <w:tcW w:w="1700" w:type="dxa"/>
            <w:vAlign w:val="center"/>
          </w:tcPr>
          <w:p w14:paraId="2FB791DB" w14:textId="752BED44" w:rsidR="003B20B2" w:rsidRDefault="00D44CEF" w:rsidP="00462916">
            <w:pPr>
              <w:pStyle w:val="NormalIndent"/>
              <w:jc w:val="center"/>
            </w:pPr>
            <w:r>
              <w:t>137.11</w:t>
            </w:r>
          </w:p>
        </w:tc>
        <w:tc>
          <w:tcPr>
            <w:tcW w:w="1700" w:type="dxa"/>
            <w:vAlign w:val="center"/>
          </w:tcPr>
          <w:p w14:paraId="30633C3A" w14:textId="34654B8D" w:rsidR="003B20B2" w:rsidRDefault="00D44CEF" w:rsidP="00462916">
            <w:pPr>
              <w:pStyle w:val="NormalIndent"/>
              <w:ind w:firstLine="0"/>
              <w:jc w:val="center"/>
            </w:pPr>
            <w:r>
              <w:t>226.25</w:t>
            </w:r>
          </w:p>
        </w:tc>
      </w:tr>
      <w:tr w:rsidR="003B4FD3" w14:paraId="68F9DB5F" w14:textId="77777777" w:rsidTr="00462916">
        <w:trPr>
          <w:trHeight w:val="336"/>
        </w:trPr>
        <w:tc>
          <w:tcPr>
            <w:tcW w:w="896" w:type="dxa"/>
            <w:vAlign w:val="center"/>
          </w:tcPr>
          <w:p w14:paraId="420EC233" w14:textId="5387F7D8" w:rsidR="003B4FD3" w:rsidRPr="00FE0DFD" w:rsidRDefault="003B4FD3" w:rsidP="00462916">
            <w:pPr>
              <w:pStyle w:val="NormalIndent"/>
              <w:ind w:firstLine="0"/>
              <w:jc w:val="center"/>
            </w:pPr>
            <w:r>
              <w:t>B=0.6</w:t>
            </w:r>
          </w:p>
        </w:tc>
        <w:tc>
          <w:tcPr>
            <w:tcW w:w="711" w:type="dxa"/>
            <w:vAlign w:val="center"/>
          </w:tcPr>
          <w:p w14:paraId="4B3CF49F" w14:textId="2F643048" w:rsidR="003B4FD3" w:rsidRDefault="0060181F" w:rsidP="00462916">
            <w:pPr>
              <w:pStyle w:val="NormalIndent"/>
              <w:ind w:firstLine="0"/>
              <w:jc w:val="center"/>
            </w:pPr>
            <w:r>
              <w:t>118.37</w:t>
            </w:r>
          </w:p>
        </w:tc>
        <w:tc>
          <w:tcPr>
            <w:tcW w:w="1700" w:type="dxa"/>
            <w:vAlign w:val="center"/>
          </w:tcPr>
          <w:p w14:paraId="7C814648" w14:textId="319CFA99" w:rsidR="003B4FD3" w:rsidRDefault="0060181F" w:rsidP="00462916">
            <w:pPr>
              <w:pStyle w:val="NormalIndent"/>
              <w:jc w:val="center"/>
            </w:pPr>
            <w:r>
              <w:t>139.09</w:t>
            </w:r>
          </w:p>
        </w:tc>
        <w:tc>
          <w:tcPr>
            <w:tcW w:w="1700" w:type="dxa"/>
            <w:vAlign w:val="center"/>
          </w:tcPr>
          <w:p w14:paraId="06724626" w14:textId="6E467B26" w:rsidR="003B4FD3" w:rsidRDefault="0060181F" w:rsidP="00462916">
            <w:pPr>
              <w:pStyle w:val="NormalIndent"/>
              <w:jc w:val="center"/>
            </w:pPr>
            <w:r>
              <w:t>229.30</w:t>
            </w:r>
          </w:p>
        </w:tc>
      </w:tr>
    </w:tbl>
    <w:p w14:paraId="4640376B" w14:textId="0FD607F5" w:rsidR="00D44CEF" w:rsidRDefault="00D44CEF" w:rsidP="00D44CEF">
      <w:pPr>
        <w:pStyle w:val="NormalIndent"/>
      </w:pPr>
      <w:r>
        <w:t xml:space="preserve">   </w:t>
      </w:r>
    </w:p>
    <w:p w14:paraId="2B2C0227" w14:textId="36239D47" w:rsidR="00E43793" w:rsidRDefault="00BC32A5" w:rsidP="001C45F2">
      <w:pPr>
        <w:pStyle w:val="NormalIndent"/>
        <w:ind w:firstLine="0"/>
      </w:pPr>
      <w:r>
        <w:t xml:space="preserve">Results clearly show the adaptability of the MRE sandwich </w:t>
      </w:r>
      <w:r w:rsidR="00392671">
        <w:t xml:space="preserve">plate </w:t>
      </w:r>
      <w:r>
        <w:t xml:space="preserve">whose natural frequencies </w:t>
      </w:r>
      <w:r w:rsidR="005C5D6B">
        <w:t>increase</w:t>
      </w:r>
      <w:r>
        <w:t xml:space="preserve"> by increasing the applied field. This is mainly due to the stiffening effect of MREs under </w:t>
      </w:r>
      <w:r w:rsidR="005C5D6B">
        <w:t xml:space="preserve">the </w:t>
      </w:r>
      <w:r>
        <w:t xml:space="preserve">applied magnetic field. </w:t>
      </w:r>
    </w:p>
    <w:p w14:paraId="51FF9502" w14:textId="4057F455" w:rsidR="0035091C" w:rsidRDefault="0035091C" w:rsidP="0035091C">
      <w:pPr>
        <w:pStyle w:val="Heading1"/>
      </w:pPr>
      <w:r>
        <w:t>cONCLUSION</w:t>
      </w:r>
    </w:p>
    <w:p w14:paraId="06CE4056" w14:textId="39E50732" w:rsidR="003823C8" w:rsidRDefault="00635FA7" w:rsidP="00537C4C">
      <w:pPr>
        <w:pStyle w:val="NormalIndent"/>
        <w:ind w:firstLine="0"/>
      </w:pPr>
      <w:r>
        <w:t>In this study, a finite element method is developed to investigate the vibration charact</w:t>
      </w:r>
      <w:r w:rsidR="00930DE7">
        <w:t>e</w:t>
      </w:r>
      <w:r>
        <w:t>ristics of MR</w:t>
      </w:r>
      <w:r w:rsidR="00BC32A5">
        <w:t xml:space="preserve">E </w:t>
      </w:r>
      <w:r>
        <w:t>sandwich plates. 4 node rectangular</w:t>
      </w:r>
      <w:r w:rsidR="00781485">
        <w:t xml:space="preserve"> elements with 28 DOFs </w:t>
      </w:r>
      <w:r w:rsidR="00884679">
        <w:t>are</w:t>
      </w:r>
      <w:r w:rsidR="00781485">
        <w:t xml:space="preserve"> used</w:t>
      </w:r>
      <w:r w:rsidR="00BC32A5">
        <w:t xml:space="preserve"> to discretize the continuous MRE sandwich plate</w:t>
      </w:r>
      <w:r w:rsidR="00781485">
        <w:t xml:space="preserve">. </w:t>
      </w:r>
      <w:r w:rsidR="00BC32A5">
        <w:t>The validated finite element model was then used to investigate</w:t>
      </w:r>
      <w:r w:rsidR="005C5D6B">
        <w:t xml:space="preserve"> </w:t>
      </w:r>
      <w:r w:rsidR="00BC32A5">
        <w:t xml:space="preserve">the </w:t>
      </w:r>
      <w:r w:rsidR="00410C13">
        <w:t xml:space="preserve">effect of the magnetic field </w:t>
      </w:r>
      <w:r w:rsidR="00BC32A5">
        <w:t>on the vibration characteristics</w:t>
      </w:r>
      <w:r w:rsidR="005C5D6B">
        <w:t xml:space="preserve"> </w:t>
      </w:r>
      <w:r w:rsidR="00BC32A5">
        <w:t>of the MRE sandwich plate</w:t>
      </w:r>
      <w:r w:rsidR="00410C13">
        <w:t xml:space="preserve">. </w:t>
      </w:r>
      <w:r w:rsidR="00BC32A5">
        <w:t>R</w:t>
      </w:r>
      <w:r w:rsidR="00410C13">
        <w:t>esults</w:t>
      </w:r>
      <w:r w:rsidR="002358C9">
        <w:t xml:space="preserve"> show </w:t>
      </w:r>
      <w:r w:rsidR="005C5D6B">
        <w:t xml:space="preserve">that </w:t>
      </w:r>
      <w:r w:rsidR="002358C9">
        <w:t xml:space="preserve">increasing the magnetic field leads to </w:t>
      </w:r>
      <w:r w:rsidR="00BC32A5">
        <w:t>an increase in</w:t>
      </w:r>
      <w:r w:rsidR="0048441C">
        <w:t xml:space="preserve"> natural frequencies</w:t>
      </w:r>
      <w:r w:rsidR="00BC32A5">
        <w:t xml:space="preserve"> mainly due to the magnetic field stiffening of MREs. </w:t>
      </w:r>
    </w:p>
    <w:p w14:paraId="28541DF2" w14:textId="636034BA" w:rsidR="00A240B5" w:rsidRPr="00A240B5" w:rsidRDefault="0035091C" w:rsidP="007D7E8E">
      <w:pPr>
        <w:pStyle w:val="Heading1"/>
      </w:pPr>
      <w:r>
        <w:t>references</w:t>
      </w:r>
    </w:p>
    <w:p w14:paraId="63102930" w14:textId="7CD3AFB0" w:rsidR="00EC7147" w:rsidRDefault="001D00AA" w:rsidP="00525A2F">
      <w:pPr>
        <w:pStyle w:val="References"/>
      </w:pPr>
      <w:bookmarkStart w:id="2" w:name="_Ref275812555"/>
      <w:r>
        <w:t xml:space="preserve">B. </w:t>
      </w:r>
      <w:proofErr w:type="spellStart"/>
      <w:r>
        <w:t>Nayak</w:t>
      </w:r>
      <w:proofErr w:type="spellEnd"/>
      <w:r>
        <w:t xml:space="preserve">, S.K. </w:t>
      </w:r>
      <w:proofErr w:type="spellStart"/>
      <w:r>
        <w:t>Dwivedy</w:t>
      </w:r>
      <w:proofErr w:type="spellEnd"/>
      <w:r>
        <w:t xml:space="preserve">, K.S.R.K. Murthy, </w:t>
      </w:r>
      <w:r w:rsidRPr="00E80452">
        <w:rPr>
          <w:i/>
        </w:rPr>
        <w:t xml:space="preserve">Dynamic stability of magnetorheological </w:t>
      </w:r>
      <w:r w:rsidR="005C5D6B">
        <w:rPr>
          <w:i/>
        </w:rPr>
        <w:t>elastomer-based</w:t>
      </w:r>
      <w:r w:rsidRPr="00E80452">
        <w:rPr>
          <w:i/>
        </w:rPr>
        <w:t xml:space="preserve"> adaptive sandwich beam with conductive skins using FEM and the harmonic balance method</w:t>
      </w:r>
      <w:r>
        <w:t xml:space="preserve">, International Journal of Mechanical Sciences, 2013, </w:t>
      </w:r>
      <w:r w:rsidR="00E80452">
        <w:t>pp.</w:t>
      </w:r>
      <w:r>
        <w:t xml:space="preserve"> 205-216,</w:t>
      </w:r>
    </w:p>
    <w:p w14:paraId="0B9AE198" w14:textId="6007F742" w:rsidR="00D22FF4" w:rsidRDefault="00E80452" w:rsidP="00525A2F">
      <w:pPr>
        <w:pStyle w:val="References"/>
      </w:pPr>
      <w:r>
        <w:t xml:space="preserve">M. </w:t>
      </w:r>
      <w:proofErr w:type="spellStart"/>
      <w:r w:rsidR="00F163EA">
        <w:t>Eshaghi</w:t>
      </w:r>
      <w:proofErr w:type="spellEnd"/>
      <w:r w:rsidR="00F163EA">
        <w:t xml:space="preserve">, </w:t>
      </w:r>
      <w:r>
        <w:t xml:space="preserve">R. </w:t>
      </w:r>
      <w:proofErr w:type="spellStart"/>
      <w:r w:rsidR="005C5D6B">
        <w:t>Sedaghati</w:t>
      </w:r>
      <w:proofErr w:type="spellEnd"/>
      <w:r w:rsidR="005C5D6B">
        <w:t xml:space="preserve">, </w:t>
      </w:r>
      <w:r w:rsidR="00F163EA">
        <w:t xml:space="preserve">and </w:t>
      </w:r>
      <w:proofErr w:type="spellStart"/>
      <w:proofErr w:type="gramStart"/>
      <w:r>
        <w:t>S.</w:t>
      </w:r>
      <w:r w:rsidR="00F163EA">
        <w:t>Rakheja</w:t>
      </w:r>
      <w:proofErr w:type="spellEnd"/>
      <w:r w:rsidR="00F163EA">
        <w:t xml:space="preserve"> </w:t>
      </w:r>
      <w:r>
        <w:t>,</w:t>
      </w:r>
      <w:proofErr w:type="gramEnd"/>
      <w:r>
        <w:t xml:space="preserve"> </w:t>
      </w:r>
      <w:r w:rsidR="00F163EA">
        <w:t xml:space="preserve"> </w:t>
      </w:r>
      <w:r w:rsidR="00F163EA" w:rsidRPr="00E80452">
        <w:rPr>
          <w:i/>
        </w:rPr>
        <w:t>Dynamic characterization of partially treated MR based sandwich plate: finite element modeling and experimental study</w:t>
      </w:r>
      <w:r w:rsidR="00F163EA">
        <w:t>. In: Proceedings of the ASME 2014 smart materials, adaptive structures and intelligent systems, Newport, RI, 8–10 September.</w:t>
      </w:r>
      <w:bookmarkEnd w:id="2"/>
    </w:p>
    <w:p w14:paraId="132947A8" w14:textId="134B7A15" w:rsidR="00D22FF4" w:rsidRDefault="002766CA" w:rsidP="002766CA">
      <w:pPr>
        <w:pStyle w:val="References"/>
      </w:pPr>
      <w:r>
        <w:t xml:space="preserve">J.Y. Yeh, L.W. Chen, </w:t>
      </w:r>
      <w:r w:rsidR="00D22FF4" w:rsidRPr="002766CA">
        <w:rPr>
          <w:i/>
        </w:rPr>
        <w:t>Finite element dynamic analysis of orthotropic sandwich plates with an electrorheological fluid core layer</w:t>
      </w:r>
      <w:r w:rsidR="00041D49">
        <w:t xml:space="preserve">, </w:t>
      </w:r>
      <w:r w:rsidR="00D22FF4">
        <w:t>Composite Structures</w:t>
      </w:r>
      <w:r w:rsidR="00041D49">
        <w:t xml:space="preserve">, </w:t>
      </w:r>
      <w:r w:rsidR="00D22FF4">
        <w:t>2007</w:t>
      </w:r>
      <w:r w:rsidR="00041D49">
        <w:t>, pp. 368</w:t>
      </w:r>
      <w:r>
        <w:t>-376.</w:t>
      </w:r>
    </w:p>
    <w:p w14:paraId="2E242A94" w14:textId="77777777" w:rsidR="00462916" w:rsidRPr="00D22FF4" w:rsidRDefault="00462916" w:rsidP="00462916">
      <w:pPr>
        <w:pStyle w:val="References"/>
      </w:pPr>
      <w:r>
        <w:t xml:space="preserve">Z. </w:t>
      </w:r>
      <w:r w:rsidRPr="001D5F3E">
        <w:t xml:space="preserve">Huang, </w:t>
      </w:r>
      <w:r>
        <w:t xml:space="preserve">Z. </w:t>
      </w:r>
      <w:r w:rsidRPr="001D5F3E">
        <w:t xml:space="preserve">Qin, </w:t>
      </w:r>
      <w:r>
        <w:t xml:space="preserve">F. </w:t>
      </w:r>
      <w:r w:rsidRPr="001D5F3E">
        <w:t xml:space="preserve">Chu. </w:t>
      </w:r>
      <w:r w:rsidRPr="00041D49">
        <w:rPr>
          <w:i/>
        </w:rPr>
        <w:t>Vibration and damping characteristics of sandwich plates with viscoelastic core</w:t>
      </w:r>
      <w:r w:rsidRPr="001D5F3E">
        <w:t>. Journal of Vibration and Control. 2016</w:t>
      </w:r>
      <w:r>
        <w:t>, pp.</w:t>
      </w:r>
      <w:r w:rsidRPr="001D5F3E">
        <w:t xml:space="preserve"> 1876-1888</w:t>
      </w:r>
      <w:r w:rsidRPr="001D5F3E">
        <w:rPr>
          <w:rFonts w:ascii="Arial" w:hAnsi="Arial" w:cs="Arial"/>
          <w:color w:val="333333"/>
          <w:sz w:val="21"/>
          <w:szCs w:val="21"/>
          <w:lang w:val="en-CA" w:eastAsia="en-CA"/>
        </w:rPr>
        <w:t>.</w:t>
      </w:r>
    </w:p>
    <w:sectPr w:rsidR="00462916" w:rsidRPr="00D22FF4"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D56BE" w14:textId="77777777" w:rsidR="000E19BD" w:rsidRDefault="000E19BD" w:rsidP="00531DA2">
      <w:r>
        <w:separator/>
      </w:r>
    </w:p>
  </w:endnote>
  <w:endnote w:type="continuationSeparator" w:id="0">
    <w:p w14:paraId="740A4F79" w14:textId="77777777" w:rsidR="000E19BD" w:rsidRDefault="000E19BD"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078669"/>
      <w:docPartObj>
        <w:docPartGallery w:val="Page Numbers (Bottom of Page)"/>
        <w:docPartUnique/>
      </w:docPartObj>
    </w:sdtPr>
    <w:sdtEndPr>
      <w:rPr>
        <w:noProof/>
      </w:rPr>
    </w:sdtEndPr>
    <w:sdtContent>
      <w:p w14:paraId="6D21D7BC" w14:textId="263815DF" w:rsidR="000F0E99" w:rsidRDefault="000F0E99">
        <w:pPr>
          <w:pStyle w:val="Footer"/>
          <w:jc w:val="right"/>
        </w:pPr>
        <w:r>
          <w:fldChar w:fldCharType="begin"/>
        </w:r>
        <w:r>
          <w:instrText xml:space="preserve"> PAGE   \* MERGEFORMAT </w:instrText>
        </w:r>
        <w:r>
          <w:fldChar w:fldCharType="separate"/>
        </w:r>
        <w:r w:rsidR="001D6800">
          <w:rPr>
            <w:noProof/>
          </w:rPr>
          <w:t>2</w:t>
        </w:r>
        <w:r>
          <w:rPr>
            <w:noProof/>
          </w:rPr>
          <w:fldChar w:fldCharType="end"/>
        </w:r>
      </w:p>
    </w:sdtContent>
  </w:sdt>
  <w:p w14:paraId="2E617DBF" w14:textId="77777777" w:rsidR="000F0E99" w:rsidRDefault="000F0E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3867"/>
      <w:docPartObj>
        <w:docPartGallery w:val="Page Numbers (Bottom of Page)"/>
        <w:docPartUnique/>
      </w:docPartObj>
    </w:sdtPr>
    <w:sdtEndPr>
      <w:rPr>
        <w:noProof/>
      </w:rPr>
    </w:sdtEndPr>
    <w:sdtContent>
      <w:p w14:paraId="497B6E1A" w14:textId="50C06207" w:rsidR="000F0E99" w:rsidRDefault="000F0E99">
        <w:pPr>
          <w:pStyle w:val="Footer"/>
          <w:jc w:val="right"/>
        </w:pPr>
        <w:r>
          <w:fldChar w:fldCharType="begin"/>
        </w:r>
        <w:r>
          <w:instrText xml:space="preserve"> PAGE   \* MERGEFORMAT </w:instrText>
        </w:r>
        <w:r>
          <w:fldChar w:fldCharType="separate"/>
        </w:r>
        <w:r w:rsidR="001D6800">
          <w:rPr>
            <w:noProof/>
          </w:rPr>
          <w:t>1</w:t>
        </w:r>
        <w:r>
          <w:rPr>
            <w:noProof/>
          </w:rPr>
          <w:fldChar w:fldCharType="end"/>
        </w:r>
      </w:p>
    </w:sdtContent>
  </w:sdt>
  <w:p w14:paraId="2309C947" w14:textId="77777777" w:rsidR="000F0E99" w:rsidRDefault="000F0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7F0EA" w14:textId="77777777" w:rsidR="000E19BD" w:rsidRDefault="000E19BD" w:rsidP="00531DA2">
      <w:bookmarkStart w:id="0" w:name="_Hlk93279580"/>
      <w:bookmarkEnd w:id="0"/>
      <w:r>
        <w:separator/>
      </w:r>
    </w:p>
  </w:footnote>
  <w:footnote w:type="continuationSeparator" w:id="0">
    <w:p w14:paraId="07286919" w14:textId="77777777" w:rsidR="000E19BD" w:rsidRDefault="000E19BD" w:rsidP="00531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B10B8" w14:textId="7BD384EC" w:rsidR="000F0E99" w:rsidRPr="001D6800" w:rsidRDefault="001D6800" w:rsidP="001D6800">
    <w:pPr>
      <w:pStyle w:val="Header"/>
      <w:jc w:val="right"/>
    </w:pPr>
    <w:r w:rsidRPr="00C3493F">
      <w:rPr>
        <w:rFonts w:eastAsia="Gulim"/>
        <w:b/>
        <w:sz w:val="18"/>
        <w:szCs w:val="18"/>
        <w:lang w:eastAsia="ko-KR"/>
      </w:rPr>
      <w:t xml:space="preserve">SHMII-11_T07-02, </w:t>
    </w:r>
    <w:proofErr w:type="spellStart"/>
    <w:r w:rsidRPr="00C3493F">
      <w:rPr>
        <w:rFonts w:eastAsia="Gulim"/>
        <w:b/>
        <w:sz w:val="18"/>
        <w:szCs w:val="18"/>
        <w:lang w:eastAsia="ko-KR"/>
      </w:rPr>
      <w:t>Zare</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14B9F" w14:textId="0EF07099" w:rsidR="000F0E99" w:rsidRPr="00476CB6" w:rsidRDefault="000F0E99" w:rsidP="00476CB6">
    <w:pPr>
      <w:pStyle w:val="a"/>
      <w:wordWrap/>
      <w:spacing w:line="240" w:lineRule="auto"/>
      <w:rPr>
        <w:rFonts w:ascii="Times New Roman" w:hAnsi="Times New Roman" w:cs="Times New Roman"/>
        <w:b/>
        <w:sz w:val="18"/>
        <w:szCs w:val="18"/>
      </w:rPr>
    </w:pPr>
    <w:r w:rsidRPr="002D14AF">
      <w:rPr>
        <w:b/>
        <w:noProof/>
        <w:lang w:eastAsia="en-US"/>
      </w:rPr>
      <w:drawing>
        <wp:anchor distT="0" distB="0" distL="114300" distR="114300" simplePos="0" relativeHeight="251661312" behindDoc="0" locked="0" layoutInCell="1" allowOverlap="1" wp14:anchorId="6787867B" wp14:editId="19ABC5A7">
          <wp:simplePos x="0" y="0"/>
          <wp:positionH relativeFrom="column">
            <wp:posOffset>15314</wp:posOffset>
          </wp:positionH>
          <wp:positionV relativeFrom="paragraph">
            <wp:posOffset>-237111</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6DCA67FD" w:rsidR="000F0E99" w:rsidRPr="00C3493F" w:rsidRDefault="000F0E99" w:rsidP="00C3493F">
    <w:pPr>
      <w:pStyle w:val="Default"/>
    </w:pPr>
    <w:r w:rsidRPr="00C3493F">
      <w:rPr>
        <w:rFonts w:ascii="Times New Roman" w:eastAsia="Gulim" w:hAnsi="Times New Roman" w:cs="Times New Roman"/>
        <w:b/>
        <w:sz w:val="18"/>
        <w:szCs w:val="18"/>
        <w:lang w:eastAsia="ko-KR"/>
      </w:rPr>
      <w:t xml:space="preserve">                       </w:t>
    </w:r>
    <w:r w:rsidR="00C3493F">
      <w:rPr>
        <w:rFonts w:ascii="Times New Roman" w:eastAsia="Gulim" w:hAnsi="Times New Roman" w:cs="Times New Roman"/>
        <w:b/>
        <w:sz w:val="18"/>
        <w:szCs w:val="18"/>
        <w:lang w:eastAsia="ko-KR"/>
      </w:rPr>
      <w:t xml:space="preserve">   </w:t>
    </w:r>
    <w:r w:rsidRPr="00C3493F">
      <w:rPr>
        <w:rFonts w:ascii="Times New Roman" w:eastAsia="Gulim" w:hAnsi="Times New Roman" w:cs="Times New Roman"/>
        <w:b/>
        <w:sz w:val="18"/>
        <w:szCs w:val="18"/>
        <w:lang w:eastAsia="ko-KR"/>
      </w:rPr>
      <w:t xml:space="preserve">August 8-12, 2022, Montreal, QC, Canada. </w:t>
    </w:r>
    <w:r w:rsidR="00C3493F" w:rsidRPr="00C3493F">
      <w:rPr>
        <w:rFonts w:ascii="Times New Roman" w:eastAsia="Gulim" w:hAnsi="Times New Roman" w:cs="Times New Roman"/>
        <w:b/>
        <w:sz w:val="18"/>
        <w:szCs w:val="18"/>
        <w:lang w:eastAsia="ko-KR"/>
      </w:rPr>
      <w:t>SHMII-11_T07-02</w:t>
    </w:r>
    <w:r w:rsidRPr="00C3493F">
      <w:rPr>
        <w:rFonts w:ascii="Times New Roman" w:eastAsia="Gulim" w:hAnsi="Times New Roman" w:cs="Times New Roman"/>
        <w:b/>
        <w:sz w:val="18"/>
        <w:szCs w:val="18"/>
        <w:lang w:eastAsia="ko-KR"/>
      </w:rPr>
      <w:t xml:space="preserve">, </w:t>
    </w:r>
    <w:proofErr w:type="spellStart"/>
    <w:r w:rsidR="001E33A8" w:rsidRPr="00C3493F">
      <w:rPr>
        <w:rFonts w:ascii="Times New Roman" w:eastAsia="Gulim" w:hAnsi="Times New Roman" w:cs="Times New Roman"/>
        <w:b/>
        <w:sz w:val="18"/>
        <w:szCs w:val="18"/>
        <w:lang w:eastAsia="ko-KR"/>
      </w:rPr>
      <w:t>Zare</w:t>
    </w:r>
    <w:proofErr w:type="spellEnd"/>
  </w:p>
  <w:p w14:paraId="7BC8F5B8" w14:textId="325EA762" w:rsidR="000F0E99" w:rsidRDefault="000F0E99" w:rsidP="00FC3CAD">
    <w:pPr>
      <w:tabs>
        <w:tab w:val="left" w:pos="3815"/>
      </w:tabs>
    </w:pPr>
    <w:r>
      <w:rPr>
        <w:noProof/>
        <w:lang w:eastAsia="en-US"/>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F104C95"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" strokecolor="black [3200]" strokeweight="1.5pt">
              <v:stroke joinstyle="miter"/>
            </v:line>
          </w:pict>
        </mc:Fallback>
      </mc:AlternateContent>
    </w:r>
    <w:r w:rsidR="00FC3CAD">
      <w:tab/>
    </w:r>
  </w:p>
  <w:p w14:paraId="203E323B" w14:textId="6D8C9123" w:rsidR="000F0E99" w:rsidRDefault="00FC3CAD" w:rsidP="00FC3CAD">
    <w:pPr>
      <w:pStyle w:val="Header"/>
      <w:tabs>
        <w:tab w:val="clear" w:pos="4680"/>
        <w:tab w:val="clear" w:pos="9360"/>
        <w:tab w:val="left" w:pos="211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F9A9986"/>
    <w:lvl w:ilvl="0">
      <w:start w:val="1"/>
      <w:numFmt w:val="decimal"/>
      <w:lvlText w:val="%1."/>
      <w:lvlJc w:val="left"/>
      <w:pPr>
        <w:tabs>
          <w:tab w:val="num" w:pos="1492"/>
        </w:tabs>
        <w:ind w:left="1492" w:hanging="360"/>
      </w:pPr>
    </w:lvl>
  </w:abstractNum>
  <w:abstractNum w:abstractNumId="1">
    <w:nsid w:val="FFFFFF7D"/>
    <w:multiLevelType w:val="singleLevel"/>
    <w:tmpl w:val="8F3EAD80"/>
    <w:lvl w:ilvl="0">
      <w:start w:val="1"/>
      <w:numFmt w:val="decimal"/>
      <w:lvlText w:val="%1."/>
      <w:lvlJc w:val="left"/>
      <w:pPr>
        <w:tabs>
          <w:tab w:val="num" w:pos="1209"/>
        </w:tabs>
        <w:ind w:left="1209" w:hanging="360"/>
      </w:pPr>
    </w:lvl>
  </w:abstractNum>
  <w:abstractNum w:abstractNumId="2">
    <w:nsid w:val="FFFFFF7E"/>
    <w:multiLevelType w:val="singleLevel"/>
    <w:tmpl w:val="A6CC91AC"/>
    <w:lvl w:ilvl="0">
      <w:start w:val="1"/>
      <w:numFmt w:val="decimal"/>
      <w:lvlText w:val="%1."/>
      <w:lvlJc w:val="left"/>
      <w:pPr>
        <w:tabs>
          <w:tab w:val="num" w:pos="926"/>
        </w:tabs>
        <w:ind w:left="926" w:hanging="360"/>
      </w:pPr>
    </w:lvl>
  </w:abstractNum>
  <w:abstractNum w:abstractNumId="3">
    <w:nsid w:val="FFFFFF7F"/>
    <w:multiLevelType w:val="singleLevel"/>
    <w:tmpl w:val="B6568BC0"/>
    <w:lvl w:ilvl="0">
      <w:start w:val="1"/>
      <w:numFmt w:val="decimal"/>
      <w:lvlText w:val="%1."/>
      <w:lvlJc w:val="left"/>
      <w:pPr>
        <w:tabs>
          <w:tab w:val="num" w:pos="643"/>
        </w:tabs>
        <w:ind w:left="643" w:hanging="360"/>
      </w:pPr>
    </w:lvl>
  </w:abstractNum>
  <w:abstractNum w:abstractNumId="4">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CE73919"/>
    <w:multiLevelType w:val="multilevel"/>
    <w:tmpl w:val="20467C40"/>
    <w:lvl w:ilvl="0">
      <w:start w:val="1"/>
      <w:numFmt w:val="decimal"/>
      <w:pStyle w:val="Heading1"/>
      <w:lvlText w:val="%1"/>
      <w:lvlJc w:val="left"/>
      <w:pPr>
        <w:tabs>
          <w:tab w:val="num" w:pos="1283"/>
        </w:tabs>
        <w:ind w:left="1283" w:hanging="432"/>
      </w:pPr>
      <w:rPr>
        <w:rFonts w:hint="default"/>
      </w:rPr>
    </w:lvl>
    <w:lvl w:ilvl="1">
      <w:start w:val="1"/>
      <w:numFmt w:val="decimal"/>
      <w:pStyle w:val="Heading2"/>
      <w:lvlText w:val="%1.%2"/>
      <w:lvlJc w:val="left"/>
      <w:pPr>
        <w:tabs>
          <w:tab w:val="num" w:pos="1710"/>
        </w:tabs>
        <w:ind w:left="1710"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19">
    <w:nsid w:val="5263682B"/>
    <w:multiLevelType w:val="hybridMultilevel"/>
    <w:tmpl w:val="22022198"/>
    <w:lvl w:ilvl="0" w:tplc="C9E603E0">
      <w:start w:val="1"/>
      <w:numFmt w:val="decimal"/>
      <w:pStyle w:val="References"/>
      <w:lvlText w:val="[%1]"/>
      <w:lvlJc w:val="left"/>
      <w:pPr>
        <w:tabs>
          <w:tab w:val="num" w:pos="502"/>
        </w:tabs>
        <w:ind w:left="502"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1">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0"/>
  </w:num>
  <w:num w:numId="14">
    <w:abstractNumId w:val="17"/>
  </w:num>
  <w:num w:numId="15">
    <w:abstractNumId w:val="16"/>
  </w:num>
  <w:num w:numId="16">
    <w:abstractNumId w:val="11"/>
  </w:num>
  <w:num w:numId="17">
    <w:abstractNumId w:val="21"/>
  </w:num>
  <w:num w:numId="18">
    <w:abstractNumId w:val="24"/>
  </w:num>
  <w:num w:numId="19">
    <w:abstractNumId w:val="12"/>
  </w:num>
  <w:num w:numId="20">
    <w:abstractNumId w:val="14"/>
  </w:num>
  <w:num w:numId="21">
    <w:abstractNumId w:val="23"/>
  </w:num>
  <w:num w:numId="22">
    <w:abstractNumId w:val="25"/>
  </w:num>
  <w:num w:numId="23">
    <w:abstractNumId w:val="26"/>
  </w:num>
  <w:num w:numId="24">
    <w:abstractNumId w:val="18"/>
  </w:num>
  <w:num w:numId="25">
    <w:abstractNumId w:val="13"/>
  </w:num>
  <w:num w:numId="26">
    <w:abstractNumId w:val="19"/>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CA"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1NbewMDYzMLawNDBQ0lEKTi0uzszPAykwrAUA6M81pywAAAA="/>
  </w:docVars>
  <w:rsids>
    <w:rsidRoot w:val="00D96E7E"/>
    <w:rsid w:val="0000062E"/>
    <w:rsid w:val="00041D49"/>
    <w:rsid w:val="000574A7"/>
    <w:rsid w:val="00060324"/>
    <w:rsid w:val="00075B01"/>
    <w:rsid w:val="000902F9"/>
    <w:rsid w:val="00091205"/>
    <w:rsid w:val="000C123C"/>
    <w:rsid w:val="000D3C55"/>
    <w:rsid w:val="000D553A"/>
    <w:rsid w:val="000E19BD"/>
    <w:rsid w:val="000E68B0"/>
    <w:rsid w:val="000E7233"/>
    <w:rsid w:val="000F0E99"/>
    <w:rsid w:val="001012CB"/>
    <w:rsid w:val="00132ACD"/>
    <w:rsid w:val="00135B26"/>
    <w:rsid w:val="00153248"/>
    <w:rsid w:val="00160B18"/>
    <w:rsid w:val="0016431B"/>
    <w:rsid w:val="00166E0B"/>
    <w:rsid w:val="001743E5"/>
    <w:rsid w:val="00176770"/>
    <w:rsid w:val="00186E0B"/>
    <w:rsid w:val="0019700A"/>
    <w:rsid w:val="001C45F2"/>
    <w:rsid w:val="001C69F3"/>
    <w:rsid w:val="001D00AA"/>
    <w:rsid w:val="001D5F3E"/>
    <w:rsid w:val="001D6800"/>
    <w:rsid w:val="001E33A8"/>
    <w:rsid w:val="001F02DD"/>
    <w:rsid w:val="002078A6"/>
    <w:rsid w:val="0022400C"/>
    <w:rsid w:val="002358C9"/>
    <w:rsid w:val="00236759"/>
    <w:rsid w:val="00240FA9"/>
    <w:rsid w:val="00272AE5"/>
    <w:rsid w:val="002766CA"/>
    <w:rsid w:val="00280594"/>
    <w:rsid w:val="00285474"/>
    <w:rsid w:val="00296CD2"/>
    <w:rsid w:val="002B2609"/>
    <w:rsid w:val="002D14AF"/>
    <w:rsid w:val="0035091C"/>
    <w:rsid w:val="00363200"/>
    <w:rsid w:val="0038121A"/>
    <w:rsid w:val="003823C8"/>
    <w:rsid w:val="00392518"/>
    <w:rsid w:val="00392671"/>
    <w:rsid w:val="003A0E33"/>
    <w:rsid w:val="003A65BD"/>
    <w:rsid w:val="003A7747"/>
    <w:rsid w:val="003A7980"/>
    <w:rsid w:val="003B20B2"/>
    <w:rsid w:val="003B4FD3"/>
    <w:rsid w:val="003B674B"/>
    <w:rsid w:val="003B77C1"/>
    <w:rsid w:val="003C217A"/>
    <w:rsid w:val="003C5B54"/>
    <w:rsid w:val="003D7C64"/>
    <w:rsid w:val="003F2A78"/>
    <w:rsid w:val="003F34D2"/>
    <w:rsid w:val="00410C13"/>
    <w:rsid w:val="00414E82"/>
    <w:rsid w:val="00422899"/>
    <w:rsid w:val="004230AF"/>
    <w:rsid w:val="004302EA"/>
    <w:rsid w:val="00431CE5"/>
    <w:rsid w:val="00436F8A"/>
    <w:rsid w:val="00455E6C"/>
    <w:rsid w:val="00461995"/>
    <w:rsid w:val="00462916"/>
    <w:rsid w:val="00470445"/>
    <w:rsid w:val="00476CB6"/>
    <w:rsid w:val="00480DE1"/>
    <w:rsid w:val="0048441C"/>
    <w:rsid w:val="00485F4F"/>
    <w:rsid w:val="00495FA5"/>
    <w:rsid w:val="004968AB"/>
    <w:rsid w:val="004A54D8"/>
    <w:rsid w:val="004C5360"/>
    <w:rsid w:val="004E66D8"/>
    <w:rsid w:val="004F5CDD"/>
    <w:rsid w:val="004F69A3"/>
    <w:rsid w:val="00525A2F"/>
    <w:rsid w:val="00531DA2"/>
    <w:rsid w:val="00537C4C"/>
    <w:rsid w:val="00541F38"/>
    <w:rsid w:val="00555B61"/>
    <w:rsid w:val="005619C2"/>
    <w:rsid w:val="0059491B"/>
    <w:rsid w:val="00596EDB"/>
    <w:rsid w:val="005A74A4"/>
    <w:rsid w:val="005B5067"/>
    <w:rsid w:val="005B708F"/>
    <w:rsid w:val="005C5D6B"/>
    <w:rsid w:val="005E72A7"/>
    <w:rsid w:val="005F4090"/>
    <w:rsid w:val="0060181F"/>
    <w:rsid w:val="00603784"/>
    <w:rsid w:val="00611669"/>
    <w:rsid w:val="00614DE3"/>
    <w:rsid w:val="0061702D"/>
    <w:rsid w:val="00624ADF"/>
    <w:rsid w:val="0062748C"/>
    <w:rsid w:val="006317F2"/>
    <w:rsid w:val="00635FA7"/>
    <w:rsid w:val="0064523A"/>
    <w:rsid w:val="00647B02"/>
    <w:rsid w:val="006509EF"/>
    <w:rsid w:val="00655961"/>
    <w:rsid w:val="006604F4"/>
    <w:rsid w:val="0066177D"/>
    <w:rsid w:val="00670CC0"/>
    <w:rsid w:val="00682590"/>
    <w:rsid w:val="00685829"/>
    <w:rsid w:val="006861C5"/>
    <w:rsid w:val="006A4D59"/>
    <w:rsid w:val="006B7A1B"/>
    <w:rsid w:val="006D364F"/>
    <w:rsid w:val="00705406"/>
    <w:rsid w:val="00705EEC"/>
    <w:rsid w:val="007323F0"/>
    <w:rsid w:val="00746276"/>
    <w:rsid w:val="00781485"/>
    <w:rsid w:val="007915CE"/>
    <w:rsid w:val="007C3F10"/>
    <w:rsid w:val="007C6C0F"/>
    <w:rsid w:val="007D285F"/>
    <w:rsid w:val="007D65EE"/>
    <w:rsid w:val="007D7E8E"/>
    <w:rsid w:val="007E284E"/>
    <w:rsid w:val="007F0BB9"/>
    <w:rsid w:val="007F0FB3"/>
    <w:rsid w:val="008155F7"/>
    <w:rsid w:val="008158FC"/>
    <w:rsid w:val="0084325B"/>
    <w:rsid w:val="0084654A"/>
    <w:rsid w:val="00861FB4"/>
    <w:rsid w:val="00865AAD"/>
    <w:rsid w:val="0087067F"/>
    <w:rsid w:val="00884679"/>
    <w:rsid w:val="0089005F"/>
    <w:rsid w:val="00893B5D"/>
    <w:rsid w:val="008977C6"/>
    <w:rsid w:val="008C1FAA"/>
    <w:rsid w:val="008D2E85"/>
    <w:rsid w:val="00923797"/>
    <w:rsid w:val="00930DE7"/>
    <w:rsid w:val="00950746"/>
    <w:rsid w:val="009529EB"/>
    <w:rsid w:val="00955B33"/>
    <w:rsid w:val="00960811"/>
    <w:rsid w:val="00976FDA"/>
    <w:rsid w:val="009B6667"/>
    <w:rsid w:val="009E04C3"/>
    <w:rsid w:val="009F1C2A"/>
    <w:rsid w:val="009F20B8"/>
    <w:rsid w:val="00A240B5"/>
    <w:rsid w:val="00A43B1D"/>
    <w:rsid w:val="00A51484"/>
    <w:rsid w:val="00A517D7"/>
    <w:rsid w:val="00A51BF9"/>
    <w:rsid w:val="00A5246E"/>
    <w:rsid w:val="00A5334B"/>
    <w:rsid w:val="00A53E9C"/>
    <w:rsid w:val="00A72F87"/>
    <w:rsid w:val="00A92214"/>
    <w:rsid w:val="00AA6CB0"/>
    <w:rsid w:val="00B3539D"/>
    <w:rsid w:val="00B75B7B"/>
    <w:rsid w:val="00B77D85"/>
    <w:rsid w:val="00B81E54"/>
    <w:rsid w:val="00B859C0"/>
    <w:rsid w:val="00BA20C8"/>
    <w:rsid w:val="00BB554F"/>
    <w:rsid w:val="00BC32A5"/>
    <w:rsid w:val="00BD04D7"/>
    <w:rsid w:val="00BD6ECE"/>
    <w:rsid w:val="00BD7CA3"/>
    <w:rsid w:val="00BF6CA2"/>
    <w:rsid w:val="00C16295"/>
    <w:rsid w:val="00C25F72"/>
    <w:rsid w:val="00C33BCD"/>
    <w:rsid w:val="00C3445F"/>
    <w:rsid w:val="00C3493F"/>
    <w:rsid w:val="00C354B4"/>
    <w:rsid w:val="00C83430"/>
    <w:rsid w:val="00CA7E64"/>
    <w:rsid w:val="00CD176A"/>
    <w:rsid w:val="00CE042F"/>
    <w:rsid w:val="00CF1BAF"/>
    <w:rsid w:val="00D06739"/>
    <w:rsid w:val="00D11E3B"/>
    <w:rsid w:val="00D12901"/>
    <w:rsid w:val="00D22FF4"/>
    <w:rsid w:val="00D2423B"/>
    <w:rsid w:val="00D379BC"/>
    <w:rsid w:val="00D44CEF"/>
    <w:rsid w:val="00D66D9D"/>
    <w:rsid w:val="00D8672E"/>
    <w:rsid w:val="00D9459C"/>
    <w:rsid w:val="00D96E7E"/>
    <w:rsid w:val="00DB1AEB"/>
    <w:rsid w:val="00DD67E9"/>
    <w:rsid w:val="00DD6EFA"/>
    <w:rsid w:val="00DE6E67"/>
    <w:rsid w:val="00E17062"/>
    <w:rsid w:val="00E2095B"/>
    <w:rsid w:val="00E37149"/>
    <w:rsid w:val="00E43793"/>
    <w:rsid w:val="00E54C0D"/>
    <w:rsid w:val="00E60EBC"/>
    <w:rsid w:val="00E80452"/>
    <w:rsid w:val="00EA5EEF"/>
    <w:rsid w:val="00EB0161"/>
    <w:rsid w:val="00EC61BF"/>
    <w:rsid w:val="00EC7147"/>
    <w:rsid w:val="00ED0341"/>
    <w:rsid w:val="00ED0B7B"/>
    <w:rsid w:val="00ED5D5B"/>
    <w:rsid w:val="00ED72F6"/>
    <w:rsid w:val="00EE77D1"/>
    <w:rsid w:val="00EF5AC3"/>
    <w:rsid w:val="00F00AC9"/>
    <w:rsid w:val="00F1214B"/>
    <w:rsid w:val="00F163EA"/>
    <w:rsid w:val="00F25B8D"/>
    <w:rsid w:val="00F36091"/>
    <w:rsid w:val="00F37650"/>
    <w:rsid w:val="00F40865"/>
    <w:rsid w:val="00F422C6"/>
    <w:rsid w:val="00F44DB3"/>
    <w:rsid w:val="00F4677F"/>
    <w:rsid w:val="00F64AD3"/>
    <w:rsid w:val="00F76457"/>
    <w:rsid w:val="00F77FC5"/>
    <w:rsid w:val="00F80147"/>
    <w:rsid w:val="00F87330"/>
    <w:rsid w:val="00FB2471"/>
    <w:rsid w:val="00FC3CAD"/>
    <w:rsid w:val="00FE2AEF"/>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35DD03"/>
  <w14:defaultImageDpi w14:val="300"/>
  <w15:chartTrackingRefBased/>
  <w15:docId w15:val="{6D5B5FA9-19DD-44A9-A70B-46FFCB00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4325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tabs>
        <w:tab w:val="clear" w:pos="1283"/>
        <w:tab w:val="num" w:pos="432"/>
      </w:tabs>
      <w:spacing w:before="180" w:after="80"/>
      <w:ind w:left="432"/>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spacing w:before="120" w:after="80"/>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rsid w:val="007D65EE"/>
    <w:pPr>
      <w:suppressAutoHyphens/>
      <w:autoSpaceDE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 w:type="paragraph" w:styleId="ListParagraph">
    <w:name w:val="List Paragraph"/>
    <w:basedOn w:val="Normal"/>
    <w:uiPriority w:val="72"/>
    <w:qFormat/>
    <w:rsid w:val="00D22FF4"/>
    <w:pPr>
      <w:ind w:left="720"/>
      <w:contextualSpacing/>
    </w:pPr>
  </w:style>
  <w:style w:type="character" w:styleId="Emphasis">
    <w:name w:val="Emphasis"/>
    <w:basedOn w:val="DefaultParagraphFont"/>
    <w:uiPriority w:val="20"/>
    <w:qFormat/>
    <w:rsid w:val="00FE2AEF"/>
    <w:rPr>
      <w:i/>
      <w:iCs/>
    </w:rPr>
  </w:style>
  <w:style w:type="paragraph" w:styleId="BalloonText">
    <w:name w:val="Balloon Text"/>
    <w:basedOn w:val="Normal"/>
    <w:link w:val="BalloonTextChar"/>
    <w:semiHidden/>
    <w:unhideWhenUsed/>
    <w:rsid w:val="004E66D8"/>
    <w:rPr>
      <w:rFonts w:ascii="Segoe UI" w:hAnsi="Segoe UI" w:cs="Segoe UI"/>
      <w:sz w:val="18"/>
      <w:szCs w:val="18"/>
    </w:rPr>
  </w:style>
  <w:style w:type="character" w:customStyle="1" w:styleId="BalloonTextChar">
    <w:name w:val="Balloon Text Char"/>
    <w:basedOn w:val="DefaultParagraphFont"/>
    <w:link w:val="BalloonText"/>
    <w:semiHidden/>
    <w:rsid w:val="004E66D8"/>
    <w:rPr>
      <w:rFonts w:ascii="Segoe UI" w:eastAsia="Times New Roman" w:hAnsi="Segoe UI" w:cs="Segoe UI"/>
      <w:sz w:val="18"/>
      <w:szCs w:val="18"/>
      <w:lang w:val="en-US" w:eastAsia="ar-SA"/>
    </w:rPr>
  </w:style>
  <w:style w:type="character" w:styleId="CommentReference">
    <w:name w:val="annotation reference"/>
    <w:basedOn w:val="DefaultParagraphFont"/>
    <w:rsid w:val="00537C4C"/>
    <w:rPr>
      <w:sz w:val="16"/>
      <w:szCs w:val="16"/>
    </w:rPr>
  </w:style>
  <w:style w:type="paragraph" w:styleId="CommentText">
    <w:name w:val="annotation text"/>
    <w:basedOn w:val="Normal"/>
    <w:link w:val="CommentTextChar"/>
    <w:rsid w:val="00537C4C"/>
  </w:style>
  <w:style w:type="character" w:customStyle="1" w:styleId="CommentTextChar">
    <w:name w:val="Comment Text Char"/>
    <w:basedOn w:val="DefaultParagraphFont"/>
    <w:link w:val="CommentText"/>
    <w:rsid w:val="00537C4C"/>
    <w:rPr>
      <w:rFonts w:ascii="Times New Roman" w:eastAsia="Times New Roman" w:hAnsi="Times New Roman"/>
      <w:lang w:val="en-US" w:eastAsia="ar-SA"/>
    </w:rPr>
  </w:style>
  <w:style w:type="paragraph" w:styleId="CommentSubject">
    <w:name w:val="annotation subject"/>
    <w:basedOn w:val="CommentText"/>
    <w:next w:val="CommentText"/>
    <w:link w:val="CommentSubjectChar"/>
    <w:rsid w:val="00537C4C"/>
    <w:rPr>
      <w:b/>
      <w:bCs/>
    </w:rPr>
  </w:style>
  <w:style w:type="character" w:customStyle="1" w:styleId="CommentSubjectChar">
    <w:name w:val="Comment Subject Char"/>
    <w:basedOn w:val="CommentTextChar"/>
    <w:link w:val="CommentSubject"/>
    <w:rsid w:val="00537C4C"/>
    <w:rPr>
      <w:rFonts w:ascii="Times New Roman" w:eastAsia="Times New Roman" w:hAnsi="Times New Roman"/>
      <w:b/>
      <w:bCs/>
      <w:lang w:val="en-US" w:eastAsia="ar-SA"/>
    </w:rPr>
  </w:style>
  <w:style w:type="paragraph" w:customStyle="1" w:styleId="MTDisplayEquation">
    <w:name w:val="MTDisplayEquation"/>
    <w:basedOn w:val="Normal"/>
    <w:next w:val="Normal"/>
    <w:link w:val="MTDisplayEquationChar"/>
    <w:rsid w:val="00CE042F"/>
    <w:pPr>
      <w:tabs>
        <w:tab w:val="center" w:pos="4680"/>
        <w:tab w:val="right" w:pos="9360"/>
      </w:tabs>
      <w:suppressAutoHyphens w:val="0"/>
      <w:autoSpaceDE/>
      <w:spacing w:after="160" w:line="259" w:lineRule="auto"/>
      <w:jc w:val="left"/>
    </w:pPr>
    <w:rPr>
      <w:rFonts w:asciiTheme="minorHAnsi" w:eastAsiaTheme="minorHAnsi" w:hAnsiTheme="minorHAnsi" w:cstheme="minorBidi"/>
      <w:sz w:val="22"/>
      <w:szCs w:val="22"/>
      <w:lang w:eastAsia="en-US"/>
    </w:rPr>
  </w:style>
  <w:style w:type="character" w:customStyle="1" w:styleId="MTDisplayEquationChar">
    <w:name w:val="MTDisplayEquation Char"/>
    <w:basedOn w:val="DefaultParagraphFont"/>
    <w:link w:val="MTDisplayEquation"/>
    <w:rsid w:val="00CE042F"/>
    <w:rPr>
      <w:rFonts w:asciiTheme="minorHAnsi" w:eastAsiaTheme="minorHAnsi" w:hAnsiTheme="minorHAnsi" w:cstheme="minorBidi"/>
      <w:sz w:val="22"/>
      <w:szCs w:val="22"/>
      <w:lang w:val="en-US" w:eastAsia="en-US"/>
    </w:rPr>
  </w:style>
  <w:style w:type="paragraph" w:customStyle="1" w:styleId="Default">
    <w:name w:val="Default"/>
    <w:rsid w:val="00C3493F"/>
    <w:pPr>
      <w:autoSpaceDE w:val="0"/>
      <w:autoSpaceDN w:val="0"/>
      <w:adjustRightInd w:val="0"/>
    </w:pPr>
    <w:rPr>
      <w:rFonts w:ascii="Cambria" w:hAnsi="Cambria" w:cs="Cambr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6744">
      <w:bodyDiv w:val="1"/>
      <w:marLeft w:val="0"/>
      <w:marRight w:val="0"/>
      <w:marTop w:val="0"/>
      <w:marBottom w:val="0"/>
      <w:divBdr>
        <w:top w:val="none" w:sz="0" w:space="0" w:color="auto"/>
        <w:left w:val="none" w:sz="0" w:space="0" w:color="auto"/>
        <w:bottom w:val="none" w:sz="0" w:space="0" w:color="auto"/>
        <w:right w:val="none" w:sz="0" w:space="0" w:color="auto"/>
      </w:divBdr>
      <w:divsChild>
        <w:div w:id="889220781">
          <w:marLeft w:val="0"/>
          <w:marRight w:val="0"/>
          <w:marTop w:val="0"/>
          <w:marBottom w:val="0"/>
          <w:divBdr>
            <w:top w:val="none" w:sz="0" w:space="0" w:color="auto"/>
            <w:left w:val="none" w:sz="0" w:space="0" w:color="auto"/>
            <w:bottom w:val="none" w:sz="0" w:space="0" w:color="auto"/>
            <w:right w:val="none" w:sz="0" w:space="0" w:color="auto"/>
          </w:divBdr>
        </w:div>
        <w:div w:id="1098059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4.bin"/><Relationship Id="rId5" Type="http://schemas.openxmlformats.org/officeDocument/2006/relationships/numbering" Target="numbering.xml"/><Relationship Id="rId15" Type="http://schemas.openxmlformats.org/officeDocument/2006/relationships/hyperlink" Target="https://en.wikipedia.org/wiki/Carbonyl_iron" TargetMode="External"/><Relationship Id="rId23" Type="http://schemas.openxmlformats.org/officeDocument/2006/relationships/image" Target="media/image6.wmf"/><Relationship Id="rId28" Type="http://schemas.openxmlformats.org/officeDocument/2006/relationships/oleObject" Target="embeddings/oleObject6.bin"/><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image" Target="media/image8.wmf"/><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4.xml><?xml version="1.0" encoding="utf-8"?>
<ds:datastoreItem xmlns:ds="http://schemas.openxmlformats.org/officeDocument/2006/customXml" ds:itemID="{9397AC04-A3EF-401D-A254-6B6371C9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1272</Words>
  <Characters>7251</Characters>
  <Application>Microsoft Office Word</Application>
  <DocSecurity>0</DocSecurity>
  <Lines>60</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fooer</vt:lpstr>
      <vt:lpstr>ABSTRACT: This is a sample file demonstrating the style for Eurodyn 2011 papers</vt:lpstr>
    </vt:vector>
  </TitlesOfParts>
  <Company>K.U.Leuven</Company>
  <LinksUpToDate>false</LinksUpToDate>
  <CharactersWithSpaces>8506</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pc</cp:lastModifiedBy>
  <cp:revision>4</cp:revision>
  <cp:lastPrinted>2022-05-12T21:16:00Z</cp:lastPrinted>
  <dcterms:created xsi:type="dcterms:W3CDTF">2022-08-03T18:02:00Z</dcterms:created>
  <dcterms:modified xsi:type="dcterms:W3CDTF">2022-08-04T03:22:00Z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y fmtid="{D5CDD505-2E9C-101B-9397-08002B2CF9AE}" pid="3" name="MTWinEqns">
    <vt:bool>true</vt:bool>
  </property>
</Properties>
</file>