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60AF6" w14:textId="77777777" w:rsidR="006E0BD5" w:rsidRPr="006E0BD5" w:rsidRDefault="00193950" w:rsidP="006E0BD5">
      <w:r w:rsidRPr="00D96E7E">
        <w:rPr>
          <w:noProof/>
        </w:rPr>
        <mc:AlternateContent>
          <mc:Choice Requires="wps">
            <w:drawing>
              <wp:anchor distT="0" distB="0" distL="114935" distR="114935" simplePos="0" relativeHeight="251658240" behindDoc="0" locked="0" layoutInCell="1" allowOverlap="1" wp14:anchorId="2B97277D" wp14:editId="60D2B815">
                <wp:simplePos x="0" y="0"/>
                <wp:positionH relativeFrom="page">
                  <wp:posOffset>542925</wp:posOffset>
                </wp:positionH>
                <wp:positionV relativeFrom="page">
                  <wp:posOffset>1028701</wp:posOffset>
                </wp:positionV>
                <wp:extent cx="6480175" cy="165735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16573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7B555C" w14:textId="77777777" w:rsidR="00D96E7E" w:rsidRPr="00D96E7E" w:rsidRDefault="00193950" w:rsidP="006861C5">
                            <w:pPr>
                              <w:pStyle w:val="Title"/>
                            </w:pPr>
                            <w:r>
                              <w:t>A review of available equations for predicting crack width of flexural GFRP reinforced concrete structures</w:t>
                            </w:r>
                          </w:p>
                          <w:p w14:paraId="5E869C3D" w14:textId="77777777" w:rsidR="00D96E7E" w:rsidRPr="00531DA2" w:rsidRDefault="00193950" w:rsidP="00D96E7E">
                            <w:pPr>
                              <w:pStyle w:val="Authors"/>
                              <w:rPr>
                                <w:vertAlign w:val="superscript"/>
                                <w:lang w:val="en-CA"/>
                              </w:rPr>
                            </w:pPr>
                            <w:r>
                              <w:rPr>
                                <w:lang w:val="en-CA"/>
                              </w:rPr>
                              <w:t>Hamed Shabani</w:t>
                            </w:r>
                            <w:r w:rsidRPr="00531DA2">
                              <w:rPr>
                                <w:vertAlign w:val="superscript"/>
                                <w:lang w:val="en-CA"/>
                              </w:rPr>
                              <w:t>1</w:t>
                            </w:r>
                            <w:r>
                              <w:rPr>
                                <w:lang w:val="en-CA"/>
                              </w:rPr>
                              <w:t>, Alireza Asadian</w:t>
                            </w:r>
                            <w:r w:rsidRPr="00531DA2">
                              <w:rPr>
                                <w:vertAlign w:val="superscript"/>
                                <w:lang w:val="en-CA"/>
                              </w:rPr>
                              <w:t>2</w:t>
                            </w:r>
                            <w:r>
                              <w:rPr>
                                <w:lang w:val="en-CA"/>
                              </w:rPr>
                              <w:t>, Khaled Galal</w:t>
                            </w:r>
                            <w:r>
                              <w:rPr>
                                <w:vertAlign w:val="superscript"/>
                                <w:lang w:val="en-CA"/>
                              </w:rPr>
                              <w:t>3</w:t>
                            </w:r>
                          </w:p>
                          <w:p w14:paraId="6D24A6A0" w14:textId="77777777" w:rsidR="006E0BD5" w:rsidRDefault="00193950" w:rsidP="006E0BD5">
                            <w:pPr>
                              <w:pStyle w:val="Authors"/>
                              <w:rPr>
                                <w:lang w:val="en-CA"/>
                              </w:rPr>
                            </w:pPr>
                            <w:r w:rsidRPr="00531DA2">
                              <w:rPr>
                                <w:vertAlign w:val="superscript"/>
                                <w:lang w:val="en-CA"/>
                              </w:rPr>
                              <w:t>1</w:t>
                            </w:r>
                            <w:r w:rsidRPr="006E0BD5">
                              <w:rPr>
                                <w:lang w:val="en-CA"/>
                              </w:rPr>
                              <w:t xml:space="preserve">Ph.D. Student, Department of Building, Civil and Environmental Engineering, Concordia University, Montreal, QC, Canada, </w:t>
                            </w:r>
                            <w:hyperlink r:id="rId11" w:history="1">
                              <w:r w:rsidRPr="006E0BD5">
                                <w:rPr>
                                  <w:lang w:val="en-CA"/>
                                </w:rPr>
                                <w:t>hamed.shabaniattar@concordia.ca</w:t>
                              </w:r>
                            </w:hyperlink>
                          </w:p>
                          <w:p w14:paraId="3219397E" w14:textId="77777777" w:rsidR="006E0BD5" w:rsidRDefault="00193950" w:rsidP="006E0BD5">
                            <w:pPr>
                              <w:pStyle w:val="Authors"/>
                              <w:rPr>
                                <w:lang w:val="en-CA"/>
                              </w:rPr>
                            </w:pPr>
                            <w:r>
                              <w:rPr>
                                <w:vertAlign w:val="superscript"/>
                                <w:lang w:val="en-CA"/>
                              </w:rPr>
                              <w:t xml:space="preserve"> 2</w:t>
                            </w:r>
                            <w:r w:rsidRPr="006E0BD5">
                              <w:rPr>
                                <w:lang w:val="en-CA"/>
                              </w:rPr>
                              <w:t>Postdoctoral Fellow, Department of Building, Civil and Environmental Engineering, Concordia University, Montreal, QC, Canada, alireza.asadian@concordia.ca</w:t>
                            </w:r>
                          </w:p>
                          <w:p w14:paraId="0CBF69DF" w14:textId="77777777" w:rsidR="00D96E7E" w:rsidRPr="006E0BD5" w:rsidRDefault="00193950" w:rsidP="006E0BD5">
                            <w:pPr>
                              <w:pStyle w:val="Authors"/>
                              <w:rPr>
                                <w:lang w:val="en-CA"/>
                              </w:rPr>
                            </w:pPr>
                            <w:r>
                              <w:rPr>
                                <w:vertAlign w:val="superscript"/>
                                <w:lang w:val="en-CA"/>
                              </w:rPr>
                              <w:t>3</w:t>
                            </w:r>
                            <w:r w:rsidRPr="006E0BD5">
                              <w:rPr>
                                <w:lang w:val="en-CA"/>
                              </w:rPr>
                              <w:t>Professor, Department of Building, Civil and Environmental Engineering, Concordia University, Montreal, QC, Canada, khaled.galal@concordia.ca</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B97277D" id="_x0000_t202" coordsize="21600,21600" o:spt="202" path="m,l,21600r21600,l21600,xe">
                <v:stroke joinstyle="miter"/>
                <v:path gradientshapeok="t" o:connecttype="rect"/>
              </v:shapetype>
              <v:shape id="Text Box 2" o:spid="_x0000_s1026" type="#_x0000_t202" style="position:absolute;left:0;text-align:left;margin-left:42.75pt;margin-top:81pt;width:510.25pt;height:130.5pt;z-index:251658240;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" stroked="f">
                <v:fill opacity="0"/>
                <v:textbox inset="0,0,0,0">
                  <w:txbxContent>
                    <w:p w14:paraId="687B555C" w14:textId="77777777" w:rsidR="00D96E7E" w:rsidRPr="00D96E7E" w:rsidRDefault="00193950" w:rsidP="006861C5">
                      <w:pPr>
                        <w:pStyle w:val="Title"/>
                      </w:pPr>
                      <w:r>
                        <w:t>A review of available equations for predicting crack width of flexural GFRP reinforced concrete structures</w:t>
                      </w:r>
                    </w:p>
                    <w:p w14:paraId="5E869C3D" w14:textId="77777777" w:rsidR="00D96E7E" w:rsidRPr="00531DA2" w:rsidRDefault="00193950" w:rsidP="00D96E7E">
                      <w:pPr>
                        <w:pStyle w:val="Authors"/>
                        <w:rPr>
                          <w:vertAlign w:val="superscript"/>
                          <w:lang w:val="en-CA"/>
                        </w:rPr>
                      </w:pPr>
                      <w:r>
                        <w:rPr>
                          <w:lang w:val="en-CA"/>
                        </w:rPr>
                        <w:t>Hamed Shabani</w:t>
                      </w:r>
                      <w:r w:rsidRPr="00531DA2">
                        <w:rPr>
                          <w:vertAlign w:val="superscript"/>
                          <w:lang w:val="en-CA"/>
                        </w:rPr>
                        <w:t>1</w:t>
                      </w:r>
                      <w:r>
                        <w:rPr>
                          <w:lang w:val="en-CA"/>
                        </w:rPr>
                        <w:t>, Alireza Asadian</w:t>
                      </w:r>
                      <w:r w:rsidRPr="00531DA2">
                        <w:rPr>
                          <w:vertAlign w:val="superscript"/>
                          <w:lang w:val="en-CA"/>
                        </w:rPr>
                        <w:t>2</w:t>
                      </w:r>
                      <w:r>
                        <w:rPr>
                          <w:lang w:val="en-CA"/>
                        </w:rPr>
                        <w:t>, Khaled Galal</w:t>
                      </w:r>
                      <w:r>
                        <w:rPr>
                          <w:vertAlign w:val="superscript"/>
                          <w:lang w:val="en-CA"/>
                        </w:rPr>
                        <w:t>3</w:t>
                      </w:r>
                    </w:p>
                    <w:p w14:paraId="6D24A6A0" w14:textId="77777777" w:rsidR="006E0BD5" w:rsidRDefault="00193950" w:rsidP="006E0BD5">
                      <w:pPr>
                        <w:pStyle w:val="Authors"/>
                        <w:rPr>
                          <w:lang w:val="en-CA"/>
                        </w:rPr>
                      </w:pPr>
                      <w:r w:rsidRPr="00531DA2">
                        <w:rPr>
                          <w:vertAlign w:val="superscript"/>
                          <w:lang w:val="en-CA"/>
                        </w:rPr>
                        <w:t>1</w:t>
                      </w:r>
                      <w:r w:rsidRPr="006E0BD5">
                        <w:rPr>
                          <w:lang w:val="en-CA"/>
                        </w:rPr>
                        <w:t xml:space="preserve">Ph.D. Student, Department of Building, Civil and Environmental Engineering, Concordia University, Montreal, QC, Canada, </w:t>
                      </w:r>
                      <w:hyperlink r:id="rId12" w:history="1">
                        <w:r w:rsidRPr="006E0BD5">
                          <w:rPr>
                            <w:lang w:val="en-CA"/>
                          </w:rPr>
                          <w:t>hamed.shabaniattar@concordia.ca</w:t>
                        </w:r>
                      </w:hyperlink>
                    </w:p>
                    <w:p w14:paraId="3219397E" w14:textId="77777777" w:rsidR="006E0BD5" w:rsidRDefault="00193950" w:rsidP="006E0BD5">
                      <w:pPr>
                        <w:pStyle w:val="Authors"/>
                        <w:rPr>
                          <w:lang w:val="en-CA"/>
                        </w:rPr>
                      </w:pPr>
                      <w:r>
                        <w:rPr>
                          <w:vertAlign w:val="superscript"/>
                          <w:lang w:val="en-CA"/>
                        </w:rPr>
                        <w:t xml:space="preserve"> 2</w:t>
                      </w:r>
                      <w:r w:rsidRPr="006E0BD5">
                        <w:rPr>
                          <w:lang w:val="en-CA"/>
                        </w:rPr>
                        <w:t>Postdoctoral Fellow, Department of Building, Ci</w:t>
                      </w:r>
                      <w:r w:rsidRPr="006E0BD5">
                        <w:rPr>
                          <w:lang w:val="en-CA"/>
                        </w:rPr>
                        <w:t>vil and Environmental Engineering, Concordia University, Montreal, QC, Canada, alireza.asadian@concordia.ca</w:t>
                      </w:r>
                    </w:p>
                    <w:p w14:paraId="0CBF69DF" w14:textId="77777777" w:rsidR="00D96E7E" w:rsidRPr="006E0BD5" w:rsidRDefault="00193950" w:rsidP="006E0BD5">
                      <w:pPr>
                        <w:pStyle w:val="Authors"/>
                        <w:rPr>
                          <w:lang w:val="en-CA"/>
                        </w:rPr>
                      </w:pPr>
                      <w:r>
                        <w:rPr>
                          <w:vertAlign w:val="superscript"/>
                          <w:lang w:val="en-CA"/>
                        </w:rPr>
                        <w:t>3</w:t>
                      </w:r>
                      <w:r w:rsidRPr="006E0BD5">
                        <w:rPr>
                          <w:lang w:val="en-CA"/>
                        </w:rPr>
                        <w:t>Professor, Department of Building, Civil and Environmental Engineering, Concordia University, Montreal, QC, Canada, khaled.galal@concordia.ca</w:t>
                      </w:r>
                    </w:p>
                  </w:txbxContent>
                </v:textbox>
                <w10:wrap type="square" anchorx="page" anchory="page"/>
              </v:shape>
            </w:pict>
          </mc:Fallback>
        </mc:AlternateContent>
      </w:r>
    </w:p>
    <w:p w14:paraId="389F5D2E" w14:textId="6D815D96" w:rsidR="001712C2" w:rsidRDefault="008D54E6" w:rsidP="00A8619B">
      <w:r>
        <w:t xml:space="preserve">ABSTRACT: </w:t>
      </w:r>
      <w:r w:rsidR="00193950">
        <w:t>The prediction</w:t>
      </w:r>
      <w:r>
        <w:t xml:space="preserve"> of crack width in </w:t>
      </w:r>
      <w:r w:rsidR="004321C2">
        <w:t>glass fiber reinforced polymer</w:t>
      </w:r>
      <w:r w:rsidR="004321C2" w:rsidRPr="00E00F51">
        <w:t xml:space="preserve"> (GFRP)</w:t>
      </w:r>
      <w:r w:rsidR="004321C2">
        <w:t xml:space="preserve"> </w:t>
      </w:r>
      <w:r>
        <w:t xml:space="preserve">reinforced concrete members </w:t>
      </w:r>
      <w:r w:rsidR="00193950">
        <w:t xml:space="preserve">is </w:t>
      </w:r>
      <w:r>
        <w:t>influenced by many factors</w:t>
      </w:r>
      <w:r w:rsidR="00193950">
        <w:t>,</w:t>
      </w:r>
      <w:r>
        <w:t xml:space="preserve"> such as </w:t>
      </w:r>
      <w:r w:rsidR="00193950">
        <w:t>the</w:t>
      </w:r>
      <w:r>
        <w:t xml:space="preserve"> spacing of the reinforcement, </w:t>
      </w:r>
      <w:r w:rsidR="008E263C">
        <w:t>re</w:t>
      </w:r>
      <w:r>
        <w:t xml:space="preserve">bar tensile stress, concrete </w:t>
      </w:r>
      <w:proofErr w:type="gramStart"/>
      <w:r>
        <w:t>cover</w:t>
      </w:r>
      <w:proofErr w:type="gramEnd"/>
      <w:r>
        <w:t xml:space="preserve"> and bond dependent coefficient (</w:t>
      </w:r>
      <m:oMath>
        <m:sSub>
          <m:sSubPr>
            <m:ctrlPr>
              <w:rPr>
                <w:rFonts w:ascii="Cambria Math" w:hAnsi="Cambria Math" w:cstheme="majorBidi"/>
                <w:color w:val="2E2E2E"/>
                <w:lang w:eastAsia="en-CA"/>
              </w:rPr>
            </m:ctrlPr>
          </m:sSubPr>
          <m:e>
            <m:r>
              <w:rPr>
                <w:rFonts w:ascii="Cambria Math" w:hAnsi="Cambria Math" w:cstheme="majorBidi"/>
                <w:color w:val="2E2E2E"/>
                <w:lang w:eastAsia="en-CA"/>
              </w:rPr>
              <m:t>k</m:t>
            </m:r>
          </m:e>
          <m:sub>
            <m:r>
              <w:rPr>
                <w:rFonts w:ascii="Cambria Math" w:hAnsi="Cambria Math" w:cstheme="majorBidi"/>
                <w:color w:val="2E2E2E"/>
                <w:lang w:eastAsia="en-CA"/>
              </w:rPr>
              <m:t>b</m:t>
            </m:r>
          </m:sub>
        </m:sSub>
      </m:oMath>
      <w:r w:rsidR="00A8619B">
        <w:t>)</w:t>
      </w:r>
      <w:r w:rsidR="00193950">
        <w:t>, which depend</w:t>
      </w:r>
      <w:r w:rsidR="00A8619B">
        <w:t xml:space="preserve"> on </w:t>
      </w:r>
      <w:r w:rsidR="00193950">
        <w:t>the</w:t>
      </w:r>
      <w:r w:rsidR="00A8619B">
        <w:t xml:space="preserve"> surface type. This paper presented different crack width equations in code provisions. </w:t>
      </w:r>
      <w:r w:rsidR="001E292B">
        <w:rPr>
          <w:color w:val="2E2E2E"/>
          <w:lang w:eastAsia="en-CA"/>
        </w:rPr>
        <w:t xml:space="preserve">An experimental database of 60 beams selected from the literature and used for a statistical analysis on the bond dependent coefficient. </w:t>
      </w:r>
      <w:r w:rsidR="00193950">
        <w:rPr>
          <w:color w:val="2E2E2E"/>
          <w:lang w:eastAsia="en-CA"/>
        </w:rPr>
        <w:t>The results</w:t>
      </w:r>
      <w:r w:rsidR="001E292B">
        <w:rPr>
          <w:color w:val="2E2E2E"/>
          <w:lang w:eastAsia="en-CA"/>
        </w:rPr>
        <w:t xml:space="preserve"> presented in this paper indicate that the bond-dependent coefficient derived from </w:t>
      </w:r>
      <w:r w:rsidR="00193950">
        <w:rPr>
          <w:color w:val="2E2E2E"/>
          <w:lang w:eastAsia="en-CA"/>
        </w:rPr>
        <w:t>the</w:t>
      </w:r>
      <w:r w:rsidR="001E292B">
        <w:rPr>
          <w:color w:val="2E2E2E"/>
          <w:lang w:eastAsia="en-CA"/>
        </w:rPr>
        <w:t xml:space="preserve"> ACI 440.1R-15 crack width equation </w:t>
      </w:r>
      <w:r w:rsidR="000A541B">
        <w:rPr>
          <w:color w:val="2E2E2E"/>
          <w:lang w:eastAsia="en-CA"/>
        </w:rPr>
        <w:t>shows the highest standard deviation</w:t>
      </w:r>
      <w:r w:rsidR="001E292B">
        <w:rPr>
          <w:color w:val="2E2E2E"/>
          <w:lang w:eastAsia="en-CA"/>
        </w:rPr>
        <w:t>.</w:t>
      </w:r>
    </w:p>
    <w:p w14:paraId="54C67112" w14:textId="77777777" w:rsidR="0022400C" w:rsidRPr="00CD176A" w:rsidRDefault="007F7FC3" w:rsidP="00CD176A">
      <w:pPr>
        <w:pStyle w:val="KeyWords"/>
      </w:pPr>
      <w:r>
        <w:t>KEY WORDS: Crack width; Serviceability; Codes provisions; Bond-dependent coefficient; Reinforced concrete; GFRP rebar</w:t>
      </w:r>
    </w:p>
    <w:p w14:paraId="5BECA4B1" w14:textId="77777777" w:rsidR="00603B00" w:rsidRPr="00CD176A" w:rsidRDefault="00603B00" w:rsidP="00CD176A">
      <w:pPr>
        <w:pStyle w:val="KeyWords"/>
        <w:sectPr w:rsidR="00603B00" w:rsidRPr="00CD176A" w:rsidSect="009529EB">
          <w:headerReference w:type="default" r:id="rId13"/>
          <w:footerReference w:type="default" r:id="rId14"/>
          <w:headerReference w:type="first" r:id="rId15"/>
          <w:footerReference w:type="first" r:id="rId16"/>
          <w:pgSz w:w="11907" w:h="16839" w:code="9"/>
          <w:pgMar w:top="1418" w:right="794" w:bottom="1418" w:left="794" w:header="709" w:footer="709" w:gutter="0"/>
          <w:cols w:space="708"/>
          <w:titlePg/>
          <w:docGrid w:linePitch="360"/>
        </w:sectPr>
      </w:pPr>
    </w:p>
    <w:p w14:paraId="2076FC62" w14:textId="77777777" w:rsidR="00D96E7E" w:rsidRDefault="00193950" w:rsidP="009F20B8">
      <w:pPr>
        <w:pStyle w:val="Heading1"/>
      </w:pPr>
      <w:r>
        <w:t>Introduction</w:t>
      </w:r>
    </w:p>
    <w:p w14:paraId="0FBD0C87" w14:textId="418C4F05" w:rsidR="00E00F51" w:rsidRDefault="00193950" w:rsidP="00D96E7E">
      <w:r>
        <w:t>The application of glass fiber reinforced polymer</w:t>
      </w:r>
      <w:r w:rsidRPr="00E00F51">
        <w:t xml:space="preserve"> (GFRP) </w:t>
      </w:r>
      <w:r w:rsidR="008E263C">
        <w:t>rebar</w:t>
      </w:r>
      <w:r w:rsidRPr="00E00F51">
        <w:t xml:space="preserve"> instead of steel </w:t>
      </w:r>
      <w:r w:rsidR="008E263C">
        <w:t>rebar</w:t>
      </w:r>
      <w:r w:rsidRPr="00E00F51">
        <w:t xml:space="preserve"> in reinforced concrete (RC) structures has been increasing due to their </w:t>
      </w:r>
      <w:r>
        <w:t>noncorrosive</w:t>
      </w:r>
      <w:r w:rsidRPr="00E00F51">
        <w:t xml:space="preserve"> behavior. Due to the high tensile strength and low modulus of elasticity of GFRP </w:t>
      </w:r>
      <w:r w:rsidR="000A7FA2">
        <w:t>rebars</w:t>
      </w:r>
      <w:r w:rsidRPr="00E00F51">
        <w:t>, designs are often controlled by deflection and crack control at the serviceability limits</w:t>
      </w:r>
      <w:r w:rsidR="00F23E4E">
        <w:t xml:space="preserve"> [1]</w:t>
      </w:r>
      <w:r w:rsidRPr="00E00F51">
        <w:t>.</w:t>
      </w:r>
    </w:p>
    <w:p w14:paraId="6296511C" w14:textId="003CED2E" w:rsidR="00FA4B44" w:rsidRPr="00FA4B44" w:rsidRDefault="00D94E6D" w:rsidP="00FA4B44">
      <w:pPr>
        <w:pStyle w:val="NormalWeb"/>
        <w:spacing w:before="0" w:beforeAutospacing="0" w:after="0" w:afterAutospacing="0"/>
        <w:ind w:firstLine="170"/>
        <w:jc w:val="both"/>
        <w:rPr>
          <w:sz w:val="20"/>
          <w:szCs w:val="20"/>
          <w:lang w:val="en-US" w:eastAsia="ar-SA"/>
        </w:rPr>
      </w:pPr>
      <w:r w:rsidRPr="00D94E6D">
        <w:rPr>
          <w:sz w:val="20"/>
          <w:szCs w:val="20"/>
          <w:lang w:val="en-US" w:eastAsia="ar-SA"/>
        </w:rPr>
        <w:t xml:space="preserve">One of the serviceability requirements in structural concrete elements is </w:t>
      </w:r>
      <w:r w:rsidR="00193950">
        <w:rPr>
          <w:sz w:val="20"/>
          <w:szCs w:val="20"/>
          <w:lang w:val="en-US" w:eastAsia="ar-SA"/>
        </w:rPr>
        <w:t>crack</w:t>
      </w:r>
      <w:r w:rsidRPr="00D94E6D">
        <w:rPr>
          <w:sz w:val="20"/>
          <w:szCs w:val="20"/>
          <w:lang w:val="en-US" w:eastAsia="ar-SA"/>
        </w:rPr>
        <w:t xml:space="preserve"> width prediction. The development of cracks in RC members is expected under service loads because of the low tensile strength of concrete. Control of cracking is important for obtaining acceptable appearance and for long-term durability of concrete structures, especially those subjected to aggressive environments. </w:t>
      </w:r>
      <w:r w:rsidR="00193950">
        <w:rPr>
          <w:sz w:val="20"/>
          <w:szCs w:val="20"/>
          <w:lang w:val="en-US" w:eastAsia="ar-SA"/>
        </w:rPr>
        <w:t>The ductility, stiffness</w:t>
      </w:r>
      <w:r w:rsidRPr="00D94E6D">
        <w:rPr>
          <w:sz w:val="20"/>
          <w:szCs w:val="20"/>
          <w:lang w:val="en-US" w:eastAsia="ar-SA"/>
        </w:rPr>
        <w:t>, capacity, and energy absorption of RC structures can all be affected by cracking. Thus, building codes and scientific organizations are increasingly interested in controlling cracks.</w:t>
      </w:r>
    </w:p>
    <w:p w14:paraId="3BB2969C" w14:textId="560D4192" w:rsidR="00FA4B44" w:rsidRPr="000277F0" w:rsidRDefault="00193950" w:rsidP="000277F0">
      <w:pPr>
        <w:pStyle w:val="NormalWeb"/>
        <w:spacing w:before="0" w:beforeAutospacing="0" w:after="0" w:afterAutospacing="0"/>
        <w:ind w:firstLine="170"/>
        <w:jc w:val="both"/>
        <w:rPr>
          <w:sz w:val="20"/>
          <w:szCs w:val="20"/>
          <w:lang w:val="en-US" w:eastAsia="ar-SA"/>
        </w:rPr>
      </w:pPr>
      <w:r w:rsidRPr="00FA4B44">
        <w:rPr>
          <w:sz w:val="20"/>
          <w:szCs w:val="20"/>
          <w:lang w:val="en-US" w:eastAsia="ar-SA"/>
        </w:rPr>
        <w:t xml:space="preserve">Many studies in the literature </w:t>
      </w:r>
      <w:r>
        <w:rPr>
          <w:sz w:val="20"/>
          <w:szCs w:val="20"/>
          <w:lang w:val="en-US" w:eastAsia="ar-SA"/>
        </w:rPr>
        <w:t>have</w:t>
      </w:r>
      <w:r w:rsidRPr="00FA4B44">
        <w:rPr>
          <w:sz w:val="20"/>
          <w:szCs w:val="20"/>
          <w:lang w:val="en-US" w:eastAsia="ar-SA"/>
        </w:rPr>
        <w:t xml:space="preserve"> predicted the crack width of a flexural member based on theoretical models and experimental data. This paper presents a study to investigate several equations suggested by different code provisions for the calculation of the crack width in GFRP reinforced concrete flexural members. </w:t>
      </w:r>
      <w:r>
        <w:rPr>
          <w:sz w:val="20"/>
          <w:szCs w:val="20"/>
          <w:lang w:val="en-US" w:eastAsia="ar-SA"/>
        </w:rPr>
        <w:t>Additionally, the</w:t>
      </w:r>
      <w:r w:rsidRPr="00FA4B44">
        <w:rPr>
          <w:sz w:val="20"/>
          <w:szCs w:val="20"/>
          <w:lang w:val="en-US" w:eastAsia="ar-SA"/>
        </w:rPr>
        <w:t xml:space="preserve"> crack width database available in the published literature </w:t>
      </w:r>
      <w:r>
        <w:rPr>
          <w:sz w:val="20"/>
          <w:szCs w:val="20"/>
          <w:lang w:val="en-US" w:eastAsia="ar-SA"/>
        </w:rPr>
        <w:t>was</w:t>
      </w:r>
      <w:r w:rsidRPr="00FA4B44">
        <w:rPr>
          <w:sz w:val="20"/>
          <w:szCs w:val="20"/>
          <w:lang w:val="en-US" w:eastAsia="ar-SA"/>
        </w:rPr>
        <w:t xml:space="preserve"> used to check the reliability of the bond-dependent coefficient</w:t>
      </w:r>
      <m:oMath>
        <m:r>
          <w:rPr>
            <w:rFonts w:ascii="Cambria Math" w:hAnsi="Cambria Math"/>
            <w:sz w:val="20"/>
            <w:szCs w:val="20"/>
            <w:lang w:val="en-US" w:eastAsia="ar-SA"/>
          </w:rPr>
          <m:t xml:space="preserve"> (</m:t>
        </m:r>
        <m:sSub>
          <m:sSubPr>
            <m:ctrlPr>
              <w:rPr>
                <w:rFonts w:ascii="Cambria Math" w:hAnsi="Cambria Math" w:cstheme="majorBidi"/>
                <w:color w:val="2E2E2E"/>
                <w:sz w:val="20"/>
                <w:szCs w:val="20"/>
                <w:lang w:val="en-US"/>
              </w:rPr>
            </m:ctrlPr>
          </m:sSubPr>
          <m:e>
            <m:r>
              <w:rPr>
                <w:rFonts w:ascii="Cambria Math" w:hAnsi="Cambria Math" w:cstheme="majorBidi"/>
                <w:color w:val="2E2E2E"/>
                <w:sz w:val="20"/>
                <w:szCs w:val="20"/>
                <w:lang w:val="en-US"/>
              </w:rPr>
              <m:t>k</m:t>
            </m:r>
          </m:e>
          <m:sub>
            <m:r>
              <w:rPr>
                <w:rFonts w:ascii="Cambria Math" w:hAnsi="Cambria Math" w:cstheme="majorBidi"/>
                <w:color w:val="2E2E2E"/>
                <w:sz w:val="20"/>
                <w:szCs w:val="20"/>
                <w:lang w:val="en-US"/>
              </w:rPr>
              <m:t>b</m:t>
            </m:r>
          </m:sub>
        </m:sSub>
        <m:r>
          <w:rPr>
            <w:rFonts w:ascii="Cambria Math" w:hAnsi="Cambria Math" w:cstheme="majorBidi"/>
            <w:color w:val="2E2E2E"/>
            <w:sz w:val="20"/>
            <w:szCs w:val="20"/>
            <w:lang w:val="en-US"/>
          </w:rPr>
          <m:t>)</m:t>
        </m:r>
      </m:oMath>
      <w:r w:rsidRPr="00FA4B44">
        <w:rPr>
          <w:sz w:val="20"/>
          <w:szCs w:val="20"/>
          <w:lang w:val="en-US" w:eastAsia="ar-SA"/>
        </w:rPr>
        <w:t>.</w:t>
      </w:r>
    </w:p>
    <w:p w14:paraId="4D48A6AD" w14:textId="559952B5" w:rsidR="00390ECC" w:rsidRPr="00742574" w:rsidRDefault="00193950" w:rsidP="00742574">
      <w:pPr>
        <w:pStyle w:val="Heading1"/>
      </w:pPr>
      <w:r>
        <w:t xml:space="preserve">Crack wIDTH </w:t>
      </w:r>
      <w:r w:rsidR="000A541B">
        <w:t>Equations</w:t>
      </w:r>
    </w:p>
    <w:p w14:paraId="772F2A0A" w14:textId="3E146FFD" w:rsidR="00390ECC" w:rsidRDefault="00193950" w:rsidP="00057DFF">
      <w:pPr>
        <w:pStyle w:val="NormalWeb"/>
        <w:spacing w:before="0" w:beforeAutospacing="0" w:after="0" w:afterAutospacing="0"/>
        <w:ind w:firstLine="170"/>
        <w:jc w:val="both"/>
        <w:rPr>
          <w:sz w:val="20"/>
          <w:szCs w:val="20"/>
          <w:lang w:val="en-US" w:eastAsia="ar-SA"/>
        </w:rPr>
      </w:pPr>
      <w:r w:rsidRPr="00390ECC">
        <w:rPr>
          <w:sz w:val="20"/>
          <w:szCs w:val="20"/>
          <w:lang w:val="en-US" w:eastAsia="ar-SA"/>
        </w:rPr>
        <w:t xml:space="preserve">The </w:t>
      </w:r>
      <w:r w:rsidRPr="00057DFF">
        <w:rPr>
          <w:color w:val="000000"/>
          <w:sz w:val="20"/>
          <w:szCs w:val="20"/>
          <w:shd w:val="clear" w:color="auto" w:fill="FFFFFF"/>
        </w:rPr>
        <w:t>design</w:t>
      </w:r>
      <w:r w:rsidRPr="00390ECC">
        <w:rPr>
          <w:sz w:val="20"/>
          <w:szCs w:val="20"/>
          <w:lang w:val="en-US" w:eastAsia="ar-SA"/>
        </w:rPr>
        <w:t xml:space="preserve"> standards were not available for FRP-RC members until 2001. The first crack prediction guide published in 2001 by ACI included a modified version of </w:t>
      </w:r>
      <w:r>
        <w:rPr>
          <w:sz w:val="20"/>
          <w:szCs w:val="20"/>
          <w:lang w:val="en-US" w:eastAsia="ar-SA"/>
        </w:rPr>
        <w:t>the</w:t>
      </w:r>
      <w:r w:rsidRPr="00390ECC">
        <w:rPr>
          <w:sz w:val="20"/>
          <w:szCs w:val="20"/>
          <w:lang w:val="en-US" w:eastAsia="ar-SA"/>
        </w:rPr>
        <w:t xml:space="preserve"> Gergely Lutz equation with a correction coefficient designed to capture the bond behavior of FRP </w:t>
      </w:r>
      <w:r w:rsidR="00DF0718">
        <w:rPr>
          <w:sz w:val="20"/>
          <w:szCs w:val="20"/>
          <w:lang w:val="en-US" w:eastAsia="ar-SA"/>
        </w:rPr>
        <w:t>re</w:t>
      </w:r>
      <w:r w:rsidRPr="00390ECC">
        <w:rPr>
          <w:sz w:val="20"/>
          <w:szCs w:val="20"/>
          <w:lang w:val="en-US" w:eastAsia="ar-SA"/>
        </w:rPr>
        <w:t>bars [2]. The modified Gergely Lutz equation for FRP is as follows [3]:</w:t>
      </w:r>
    </w:p>
    <w:p w14:paraId="676CB0C0" w14:textId="77777777" w:rsidR="00390ECC" w:rsidRDefault="00193950" w:rsidP="00390ECC">
      <w:pPr>
        <w:pStyle w:val="Equation"/>
      </w:pPr>
      <w:r>
        <w:tab/>
      </w:r>
      <m:oMath>
        <m:r>
          <w:rPr>
            <w:rFonts w:ascii="Cambria Math" w:hAnsi="Cambria Math" w:cstheme="majorBidi"/>
            <w:color w:val="2E2E2E"/>
            <w:lang w:eastAsia="en-CA"/>
          </w:rPr>
          <m:t>w</m:t>
        </m:r>
        <m:r>
          <m:rPr>
            <m:sty m:val="p"/>
          </m:rPr>
          <w:rPr>
            <w:rFonts w:ascii="Cambria Math" w:hAnsi="Cambria Math" w:cstheme="majorBidi"/>
            <w:color w:val="2E2E2E"/>
            <w:lang w:eastAsia="en-CA"/>
          </w:rPr>
          <m:t>=2.2</m:t>
        </m:r>
        <m:f>
          <m:fPr>
            <m:ctrlPr>
              <w:rPr>
                <w:rFonts w:ascii="Cambria Math" w:hAnsi="Cambria Math" w:cstheme="majorBidi"/>
                <w:color w:val="2E2E2E"/>
                <w:lang w:eastAsia="en-CA"/>
              </w:rPr>
            </m:ctrlPr>
          </m:fPr>
          <m:num>
            <m:sSub>
              <m:sSubPr>
                <m:ctrlPr>
                  <w:rPr>
                    <w:rFonts w:ascii="Cambria Math" w:hAnsi="Cambria Math" w:cstheme="majorBidi"/>
                    <w:color w:val="2E2E2E"/>
                    <w:lang w:eastAsia="en-CA"/>
                  </w:rPr>
                </m:ctrlPr>
              </m:sSubPr>
              <m:e>
                <m:r>
                  <w:rPr>
                    <w:rFonts w:ascii="Cambria Math" w:hAnsi="Cambria Math" w:cstheme="majorBidi"/>
                    <w:color w:val="2E2E2E"/>
                    <w:lang w:eastAsia="en-CA"/>
                  </w:rPr>
                  <m:t>f</m:t>
                </m:r>
              </m:e>
              <m:sub>
                <m:r>
                  <w:rPr>
                    <w:rFonts w:ascii="Cambria Math" w:hAnsi="Cambria Math" w:cstheme="majorBidi"/>
                    <w:color w:val="2E2E2E"/>
                    <w:lang w:eastAsia="en-CA"/>
                  </w:rPr>
                  <m:t>F</m:t>
                </m:r>
                <m:r>
                  <m:rPr>
                    <m:sty m:val="p"/>
                  </m:rPr>
                  <w:rPr>
                    <w:rFonts w:ascii="Cambria Math" w:hAnsi="Cambria Math" w:cstheme="majorBidi"/>
                    <w:color w:val="2E2E2E"/>
                    <w:lang w:eastAsia="en-CA"/>
                  </w:rPr>
                  <m:t> </m:t>
                </m:r>
              </m:sub>
            </m:sSub>
          </m:num>
          <m:den>
            <m:sSub>
              <m:sSubPr>
                <m:ctrlPr>
                  <w:rPr>
                    <w:rFonts w:ascii="Cambria Math" w:hAnsi="Cambria Math" w:cstheme="majorBidi"/>
                    <w:color w:val="2E2E2E"/>
                    <w:lang w:eastAsia="en-CA"/>
                  </w:rPr>
                </m:ctrlPr>
              </m:sSubPr>
              <m:e>
                <m:r>
                  <w:rPr>
                    <w:rFonts w:ascii="Cambria Math" w:hAnsi="Cambria Math" w:cstheme="majorBidi"/>
                    <w:color w:val="2E2E2E"/>
                    <w:lang w:eastAsia="en-CA"/>
                  </w:rPr>
                  <m:t>E</m:t>
                </m:r>
              </m:e>
              <m:sub>
                <m:r>
                  <w:rPr>
                    <w:rFonts w:ascii="Cambria Math" w:hAnsi="Cambria Math" w:cstheme="majorBidi"/>
                    <w:color w:val="2E2E2E"/>
                    <w:lang w:eastAsia="en-CA"/>
                  </w:rPr>
                  <m:t>F</m:t>
                </m:r>
              </m:sub>
            </m:sSub>
          </m:den>
        </m:f>
        <m:r>
          <w:rPr>
            <w:rFonts w:ascii="Cambria Math" w:hAnsi="Cambria Math" w:cstheme="majorBidi"/>
            <w:color w:val="2E2E2E"/>
            <w:lang w:eastAsia="en-CA"/>
          </w:rPr>
          <m:t>β</m:t>
        </m:r>
        <m:sSub>
          <m:sSubPr>
            <m:ctrlPr>
              <w:rPr>
                <w:rFonts w:ascii="Cambria Math" w:hAnsi="Cambria Math" w:cstheme="majorBidi"/>
                <w:color w:val="2E2E2E"/>
                <w:lang w:eastAsia="en-CA"/>
              </w:rPr>
            </m:ctrlPr>
          </m:sSubPr>
          <m:e>
            <m:r>
              <w:rPr>
                <w:rFonts w:ascii="Cambria Math" w:hAnsi="Cambria Math" w:cstheme="majorBidi"/>
                <w:color w:val="2E2E2E"/>
                <w:lang w:eastAsia="en-CA"/>
              </w:rPr>
              <m:t>k</m:t>
            </m:r>
          </m:e>
          <m:sub>
            <m:r>
              <w:rPr>
                <w:rFonts w:ascii="Cambria Math" w:hAnsi="Cambria Math" w:cstheme="majorBidi"/>
                <w:color w:val="2E2E2E"/>
                <w:lang w:eastAsia="en-CA"/>
              </w:rPr>
              <m:t>b</m:t>
            </m:r>
          </m:sub>
        </m:sSub>
        <m:r>
          <m:rPr>
            <m:sty m:val="p"/>
          </m:rPr>
          <w:rPr>
            <w:rFonts w:ascii="Cambria Math" w:hAnsi="Cambria Math" w:cstheme="majorBidi"/>
            <w:color w:val="2E2E2E"/>
            <w:lang w:eastAsia="en-CA"/>
          </w:rPr>
          <m:t> </m:t>
        </m:r>
        <m:rad>
          <m:radPr>
            <m:ctrlPr>
              <w:rPr>
                <w:rFonts w:ascii="Cambria Math" w:hAnsi="Cambria Math" w:cstheme="majorBidi"/>
                <w:color w:val="2E2E2E"/>
                <w:lang w:eastAsia="en-CA"/>
              </w:rPr>
            </m:ctrlPr>
          </m:radPr>
          <m:deg>
            <m:r>
              <m:rPr>
                <m:sty m:val="p"/>
              </m:rPr>
              <w:rPr>
                <w:rFonts w:ascii="Cambria Math" w:hAnsi="Cambria Math" w:cstheme="majorBidi"/>
                <w:color w:val="2E2E2E"/>
                <w:lang w:eastAsia="en-CA"/>
              </w:rPr>
              <m:t>3</m:t>
            </m:r>
          </m:deg>
          <m:e>
            <m:sSub>
              <m:sSubPr>
                <m:ctrlPr>
                  <w:rPr>
                    <w:rFonts w:ascii="Cambria Math" w:hAnsi="Cambria Math" w:cstheme="majorBidi"/>
                    <w:color w:val="2E2E2E"/>
                    <w:lang w:eastAsia="en-CA"/>
                  </w:rPr>
                </m:ctrlPr>
              </m:sSubPr>
              <m:e>
                <m:r>
                  <w:rPr>
                    <w:rFonts w:ascii="Cambria Math" w:hAnsi="Cambria Math" w:cstheme="majorBidi"/>
                    <w:color w:val="2E2E2E"/>
                    <w:lang w:eastAsia="en-CA"/>
                  </w:rPr>
                  <m:t>d</m:t>
                </m:r>
              </m:e>
              <m:sub>
                <m:r>
                  <w:rPr>
                    <w:rFonts w:ascii="Cambria Math" w:hAnsi="Cambria Math" w:cstheme="majorBidi"/>
                    <w:color w:val="2E2E2E"/>
                    <w:lang w:eastAsia="en-CA"/>
                  </w:rPr>
                  <m:t>c</m:t>
                </m:r>
              </m:sub>
            </m:sSub>
            <m:r>
              <w:rPr>
                <w:rFonts w:ascii="Cambria Math" w:hAnsi="Cambria Math" w:cstheme="majorBidi"/>
                <w:color w:val="2E2E2E"/>
                <w:lang w:eastAsia="en-CA"/>
              </w:rPr>
              <m:t>A</m:t>
            </m:r>
          </m:e>
        </m:rad>
      </m:oMath>
      <w:r w:rsidRPr="00CD176A">
        <w:tab/>
        <w:t>(</w:t>
      </w:r>
      <w:fldSimple w:instr=" SEQ Equation \* MERGEFORMAT ">
        <w:r>
          <w:rPr>
            <w:noProof/>
          </w:rPr>
          <w:t>1</w:t>
        </w:r>
      </w:fldSimple>
      <w:r w:rsidRPr="00CD176A">
        <w:t>)</w:t>
      </w:r>
    </w:p>
    <w:p w14:paraId="4FC59DFA" w14:textId="3D14DF80" w:rsidR="0071766D" w:rsidRPr="0071766D" w:rsidRDefault="00193950" w:rsidP="00973CF6">
      <w:pPr>
        <w:pStyle w:val="NormalIndent"/>
      </w:pPr>
      <w:r w:rsidRPr="00BA58DE">
        <w:t xml:space="preserve">In Eq. (1), </w:t>
      </w:r>
      <m:oMath>
        <m:sSub>
          <m:sSubPr>
            <m:ctrlPr>
              <w:rPr>
                <w:rFonts w:ascii="Cambria Math" w:hAnsi="Cambria Math"/>
              </w:rPr>
            </m:ctrlPr>
          </m:sSubPr>
          <m:e>
            <m:r>
              <w:rPr>
                <w:rFonts w:ascii="Cambria Math" w:hAnsi="Cambria Math"/>
              </w:rPr>
              <m:t>E</m:t>
            </m:r>
          </m:e>
          <m:sub>
            <m:r>
              <w:rPr>
                <w:rFonts w:ascii="Cambria Math" w:hAnsi="Cambria Math"/>
              </w:rPr>
              <m:t>F</m:t>
            </m:r>
          </m:sub>
        </m:sSub>
      </m:oMath>
      <w:r w:rsidRPr="00BA58DE">
        <w:t xml:space="preserve"> is the modulus of elasticity of the rebar, </w:t>
      </w:r>
      <m:oMath>
        <m:r>
          <w:rPr>
            <w:rFonts w:ascii="Cambria Math" w:hAnsi="Cambria Math"/>
          </w:rPr>
          <m:t>β</m:t>
        </m:r>
      </m:oMath>
      <w:r w:rsidRPr="00BA58DE">
        <w:t xml:space="preserve"> is ratio of distance from neutral axis to extreme tension fiber to </w:t>
      </w:r>
      <w:r w:rsidRPr="00BA58DE">
        <w:t xml:space="preserve">distance from neutral axis to center of tensile </w:t>
      </w:r>
      <w:r w:rsidR="000A7FA2">
        <w:t>rebars</w:t>
      </w:r>
      <w:r w:rsidRPr="00BA58DE">
        <w:t xml:space="preserve">, </w:t>
      </w:r>
      <m:oMath>
        <m:sSub>
          <m:sSubPr>
            <m:ctrlPr>
              <w:rPr>
                <w:rFonts w:ascii="Cambria Math" w:hAnsi="Cambria Math"/>
              </w:rPr>
            </m:ctrlPr>
          </m:sSubPr>
          <m:e>
            <m:r>
              <w:rPr>
                <w:rFonts w:ascii="Cambria Math" w:hAnsi="Cambria Math"/>
              </w:rPr>
              <m:t>d</m:t>
            </m:r>
          </m:e>
          <m:sub>
            <m:r>
              <w:rPr>
                <w:rFonts w:ascii="Cambria Math" w:hAnsi="Cambria Math"/>
              </w:rPr>
              <m:t>c</m:t>
            </m:r>
          </m:sub>
        </m:sSub>
        <m:r>
          <m:rPr>
            <m:sty m:val="p"/>
          </m:rPr>
          <w:rPr>
            <w:rFonts w:ascii="Cambria Math" w:hAnsi="Cambria Math"/>
          </w:rPr>
          <m:t xml:space="preserve"> </m:t>
        </m:r>
      </m:oMath>
      <w:r w:rsidRPr="00162B3E">
        <w:t xml:space="preserve">is thickness of concrete cover that is measured from the extreme tension fiber to the center of </w:t>
      </w:r>
      <w:r w:rsidR="00DF0718">
        <w:t>re</w:t>
      </w:r>
      <w:r w:rsidRPr="00162B3E">
        <w:t xml:space="preserve">bar and A is the effective area of surrounding concrete divided by the number of </w:t>
      </w:r>
      <w:r w:rsidR="00DF0718">
        <w:t>re</w:t>
      </w:r>
      <w:r w:rsidRPr="00162B3E">
        <w:t xml:space="preserve">bars. In addition, the value of </w:t>
      </w:r>
      <m:oMath>
        <m:sSub>
          <m:sSubPr>
            <m:ctrlPr>
              <w:rPr>
                <w:rFonts w:ascii="Cambria Math" w:hAnsi="Cambria Math"/>
              </w:rPr>
            </m:ctrlPr>
          </m:sSubPr>
          <m:e>
            <m:r>
              <w:rPr>
                <w:rFonts w:ascii="Cambria Math" w:hAnsi="Cambria Math"/>
              </w:rPr>
              <m:t>k</m:t>
            </m:r>
          </m:e>
          <m:sub>
            <m:r>
              <w:rPr>
                <w:rFonts w:ascii="Cambria Math" w:hAnsi="Cambria Math"/>
              </w:rPr>
              <m:t>b</m:t>
            </m:r>
          </m:sub>
        </m:sSub>
        <m:r>
          <m:rPr>
            <m:sty m:val="p"/>
          </m:rPr>
          <w:rPr>
            <w:rFonts w:ascii="Cambria Math" w:hAnsi="Cambria Math"/>
          </w:rPr>
          <m:t xml:space="preserve"> </m:t>
        </m:r>
      </m:oMath>
      <w:r>
        <w:t>is experimentally</w:t>
      </w:r>
      <w:r w:rsidRPr="00162B3E">
        <w:t xml:space="preserve"> determined, but in the absence of data, </w:t>
      </w:r>
      <m:oMath>
        <m:sSub>
          <m:sSubPr>
            <m:ctrlPr>
              <w:rPr>
                <w:rFonts w:ascii="Cambria Math" w:hAnsi="Cambria Math"/>
              </w:rPr>
            </m:ctrlPr>
          </m:sSubPr>
          <m:e>
            <m:r>
              <w:rPr>
                <w:rFonts w:ascii="Cambria Math" w:hAnsi="Cambria Math"/>
              </w:rPr>
              <m:t>k</m:t>
            </m:r>
          </m:e>
          <m:sub>
            <m:r>
              <w:rPr>
                <w:rFonts w:ascii="Cambria Math" w:hAnsi="Cambria Math"/>
              </w:rPr>
              <m:t>b</m:t>
            </m:r>
          </m:sub>
        </m:sSub>
        <m:r>
          <m:rPr>
            <m:sty m:val="p"/>
          </m:rPr>
          <w:rPr>
            <w:rFonts w:ascii="Cambria Math" w:hAnsi="Cambria Math"/>
          </w:rPr>
          <m:t xml:space="preserve"> </m:t>
        </m:r>
      </m:oMath>
      <w:r w:rsidRPr="00162B3E">
        <w:t>will be equal to 1.2 for sand</w:t>
      </w:r>
      <w:r>
        <w:t>-</w:t>
      </w:r>
      <w:r w:rsidRPr="00162B3E">
        <w:t xml:space="preserve">coated or deformed </w:t>
      </w:r>
      <w:r w:rsidR="008E263C">
        <w:t>rebar</w:t>
      </w:r>
      <w:r w:rsidRPr="00162B3E">
        <w:t xml:space="preserve">. The stresses in the reinforcement at the specified load, </w:t>
      </w:r>
      <m:oMath>
        <m:sSub>
          <m:sSubPr>
            <m:ctrlPr>
              <w:rPr>
                <w:rFonts w:ascii="Cambria Math" w:hAnsi="Cambria Math"/>
              </w:rPr>
            </m:ctrlPr>
          </m:sSubPr>
          <m:e>
            <m:r>
              <w:rPr>
                <w:rFonts w:ascii="Cambria Math" w:hAnsi="Cambria Math"/>
              </w:rPr>
              <m:t>f</m:t>
            </m:r>
          </m:e>
          <m:sub>
            <m:r>
              <w:rPr>
                <w:rFonts w:ascii="Cambria Math" w:hAnsi="Cambria Math"/>
              </w:rPr>
              <m:t>F</m:t>
            </m:r>
            <m:r>
              <m:rPr>
                <m:sty m:val="p"/>
              </m:rPr>
              <w:rPr>
                <w:rFonts w:ascii="Cambria Math" w:hAnsi="Cambria Math"/>
              </w:rPr>
              <m:t> </m:t>
            </m:r>
          </m:sub>
        </m:sSub>
      </m:oMath>
      <w:r w:rsidRPr="00162B3E">
        <w:t xml:space="preserve">, </w:t>
      </w:r>
      <w:r>
        <w:t>are</w:t>
      </w:r>
      <w:r w:rsidRPr="00162B3E">
        <w:t xml:space="preserve"> that for the reinforcement layer closest to the extreme tension </w:t>
      </w:r>
      <w:proofErr w:type="spellStart"/>
      <w:r w:rsidRPr="00162B3E">
        <w:t>fibre</w:t>
      </w:r>
      <w:proofErr w:type="spellEnd"/>
      <w:r w:rsidRPr="00162B3E">
        <w:t>.</w:t>
      </w:r>
    </w:p>
    <w:p w14:paraId="6B4A4CB2" w14:textId="77777777" w:rsidR="0071766D" w:rsidRDefault="00193950" w:rsidP="0071766D">
      <w:pPr>
        <w:pStyle w:val="ListParagraph"/>
        <w:spacing w:after="0"/>
        <w:ind w:left="0"/>
        <w:jc w:val="center"/>
        <w:rPr>
          <w:rFonts w:ascii="Times New Roman" w:eastAsia="Times New Roman" w:hAnsi="Times New Roman" w:cs="Times New Roman"/>
          <w:sz w:val="20"/>
          <w:szCs w:val="20"/>
          <w:lang w:val="en-US" w:eastAsia="ar-SA"/>
        </w:rPr>
      </w:pPr>
      <w:r w:rsidRPr="00CC60E6">
        <w:rPr>
          <w:rFonts w:ascii="Times New Roman" w:eastAsia="Times New Roman" w:hAnsi="Times New Roman" w:cs="Times New Roman"/>
          <w:noProof/>
          <w:sz w:val="20"/>
          <w:szCs w:val="20"/>
          <w:lang w:val="en-US" w:eastAsia="ar-SA"/>
        </w:rPr>
        <w:drawing>
          <wp:inline distT="0" distB="0" distL="0" distR="0" wp14:anchorId="0EECD706" wp14:editId="2F01A90B">
            <wp:extent cx="1903863" cy="1821479"/>
            <wp:effectExtent l="0" t="0" r="1270" b="7620"/>
            <wp:docPr id="2" name="Picture 11">
              <a:extLst xmlns:a="http://schemas.openxmlformats.org/drawingml/2006/main">
                <a:ext uri="{FF2B5EF4-FFF2-40B4-BE49-F238E27FC236}">
                  <a16:creationId xmlns:a16="http://schemas.microsoft.com/office/drawing/2014/main" id="{B39DFF11-26DF-43D3-B9D9-F42CBC191D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B39DFF11-26DF-43D3-B9D9-F42CBC191D10}"/>
                        </a:ext>
                      </a:extLst>
                    </pic:cNvPr>
                    <pic:cNvPicPr>
                      <a:picLocks noChangeAspect="1"/>
                    </pic:cNvPicPr>
                  </pic:nvPicPr>
                  <pic:blipFill>
                    <a:blip r:embed="rId17"/>
                    <a:srcRect l="2192" r="2440"/>
                    <a:stretch>
                      <a:fillRect/>
                    </a:stretch>
                  </pic:blipFill>
                  <pic:spPr bwMode="auto">
                    <a:xfrm>
                      <a:off x="0" y="0"/>
                      <a:ext cx="1903863" cy="1821479"/>
                    </a:xfrm>
                    <a:prstGeom prst="rect">
                      <a:avLst/>
                    </a:prstGeom>
                    <a:ln>
                      <a:noFill/>
                    </a:ln>
                    <a:extLst>
                      <a:ext uri="{53640926-AAD7-44D8-BBD7-CCE9431645EC}">
                        <a14:shadowObscured xmlns:a14="http://schemas.microsoft.com/office/drawing/2010/main"/>
                      </a:ext>
                    </a:extLst>
                  </pic:spPr>
                </pic:pic>
              </a:graphicData>
            </a:graphic>
          </wp:inline>
        </w:drawing>
      </w:r>
    </w:p>
    <w:p w14:paraId="1C6D3071" w14:textId="77777777" w:rsidR="0071766D" w:rsidRDefault="00193950" w:rsidP="0071766D">
      <w:pPr>
        <w:pStyle w:val="Caption"/>
        <w:spacing w:before="0"/>
      </w:pPr>
      <w:r>
        <w:t xml:space="preserve">Figure </w:t>
      </w:r>
      <w:r>
        <w:fldChar w:fldCharType="begin"/>
      </w:r>
      <w:r>
        <w:instrText xml:space="preserve"> SEQ Figure \* ARABIC </w:instrText>
      </w:r>
      <w:r>
        <w:fldChar w:fldCharType="separate"/>
      </w:r>
      <w:r>
        <w:rPr>
          <w:noProof/>
        </w:rPr>
        <w:t>1</w:t>
      </w:r>
      <w:r>
        <w:fldChar w:fldCharType="end"/>
      </w:r>
      <w:r>
        <w:t xml:space="preserve">. </w:t>
      </w:r>
      <w:r w:rsidR="007924C4">
        <w:rPr>
          <w:color w:val="000000"/>
          <w:shd w:val="clear" w:color="auto" w:fill="FFFFFF"/>
        </w:rPr>
        <w:t>Crack width calculation parameters </w:t>
      </w:r>
      <w:r>
        <w:t>[4].</w:t>
      </w:r>
    </w:p>
    <w:p w14:paraId="23E8288F" w14:textId="4990B18A" w:rsidR="00CC60E6" w:rsidRDefault="00193950" w:rsidP="0071766D">
      <w:pPr>
        <w:pStyle w:val="NormalWeb"/>
        <w:spacing w:before="0" w:beforeAutospacing="0" w:after="0" w:afterAutospacing="0"/>
        <w:ind w:firstLine="170"/>
        <w:jc w:val="both"/>
        <w:rPr>
          <w:sz w:val="20"/>
          <w:szCs w:val="20"/>
          <w:lang w:val="en-US" w:eastAsia="ar-SA"/>
        </w:rPr>
      </w:pPr>
      <w:r>
        <w:rPr>
          <w:color w:val="000000"/>
          <w:sz w:val="20"/>
          <w:szCs w:val="20"/>
          <w:shd w:val="clear" w:color="auto" w:fill="FFFFFF"/>
        </w:rPr>
        <w:t xml:space="preserve">A modified Gergely Lutz equation [2], widely used for steel reinforced concrete members, can be used in </w:t>
      </w:r>
      <w:r>
        <w:rPr>
          <w:color w:val="000000"/>
          <w:sz w:val="20"/>
          <w:szCs w:val="20"/>
        </w:rPr>
        <w:t>the</w:t>
      </w:r>
      <w:r>
        <w:rPr>
          <w:color w:val="000000"/>
          <w:sz w:val="20"/>
          <w:szCs w:val="20"/>
          <w:shd w:val="clear" w:color="auto" w:fill="FFFFFF"/>
        </w:rPr>
        <w:t xml:space="preserve"> ISIS Canada Manual [4] to calculate crack widths for FRP-RC members.</w:t>
      </w:r>
      <w:r w:rsidR="0071766D" w:rsidRPr="0071766D">
        <w:rPr>
          <w:sz w:val="20"/>
          <w:szCs w:val="20"/>
          <w:lang w:val="en-US" w:eastAsia="ar-SA"/>
        </w:rPr>
        <w:t xml:space="preserve"> These modifications have been developed for a certain type of FRP </w:t>
      </w:r>
      <w:r w:rsidR="000A7FA2">
        <w:rPr>
          <w:sz w:val="20"/>
          <w:szCs w:val="20"/>
          <w:lang w:val="en-US" w:eastAsia="ar-SA"/>
        </w:rPr>
        <w:t>rebars</w:t>
      </w:r>
      <w:r>
        <w:rPr>
          <w:sz w:val="20"/>
          <w:szCs w:val="20"/>
          <w:lang w:val="en-US" w:eastAsia="ar-SA"/>
        </w:rPr>
        <w:t>,</w:t>
      </w:r>
      <w:r w:rsidR="0071766D" w:rsidRPr="0071766D">
        <w:rPr>
          <w:sz w:val="20"/>
          <w:szCs w:val="20"/>
          <w:lang w:val="en-US" w:eastAsia="ar-SA"/>
        </w:rPr>
        <w:t xml:space="preserve"> and therefore, their use is limited. However, the code-based equation, originally developed by Gergely and Lutz [2], reported unconservative results instead of all available experimental data for steel-RC members. Moreover, the Gergely</w:t>
      </w:r>
      <w:r>
        <w:rPr>
          <w:sz w:val="20"/>
          <w:szCs w:val="20"/>
          <w:lang w:val="en-US" w:eastAsia="ar-SA"/>
        </w:rPr>
        <w:t xml:space="preserve"> </w:t>
      </w:r>
      <w:r w:rsidR="0071766D" w:rsidRPr="0071766D">
        <w:rPr>
          <w:sz w:val="20"/>
          <w:szCs w:val="20"/>
          <w:lang w:val="en-US" w:eastAsia="ar-SA"/>
        </w:rPr>
        <w:t>Lutz equation includes the most important parameters</w:t>
      </w:r>
      <w:r>
        <w:rPr>
          <w:sz w:val="20"/>
          <w:szCs w:val="20"/>
          <w:lang w:val="en-US" w:eastAsia="ar-SA"/>
        </w:rPr>
        <w:t>,</w:t>
      </w:r>
      <w:r w:rsidR="0071766D" w:rsidRPr="0071766D">
        <w:rPr>
          <w:sz w:val="20"/>
          <w:szCs w:val="20"/>
          <w:lang w:val="en-US" w:eastAsia="ar-SA"/>
        </w:rPr>
        <w:t xml:space="preserve"> such as the concrete cover, the effective area of concrete in tension, the stress in the flexural </w:t>
      </w:r>
      <w:r w:rsidR="000A7FA2">
        <w:rPr>
          <w:sz w:val="20"/>
          <w:szCs w:val="20"/>
          <w:lang w:val="en-US" w:eastAsia="ar-SA"/>
        </w:rPr>
        <w:t>rebars</w:t>
      </w:r>
      <w:r w:rsidR="0071766D" w:rsidRPr="0071766D">
        <w:rPr>
          <w:sz w:val="20"/>
          <w:szCs w:val="20"/>
          <w:lang w:val="en-US" w:eastAsia="ar-SA"/>
        </w:rPr>
        <w:t xml:space="preserve">, the number of </w:t>
      </w:r>
      <w:r w:rsidR="008E263C">
        <w:rPr>
          <w:sz w:val="20"/>
          <w:szCs w:val="20"/>
          <w:lang w:val="en-US" w:eastAsia="ar-SA"/>
        </w:rPr>
        <w:t>rebars</w:t>
      </w:r>
      <w:r w:rsidR="0071766D" w:rsidRPr="0071766D">
        <w:rPr>
          <w:sz w:val="20"/>
          <w:szCs w:val="20"/>
          <w:lang w:val="en-US" w:eastAsia="ar-SA"/>
        </w:rPr>
        <w:t xml:space="preserve"> and the strain gradient from the level of the </w:t>
      </w:r>
      <w:r w:rsidR="000A7FA2">
        <w:rPr>
          <w:sz w:val="20"/>
          <w:szCs w:val="20"/>
          <w:lang w:val="en-US" w:eastAsia="ar-SA"/>
        </w:rPr>
        <w:t>rebars</w:t>
      </w:r>
      <w:r w:rsidR="0071766D" w:rsidRPr="0071766D">
        <w:rPr>
          <w:sz w:val="20"/>
          <w:szCs w:val="20"/>
          <w:lang w:val="en-US" w:eastAsia="ar-SA"/>
        </w:rPr>
        <w:t xml:space="preserve"> to the tension face. The ISIS Manual recommended a </w:t>
      </w:r>
      <m:oMath>
        <m:sSub>
          <m:sSubPr>
            <m:ctrlPr>
              <w:rPr>
                <w:rFonts w:ascii="Cambria Math" w:hAnsi="Cambria Math"/>
                <w:sz w:val="20"/>
                <w:szCs w:val="20"/>
                <w:lang w:val="en-US" w:eastAsia="ar-SA"/>
              </w:rPr>
            </m:ctrlPr>
          </m:sSubPr>
          <m:e>
            <m:r>
              <w:rPr>
                <w:rFonts w:ascii="Cambria Math" w:hAnsi="Cambria Math"/>
                <w:sz w:val="20"/>
                <w:szCs w:val="20"/>
                <w:lang w:val="en-US" w:eastAsia="ar-SA"/>
              </w:rPr>
              <m:t>k</m:t>
            </m:r>
          </m:e>
          <m:sub>
            <m:r>
              <w:rPr>
                <w:rFonts w:ascii="Cambria Math" w:hAnsi="Cambria Math"/>
                <w:sz w:val="20"/>
                <w:szCs w:val="20"/>
                <w:lang w:val="en-US" w:eastAsia="ar-SA"/>
              </w:rPr>
              <m:t>b</m:t>
            </m:r>
          </m:sub>
        </m:sSub>
      </m:oMath>
      <w:r w:rsidR="0071766D" w:rsidRPr="0071766D">
        <w:rPr>
          <w:sz w:val="20"/>
          <w:szCs w:val="20"/>
          <w:lang w:val="en-US" w:eastAsia="ar-SA"/>
        </w:rPr>
        <w:t xml:space="preserve"> value of 1.2 in the absence of significant test data to estimate crack width.</w:t>
      </w:r>
    </w:p>
    <w:p w14:paraId="1C68B0B2" w14:textId="2D889B9B" w:rsidR="0077016D" w:rsidRPr="00BA58DE" w:rsidRDefault="00193950" w:rsidP="00124A37">
      <w:pPr>
        <w:pStyle w:val="NormalWeb"/>
        <w:spacing w:before="0" w:beforeAutospacing="0" w:after="0" w:afterAutospacing="0"/>
        <w:ind w:firstLine="170"/>
        <w:jc w:val="both"/>
        <w:rPr>
          <w:sz w:val="20"/>
          <w:szCs w:val="20"/>
          <w:lang w:val="en-US" w:eastAsia="ar-SA"/>
        </w:rPr>
      </w:pPr>
      <w:r w:rsidRPr="0071766D">
        <w:rPr>
          <w:sz w:val="20"/>
          <w:szCs w:val="20"/>
          <w:lang w:val="en-US" w:eastAsia="ar-SA"/>
        </w:rPr>
        <w:lastRenderedPageBreak/>
        <w:t xml:space="preserve">In 2006, the Canadian Highway Bridge Design Code, CHBDC (CSA/S6-06 2006) and ACI 440.1R-06 (ACI Committee 440 2006) adopted the Frosch [5] equation (Eq. (2)) for FRP-RC with the addition of the bond quality coefficient, </w:t>
      </w:r>
      <m:oMath>
        <m:sSub>
          <m:sSubPr>
            <m:ctrlPr>
              <w:rPr>
                <w:rFonts w:ascii="Cambria Math" w:hAnsi="Cambria Math"/>
                <w:sz w:val="20"/>
                <w:szCs w:val="20"/>
                <w:lang w:val="en-US" w:eastAsia="ar-SA"/>
              </w:rPr>
            </m:ctrlPr>
          </m:sSubPr>
          <m:e>
            <m:r>
              <w:rPr>
                <w:rFonts w:ascii="Cambria Math" w:hAnsi="Cambria Math"/>
                <w:sz w:val="20"/>
                <w:szCs w:val="20"/>
                <w:lang w:val="en-US" w:eastAsia="ar-SA"/>
              </w:rPr>
              <m:t>k</m:t>
            </m:r>
          </m:e>
          <m:sub>
            <m:r>
              <w:rPr>
                <w:rFonts w:ascii="Cambria Math" w:hAnsi="Cambria Math"/>
                <w:sz w:val="20"/>
                <w:szCs w:val="20"/>
                <w:lang w:val="en-US" w:eastAsia="ar-SA"/>
              </w:rPr>
              <m:t>b</m:t>
            </m:r>
          </m:sub>
        </m:sSub>
      </m:oMath>
      <w:r w:rsidR="00BA58DE" w:rsidRPr="00BA58DE">
        <w:rPr>
          <w:sz w:val="20"/>
          <w:szCs w:val="20"/>
          <w:lang w:val="en-US" w:eastAsia="ar-SA"/>
        </w:rPr>
        <w:t xml:space="preserve">, to account for the bond between the FRP and surrounding concrete. This equation is adopted by ACI 440.1R-15 [6] to </w:t>
      </w:r>
      <w:r>
        <w:rPr>
          <w:sz w:val="20"/>
          <w:szCs w:val="20"/>
          <w:lang w:val="en-US" w:eastAsia="ar-SA"/>
        </w:rPr>
        <w:t>determine</w:t>
      </w:r>
      <w:r w:rsidR="00BA58DE" w:rsidRPr="00BA58DE">
        <w:rPr>
          <w:sz w:val="20"/>
          <w:szCs w:val="20"/>
          <w:lang w:val="en-US" w:eastAsia="ar-SA"/>
        </w:rPr>
        <w:t xml:space="preserve"> the influence of </w:t>
      </w:r>
      <w:r>
        <w:rPr>
          <w:sz w:val="20"/>
          <w:szCs w:val="20"/>
          <w:lang w:val="en-US" w:eastAsia="ar-SA"/>
        </w:rPr>
        <w:t>the</w:t>
      </w:r>
      <w:r w:rsidR="00BA58DE" w:rsidRPr="00BA58DE">
        <w:rPr>
          <w:sz w:val="20"/>
          <w:szCs w:val="20"/>
          <w:lang w:val="en-US" w:eastAsia="ar-SA"/>
        </w:rPr>
        <w:t xml:space="preserve"> reinforcement spacing (s).</w:t>
      </w:r>
    </w:p>
    <w:p w14:paraId="774F5FB9" w14:textId="77777777" w:rsidR="000277F0" w:rsidRDefault="00193950" w:rsidP="00BF29F9">
      <w:pPr>
        <w:pStyle w:val="Equation"/>
      </w:pPr>
      <w:r>
        <w:tab/>
      </w:r>
      <m:oMath>
        <m:r>
          <w:rPr>
            <w:rFonts w:ascii="Cambria Math" w:hAnsi="Cambria Math" w:cstheme="majorBidi"/>
          </w:rPr>
          <m:t>w</m:t>
        </m:r>
        <m:r>
          <m:rPr>
            <m:sty m:val="p"/>
          </m:rPr>
          <w:rPr>
            <w:rFonts w:ascii="Cambria Math" w:hAnsi="Cambria Math" w:cstheme="majorBidi"/>
          </w:rPr>
          <m:t>=2</m:t>
        </m:r>
        <m:f>
          <m:fPr>
            <m:ctrlPr>
              <w:rPr>
                <w:rFonts w:ascii="Cambria Math" w:hAnsi="Cambria Math" w:cstheme="majorBidi"/>
                <w:i/>
                <w:iCs/>
              </w:rPr>
            </m:ctrlPr>
          </m:fPr>
          <m:num>
            <m:sSub>
              <m:sSubPr>
                <m:ctrlPr>
                  <w:rPr>
                    <w:rFonts w:ascii="Cambria Math" w:hAnsi="Cambria Math" w:cstheme="majorBidi"/>
                    <w:i/>
                    <w:iCs/>
                  </w:rPr>
                </m:ctrlPr>
              </m:sSubPr>
              <m:e>
                <m:r>
                  <w:rPr>
                    <w:rFonts w:ascii="Cambria Math" w:hAnsi="Cambria Math" w:cstheme="majorBidi"/>
                  </w:rPr>
                  <m:t>f</m:t>
                </m:r>
              </m:e>
              <m:sub>
                <m:r>
                  <w:rPr>
                    <w:rFonts w:ascii="Cambria Math" w:hAnsi="Cambria Math" w:cstheme="majorBidi"/>
                  </w:rPr>
                  <m:t>f</m:t>
                </m:r>
              </m:sub>
            </m:sSub>
          </m:num>
          <m:den>
            <m:sSub>
              <m:sSubPr>
                <m:ctrlPr>
                  <w:rPr>
                    <w:rFonts w:ascii="Cambria Math" w:hAnsi="Cambria Math" w:cstheme="majorBidi"/>
                    <w:i/>
                    <w:iCs/>
                  </w:rPr>
                </m:ctrlPr>
              </m:sSubPr>
              <m:e>
                <m:r>
                  <w:rPr>
                    <w:rFonts w:ascii="Cambria Math" w:hAnsi="Cambria Math" w:cstheme="majorBidi"/>
                  </w:rPr>
                  <m:t>E</m:t>
                </m:r>
              </m:e>
              <m:sub>
                <m:r>
                  <w:rPr>
                    <w:rFonts w:ascii="Cambria Math" w:hAnsi="Cambria Math" w:cstheme="majorBidi"/>
                  </w:rPr>
                  <m:t>f</m:t>
                </m:r>
              </m:sub>
            </m:sSub>
          </m:den>
        </m:f>
        <m:r>
          <w:rPr>
            <w:rFonts w:ascii="Cambria Math" w:hAnsi="Cambria Math" w:cstheme="majorBidi"/>
          </w:rPr>
          <m:t>β</m:t>
        </m:r>
        <m:sSub>
          <m:sSubPr>
            <m:ctrlPr>
              <w:rPr>
                <w:rFonts w:ascii="Cambria Math" w:hAnsi="Cambria Math" w:cstheme="majorBidi"/>
                <w:i/>
                <w:iCs/>
              </w:rPr>
            </m:ctrlPr>
          </m:sSubPr>
          <m:e>
            <m:r>
              <w:rPr>
                <w:rFonts w:ascii="Cambria Math" w:hAnsi="Cambria Math" w:cstheme="majorBidi"/>
              </w:rPr>
              <m:t>k</m:t>
            </m:r>
          </m:e>
          <m:sub>
            <m:r>
              <w:rPr>
                <w:rFonts w:ascii="Cambria Math" w:hAnsi="Cambria Math" w:cstheme="majorBidi"/>
              </w:rPr>
              <m:t>b</m:t>
            </m:r>
          </m:sub>
        </m:sSub>
        <m:rad>
          <m:radPr>
            <m:degHide m:val="1"/>
            <m:ctrlPr>
              <w:rPr>
                <w:rFonts w:ascii="Cambria Math" w:hAnsi="Cambria Math" w:cstheme="majorBidi"/>
                <w:i/>
                <w:iCs/>
              </w:rPr>
            </m:ctrlPr>
          </m:radPr>
          <m:deg/>
          <m:e>
            <m:sSubSup>
              <m:sSubSupPr>
                <m:ctrlPr>
                  <w:rPr>
                    <w:rFonts w:ascii="Cambria Math" w:hAnsi="Cambria Math" w:cstheme="majorBidi"/>
                    <w:i/>
                    <w:iCs/>
                  </w:rPr>
                </m:ctrlPr>
              </m:sSubSupPr>
              <m:e>
                <m:r>
                  <w:rPr>
                    <w:rFonts w:ascii="Cambria Math" w:hAnsi="Cambria Math" w:cstheme="majorBidi"/>
                  </w:rPr>
                  <m:t>d</m:t>
                </m:r>
              </m:e>
              <m:sub>
                <m:r>
                  <w:rPr>
                    <w:rFonts w:ascii="Cambria Math" w:hAnsi="Cambria Math" w:cstheme="majorBidi"/>
                  </w:rPr>
                  <m:t>c</m:t>
                </m:r>
              </m:sub>
              <m:sup>
                <m:r>
                  <m:rPr>
                    <m:sty m:val="p"/>
                  </m:rPr>
                  <w:rPr>
                    <w:rFonts w:ascii="Cambria Math" w:hAnsi="Cambria Math" w:cstheme="majorBidi"/>
                  </w:rPr>
                  <m:t>2</m:t>
                </m:r>
              </m:sup>
            </m:sSubSup>
            <m:r>
              <w:rPr>
                <w:rFonts w:ascii="Cambria Math" w:hAnsi="Cambria Math" w:cstheme="majorBidi"/>
              </w:rPr>
              <m:t>+</m:t>
            </m:r>
            <m:sSup>
              <m:sSupPr>
                <m:ctrlPr>
                  <w:rPr>
                    <w:rFonts w:ascii="Cambria Math" w:hAnsi="Cambria Math" w:cstheme="majorBidi"/>
                    <w:i/>
                    <w:iCs/>
                  </w:rPr>
                </m:ctrlPr>
              </m:sSupPr>
              <m:e>
                <m:d>
                  <m:dPr>
                    <m:ctrlPr>
                      <w:rPr>
                        <w:rFonts w:ascii="Cambria Math" w:hAnsi="Cambria Math" w:cstheme="majorBidi"/>
                        <w:i/>
                        <w:iCs/>
                      </w:rPr>
                    </m:ctrlPr>
                  </m:dPr>
                  <m:e>
                    <m:f>
                      <m:fPr>
                        <m:ctrlPr>
                          <w:rPr>
                            <w:rFonts w:ascii="Cambria Math" w:hAnsi="Cambria Math" w:cstheme="majorBidi"/>
                            <w:i/>
                            <w:iCs/>
                          </w:rPr>
                        </m:ctrlPr>
                      </m:fPr>
                      <m:num>
                        <m:r>
                          <w:rPr>
                            <w:rFonts w:ascii="Cambria Math" w:hAnsi="Cambria Math" w:cstheme="majorBidi"/>
                          </w:rPr>
                          <m:t>s</m:t>
                        </m:r>
                      </m:num>
                      <m:den>
                        <m:r>
                          <m:rPr>
                            <m:sty m:val="p"/>
                          </m:rPr>
                          <w:rPr>
                            <w:rFonts w:ascii="Cambria Math" w:hAnsi="Cambria Math" w:cstheme="majorBidi"/>
                          </w:rPr>
                          <m:t>2</m:t>
                        </m:r>
                      </m:den>
                    </m:f>
                  </m:e>
                </m:d>
              </m:e>
              <m:sup>
                <m:r>
                  <m:rPr>
                    <m:sty m:val="p"/>
                  </m:rPr>
                  <w:rPr>
                    <w:rFonts w:ascii="Cambria Math" w:hAnsi="Cambria Math" w:cstheme="majorBidi"/>
                  </w:rPr>
                  <m:t>2</m:t>
                </m:r>
              </m:sup>
            </m:sSup>
          </m:e>
        </m:rad>
      </m:oMath>
      <w:r w:rsidRPr="00CD176A">
        <w:tab/>
        <w:t>(2)</w:t>
      </w:r>
    </w:p>
    <w:p w14:paraId="3B182BDA" w14:textId="4F72B7FA" w:rsidR="004F5AE8" w:rsidRPr="004F5AE8" w:rsidRDefault="00193950" w:rsidP="004F5AE8">
      <w:pPr>
        <w:pStyle w:val="NormalIndent"/>
        <w:rPr>
          <w:color w:val="000000"/>
          <w:shd w:val="clear" w:color="auto" w:fill="FFFFFF"/>
        </w:rPr>
      </w:pPr>
      <w:r w:rsidRPr="0071766D">
        <w:t xml:space="preserve">Based on experimental data for FRP </w:t>
      </w:r>
      <w:r w:rsidR="008E263C">
        <w:t>re</w:t>
      </w:r>
      <w:r w:rsidRPr="0071766D">
        <w:t xml:space="preserve">bars having bond </w:t>
      </w:r>
      <w:proofErr w:type="spellStart"/>
      <w:r w:rsidRPr="0071766D">
        <w:t>behaviour</w:t>
      </w:r>
      <w:proofErr w:type="spellEnd"/>
      <w:r w:rsidRPr="0071766D">
        <w:t xml:space="preserve"> </w:t>
      </w:r>
      <w:proofErr w:type="gramStart"/>
      <w:r w:rsidRPr="0071766D">
        <w:t>similar to</w:t>
      </w:r>
      <w:proofErr w:type="gramEnd"/>
      <w:r w:rsidRPr="0071766D">
        <w:t xml:space="preserve"> uncoated steel </w:t>
      </w:r>
      <w:r w:rsidR="008E263C">
        <w:t>re</w:t>
      </w:r>
      <w:r w:rsidRPr="0071766D">
        <w:t xml:space="preserve">bars, the bond coefficient </w:t>
      </w:r>
      <m:oMath>
        <m:sSub>
          <m:sSubPr>
            <m:ctrlPr>
              <w:rPr>
                <w:rFonts w:ascii="Cambria Math" w:hAnsi="Cambria Math"/>
              </w:rPr>
            </m:ctrlPr>
          </m:sSubPr>
          <m:e>
            <m:r>
              <w:rPr>
                <w:rFonts w:ascii="Cambria Math" w:hAnsi="Cambria Math"/>
              </w:rPr>
              <m:t>k</m:t>
            </m:r>
          </m:e>
          <m:sub>
            <m:r>
              <w:rPr>
                <w:rFonts w:ascii="Cambria Math" w:hAnsi="Cambria Math"/>
              </w:rPr>
              <m:t>b</m:t>
            </m:r>
          </m:sub>
        </m:sSub>
        <m:r>
          <w:rPr>
            <w:rFonts w:ascii="Cambria Math" w:hAnsi="Cambria Math"/>
          </w:rPr>
          <m:t xml:space="preserve"> </m:t>
        </m:r>
      </m:oMath>
      <w:r w:rsidRPr="0071766D">
        <w:t xml:space="preserve">is </w:t>
      </w:r>
      <w:bookmarkStart w:id="0" w:name="_Hlk109374670"/>
      <w:r w:rsidRPr="0071766D">
        <w:t xml:space="preserve">assumed to be equal to 1.0. Moreover, for FRP </w:t>
      </w:r>
      <w:r w:rsidR="008E263C">
        <w:t>re</w:t>
      </w:r>
      <w:r w:rsidRPr="0071766D">
        <w:t xml:space="preserve">bars </w:t>
      </w:r>
      <w:r>
        <w:t>with</w:t>
      </w:r>
      <w:r w:rsidRPr="0071766D">
        <w:t xml:space="preserve"> bond </w:t>
      </w:r>
      <w:r>
        <w:t>behavior</w:t>
      </w:r>
      <w:r w:rsidRPr="0071766D">
        <w:t xml:space="preserve"> inferior to steel, </w:t>
      </w:r>
      <m:oMath>
        <m:sSub>
          <m:sSubPr>
            <m:ctrlPr>
              <w:rPr>
                <w:rFonts w:ascii="Cambria Math" w:hAnsi="Cambria Math"/>
              </w:rPr>
            </m:ctrlPr>
          </m:sSubPr>
          <m:e>
            <m:r>
              <w:rPr>
                <w:rFonts w:ascii="Cambria Math" w:hAnsi="Cambria Math"/>
              </w:rPr>
              <m:t>k</m:t>
            </m:r>
          </m:e>
          <m:sub>
            <m:r>
              <w:rPr>
                <w:rFonts w:ascii="Cambria Math" w:hAnsi="Cambria Math"/>
              </w:rPr>
              <m:t>b</m:t>
            </m:r>
          </m:sub>
        </m:sSub>
      </m:oMath>
      <w:r w:rsidRPr="0071766D">
        <w:t xml:space="preserve"> is greater than 1.0, and for FRP </w:t>
      </w:r>
      <w:r w:rsidR="008E263C">
        <w:t>re</w:t>
      </w:r>
      <w:r w:rsidRPr="0071766D">
        <w:t xml:space="preserve">bars </w:t>
      </w:r>
      <w:r>
        <w:t>with</w:t>
      </w:r>
      <w:r w:rsidRPr="0071766D">
        <w:t xml:space="preserve"> bond </w:t>
      </w:r>
      <w:r>
        <w:t>behavior</w:t>
      </w:r>
      <w:r w:rsidRPr="0071766D">
        <w:t xml:space="preserve"> superior to steel, </w:t>
      </w:r>
      <m:oMath>
        <m:sSub>
          <m:sSubPr>
            <m:ctrlPr>
              <w:rPr>
                <w:rFonts w:ascii="Cambria Math" w:hAnsi="Cambria Math"/>
              </w:rPr>
            </m:ctrlPr>
          </m:sSubPr>
          <m:e>
            <m:r>
              <w:rPr>
                <w:rFonts w:ascii="Cambria Math" w:hAnsi="Cambria Math"/>
              </w:rPr>
              <m:t>k</m:t>
            </m:r>
          </m:e>
          <m:sub>
            <m:r>
              <w:rPr>
                <w:rFonts w:ascii="Cambria Math" w:hAnsi="Cambria Math"/>
              </w:rPr>
              <m:t xml:space="preserve">b </m:t>
            </m:r>
          </m:sub>
        </m:sSub>
      </m:oMath>
      <w:r w:rsidRPr="0071766D">
        <w:t>is less than 1.0</w:t>
      </w:r>
      <w:bookmarkEnd w:id="0"/>
      <w:r>
        <w:t xml:space="preserve">. It is worth mentioning that the value of </w:t>
      </w:r>
      <m:oMath>
        <m:sSub>
          <m:sSubPr>
            <m:ctrlPr>
              <w:rPr>
                <w:rFonts w:ascii="Cambria Math" w:hAnsi="Cambria Math"/>
              </w:rPr>
            </m:ctrlPr>
          </m:sSubPr>
          <m:e>
            <m:r>
              <w:rPr>
                <w:rFonts w:ascii="Cambria Math" w:hAnsi="Cambria Math"/>
              </w:rPr>
              <m:t>k</m:t>
            </m:r>
          </m:e>
          <m:sub>
            <m:r>
              <w:rPr>
                <w:rFonts w:ascii="Cambria Math" w:hAnsi="Cambria Math"/>
              </w:rPr>
              <m:t>b</m:t>
            </m:r>
          </m:sub>
        </m:sSub>
        <m:r>
          <w:rPr>
            <w:rFonts w:ascii="Cambria Math" w:hAnsi="Cambria Math"/>
          </w:rPr>
          <m:t xml:space="preserve"> </m:t>
        </m:r>
      </m:oMath>
      <w:r>
        <w:t xml:space="preserve">is experimentally determined, but </w:t>
      </w:r>
      <w:r>
        <w:rPr>
          <w:color w:val="000000"/>
          <w:shd w:val="clear" w:color="auto" w:fill="FFFFFF"/>
        </w:rPr>
        <w:t xml:space="preserve">in the absence of data, the values of 0.8 and 1.0 are applied to </w:t>
      </w:r>
      <m:oMath>
        <m:sSub>
          <m:sSubPr>
            <m:ctrlPr>
              <w:rPr>
                <w:rFonts w:ascii="Cambria Math" w:hAnsi="Cambria Math"/>
              </w:rPr>
            </m:ctrlPr>
          </m:sSubPr>
          <m:e>
            <m:r>
              <w:rPr>
                <w:rFonts w:ascii="Cambria Math" w:hAnsi="Cambria Math"/>
              </w:rPr>
              <m:t>k</m:t>
            </m:r>
          </m:e>
          <m:sub>
            <m:r>
              <w:rPr>
                <w:rFonts w:ascii="Cambria Math" w:hAnsi="Cambria Math"/>
              </w:rPr>
              <m:t>b</m:t>
            </m:r>
          </m:sub>
        </m:sSub>
      </m:oMath>
      <w:r>
        <w:t xml:space="preserve"> of the </w:t>
      </w:r>
      <w:proofErr w:type="gramStart"/>
      <w:r>
        <w:rPr>
          <w:color w:val="000000"/>
          <w:shd w:val="clear" w:color="auto" w:fill="FFFFFF"/>
        </w:rPr>
        <w:t>sand-coated</w:t>
      </w:r>
      <w:proofErr w:type="gramEnd"/>
      <w:r>
        <w:rPr>
          <w:color w:val="000000"/>
          <w:shd w:val="clear" w:color="auto" w:fill="FFFFFF"/>
        </w:rPr>
        <w:t xml:space="preserve"> and deformed FRP </w:t>
      </w:r>
      <w:r w:rsidR="008E263C">
        <w:rPr>
          <w:color w:val="000000"/>
          <w:shd w:val="clear" w:color="auto" w:fill="FFFFFF"/>
        </w:rPr>
        <w:t>re</w:t>
      </w:r>
      <w:r>
        <w:rPr>
          <w:color w:val="000000"/>
          <w:shd w:val="clear" w:color="auto" w:fill="FFFFFF"/>
        </w:rPr>
        <w:t>bars, respectively.</w:t>
      </w:r>
    </w:p>
    <w:p w14:paraId="2957168D" w14:textId="77777777" w:rsidR="000277F0" w:rsidRDefault="00BF29F9" w:rsidP="00BF29F9">
      <w:pPr>
        <w:pStyle w:val="NormalIndent"/>
      </w:pPr>
      <w:r>
        <w:t xml:space="preserve">The Eurocode2 (2001) adopted Eq. (3) to predict </w:t>
      </w:r>
      <w:r w:rsidR="00193950">
        <w:t xml:space="preserve">the </w:t>
      </w:r>
      <w:r>
        <w:t>flexural crack width.</w:t>
      </w:r>
    </w:p>
    <w:p w14:paraId="0D08D639" w14:textId="77777777" w:rsidR="000277F0" w:rsidRDefault="00193950" w:rsidP="00BF29F9">
      <w:pPr>
        <w:pStyle w:val="Equation"/>
      </w:pPr>
      <w:r>
        <w:tab/>
      </w:r>
      <m:oMath>
        <m:r>
          <w:rPr>
            <w:rFonts w:ascii="Cambria Math" w:hAnsi="Cambria Math" w:cstheme="majorBidi"/>
          </w:rPr>
          <m:t>w=</m:t>
        </m:r>
        <m:f>
          <m:fPr>
            <m:ctrlPr>
              <w:rPr>
                <w:rFonts w:ascii="Cambria Math" w:hAnsi="Cambria Math" w:cstheme="majorBidi"/>
                <w:i/>
                <w:iCs/>
              </w:rPr>
            </m:ctrlPr>
          </m:fPr>
          <m:num>
            <m:sSub>
              <m:sSubPr>
                <m:ctrlPr>
                  <w:rPr>
                    <w:rFonts w:ascii="Cambria Math" w:hAnsi="Cambria Math" w:cstheme="majorBidi"/>
                    <w:i/>
                    <w:iCs/>
                  </w:rPr>
                </m:ctrlPr>
              </m:sSubPr>
              <m:e>
                <m:r>
                  <w:rPr>
                    <w:rFonts w:ascii="Cambria Math" w:hAnsi="Cambria Math" w:cstheme="majorBidi"/>
                  </w:rPr>
                  <m:t>f</m:t>
                </m:r>
              </m:e>
              <m:sub>
                <m:r>
                  <w:rPr>
                    <w:rFonts w:ascii="Cambria Math" w:hAnsi="Cambria Math" w:cstheme="majorBidi"/>
                  </w:rPr>
                  <m:t>F </m:t>
                </m:r>
              </m:sub>
            </m:sSub>
          </m:num>
          <m:den>
            <m:sSub>
              <m:sSubPr>
                <m:ctrlPr>
                  <w:rPr>
                    <w:rFonts w:ascii="Cambria Math" w:hAnsi="Cambria Math" w:cstheme="majorBidi"/>
                    <w:i/>
                    <w:iCs/>
                  </w:rPr>
                </m:ctrlPr>
              </m:sSubPr>
              <m:e>
                <m:r>
                  <w:rPr>
                    <w:rFonts w:ascii="Cambria Math" w:hAnsi="Cambria Math" w:cstheme="majorBidi"/>
                  </w:rPr>
                  <m:t>E</m:t>
                </m:r>
              </m:e>
              <m:sub>
                <m:r>
                  <w:rPr>
                    <w:rFonts w:ascii="Cambria Math" w:hAnsi="Cambria Math" w:cstheme="majorBidi"/>
                  </w:rPr>
                  <m:t>F</m:t>
                </m:r>
              </m:sub>
            </m:sSub>
          </m:den>
        </m:f>
        <m:r>
          <w:rPr>
            <w:rFonts w:ascii="Cambria Math" w:hAnsi="Cambria Math" w:cstheme="majorBidi"/>
          </w:rPr>
          <m:t>β</m:t>
        </m:r>
        <m:sSub>
          <m:sSubPr>
            <m:ctrlPr>
              <w:rPr>
                <w:rFonts w:ascii="Cambria Math" w:hAnsi="Cambria Math" w:cstheme="majorBidi"/>
                <w:i/>
                <w:iCs/>
              </w:rPr>
            </m:ctrlPr>
          </m:sSubPr>
          <m:e>
            <m:r>
              <w:rPr>
                <w:rFonts w:ascii="Cambria Math" w:hAnsi="Cambria Math" w:cstheme="majorBidi"/>
              </w:rPr>
              <m:t>k</m:t>
            </m:r>
          </m:e>
          <m:sub>
            <m:r>
              <w:rPr>
                <w:rFonts w:ascii="Cambria Math" w:hAnsi="Cambria Math" w:cstheme="majorBidi"/>
              </w:rPr>
              <m:t>b</m:t>
            </m:r>
          </m:sub>
        </m:sSub>
        <m:d>
          <m:dPr>
            <m:ctrlPr>
              <w:rPr>
                <w:rFonts w:ascii="Cambria Math" w:hAnsi="Cambria Math" w:cstheme="majorBidi"/>
                <w:i/>
                <w:iCs/>
              </w:rPr>
            </m:ctrlPr>
          </m:dPr>
          <m:e>
            <m:r>
              <w:rPr>
                <w:rFonts w:ascii="Cambria Math" w:hAnsi="Cambria Math" w:cstheme="majorBidi"/>
              </w:rPr>
              <m:t>1.5s+3.5c</m:t>
            </m:r>
          </m:e>
        </m:d>
        <m:r>
          <w:rPr>
            <w:rFonts w:ascii="Cambria Math" w:hAnsi="Cambria Math" w:cstheme="majorBidi"/>
          </w:rPr>
          <m:t> [1</m:t>
        </m:r>
      </m:oMath>
      <w:r w:rsidRPr="00103549">
        <w:rPr>
          <w:rFonts w:asciiTheme="majorBidi" w:hAnsiTheme="majorBidi" w:cstheme="majorBidi"/>
          <w:i/>
          <w:iCs/>
        </w:rPr>
        <w:t xml:space="preserve">- </w:t>
      </w:r>
      <m:oMath>
        <m:sSup>
          <m:sSupPr>
            <m:ctrlPr>
              <w:rPr>
                <w:rFonts w:ascii="Cambria Math" w:hAnsi="Cambria Math" w:cstheme="majorBidi"/>
                <w:i/>
                <w:iCs/>
              </w:rPr>
            </m:ctrlPr>
          </m:sSupPr>
          <m:e>
            <m:d>
              <m:dPr>
                <m:ctrlPr>
                  <w:rPr>
                    <w:rFonts w:ascii="Cambria Math" w:hAnsi="Cambria Math" w:cstheme="majorBidi"/>
                    <w:i/>
                    <w:iCs/>
                  </w:rPr>
                </m:ctrlPr>
              </m:dPr>
              <m:e>
                <m:f>
                  <m:fPr>
                    <m:ctrlPr>
                      <w:rPr>
                        <w:rFonts w:ascii="Cambria Math" w:hAnsi="Cambria Math" w:cstheme="majorBidi"/>
                        <w:i/>
                        <w:iCs/>
                      </w:rPr>
                    </m:ctrlPr>
                  </m:fPr>
                  <m:num>
                    <m:sSub>
                      <m:sSubPr>
                        <m:ctrlPr>
                          <w:rPr>
                            <w:rFonts w:ascii="Cambria Math" w:hAnsi="Cambria Math" w:cstheme="majorBidi"/>
                            <w:i/>
                            <w:iCs/>
                          </w:rPr>
                        </m:ctrlPr>
                      </m:sSubPr>
                      <m:e>
                        <m:r>
                          <w:rPr>
                            <w:rFonts w:ascii="Cambria Math" w:hAnsi="Cambria Math" w:cstheme="majorBidi"/>
                          </w:rPr>
                          <m:t>M</m:t>
                        </m:r>
                      </m:e>
                      <m:sub>
                        <m:r>
                          <w:rPr>
                            <w:rFonts w:ascii="Cambria Math" w:hAnsi="Cambria Math" w:cstheme="majorBidi"/>
                          </w:rPr>
                          <m:t>cr </m:t>
                        </m:r>
                      </m:sub>
                    </m:sSub>
                  </m:num>
                  <m:den>
                    <m:sSub>
                      <m:sSubPr>
                        <m:ctrlPr>
                          <w:rPr>
                            <w:rFonts w:ascii="Cambria Math" w:hAnsi="Cambria Math" w:cstheme="majorBidi"/>
                            <w:i/>
                            <w:iCs/>
                          </w:rPr>
                        </m:ctrlPr>
                      </m:sSubPr>
                      <m:e>
                        <m:r>
                          <w:rPr>
                            <w:rFonts w:ascii="Cambria Math" w:hAnsi="Cambria Math" w:cstheme="majorBidi"/>
                          </w:rPr>
                          <m:t>M</m:t>
                        </m:r>
                      </m:e>
                      <m:sub>
                        <m:r>
                          <w:rPr>
                            <w:rFonts w:ascii="Cambria Math" w:hAnsi="Cambria Math" w:cstheme="majorBidi"/>
                          </w:rPr>
                          <m:t>a</m:t>
                        </m:r>
                      </m:sub>
                    </m:sSub>
                  </m:den>
                </m:f>
              </m:e>
            </m:d>
          </m:e>
          <m:sup>
            <m:r>
              <m:rPr>
                <m:sty m:val="p"/>
              </m:rPr>
              <w:rPr>
                <w:rFonts w:ascii="Cambria Math" w:hAnsi="Cambria Math" w:cstheme="majorBidi"/>
              </w:rPr>
              <m:t>2</m:t>
            </m:r>
          </m:sup>
        </m:sSup>
        <m:r>
          <w:rPr>
            <w:rFonts w:ascii="Cambria Math" w:hAnsi="Cambria Math" w:cstheme="majorBidi"/>
          </w:rPr>
          <m:t>]</m:t>
        </m:r>
      </m:oMath>
      <w:r w:rsidRPr="00CD176A">
        <w:tab/>
        <w:t>(3)</w:t>
      </w:r>
    </w:p>
    <w:p w14:paraId="270F089F" w14:textId="77777777" w:rsidR="00BF29F9" w:rsidRDefault="00193950" w:rsidP="00E451B2">
      <w:pPr>
        <w:pStyle w:val="ListParagraph"/>
        <w:spacing w:after="0"/>
        <w:ind w:left="0"/>
        <w:jc w:val="both"/>
        <w:rPr>
          <w:rFonts w:ascii="Times New Roman" w:eastAsia="Times New Roman" w:hAnsi="Times New Roman" w:cs="Times New Roman"/>
          <w:sz w:val="20"/>
          <w:szCs w:val="20"/>
          <w:lang w:val="en-US" w:eastAsia="ar-SA"/>
        </w:rPr>
      </w:pPr>
      <w:r w:rsidRPr="00BF29F9">
        <w:rPr>
          <w:rFonts w:ascii="Times New Roman" w:eastAsia="Times New Roman" w:hAnsi="Times New Roman" w:cs="Times New Roman"/>
          <w:sz w:val="20"/>
          <w:szCs w:val="20"/>
          <w:lang w:val="en-US" w:eastAsia="ar-SA"/>
        </w:rPr>
        <w:t xml:space="preserve">where c is the concrete cover (mm); </w:t>
      </w:r>
      <m:oMath>
        <m:sSub>
          <m:sSubPr>
            <m:ctrlPr>
              <w:rPr>
                <w:rFonts w:ascii="Cambria Math" w:hAnsi="Cambria Math" w:cstheme="majorBidi"/>
                <w:i/>
                <w:iCs/>
                <w:sz w:val="20"/>
                <w:szCs w:val="20"/>
                <w:lang w:val="en-US"/>
              </w:rPr>
            </m:ctrlPr>
          </m:sSubPr>
          <m:e>
            <m:r>
              <w:rPr>
                <w:rFonts w:ascii="Cambria Math" w:hAnsi="Cambria Math" w:cstheme="majorBidi"/>
                <w:sz w:val="20"/>
                <w:szCs w:val="20"/>
              </w:rPr>
              <m:t>M</m:t>
            </m:r>
          </m:e>
          <m:sub>
            <m:r>
              <w:rPr>
                <w:rFonts w:ascii="Cambria Math" w:hAnsi="Cambria Math" w:cstheme="majorBidi"/>
                <w:sz w:val="20"/>
                <w:szCs w:val="20"/>
              </w:rPr>
              <m:t>cr</m:t>
            </m:r>
            <m:r>
              <w:rPr>
                <w:rFonts w:ascii="Cambria Math" w:hAnsi="Cambria Math" w:cstheme="majorBidi"/>
                <w:sz w:val="20"/>
                <w:szCs w:val="20"/>
                <w:lang w:val="en-US"/>
              </w:rPr>
              <m:t> </m:t>
            </m:r>
          </m:sub>
        </m:sSub>
      </m:oMath>
      <w:r w:rsidRPr="00BF29F9">
        <w:rPr>
          <w:rFonts w:ascii="Times New Roman" w:eastAsia="Times New Roman" w:hAnsi="Times New Roman" w:cs="Times New Roman"/>
          <w:sz w:val="20"/>
          <w:szCs w:val="20"/>
          <w:lang w:val="en-US" w:eastAsia="ar-SA"/>
        </w:rPr>
        <w:t>is the cracking moment (</w:t>
      </w:r>
      <m:oMath>
        <m:r>
          <w:rPr>
            <w:rFonts w:ascii="Cambria Math" w:eastAsia="Times New Roman" w:hAnsi="Cambria Math" w:cs="Times New Roman"/>
            <w:sz w:val="20"/>
            <w:szCs w:val="20"/>
            <w:lang w:val="en-US" w:eastAsia="ar-SA"/>
          </w:rPr>
          <m:t>kN. m</m:t>
        </m:r>
      </m:oMath>
      <w:r w:rsidRPr="00BF29F9">
        <w:rPr>
          <w:rFonts w:ascii="Times New Roman" w:eastAsia="Times New Roman" w:hAnsi="Times New Roman" w:cs="Times New Roman"/>
          <w:sz w:val="20"/>
          <w:szCs w:val="20"/>
          <w:lang w:val="en-US" w:eastAsia="ar-SA"/>
        </w:rPr>
        <w:t>); and</w:t>
      </w:r>
      <m:oMath>
        <m:r>
          <w:rPr>
            <w:rFonts w:ascii="Cambria Math" w:eastAsia="Times New Roman" w:hAnsi="Cambria Math" w:cs="Times New Roman"/>
            <w:sz w:val="20"/>
            <w:szCs w:val="20"/>
            <w:lang w:val="en-US" w:eastAsia="ar-SA"/>
          </w:rPr>
          <m:t xml:space="preserve"> </m:t>
        </m:r>
        <m:sSub>
          <m:sSubPr>
            <m:ctrlPr>
              <w:rPr>
                <w:rFonts w:ascii="Cambria Math" w:hAnsi="Cambria Math" w:cstheme="majorBidi"/>
                <w:i/>
                <w:iCs/>
                <w:sz w:val="20"/>
                <w:szCs w:val="20"/>
                <w:lang w:val="en-US"/>
              </w:rPr>
            </m:ctrlPr>
          </m:sSubPr>
          <m:e>
            <m:r>
              <w:rPr>
                <w:rFonts w:ascii="Cambria Math" w:hAnsi="Cambria Math" w:cstheme="majorBidi"/>
                <w:sz w:val="20"/>
                <w:szCs w:val="20"/>
              </w:rPr>
              <m:t>M</m:t>
            </m:r>
          </m:e>
          <m:sub>
            <m:r>
              <w:rPr>
                <w:rFonts w:ascii="Cambria Math" w:hAnsi="Cambria Math" w:cstheme="majorBidi"/>
                <w:sz w:val="20"/>
                <w:szCs w:val="20"/>
              </w:rPr>
              <m:t>a</m:t>
            </m:r>
          </m:sub>
        </m:sSub>
      </m:oMath>
      <w:r w:rsidRPr="00BF29F9">
        <w:rPr>
          <w:rFonts w:ascii="Times New Roman" w:eastAsia="Times New Roman" w:hAnsi="Times New Roman" w:cs="Times New Roman"/>
          <w:sz w:val="20"/>
          <w:szCs w:val="20"/>
          <w:lang w:val="en-US" w:eastAsia="ar-SA"/>
        </w:rPr>
        <w:t xml:space="preserve"> is the applied moment (</w:t>
      </w:r>
      <m:oMath>
        <m:r>
          <w:rPr>
            <w:rFonts w:ascii="Cambria Math" w:eastAsia="Times New Roman" w:hAnsi="Cambria Math" w:cs="Times New Roman"/>
            <w:sz w:val="20"/>
            <w:szCs w:val="20"/>
            <w:lang w:val="en-US" w:eastAsia="ar-SA"/>
          </w:rPr>
          <m:t>kN. m</m:t>
        </m:r>
      </m:oMath>
      <w:r>
        <w:rPr>
          <w:rFonts w:ascii="Times New Roman" w:eastAsia="Times New Roman" w:hAnsi="Times New Roman" w:cs="Times New Roman"/>
          <w:sz w:val="20"/>
          <w:szCs w:val="20"/>
          <w:lang w:val="en-US" w:eastAsia="ar-SA"/>
        </w:rPr>
        <w:t>).</w:t>
      </w:r>
    </w:p>
    <w:p w14:paraId="06CA9348" w14:textId="5326CC7A" w:rsidR="00BF29F9" w:rsidRDefault="001324BC" w:rsidP="00BF29F9">
      <w:pPr>
        <w:pStyle w:val="NormalIndent"/>
      </w:pPr>
      <w:r w:rsidRPr="00BF29F9">
        <w:t>The crack width, w, can be determined according to JSCE [7] by Eq. (4) and modified to Eq. (5) to consider the concrete cover to the center of the rebar.</w:t>
      </w:r>
    </w:p>
    <w:p w14:paraId="2480EAA1" w14:textId="77777777" w:rsidR="00BF29F9" w:rsidRDefault="00193950" w:rsidP="00BF29F9">
      <w:pPr>
        <w:pStyle w:val="Equation"/>
      </w:pPr>
      <w:r>
        <w:tab/>
      </w:r>
      <m:oMath>
        <m:r>
          <w:rPr>
            <w:rFonts w:ascii="Cambria Math" w:hAnsi="Cambria Math" w:cstheme="majorBidi"/>
          </w:rPr>
          <m:t>w</m:t>
        </m:r>
        <m:r>
          <m:rPr>
            <m:sty m:val="p"/>
          </m:rPr>
          <w:rPr>
            <w:rFonts w:ascii="Cambria Math" w:hAnsi="Cambria Math" w:cstheme="majorBidi"/>
          </w:rPr>
          <m:t>=</m:t>
        </m:r>
        <m:f>
          <m:fPr>
            <m:ctrlPr>
              <w:rPr>
                <w:rFonts w:ascii="Cambria Math" w:hAnsi="Cambria Math" w:cstheme="majorBidi"/>
                <w:i/>
                <w:iCs/>
              </w:rPr>
            </m:ctrlPr>
          </m:fPr>
          <m:num>
            <m:sSub>
              <m:sSubPr>
                <m:ctrlPr>
                  <w:rPr>
                    <w:rFonts w:ascii="Cambria Math" w:hAnsi="Cambria Math" w:cstheme="majorBidi"/>
                    <w:i/>
                    <w:iCs/>
                  </w:rPr>
                </m:ctrlPr>
              </m:sSubPr>
              <m:e>
                <m:r>
                  <w:rPr>
                    <w:rFonts w:ascii="Cambria Math" w:hAnsi="Cambria Math" w:cstheme="majorBidi"/>
                  </w:rPr>
                  <m:t>f</m:t>
                </m:r>
              </m:e>
              <m:sub>
                <m:r>
                  <w:rPr>
                    <w:rFonts w:ascii="Cambria Math" w:hAnsi="Cambria Math" w:cstheme="majorBidi"/>
                  </w:rPr>
                  <m:t>f</m:t>
                </m:r>
              </m:sub>
            </m:sSub>
          </m:num>
          <m:den>
            <m:sSub>
              <m:sSubPr>
                <m:ctrlPr>
                  <w:rPr>
                    <w:rFonts w:ascii="Cambria Math" w:hAnsi="Cambria Math" w:cstheme="majorBidi"/>
                    <w:i/>
                    <w:iCs/>
                  </w:rPr>
                </m:ctrlPr>
              </m:sSubPr>
              <m:e>
                <m:r>
                  <w:rPr>
                    <w:rFonts w:ascii="Cambria Math" w:hAnsi="Cambria Math" w:cstheme="majorBidi"/>
                  </w:rPr>
                  <m:t>E</m:t>
                </m:r>
              </m:e>
              <m:sub>
                <m:r>
                  <w:rPr>
                    <w:rFonts w:ascii="Cambria Math" w:hAnsi="Cambria Math" w:cstheme="majorBidi"/>
                  </w:rPr>
                  <m:t>f</m:t>
                </m:r>
              </m:sub>
            </m:sSub>
          </m:den>
        </m:f>
        <m:r>
          <w:rPr>
            <w:rFonts w:ascii="Cambria Math" w:hAnsi="Cambria Math" w:cstheme="majorBidi"/>
          </w:rPr>
          <m:t>β</m:t>
        </m:r>
        <m:sSub>
          <m:sSubPr>
            <m:ctrlPr>
              <w:rPr>
                <w:rFonts w:ascii="Cambria Math" w:hAnsi="Cambria Math" w:cstheme="majorBidi"/>
                <w:i/>
                <w:iCs/>
              </w:rPr>
            </m:ctrlPr>
          </m:sSubPr>
          <m:e>
            <m:r>
              <w:rPr>
                <w:rFonts w:ascii="Cambria Math" w:hAnsi="Cambria Math" w:cstheme="majorBidi"/>
              </w:rPr>
              <m:t>k</m:t>
            </m:r>
          </m:e>
          <m:sub>
            <m:r>
              <w:rPr>
                <w:rFonts w:ascii="Cambria Math" w:hAnsi="Cambria Math" w:cstheme="majorBidi"/>
              </w:rPr>
              <m:t>b</m:t>
            </m:r>
          </m:sub>
        </m:sSub>
        <m:r>
          <w:rPr>
            <w:rFonts w:ascii="Cambria Math" w:hAnsi="Cambria Math" w:cstheme="majorBidi"/>
          </w:rPr>
          <m:t>(</m:t>
        </m:r>
        <m:r>
          <w:rPr>
            <w:rFonts w:ascii="Cambria Math" w:hAnsi="Cambria Math"/>
          </w:rPr>
          <m:t>4c+0.7s</m:t>
        </m:r>
        <m:r>
          <w:rPr>
            <w:rFonts w:ascii="Cambria Math" w:hAnsi="Cambria Math" w:cstheme="majorBidi"/>
          </w:rPr>
          <m:t>)</m:t>
        </m:r>
      </m:oMath>
      <w:r w:rsidRPr="00CD176A">
        <w:tab/>
        <w:t>(4)</w:t>
      </w:r>
    </w:p>
    <w:p w14:paraId="00B5E22E" w14:textId="77777777" w:rsidR="001324BC" w:rsidRPr="001324BC" w:rsidRDefault="00193950" w:rsidP="001324BC">
      <w:pPr>
        <w:pStyle w:val="Equation"/>
      </w:pPr>
      <w:r>
        <w:tab/>
      </w:r>
      <m:oMath>
        <m:r>
          <w:rPr>
            <w:rFonts w:ascii="Cambria Math" w:hAnsi="Cambria Math" w:cstheme="majorBidi"/>
          </w:rPr>
          <m:t>w</m:t>
        </m:r>
        <m:r>
          <m:rPr>
            <m:sty m:val="p"/>
          </m:rPr>
          <w:rPr>
            <w:rFonts w:ascii="Cambria Math" w:hAnsi="Cambria Math" w:cstheme="majorBidi"/>
          </w:rPr>
          <m:t>=</m:t>
        </m:r>
        <m:f>
          <m:fPr>
            <m:ctrlPr>
              <w:rPr>
                <w:rFonts w:ascii="Cambria Math" w:hAnsi="Cambria Math" w:cstheme="majorBidi"/>
                <w:i/>
                <w:iCs/>
              </w:rPr>
            </m:ctrlPr>
          </m:fPr>
          <m:num>
            <m:sSub>
              <m:sSubPr>
                <m:ctrlPr>
                  <w:rPr>
                    <w:rFonts w:ascii="Cambria Math" w:hAnsi="Cambria Math" w:cstheme="majorBidi"/>
                    <w:i/>
                    <w:iCs/>
                  </w:rPr>
                </m:ctrlPr>
              </m:sSubPr>
              <m:e>
                <m:r>
                  <w:rPr>
                    <w:rFonts w:ascii="Cambria Math" w:hAnsi="Cambria Math" w:cstheme="majorBidi"/>
                  </w:rPr>
                  <m:t>f</m:t>
                </m:r>
              </m:e>
              <m:sub>
                <m:r>
                  <w:rPr>
                    <w:rFonts w:ascii="Cambria Math" w:hAnsi="Cambria Math" w:cstheme="majorBidi"/>
                  </w:rPr>
                  <m:t>f</m:t>
                </m:r>
              </m:sub>
            </m:sSub>
          </m:num>
          <m:den>
            <m:sSub>
              <m:sSubPr>
                <m:ctrlPr>
                  <w:rPr>
                    <w:rFonts w:ascii="Cambria Math" w:hAnsi="Cambria Math" w:cstheme="majorBidi"/>
                    <w:i/>
                    <w:iCs/>
                  </w:rPr>
                </m:ctrlPr>
              </m:sSubPr>
              <m:e>
                <m:r>
                  <w:rPr>
                    <w:rFonts w:ascii="Cambria Math" w:hAnsi="Cambria Math" w:cstheme="majorBidi"/>
                  </w:rPr>
                  <m:t>E</m:t>
                </m:r>
              </m:e>
              <m:sub>
                <m:r>
                  <w:rPr>
                    <w:rFonts w:ascii="Cambria Math" w:hAnsi="Cambria Math" w:cstheme="majorBidi"/>
                  </w:rPr>
                  <m:t>f</m:t>
                </m:r>
              </m:sub>
            </m:sSub>
          </m:den>
        </m:f>
        <m:r>
          <w:rPr>
            <w:rFonts w:ascii="Cambria Math" w:hAnsi="Cambria Math" w:cstheme="majorBidi"/>
          </w:rPr>
          <m:t>β</m:t>
        </m:r>
        <m:sSub>
          <m:sSubPr>
            <m:ctrlPr>
              <w:rPr>
                <w:rFonts w:ascii="Cambria Math" w:hAnsi="Cambria Math" w:cstheme="majorBidi"/>
                <w:i/>
                <w:iCs/>
              </w:rPr>
            </m:ctrlPr>
          </m:sSubPr>
          <m:e>
            <m:r>
              <w:rPr>
                <w:rFonts w:ascii="Cambria Math" w:hAnsi="Cambria Math" w:cstheme="majorBidi"/>
              </w:rPr>
              <m:t>k</m:t>
            </m:r>
          </m:e>
          <m:sub>
            <m:r>
              <w:rPr>
                <w:rFonts w:ascii="Cambria Math" w:hAnsi="Cambria Math" w:cstheme="majorBidi"/>
              </w:rPr>
              <m:t>b</m:t>
            </m:r>
          </m:sub>
        </m:sSub>
        <m:r>
          <w:rPr>
            <w:rFonts w:ascii="Cambria Math" w:hAnsi="Cambria Math" w:cstheme="majorBidi"/>
          </w:rPr>
          <m:t>(</m:t>
        </m:r>
        <m:r>
          <w:rPr>
            <w:rFonts w:ascii="Cambria Math" w:hAnsi="Cambria Math"/>
          </w:rPr>
          <m:t>4</m:t>
        </m:r>
        <m:sSub>
          <m:sSubPr>
            <m:ctrlPr>
              <w:rPr>
                <w:rFonts w:ascii="Cambria Math" w:hAnsi="Cambria Math" w:cstheme="majorBidi"/>
                <w:color w:val="2E2E2E"/>
                <w:lang w:eastAsia="en-CA"/>
              </w:rPr>
            </m:ctrlPr>
          </m:sSubPr>
          <m:e>
            <m:r>
              <w:rPr>
                <w:rFonts w:ascii="Cambria Math" w:hAnsi="Cambria Math" w:cstheme="majorBidi"/>
                <w:color w:val="2E2E2E"/>
                <w:lang w:eastAsia="en-CA"/>
              </w:rPr>
              <m:t>d</m:t>
            </m:r>
          </m:e>
          <m:sub>
            <m:r>
              <w:rPr>
                <w:rFonts w:ascii="Cambria Math" w:hAnsi="Cambria Math" w:cstheme="majorBidi"/>
                <w:color w:val="2E2E2E"/>
                <w:lang w:eastAsia="en-CA"/>
              </w:rPr>
              <m:t>c</m:t>
            </m:r>
          </m:sub>
        </m:sSub>
        <m:r>
          <w:rPr>
            <w:rFonts w:ascii="Cambria Math" w:hAnsi="Cambria Math"/>
          </w:rPr>
          <m:t>+0.7s</m:t>
        </m:r>
        <m:r>
          <w:rPr>
            <w:rFonts w:ascii="Cambria Math" w:hAnsi="Cambria Math" w:cstheme="majorBidi"/>
          </w:rPr>
          <m:t>)</m:t>
        </m:r>
      </m:oMath>
      <w:r w:rsidRPr="00CD176A">
        <w:tab/>
        <w:t>(5)</w:t>
      </w:r>
    </w:p>
    <w:p w14:paraId="5CB2C152" w14:textId="77777777" w:rsidR="005439BD" w:rsidRDefault="00193950" w:rsidP="009072FF">
      <w:pPr>
        <w:pStyle w:val="NormalIndent"/>
      </w:pPr>
      <w:r>
        <w:t xml:space="preserve">It can be concluded that the crack width of RC elements is primarily affected by the tensile strain of the rebar, the concrete cover, the spacing between reinforcement and the bond </w:t>
      </w:r>
      <w:proofErr w:type="spellStart"/>
      <w:r>
        <w:t>behaviour</w:t>
      </w:r>
      <w:proofErr w:type="spellEnd"/>
      <w:r>
        <w:t xml:space="preserve"> between concrete and rebar.</w:t>
      </w:r>
    </w:p>
    <w:p w14:paraId="50AF52FC" w14:textId="77777777" w:rsidR="00B93BDD" w:rsidRDefault="00193950" w:rsidP="00B93BDD">
      <w:pPr>
        <w:pStyle w:val="Heading1"/>
      </w:pPr>
      <w:r>
        <w:t>bOND COEFFICIENT ADJUSTED TO THE EXPERIMENTAL DATABASE</w:t>
      </w:r>
    </w:p>
    <w:p w14:paraId="710F7DF0" w14:textId="1CCA42C0" w:rsidR="00C01FF8" w:rsidRPr="00C01FF8" w:rsidRDefault="00193950" w:rsidP="00793C3B">
      <w:r>
        <w:rPr>
          <w:color w:val="000000"/>
          <w:shd w:val="clear" w:color="auto" w:fill="FFFFFF"/>
        </w:rPr>
        <w:t xml:space="preserve">An aspect of FRP RC structures that needs further exploration is how concrete and reinforcement </w:t>
      </w:r>
      <w:r>
        <w:rPr>
          <w:color w:val="000000"/>
        </w:rPr>
        <w:t>bonds influence</w:t>
      </w:r>
      <w:r>
        <w:rPr>
          <w:color w:val="000000"/>
          <w:shd w:val="clear" w:color="auto" w:fill="FFFFFF"/>
        </w:rPr>
        <w:t xml:space="preserve"> crack width</w:t>
      </w:r>
      <w:r w:rsidR="00B93BDD" w:rsidRPr="00B93BDD">
        <w:t>. In this section</w:t>
      </w:r>
      <w:r>
        <w:t>,</w:t>
      </w:r>
      <w:r w:rsidR="00B93BDD" w:rsidRPr="00B93BDD">
        <w:t xml:space="preserve"> a bond coefficient </w:t>
      </w:r>
      <w:bookmarkStart w:id="1" w:name="_Hlk109374366"/>
      <m:oMath>
        <m:sSub>
          <m:sSubPr>
            <m:ctrlPr>
              <w:rPr>
                <w:rFonts w:ascii="Cambria Math" w:hAnsi="Cambria Math"/>
                <w:color w:val="2E2E2E"/>
                <w:lang w:eastAsia="en-CA"/>
              </w:rPr>
            </m:ctrlPr>
          </m:sSubPr>
          <m:e>
            <m:r>
              <w:rPr>
                <w:rFonts w:ascii="Cambria Math" w:hAnsi="Cambria Math"/>
                <w:color w:val="2E2E2E"/>
                <w:lang w:eastAsia="en-CA"/>
              </w:rPr>
              <m:t>(k</m:t>
            </m:r>
          </m:e>
          <m:sub>
            <m:r>
              <w:rPr>
                <w:rFonts w:ascii="Cambria Math" w:hAnsi="Cambria Math"/>
                <w:color w:val="2E2E2E"/>
                <w:lang w:eastAsia="en-CA"/>
              </w:rPr>
              <m:t>b</m:t>
            </m:r>
          </m:sub>
        </m:sSub>
      </m:oMath>
      <w:bookmarkEnd w:id="1"/>
      <w:r w:rsidR="00B427E7">
        <w:t xml:space="preserve">) is adjusted to the experimental maximum crack width of a total </w:t>
      </w:r>
      <w:r>
        <w:t>of</w:t>
      </w:r>
      <w:r w:rsidR="00B427E7">
        <w:t xml:space="preserve"> 60 different beam tests in the literature (Table 1). Table 2 </w:t>
      </w:r>
      <w:r>
        <w:t>lists</w:t>
      </w:r>
      <w:r w:rsidR="00B427E7">
        <w:t xml:space="preserve"> the </w:t>
      </w:r>
      <w:r w:rsidR="008035F7">
        <w:t>four</w:t>
      </w:r>
      <w:r w:rsidR="00B427E7">
        <w:t xml:space="preserve"> surfaces of GFRP </w:t>
      </w:r>
      <w:r w:rsidR="000A7FA2">
        <w:t>rebars</w:t>
      </w:r>
      <w:r w:rsidR="00B427E7">
        <w:t xml:space="preserve"> used in these beams.</w:t>
      </w:r>
    </w:p>
    <w:p w14:paraId="7A5F4BB5" w14:textId="77777777" w:rsidR="00B427E7" w:rsidRDefault="00193950" w:rsidP="005A55C2">
      <w:pPr>
        <w:pStyle w:val="Caption"/>
        <w:keepNext/>
        <w:spacing w:before="60" w:after="0"/>
      </w:pPr>
      <w:r>
        <w:t xml:space="preserve">Table </w:t>
      </w:r>
      <w:r>
        <w:fldChar w:fldCharType="begin"/>
      </w:r>
      <w:r>
        <w:instrText xml:space="preserve"> SEQ Table \* ARABIC </w:instrText>
      </w:r>
      <w:r>
        <w:fldChar w:fldCharType="separate"/>
      </w:r>
      <w:r>
        <w:rPr>
          <w:noProof/>
        </w:rPr>
        <w:t>1</w:t>
      </w:r>
      <w:r>
        <w:fldChar w:fldCharType="end"/>
      </w:r>
      <w:r>
        <w:t xml:space="preserve">. </w:t>
      </w:r>
      <w:r w:rsidR="007924C4">
        <w:rPr>
          <w:color w:val="000000"/>
          <w:shd w:val="clear" w:color="auto" w:fill="FFFFFF"/>
        </w:rPr>
        <w:t>Database summary</w:t>
      </w:r>
    </w:p>
    <w:tbl>
      <w:tblPr>
        <w:tblW w:w="0" w:type="auto"/>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985"/>
        <w:gridCol w:w="1985"/>
      </w:tblGrid>
      <w:tr w:rsidR="00101A30" w14:paraId="3FC70F5A" w14:textId="77777777" w:rsidTr="005A55C2">
        <w:trPr>
          <w:jc w:val="center"/>
        </w:trPr>
        <w:tc>
          <w:tcPr>
            <w:tcW w:w="1985" w:type="dxa"/>
          </w:tcPr>
          <w:p w14:paraId="34E851C5" w14:textId="77777777" w:rsidR="00C01FF8" w:rsidRPr="009B2AE6" w:rsidRDefault="00193950" w:rsidP="005A55C2">
            <w:pPr>
              <w:pStyle w:val="NormalIndent"/>
              <w:ind w:firstLine="0"/>
              <w:jc w:val="center"/>
              <w:rPr>
                <w:sz w:val="19"/>
                <w:szCs w:val="19"/>
              </w:rPr>
            </w:pPr>
            <w:r w:rsidRPr="009B2AE6">
              <w:rPr>
                <w:sz w:val="19"/>
                <w:szCs w:val="19"/>
              </w:rPr>
              <w:t>References</w:t>
            </w:r>
          </w:p>
        </w:tc>
        <w:tc>
          <w:tcPr>
            <w:tcW w:w="1985" w:type="dxa"/>
          </w:tcPr>
          <w:p w14:paraId="4F95C583" w14:textId="77777777" w:rsidR="00C01FF8" w:rsidRPr="009B2AE6" w:rsidRDefault="00193950" w:rsidP="005A55C2">
            <w:pPr>
              <w:pStyle w:val="NormalIndent"/>
              <w:ind w:firstLine="0"/>
              <w:jc w:val="center"/>
              <w:rPr>
                <w:sz w:val="19"/>
                <w:szCs w:val="19"/>
              </w:rPr>
            </w:pPr>
            <w:r w:rsidRPr="009B2AE6">
              <w:rPr>
                <w:sz w:val="19"/>
                <w:szCs w:val="19"/>
              </w:rPr>
              <w:t>Number of the beams</w:t>
            </w:r>
          </w:p>
        </w:tc>
      </w:tr>
      <w:tr w:rsidR="00101A30" w14:paraId="7E10A1A7" w14:textId="77777777" w:rsidTr="005A55C2">
        <w:trPr>
          <w:jc w:val="center"/>
        </w:trPr>
        <w:tc>
          <w:tcPr>
            <w:tcW w:w="1985" w:type="dxa"/>
            <w:tcBorders>
              <w:bottom w:val="nil"/>
            </w:tcBorders>
          </w:tcPr>
          <w:p w14:paraId="52A4C497" w14:textId="77777777" w:rsidR="00C01FF8" w:rsidRPr="009B2AE6" w:rsidRDefault="00193950" w:rsidP="005A55C2">
            <w:pPr>
              <w:pStyle w:val="NormalIndent"/>
              <w:ind w:firstLine="0"/>
              <w:jc w:val="center"/>
              <w:rPr>
                <w:sz w:val="19"/>
                <w:szCs w:val="19"/>
              </w:rPr>
            </w:pPr>
            <w:r w:rsidRPr="009B2AE6">
              <w:rPr>
                <w:sz w:val="19"/>
                <w:szCs w:val="19"/>
              </w:rPr>
              <w:t>Shang [8]</w:t>
            </w:r>
          </w:p>
        </w:tc>
        <w:tc>
          <w:tcPr>
            <w:tcW w:w="1985" w:type="dxa"/>
            <w:tcBorders>
              <w:bottom w:val="nil"/>
            </w:tcBorders>
          </w:tcPr>
          <w:p w14:paraId="1616A6FB" w14:textId="77777777" w:rsidR="00C01FF8" w:rsidRPr="009B2AE6" w:rsidRDefault="00193950" w:rsidP="005A55C2">
            <w:pPr>
              <w:pStyle w:val="NormalIndent"/>
              <w:ind w:firstLine="0"/>
              <w:jc w:val="center"/>
              <w:rPr>
                <w:sz w:val="19"/>
                <w:szCs w:val="19"/>
              </w:rPr>
            </w:pPr>
            <w:r w:rsidRPr="009B2AE6">
              <w:rPr>
                <w:sz w:val="19"/>
                <w:szCs w:val="19"/>
              </w:rPr>
              <w:t>7</w:t>
            </w:r>
          </w:p>
        </w:tc>
      </w:tr>
      <w:tr w:rsidR="00101A30" w14:paraId="7DB1A4C0" w14:textId="77777777" w:rsidTr="005A55C2">
        <w:trPr>
          <w:jc w:val="center"/>
        </w:trPr>
        <w:tc>
          <w:tcPr>
            <w:tcW w:w="1985" w:type="dxa"/>
            <w:tcBorders>
              <w:top w:val="nil"/>
              <w:bottom w:val="nil"/>
            </w:tcBorders>
          </w:tcPr>
          <w:p w14:paraId="5F1685E4" w14:textId="77777777" w:rsidR="00C01FF8" w:rsidRPr="009B2AE6" w:rsidRDefault="006A411E" w:rsidP="005A55C2">
            <w:pPr>
              <w:pStyle w:val="NormalIndent"/>
              <w:ind w:firstLine="0"/>
              <w:jc w:val="center"/>
              <w:rPr>
                <w:sz w:val="19"/>
                <w:szCs w:val="19"/>
              </w:rPr>
            </w:pPr>
            <w:proofErr w:type="spellStart"/>
            <w:r w:rsidRPr="009B2AE6">
              <w:rPr>
                <w:sz w:val="19"/>
                <w:szCs w:val="19"/>
              </w:rPr>
              <w:t>Abdelkarima</w:t>
            </w:r>
            <w:proofErr w:type="spellEnd"/>
            <w:r w:rsidRPr="009B2AE6">
              <w:rPr>
                <w:sz w:val="19"/>
                <w:szCs w:val="19"/>
              </w:rPr>
              <w:t xml:space="preserve"> et al. [9]</w:t>
            </w:r>
          </w:p>
        </w:tc>
        <w:tc>
          <w:tcPr>
            <w:tcW w:w="1985" w:type="dxa"/>
            <w:tcBorders>
              <w:top w:val="nil"/>
              <w:bottom w:val="nil"/>
            </w:tcBorders>
          </w:tcPr>
          <w:p w14:paraId="7E1B7057" w14:textId="77777777" w:rsidR="00C01FF8" w:rsidRPr="009B2AE6" w:rsidRDefault="00193950" w:rsidP="005A55C2">
            <w:pPr>
              <w:pStyle w:val="NormalIndent"/>
              <w:ind w:firstLine="0"/>
              <w:jc w:val="center"/>
              <w:rPr>
                <w:sz w:val="19"/>
                <w:szCs w:val="19"/>
              </w:rPr>
            </w:pPr>
            <w:r w:rsidRPr="009B2AE6">
              <w:rPr>
                <w:sz w:val="19"/>
                <w:szCs w:val="19"/>
              </w:rPr>
              <w:t>7</w:t>
            </w:r>
          </w:p>
        </w:tc>
      </w:tr>
      <w:tr w:rsidR="00101A30" w14:paraId="3B383F52" w14:textId="77777777" w:rsidTr="005A55C2">
        <w:trPr>
          <w:jc w:val="center"/>
        </w:trPr>
        <w:tc>
          <w:tcPr>
            <w:tcW w:w="1985" w:type="dxa"/>
            <w:tcBorders>
              <w:top w:val="nil"/>
              <w:bottom w:val="nil"/>
            </w:tcBorders>
          </w:tcPr>
          <w:p w14:paraId="230A505D" w14:textId="77777777" w:rsidR="00C01FF8" w:rsidRPr="009B2AE6" w:rsidRDefault="006A411E" w:rsidP="005A55C2">
            <w:pPr>
              <w:pStyle w:val="NormalIndent"/>
              <w:ind w:firstLine="0"/>
              <w:jc w:val="center"/>
              <w:rPr>
                <w:sz w:val="19"/>
                <w:szCs w:val="19"/>
              </w:rPr>
            </w:pPr>
            <w:r w:rsidRPr="009B2AE6">
              <w:rPr>
                <w:sz w:val="19"/>
                <w:szCs w:val="19"/>
              </w:rPr>
              <w:t>El-Nemr et al. [10]</w:t>
            </w:r>
          </w:p>
        </w:tc>
        <w:tc>
          <w:tcPr>
            <w:tcW w:w="1985" w:type="dxa"/>
            <w:tcBorders>
              <w:top w:val="nil"/>
              <w:bottom w:val="nil"/>
            </w:tcBorders>
          </w:tcPr>
          <w:p w14:paraId="5DB9C7F1" w14:textId="77777777" w:rsidR="00C01FF8" w:rsidRPr="009B2AE6" w:rsidRDefault="00193950" w:rsidP="005A55C2">
            <w:pPr>
              <w:pStyle w:val="NormalIndent"/>
              <w:ind w:firstLine="0"/>
              <w:jc w:val="center"/>
              <w:rPr>
                <w:sz w:val="19"/>
                <w:szCs w:val="19"/>
              </w:rPr>
            </w:pPr>
            <w:r w:rsidRPr="009B2AE6">
              <w:rPr>
                <w:sz w:val="19"/>
                <w:szCs w:val="19"/>
              </w:rPr>
              <w:t>14</w:t>
            </w:r>
          </w:p>
        </w:tc>
      </w:tr>
      <w:tr w:rsidR="00101A30" w14:paraId="43C3B663" w14:textId="77777777" w:rsidTr="005A55C2">
        <w:trPr>
          <w:jc w:val="center"/>
        </w:trPr>
        <w:tc>
          <w:tcPr>
            <w:tcW w:w="1985" w:type="dxa"/>
            <w:tcBorders>
              <w:top w:val="nil"/>
            </w:tcBorders>
          </w:tcPr>
          <w:p w14:paraId="77E1ED4D" w14:textId="77777777" w:rsidR="00C01FF8" w:rsidRPr="000A541B" w:rsidRDefault="00BD1C99" w:rsidP="005A55C2">
            <w:pPr>
              <w:pStyle w:val="NormalIndent"/>
              <w:ind w:firstLine="0"/>
              <w:jc w:val="center"/>
              <w:rPr>
                <w:sz w:val="19"/>
                <w:szCs w:val="19"/>
                <w:lang w:val="fr-CA"/>
              </w:rPr>
            </w:pPr>
            <w:r w:rsidRPr="000A541B">
              <w:rPr>
                <w:sz w:val="19"/>
                <w:szCs w:val="19"/>
                <w:lang w:val="fr-CA"/>
              </w:rPr>
              <w:t>Ballet [11]</w:t>
            </w:r>
          </w:p>
          <w:p w14:paraId="31598BE0" w14:textId="77777777" w:rsidR="006A411E" w:rsidRPr="000A541B" w:rsidRDefault="00BD1C99" w:rsidP="005A55C2">
            <w:pPr>
              <w:pStyle w:val="NormalIndent"/>
              <w:ind w:firstLine="0"/>
              <w:jc w:val="center"/>
              <w:rPr>
                <w:sz w:val="19"/>
                <w:szCs w:val="19"/>
                <w:lang w:val="fr-CA"/>
              </w:rPr>
            </w:pPr>
            <w:r w:rsidRPr="000A541B">
              <w:rPr>
                <w:sz w:val="19"/>
                <w:szCs w:val="19"/>
                <w:lang w:val="fr-CA"/>
              </w:rPr>
              <w:t>El-</w:t>
            </w:r>
            <w:proofErr w:type="spellStart"/>
            <w:r w:rsidRPr="000A541B">
              <w:rPr>
                <w:sz w:val="19"/>
                <w:szCs w:val="19"/>
                <w:lang w:val="fr-CA"/>
              </w:rPr>
              <w:t>Nemr</w:t>
            </w:r>
            <w:proofErr w:type="spellEnd"/>
            <w:r w:rsidRPr="000A541B">
              <w:rPr>
                <w:sz w:val="19"/>
                <w:szCs w:val="19"/>
                <w:lang w:val="fr-CA"/>
              </w:rPr>
              <w:t xml:space="preserve"> et al. [12]</w:t>
            </w:r>
          </w:p>
          <w:p w14:paraId="5357CF3D" w14:textId="77777777" w:rsidR="006A411E" w:rsidRPr="000A541B" w:rsidRDefault="00BD1C99" w:rsidP="005A55C2">
            <w:pPr>
              <w:pStyle w:val="NormalIndent"/>
              <w:ind w:firstLine="0"/>
              <w:jc w:val="center"/>
              <w:rPr>
                <w:sz w:val="19"/>
                <w:szCs w:val="19"/>
                <w:lang w:val="fr-CA"/>
              </w:rPr>
            </w:pPr>
            <w:r w:rsidRPr="000A541B">
              <w:rPr>
                <w:sz w:val="19"/>
                <w:szCs w:val="19"/>
                <w:lang w:val="fr-CA"/>
              </w:rPr>
              <w:t>McCallum [13]</w:t>
            </w:r>
          </w:p>
          <w:p w14:paraId="6AB64035" w14:textId="77777777" w:rsidR="006A411E" w:rsidRPr="000A541B" w:rsidRDefault="005A55C2" w:rsidP="005A55C2">
            <w:pPr>
              <w:pStyle w:val="NormalIndent"/>
              <w:ind w:firstLine="0"/>
              <w:jc w:val="center"/>
              <w:rPr>
                <w:sz w:val="19"/>
                <w:szCs w:val="19"/>
                <w:lang w:val="fr-CA"/>
              </w:rPr>
            </w:pPr>
            <w:r w:rsidRPr="000A541B">
              <w:rPr>
                <w:sz w:val="19"/>
                <w:szCs w:val="19"/>
                <w:lang w:val="fr-CA"/>
              </w:rPr>
              <w:t>Kassem et al. [14]</w:t>
            </w:r>
          </w:p>
          <w:p w14:paraId="6CCA246B" w14:textId="77777777" w:rsidR="006A411E" w:rsidRPr="000A541B" w:rsidRDefault="006A411E" w:rsidP="005A55C2">
            <w:pPr>
              <w:pStyle w:val="NormalIndent"/>
              <w:ind w:firstLine="0"/>
              <w:jc w:val="center"/>
              <w:rPr>
                <w:sz w:val="19"/>
                <w:szCs w:val="19"/>
                <w:lang w:val="fr-CA"/>
              </w:rPr>
            </w:pPr>
          </w:p>
          <w:p w14:paraId="21E3FDAE" w14:textId="77777777" w:rsidR="006A411E" w:rsidRPr="000A541B" w:rsidRDefault="00193950" w:rsidP="005A55C2">
            <w:pPr>
              <w:pStyle w:val="NormalIndent"/>
              <w:ind w:firstLine="0"/>
              <w:jc w:val="center"/>
              <w:rPr>
                <w:sz w:val="19"/>
                <w:szCs w:val="19"/>
                <w:lang w:val="fr-CA"/>
              </w:rPr>
            </w:pPr>
            <w:r w:rsidRPr="000A541B">
              <w:rPr>
                <w:sz w:val="19"/>
                <w:szCs w:val="19"/>
                <w:lang w:val="fr-CA"/>
              </w:rPr>
              <w:t>Total</w:t>
            </w:r>
          </w:p>
        </w:tc>
        <w:tc>
          <w:tcPr>
            <w:tcW w:w="1985" w:type="dxa"/>
            <w:tcBorders>
              <w:top w:val="nil"/>
            </w:tcBorders>
          </w:tcPr>
          <w:p w14:paraId="4287C9C3" w14:textId="77777777" w:rsidR="00C01FF8" w:rsidRPr="009B2AE6" w:rsidRDefault="00193950" w:rsidP="005A55C2">
            <w:pPr>
              <w:pStyle w:val="NormalIndent"/>
              <w:ind w:firstLine="0"/>
              <w:jc w:val="center"/>
              <w:rPr>
                <w:sz w:val="19"/>
                <w:szCs w:val="19"/>
              </w:rPr>
            </w:pPr>
            <w:r w:rsidRPr="009B2AE6">
              <w:rPr>
                <w:sz w:val="19"/>
                <w:szCs w:val="19"/>
              </w:rPr>
              <w:t>16</w:t>
            </w:r>
          </w:p>
          <w:p w14:paraId="6E54179A" w14:textId="77777777" w:rsidR="006A411E" w:rsidRPr="009B2AE6" w:rsidRDefault="00193950" w:rsidP="005A55C2">
            <w:pPr>
              <w:pStyle w:val="NormalIndent"/>
              <w:ind w:firstLine="0"/>
              <w:jc w:val="center"/>
              <w:rPr>
                <w:sz w:val="19"/>
                <w:szCs w:val="19"/>
              </w:rPr>
            </w:pPr>
            <w:r w:rsidRPr="009B2AE6">
              <w:rPr>
                <w:sz w:val="19"/>
                <w:szCs w:val="19"/>
              </w:rPr>
              <w:t>6</w:t>
            </w:r>
          </w:p>
          <w:p w14:paraId="2B1A6004" w14:textId="77777777" w:rsidR="006A411E" w:rsidRPr="009B2AE6" w:rsidRDefault="00193950" w:rsidP="005A55C2">
            <w:pPr>
              <w:pStyle w:val="NormalIndent"/>
              <w:ind w:firstLine="0"/>
              <w:jc w:val="center"/>
              <w:rPr>
                <w:sz w:val="19"/>
                <w:szCs w:val="19"/>
              </w:rPr>
            </w:pPr>
            <w:r w:rsidRPr="009B2AE6">
              <w:rPr>
                <w:sz w:val="19"/>
                <w:szCs w:val="19"/>
              </w:rPr>
              <w:t>6</w:t>
            </w:r>
          </w:p>
          <w:p w14:paraId="2DE230AD" w14:textId="77777777" w:rsidR="006A411E" w:rsidRPr="009B2AE6" w:rsidRDefault="00193950" w:rsidP="005A55C2">
            <w:pPr>
              <w:pStyle w:val="NormalIndent"/>
              <w:ind w:firstLine="0"/>
              <w:jc w:val="center"/>
              <w:rPr>
                <w:sz w:val="19"/>
                <w:szCs w:val="19"/>
              </w:rPr>
            </w:pPr>
            <w:r w:rsidRPr="009B2AE6">
              <w:rPr>
                <w:sz w:val="19"/>
                <w:szCs w:val="19"/>
              </w:rPr>
              <w:t>4</w:t>
            </w:r>
          </w:p>
          <w:p w14:paraId="597231AA" w14:textId="77777777" w:rsidR="006A411E" w:rsidRPr="009B2AE6" w:rsidRDefault="006A411E" w:rsidP="005A55C2">
            <w:pPr>
              <w:pStyle w:val="NormalIndent"/>
              <w:ind w:firstLine="0"/>
              <w:jc w:val="center"/>
              <w:rPr>
                <w:sz w:val="19"/>
                <w:szCs w:val="19"/>
              </w:rPr>
            </w:pPr>
          </w:p>
          <w:p w14:paraId="0CE83847" w14:textId="77777777" w:rsidR="006A411E" w:rsidRPr="009B2AE6" w:rsidRDefault="00193950" w:rsidP="005A55C2">
            <w:pPr>
              <w:pStyle w:val="NormalIndent"/>
              <w:ind w:firstLine="0"/>
              <w:jc w:val="center"/>
              <w:rPr>
                <w:sz w:val="19"/>
                <w:szCs w:val="19"/>
              </w:rPr>
            </w:pPr>
            <w:r w:rsidRPr="009B2AE6">
              <w:rPr>
                <w:sz w:val="19"/>
                <w:szCs w:val="19"/>
              </w:rPr>
              <w:t>60</w:t>
            </w:r>
          </w:p>
        </w:tc>
      </w:tr>
    </w:tbl>
    <w:p w14:paraId="4638CF74" w14:textId="77777777" w:rsidR="003C527F" w:rsidRDefault="003C527F" w:rsidP="009B2AE6">
      <w:pPr>
        <w:pStyle w:val="NormalIndent"/>
        <w:spacing w:after="120"/>
        <w:ind w:firstLine="0"/>
      </w:pPr>
    </w:p>
    <w:p w14:paraId="0C7B66AB" w14:textId="5BE58D33" w:rsidR="005A55C2" w:rsidRDefault="00193950" w:rsidP="005A55C2">
      <w:pPr>
        <w:pStyle w:val="Caption"/>
        <w:keepNext/>
        <w:spacing w:before="60" w:after="0"/>
      </w:pPr>
      <w:r>
        <w:t xml:space="preserve">Table 2. </w:t>
      </w:r>
      <w:r w:rsidR="007924C4">
        <w:rPr>
          <w:color w:val="000000"/>
          <w:shd w:val="clear" w:color="auto" w:fill="FFFFFF"/>
        </w:rPr>
        <w:t xml:space="preserve">Database </w:t>
      </w:r>
      <w:r w:rsidR="00DF0718">
        <w:rPr>
          <w:color w:val="000000"/>
          <w:shd w:val="clear" w:color="auto" w:fill="FFFFFF"/>
        </w:rPr>
        <w:t>re</w:t>
      </w:r>
      <w:r w:rsidR="007924C4">
        <w:rPr>
          <w:color w:val="000000"/>
          <w:shd w:val="clear" w:color="auto" w:fill="FFFFFF"/>
        </w:rPr>
        <w:t>bar surfaces</w:t>
      </w:r>
    </w:p>
    <w:tbl>
      <w:tblPr>
        <w:tblW w:w="0" w:type="auto"/>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843"/>
        <w:gridCol w:w="1985"/>
      </w:tblGrid>
      <w:tr w:rsidR="00101A30" w14:paraId="5214B825" w14:textId="77777777" w:rsidTr="005A55C2">
        <w:trPr>
          <w:jc w:val="center"/>
        </w:trPr>
        <w:tc>
          <w:tcPr>
            <w:tcW w:w="1843" w:type="dxa"/>
          </w:tcPr>
          <w:p w14:paraId="751E5335" w14:textId="4703449C" w:rsidR="005A55C2" w:rsidRPr="009B2AE6" w:rsidRDefault="00DF0718" w:rsidP="005A55C2">
            <w:pPr>
              <w:pStyle w:val="NormalIndent"/>
              <w:ind w:firstLine="0"/>
              <w:jc w:val="center"/>
              <w:rPr>
                <w:sz w:val="19"/>
                <w:szCs w:val="19"/>
              </w:rPr>
            </w:pPr>
            <w:r>
              <w:rPr>
                <w:sz w:val="19"/>
                <w:szCs w:val="19"/>
              </w:rPr>
              <w:t>Rebar</w:t>
            </w:r>
            <w:r w:rsidR="00193950" w:rsidRPr="009B2AE6">
              <w:rPr>
                <w:sz w:val="19"/>
                <w:szCs w:val="19"/>
              </w:rPr>
              <w:t xml:space="preserve"> surfaces</w:t>
            </w:r>
          </w:p>
        </w:tc>
        <w:tc>
          <w:tcPr>
            <w:tcW w:w="1985" w:type="dxa"/>
          </w:tcPr>
          <w:p w14:paraId="276B1516" w14:textId="77777777" w:rsidR="005A55C2" w:rsidRPr="009B2AE6" w:rsidRDefault="00193950" w:rsidP="005A55C2">
            <w:pPr>
              <w:pStyle w:val="NormalIndent"/>
              <w:ind w:firstLine="0"/>
              <w:jc w:val="center"/>
              <w:rPr>
                <w:sz w:val="19"/>
                <w:szCs w:val="19"/>
              </w:rPr>
            </w:pPr>
            <w:r w:rsidRPr="009B2AE6">
              <w:rPr>
                <w:sz w:val="19"/>
                <w:szCs w:val="19"/>
              </w:rPr>
              <w:t>Number of the beams</w:t>
            </w:r>
          </w:p>
        </w:tc>
      </w:tr>
      <w:tr w:rsidR="00101A30" w14:paraId="030D1E19" w14:textId="77777777" w:rsidTr="005A55C2">
        <w:trPr>
          <w:jc w:val="center"/>
        </w:trPr>
        <w:tc>
          <w:tcPr>
            <w:tcW w:w="1843" w:type="dxa"/>
            <w:tcBorders>
              <w:bottom w:val="nil"/>
            </w:tcBorders>
          </w:tcPr>
          <w:p w14:paraId="7FE94465" w14:textId="77777777" w:rsidR="005A55C2" w:rsidRPr="009B2AE6" w:rsidRDefault="00193950" w:rsidP="005A55C2">
            <w:pPr>
              <w:pStyle w:val="NormalIndent"/>
              <w:ind w:firstLine="0"/>
              <w:jc w:val="center"/>
              <w:rPr>
                <w:sz w:val="19"/>
                <w:szCs w:val="19"/>
              </w:rPr>
            </w:pPr>
            <w:r w:rsidRPr="009B2AE6">
              <w:rPr>
                <w:sz w:val="19"/>
                <w:szCs w:val="19"/>
              </w:rPr>
              <w:t>Sand coated</w:t>
            </w:r>
          </w:p>
        </w:tc>
        <w:tc>
          <w:tcPr>
            <w:tcW w:w="1985" w:type="dxa"/>
            <w:tcBorders>
              <w:bottom w:val="nil"/>
            </w:tcBorders>
          </w:tcPr>
          <w:p w14:paraId="32F1D88B" w14:textId="77777777" w:rsidR="005A55C2" w:rsidRPr="009B2AE6" w:rsidRDefault="00193950" w:rsidP="005A55C2">
            <w:pPr>
              <w:pStyle w:val="NormalIndent"/>
              <w:ind w:firstLine="0"/>
              <w:jc w:val="center"/>
              <w:rPr>
                <w:sz w:val="19"/>
                <w:szCs w:val="19"/>
              </w:rPr>
            </w:pPr>
            <w:r w:rsidRPr="009B2AE6">
              <w:rPr>
                <w:sz w:val="19"/>
                <w:szCs w:val="19"/>
              </w:rPr>
              <w:t>31</w:t>
            </w:r>
          </w:p>
        </w:tc>
      </w:tr>
      <w:tr w:rsidR="00101A30" w14:paraId="6179CBFA" w14:textId="77777777" w:rsidTr="005A55C2">
        <w:trPr>
          <w:jc w:val="center"/>
        </w:trPr>
        <w:tc>
          <w:tcPr>
            <w:tcW w:w="1843" w:type="dxa"/>
            <w:tcBorders>
              <w:top w:val="nil"/>
              <w:bottom w:val="nil"/>
            </w:tcBorders>
          </w:tcPr>
          <w:p w14:paraId="29485124" w14:textId="77777777" w:rsidR="005A55C2" w:rsidRPr="009B2AE6" w:rsidRDefault="00193950" w:rsidP="005A55C2">
            <w:pPr>
              <w:pStyle w:val="NormalIndent"/>
              <w:ind w:firstLine="0"/>
              <w:jc w:val="center"/>
              <w:rPr>
                <w:sz w:val="19"/>
                <w:szCs w:val="19"/>
              </w:rPr>
            </w:pPr>
            <w:r w:rsidRPr="009B2AE6">
              <w:rPr>
                <w:sz w:val="19"/>
                <w:szCs w:val="19"/>
              </w:rPr>
              <w:t>Ribbed</w:t>
            </w:r>
          </w:p>
        </w:tc>
        <w:tc>
          <w:tcPr>
            <w:tcW w:w="1985" w:type="dxa"/>
            <w:tcBorders>
              <w:top w:val="nil"/>
              <w:bottom w:val="nil"/>
            </w:tcBorders>
          </w:tcPr>
          <w:p w14:paraId="565DA46D" w14:textId="77777777" w:rsidR="005A55C2" w:rsidRPr="009B2AE6" w:rsidRDefault="00193950" w:rsidP="005A55C2">
            <w:pPr>
              <w:pStyle w:val="NormalIndent"/>
              <w:ind w:firstLine="0"/>
              <w:jc w:val="center"/>
              <w:rPr>
                <w:sz w:val="19"/>
                <w:szCs w:val="19"/>
              </w:rPr>
            </w:pPr>
            <w:r w:rsidRPr="009B2AE6">
              <w:rPr>
                <w:sz w:val="19"/>
                <w:szCs w:val="19"/>
              </w:rPr>
              <w:t>18</w:t>
            </w:r>
          </w:p>
        </w:tc>
      </w:tr>
      <w:tr w:rsidR="00101A30" w14:paraId="2B8943E8" w14:textId="77777777" w:rsidTr="005A55C2">
        <w:trPr>
          <w:jc w:val="center"/>
        </w:trPr>
        <w:tc>
          <w:tcPr>
            <w:tcW w:w="1843" w:type="dxa"/>
            <w:tcBorders>
              <w:top w:val="nil"/>
              <w:bottom w:val="nil"/>
            </w:tcBorders>
          </w:tcPr>
          <w:p w14:paraId="1893229E" w14:textId="77777777" w:rsidR="005A55C2" w:rsidRPr="009B2AE6" w:rsidRDefault="00193950" w:rsidP="005A55C2">
            <w:pPr>
              <w:pStyle w:val="NormalIndent"/>
              <w:ind w:firstLine="0"/>
              <w:jc w:val="center"/>
              <w:rPr>
                <w:sz w:val="19"/>
                <w:szCs w:val="19"/>
              </w:rPr>
            </w:pPr>
            <w:r w:rsidRPr="009B2AE6">
              <w:rPr>
                <w:sz w:val="19"/>
                <w:szCs w:val="19"/>
              </w:rPr>
              <w:t>Grooved</w:t>
            </w:r>
          </w:p>
        </w:tc>
        <w:tc>
          <w:tcPr>
            <w:tcW w:w="1985" w:type="dxa"/>
            <w:tcBorders>
              <w:top w:val="nil"/>
              <w:bottom w:val="nil"/>
            </w:tcBorders>
          </w:tcPr>
          <w:p w14:paraId="5FA3D758" w14:textId="77777777" w:rsidR="005A55C2" w:rsidRPr="009B2AE6" w:rsidRDefault="00193950" w:rsidP="005A55C2">
            <w:pPr>
              <w:pStyle w:val="NormalIndent"/>
              <w:ind w:firstLine="0"/>
              <w:jc w:val="center"/>
              <w:rPr>
                <w:sz w:val="19"/>
                <w:szCs w:val="19"/>
              </w:rPr>
            </w:pPr>
            <w:r w:rsidRPr="009B2AE6">
              <w:rPr>
                <w:sz w:val="19"/>
                <w:szCs w:val="19"/>
              </w:rPr>
              <w:t>6</w:t>
            </w:r>
          </w:p>
        </w:tc>
      </w:tr>
      <w:tr w:rsidR="00101A30" w14:paraId="37EFAFCB" w14:textId="77777777" w:rsidTr="005A55C2">
        <w:trPr>
          <w:jc w:val="center"/>
        </w:trPr>
        <w:tc>
          <w:tcPr>
            <w:tcW w:w="1843" w:type="dxa"/>
            <w:tcBorders>
              <w:top w:val="nil"/>
            </w:tcBorders>
          </w:tcPr>
          <w:p w14:paraId="4BFED533" w14:textId="77777777" w:rsidR="005A55C2" w:rsidRPr="009B2AE6" w:rsidRDefault="00193950" w:rsidP="005A55C2">
            <w:pPr>
              <w:pStyle w:val="NormalIndent"/>
              <w:ind w:firstLine="0"/>
              <w:jc w:val="center"/>
              <w:rPr>
                <w:sz w:val="19"/>
                <w:szCs w:val="19"/>
              </w:rPr>
            </w:pPr>
            <w:r w:rsidRPr="009B2AE6">
              <w:rPr>
                <w:sz w:val="19"/>
                <w:szCs w:val="19"/>
              </w:rPr>
              <w:t>Helically Wrapped</w:t>
            </w:r>
          </w:p>
        </w:tc>
        <w:tc>
          <w:tcPr>
            <w:tcW w:w="1985" w:type="dxa"/>
            <w:tcBorders>
              <w:top w:val="nil"/>
            </w:tcBorders>
          </w:tcPr>
          <w:p w14:paraId="0A45EF08" w14:textId="77777777" w:rsidR="005A55C2" w:rsidRPr="009B2AE6" w:rsidRDefault="00193950" w:rsidP="005A55C2">
            <w:pPr>
              <w:pStyle w:val="NormalIndent"/>
              <w:ind w:firstLine="0"/>
              <w:jc w:val="center"/>
              <w:rPr>
                <w:sz w:val="19"/>
                <w:szCs w:val="19"/>
              </w:rPr>
            </w:pPr>
            <w:r w:rsidRPr="009B2AE6">
              <w:rPr>
                <w:sz w:val="19"/>
                <w:szCs w:val="19"/>
              </w:rPr>
              <w:t>5</w:t>
            </w:r>
          </w:p>
        </w:tc>
      </w:tr>
    </w:tbl>
    <w:p w14:paraId="0137C6D5" w14:textId="77777777" w:rsidR="00B427E7" w:rsidRDefault="00B427E7" w:rsidP="005A55C2">
      <w:pPr>
        <w:pStyle w:val="NormalIndent"/>
        <w:jc w:val="center"/>
      </w:pPr>
    </w:p>
    <w:p w14:paraId="53D382D0" w14:textId="77777777" w:rsidR="005439BD" w:rsidRDefault="00193950" w:rsidP="00AD01E6">
      <w:pPr>
        <w:pStyle w:val="NormalIndent"/>
      </w:pPr>
      <w:r w:rsidRPr="00B93BDD">
        <w:t>The bond coefficient is calculated at the assumed service moment value of 0.3M</w:t>
      </w:r>
      <w:r w:rsidRPr="00B427E7">
        <w:rPr>
          <w:vertAlign w:val="subscript"/>
        </w:rPr>
        <w:t>ult</w:t>
      </w:r>
      <w:r w:rsidR="00220884">
        <w:t xml:space="preserve">. ISIS Canada, ACI 440.1R-15, Eurocode2, and JSCE formulations are used for this goal. Their corresponding equations can be rearranged to find </w:t>
      </w:r>
      <m:oMath>
        <m:sSub>
          <m:sSubPr>
            <m:ctrlPr>
              <w:rPr>
                <w:rFonts w:ascii="Cambria Math" w:hAnsi="Cambria Math"/>
              </w:rPr>
            </m:ctrlPr>
          </m:sSubPr>
          <m:e>
            <m:r>
              <w:rPr>
                <w:rFonts w:ascii="Cambria Math" w:hAnsi="Cambria Math"/>
              </w:rPr>
              <m:t>k</m:t>
            </m:r>
          </m:e>
          <m:sub>
            <m:r>
              <w:rPr>
                <w:rFonts w:ascii="Cambria Math" w:hAnsi="Cambria Math"/>
              </w:rPr>
              <m:t>b</m:t>
            </m:r>
          </m:sub>
        </m:sSub>
      </m:oMath>
      <w:r w:rsidRPr="00B93BDD">
        <w:t>.</w:t>
      </w:r>
    </w:p>
    <w:p w14:paraId="744E508F" w14:textId="77777777" w:rsidR="00B93BDD" w:rsidRDefault="00193950" w:rsidP="009B2AE6">
      <w:pPr>
        <w:pStyle w:val="ListParagraph"/>
        <w:spacing w:after="0"/>
        <w:ind w:left="0"/>
        <w:jc w:val="both"/>
        <w:rPr>
          <w:rFonts w:ascii="Times New Roman" w:eastAsia="Times New Roman" w:hAnsi="Times New Roman" w:cs="Times New Roman"/>
          <w:sz w:val="20"/>
          <w:szCs w:val="20"/>
          <w:lang w:val="en-US" w:eastAsia="ar-SA"/>
        </w:rPr>
      </w:pPr>
      <w:r w:rsidRPr="000C0650">
        <w:rPr>
          <w:rFonts w:asciiTheme="majorBidi" w:hAnsiTheme="majorBidi" w:cstheme="majorBidi"/>
          <w:noProof/>
          <w:sz w:val="20"/>
          <w:szCs w:val="20"/>
        </w:rPr>
        <w:drawing>
          <wp:inline distT="0" distB="0" distL="0" distR="0" wp14:anchorId="6DBED6BF" wp14:editId="4D414FBA">
            <wp:extent cx="3185795" cy="1915064"/>
            <wp:effectExtent l="0" t="0" r="0" b="0"/>
            <wp:docPr id="7" name="Chart 7">
              <a:extLst xmlns:a="http://schemas.openxmlformats.org/drawingml/2006/main">
                <a:ext uri="{FF2B5EF4-FFF2-40B4-BE49-F238E27FC236}">
                  <a16:creationId xmlns:a16="http://schemas.microsoft.com/office/drawing/2014/main" id="{F1B60B7D-8E28-4254-85DC-775D7D662B7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B7571EF" w14:textId="0D5BA5D0" w:rsidR="00AD01E6" w:rsidRDefault="007924C4" w:rsidP="009072FF">
      <w:pPr>
        <w:pStyle w:val="Caption"/>
        <w:spacing w:before="0"/>
      </w:pPr>
      <w:r>
        <w:t>Figure 2. Bond</w:t>
      </w:r>
      <w:r w:rsidR="00193950">
        <w:t>-</w:t>
      </w:r>
      <w:r>
        <w:t>dependent coefficient corresponding to the code equations</w:t>
      </w:r>
    </w:p>
    <w:p w14:paraId="63A0E4EB" w14:textId="0FF4E638" w:rsidR="009072FF" w:rsidRPr="00C94CAB" w:rsidRDefault="00193950" w:rsidP="009072FF">
      <w:pPr>
        <w:pStyle w:val="NormalIndent"/>
      </w:pPr>
      <w:r>
        <w:t xml:space="preserve">Referring to Figure 2, the bond-dependent coefficient derived from ACI 440.1R-15 has the highest standard deviation among code provisions. </w:t>
      </w:r>
      <w:r w:rsidR="00027508">
        <w:rPr>
          <w:color w:val="000000"/>
          <w:shd w:val="clear" w:color="auto" w:fill="FFFFFF"/>
        </w:rPr>
        <w:t xml:space="preserve">Using </w:t>
      </w:r>
      <w:r>
        <w:rPr>
          <w:color w:val="000000"/>
        </w:rPr>
        <w:t>the modified</w:t>
      </w:r>
      <w:r w:rsidR="00027508">
        <w:rPr>
          <w:color w:val="000000"/>
          <w:shd w:val="clear" w:color="auto" w:fill="FFFFFF"/>
        </w:rPr>
        <w:t xml:space="preserve"> JSCE crack width equation, the bond coefficient factor produces the lowest standard deviation regardless of surface type.</w:t>
      </w:r>
    </w:p>
    <w:p w14:paraId="2E7AF865" w14:textId="77777777" w:rsidR="00AD01E6" w:rsidRDefault="00193950" w:rsidP="00AD01E6">
      <w:pPr>
        <w:pStyle w:val="Heading1"/>
      </w:pPr>
      <w:r>
        <w:t>cONCLUSION</w:t>
      </w:r>
    </w:p>
    <w:p w14:paraId="3E97F92F" w14:textId="77777777" w:rsidR="00AE02B4" w:rsidRPr="00AE02B4" w:rsidRDefault="00193950" w:rsidP="00AE02B4">
      <w:r w:rsidRPr="00AE02B4">
        <w:t>This paper presents a comparative study on the crack width of flexural RC structures. The following conclusions can be made from this investigation:</w:t>
      </w:r>
    </w:p>
    <w:p w14:paraId="673F4648" w14:textId="2192A8BD" w:rsidR="00AE02B4" w:rsidRPr="00BD2B9E" w:rsidRDefault="00193950" w:rsidP="00BD2B9E">
      <w:r w:rsidRPr="00BD2B9E">
        <w:t xml:space="preserve">- The tensile stress in the GFRP </w:t>
      </w:r>
      <w:r w:rsidR="000A7FA2">
        <w:t>rebar</w:t>
      </w:r>
      <w:r w:rsidRPr="00BD2B9E">
        <w:t xml:space="preserve"> is the main parameter influencing flexural crack width. Controlling </w:t>
      </w:r>
      <w:r w:rsidR="00DF0718">
        <w:t>re</w:t>
      </w:r>
      <w:r w:rsidRPr="00BD2B9E">
        <w:t xml:space="preserve">bar strain is the most efficient way to decrease the crack width. The concrete cover, </w:t>
      </w:r>
      <w:r w:rsidR="000A7FA2">
        <w:t>rebar</w:t>
      </w:r>
      <w:r w:rsidRPr="00BD2B9E">
        <w:t xml:space="preserve"> diameter, surface type and reinforcement distribution in the tension zone are also factors that influence crack width.</w:t>
      </w:r>
    </w:p>
    <w:p w14:paraId="01781991" w14:textId="77777777" w:rsidR="00AE02B4" w:rsidRPr="00BD2B9E" w:rsidRDefault="00193950" w:rsidP="00BD2B9E">
      <w:r>
        <w:t xml:space="preserve">- </w:t>
      </w:r>
      <w:r w:rsidR="00832990">
        <w:rPr>
          <w:color w:val="000000"/>
          <w:shd w:val="clear" w:color="auto" w:fill="FFFFFF"/>
        </w:rPr>
        <w:t>The ISIS Canada crack width equation does not take reinforcement spacing into account.</w:t>
      </w:r>
    </w:p>
    <w:p w14:paraId="7779883E" w14:textId="0583B65E" w:rsidR="00B93BDD" w:rsidRDefault="00AE02B4" w:rsidP="00CC1FE3">
      <w:r w:rsidRPr="00BD2B9E">
        <w:t xml:space="preserve">- Bond coefficient factor found by </w:t>
      </w:r>
      <w:r w:rsidR="00193950">
        <w:t>the modified</w:t>
      </w:r>
      <w:r w:rsidRPr="00BD2B9E">
        <w:t xml:space="preserve"> JSCE </w:t>
      </w:r>
      <w:r w:rsidR="00193950">
        <w:t>gives</w:t>
      </w:r>
      <w:r w:rsidRPr="00BD2B9E">
        <w:t xml:space="preserve"> the lowest value of the standard deviation from the statistical analysis.</w:t>
      </w:r>
    </w:p>
    <w:p w14:paraId="0C6CB80D" w14:textId="77777777" w:rsidR="00AD01E6" w:rsidRPr="006A411E" w:rsidRDefault="00193950" w:rsidP="000B03CD">
      <w:pPr>
        <w:pStyle w:val="Heading1"/>
        <w:numPr>
          <w:ilvl w:val="0"/>
          <w:numId w:val="0"/>
        </w:numPr>
      </w:pPr>
      <w:r>
        <w:t>References</w:t>
      </w:r>
      <w:r>
        <w:fldChar w:fldCharType="begin" w:fldLock="1"/>
      </w:r>
      <w:r>
        <w:instrText>ADDIN Mendeley Bibliography CSL_BIBLIOGRAPHY</w:instrText>
      </w:r>
      <w:r>
        <w:fldChar w:fldCharType="end"/>
      </w:r>
    </w:p>
    <w:p w14:paraId="41DD7D99" w14:textId="77777777" w:rsidR="00AD01E6" w:rsidRPr="00E649D7" w:rsidRDefault="00E649D7" w:rsidP="00AD01E6">
      <w:pPr>
        <w:pStyle w:val="References"/>
      </w:pPr>
      <w:bookmarkStart w:id="2" w:name="_Ref275812651"/>
      <w:r w:rsidRPr="00E649D7">
        <w:t>A.S. Hassan, Crack Control for Reinforced Concrete Members Subjected to Flexure, M.Sc. Thesis, Alexandria University, Alexandria, Egypt, 119pp., 2008.</w:t>
      </w:r>
    </w:p>
    <w:p w14:paraId="69283D3B" w14:textId="77777777" w:rsidR="00AD01E6" w:rsidRPr="00E649D7" w:rsidRDefault="00E649D7" w:rsidP="00AD01E6">
      <w:pPr>
        <w:pStyle w:val="References"/>
      </w:pPr>
      <w:r w:rsidRPr="00E649D7">
        <w:t>Gergely P, Lutz LA. Maximum crack width in reinforced concrete flexure members. ACI SP-20: causes, mechanisms, and control of cracking in concrete; p. 87–117, 1968.</w:t>
      </w:r>
    </w:p>
    <w:p w14:paraId="47C1FACB" w14:textId="77777777" w:rsidR="00AD01E6" w:rsidRPr="00E649D7" w:rsidRDefault="00E649D7" w:rsidP="00AD01E6">
      <w:pPr>
        <w:pStyle w:val="References"/>
      </w:pPr>
      <w:proofErr w:type="spellStart"/>
      <w:r w:rsidRPr="00E649D7">
        <w:t>Salib</w:t>
      </w:r>
      <w:proofErr w:type="spellEnd"/>
      <w:r w:rsidRPr="00E649D7">
        <w:t xml:space="preserve"> SR, Abdel-Sayed G. Prediction of crack width for fiber-reinforced polymer-reinforced concrete beams. ACI Struct J; 101:532–6, 2004.</w:t>
      </w:r>
    </w:p>
    <w:p w14:paraId="77BF08F9" w14:textId="77777777" w:rsidR="00AD01E6" w:rsidRPr="00E649D7" w:rsidRDefault="00E649D7" w:rsidP="00AD01E6">
      <w:pPr>
        <w:pStyle w:val="References"/>
      </w:pPr>
      <w:r w:rsidRPr="00E649D7">
        <w:t xml:space="preserve">ISIS Canada Research Network. Reinforcing concrete structures with </w:t>
      </w:r>
      <w:proofErr w:type="spellStart"/>
      <w:r w:rsidRPr="00E649D7">
        <w:t>fibre</w:t>
      </w:r>
      <w:proofErr w:type="spellEnd"/>
      <w:r w:rsidRPr="00E649D7">
        <w:t xml:space="preserve"> reinforced polymers. Design Manual no. 3. Manitoba, Canada, 2007.</w:t>
      </w:r>
    </w:p>
    <w:p w14:paraId="76C82061" w14:textId="77777777" w:rsidR="00AD01E6" w:rsidRPr="00E649D7" w:rsidRDefault="00E649D7" w:rsidP="00AD01E6">
      <w:pPr>
        <w:pStyle w:val="References"/>
      </w:pPr>
      <w:r w:rsidRPr="00E649D7">
        <w:t xml:space="preserve">Frosch RJ. Another look at cracking and crack control in reinforced concrete. ACI Struct </w:t>
      </w:r>
      <w:proofErr w:type="gramStart"/>
      <w:r w:rsidRPr="00E649D7">
        <w:t>J;96:437</w:t>
      </w:r>
      <w:proofErr w:type="gramEnd"/>
      <w:r w:rsidRPr="00E649D7">
        <w:t>–42, 1999.</w:t>
      </w:r>
    </w:p>
    <w:p w14:paraId="768F270A" w14:textId="77777777" w:rsidR="00DB4BBC" w:rsidRPr="00DB4BBC" w:rsidRDefault="007D74FB" w:rsidP="00DB4BBC">
      <w:pPr>
        <w:pStyle w:val="References"/>
        <w:rPr>
          <w:noProof/>
        </w:rPr>
      </w:pPr>
      <w:r>
        <w:rPr>
          <w:noProof/>
        </w:rPr>
        <w:lastRenderedPageBreak/>
        <w:t>ACI 440.1R-15: Guide for the Design and Construction of Structural Concrete Reinforced with FRP Bars. American Concrete Institute, Farmington Hills, Michigan, USA, 2015.</w:t>
      </w:r>
    </w:p>
    <w:p w14:paraId="6CD9A9EF" w14:textId="77777777" w:rsidR="00AD01E6" w:rsidRPr="00E649D7" w:rsidRDefault="00193950" w:rsidP="00AD01E6">
      <w:pPr>
        <w:pStyle w:val="References"/>
      </w:pPr>
      <w:r w:rsidRPr="00E649D7">
        <w:t>JSCE Concrete Committee. "Standard Specifications for Concrete Structures-2007 ‘‘Design’’." Japanese Society of Civil Engineering (JSCE), JSCE Guidelines for Concrete, 2007.</w:t>
      </w:r>
      <w:bookmarkEnd w:id="2"/>
    </w:p>
    <w:p w14:paraId="7559270A" w14:textId="77777777" w:rsidR="00AD01E6" w:rsidRPr="00E649D7" w:rsidRDefault="00193950" w:rsidP="00AD01E6">
      <w:pPr>
        <w:pStyle w:val="References"/>
        <w:rPr>
          <w:sz w:val="12"/>
          <w:szCs w:val="16"/>
        </w:rPr>
      </w:pPr>
      <w:r w:rsidRPr="00E649D7">
        <w:rPr>
          <w:noProof/>
        </w:rPr>
        <w:t>C. Shang, “Evaluation of the Bond-Dependent Coefficient for GFRP Bars in Concrete Beams,” University of Manitoba, 2019.</w:t>
      </w:r>
    </w:p>
    <w:p w14:paraId="783B9627" w14:textId="77777777" w:rsidR="00AD01E6" w:rsidRPr="00BD1C99" w:rsidRDefault="00D40454" w:rsidP="00AD01E6">
      <w:pPr>
        <w:pStyle w:val="References"/>
        <w:rPr>
          <w:sz w:val="12"/>
          <w:szCs w:val="16"/>
        </w:rPr>
      </w:pPr>
      <w:r>
        <w:rPr>
          <w:noProof/>
        </w:rPr>
        <w:t>O. I. Abdelkarim, E. A. Ahmed, H. M. Mohamed, and B. Benmokrane, “Flexural strength and serviceability evaluation of concrete beams reinforced with deformed GFRP bars,” Eng. Struct., vol. 186, no. December 2018, pp. 282–296, 2019.</w:t>
      </w:r>
    </w:p>
    <w:p w14:paraId="20FC492F" w14:textId="77777777" w:rsidR="00AD01E6" w:rsidRPr="00BD1C99" w:rsidRDefault="00E649D7" w:rsidP="00AD01E6">
      <w:pPr>
        <w:pStyle w:val="References"/>
        <w:rPr>
          <w:noProof/>
          <w:sz w:val="20"/>
          <w:szCs w:val="24"/>
        </w:rPr>
      </w:pPr>
      <w:r>
        <w:rPr>
          <w:noProof/>
        </w:rPr>
        <w:t>A. El-Nemr, E. A. Ahmed, A. El-Safty, and B. Benmokrane, “Evaluation of the flexural strength and serviceability of concrete beams reinforced with different types of GFRP bars,” Eng. Struct., vol. 173, no. July, pp. 606–619, 2018.</w:t>
      </w:r>
    </w:p>
    <w:p w14:paraId="09906306" w14:textId="77777777" w:rsidR="00AD01E6" w:rsidRPr="000A541B" w:rsidRDefault="00193950" w:rsidP="00AD01E6">
      <w:pPr>
        <w:pStyle w:val="References"/>
        <w:rPr>
          <w:noProof/>
          <w:sz w:val="20"/>
          <w:szCs w:val="24"/>
          <w:lang w:val="fr-CA"/>
        </w:rPr>
      </w:pPr>
      <w:r w:rsidRPr="000A541B">
        <w:rPr>
          <w:noProof/>
          <w:szCs w:val="24"/>
          <w:lang w:val="fr-CA"/>
        </w:rPr>
        <w:t>P. Ballet, “Étude sur le Coefficient D’Adherence Kb pur des Barres D’Armature en PRFV,” Université de Sherbrooke, 2019.</w:t>
      </w:r>
    </w:p>
    <w:p w14:paraId="03339395" w14:textId="77777777" w:rsidR="00AD01E6" w:rsidRPr="00BD1C99" w:rsidRDefault="00193950" w:rsidP="00AD01E6">
      <w:pPr>
        <w:pStyle w:val="References"/>
        <w:rPr>
          <w:noProof/>
          <w:sz w:val="20"/>
          <w:szCs w:val="24"/>
        </w:rPr>
      </w:pPr>
      <w:r>
        <w:rPr>
          <w:noProof/>
        </w:rPr>
        <w:t>A. El-Nemr, E. A. Ahmed, and B. Benmokrane, “Flexural Behavior and Serviceability of Normal- and High-Strength Concrete Beams Reinforced with Glass Fiber-Reinforced Polymer Bars,” ACI Struct. J., vol. 110, no. 06, pp. 1077–1087, 2013.</w:t>
      </w:r>
    </w:p>
    <w:p w14:paraId="6CB169A8" w14:textId="77777777" w:rsidR="00AD01E6" w:rsidRPr="005A55C2" w:rsidRDefault="00193950" w:rsidP="00AD01E6">
      <w:pPr>
        <w:pStyle w:val="References"/>
        <w:rPr>
          <w:noProof/>
          <w:sz w:val="20"/>
          <w:szCs w:val="24"/>
        </w:rPr>
      </w:pPr>
      <w:r w:rsidRPr="00BD1C99">
        <w:rPr>
          <w:noProof/>
        </w:rPr>
        <w:t>B. Mccallum, “Experimental evaluation of the bond dependent coefficient and parameters which influence crack width in GFRP reinforced concrete,” Dalhousie University, 2013.</w:t>
      </w:r>
    </w:p>
    <w:p w14:paraId="6D2F4A84" w14:textId="77777777" w:rsidR="00B93BDD" w:rsidRPr="00027508" w:rsidRDefault="00193950" w:rsidP="00027508">
      <w:pPr>
        <w:pStyle w:val="References"/>
        <w:rPr>
          <w:noProof/>
          <w:sz w:val="20"/>
          <w:szCs w:val="24"/>
        </w:rPr>
      </w:pPr>
      <w:r w:rsidRPr="005A55C2">
        <w:rPr>
          <w:noProof/>
          <w:szCs w:val="24"/>
        </w:rPr>
        <w:t xml:space="preserve">C. Kassem, A. S. Farghaly, and B. Benmokrane, “Evaluation of Flexural Behavior and Serviceability Performance of Concrete Beams Reinforced with FRP Bars,” </w:t>
      </w:r>
      <w:r w:rsidRPr="005A55C2">
        <w:rPr>
          <w:i/>
          <w:iCs/>
          <w:noProof/>
          <w:szCs w:val="24"/>
        </w:rPr>
        <w:t>J. Compos. Constr.</w:t>
      </w:r>
      <w:r>
        <w:rPr>
          <w:noProof/>
          <w:szCs w:val="24"/>
        </w:rPr>
        <w:t>, vol. 15, no. 5, pp. 682–695, 2011.</w:t>
      </w:r>
    </w:p>
    <w:p w14:paraId="4A4A9DDE" w14:textId="77777777" w:rsidR="00DB4BBC" w:rsidRPr="00DB4BBC" w:rsidRDefault="00DB4BBC" w:rsidP="00DB4BBC">
      <w:pPr>
        <w:pStyle w:val="ListParagraph"/>
        <w:spacing w:after="0"/>
        <w:ind w:left="0"/>
        <w:jc w:val="both"/>
        <w:rPr>
          <w:rFonts w:ascii="Times New Roman" w:eastAsia="Times New Roman" w:hAnsi="Times New Roman" w:cs="Times New Roman"/>
          <w:noProof/>
          <w:sz w:val="16"/>
          <w:szCs w:val="20"/>
          <w:lang w:val="en-US" w:eastAsia="ar-SA"/>
        </w:rPr>
      </w:pPr>
    </w:p>
    <w:sectPr w:rsidR="00DB4BBC" w:rsidRPr="00DB4BBC" w:rsidSect="00D96E7E">
      <w:type w:val="continuous"/>
      <w:pgSz w:w="11907" w:h="16839" w:code="9"/>
      <w:pgMar w:top="1418" w:right="794" w:bottom="1418" w:left="794" w:header="709" w:footer="709"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5C592" w14:textId="77777777" w:rsidR="00B614E2" w:rsidRDefault="00B614E2">
      <w:r>
        <w:separator/>
      </w:r>
    </w:p>
  </w:endnote>
  <w:endnote w:type="continuationSeparator" w:id="0">
    <w:p w14:paraId="6095893E" w14:textId="77777777" w:rsidR="00B614E2" w:rsidRDefault="00B61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Vrinda">
    <w:altName w:val="Vrinda"/>
    <w:panose1 w:val="00000400000000000000"/>
    <w:charset w:val="00"/>
    <w:family w:val="swiss"/>
    <w:pitch w:val="variable"/>
    <w:sig w:usb0="0001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8078669"/>
      <w:docPartObj>
        <w:docPartGallery w:val="Page Numbers (Bottom of Page)"/>
        <w:docPartUnique/>
      </w:docPartObj>
    </w:sdtPr>
    <w:sdtEndPr>
      <w:rPr>
        <w:noProof/>
      </w:rPr>
    </w:sdtEndPr>
    <w:sdtContent>
      <w:p w14:paraId="7779F638" w14:textId="77777777" w:rsidR="004F69A3" w:rsidRDefault="0019395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CE7A866" w14:textId="77777777" w:rsidR="004F69A3" w:rsidRDefault="004F69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63867"/>
      <w:docPartObj>
        <w:docPartGallery w:val="Page Numbers (Bottom of Page)"/>
        <w:docPartUnique/>
      </w:docPartObj>
    </w:sdtPr>
    <w:sdtEndPr>
      <w:rPr>
        <w:noProof/>
      </w:rPr>
    </w:sdtEndPr>
    <w:sdtContent>
      <w:p w14:paraId="1F08C7C7" w14:textId="77777777" w:rsidR="004F69A3" w:rsidRDefault="0019395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E4D6B0" w14:textId="77777777" w:rsidR="004F69A3" w:rsidRDefault="004F69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9123C" w14:textId="77777777" w:rsidR="00B614E2" w:rsidRDefault="00B614E2">
      <w:r>
        <w:separator/>
      </w:r>
    </w:p>
  </w:footnote>
  <w:footnote w:type="continuationSeparator" w:id="0">
    <w:p w14:paraId="311AB708" w14:textId="77777777" w:rsidR="00B614E2" w:rsidRDefault="00B614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5A377" w14:textId="63E4DC4D" w:rsidR="004230AF" w:rsidRPr="00160B18" w:rsidRDefault="00D27F38" w:rsidP="00160B18">
    <w:pPr>
      <w:pStyle w:val="Header"/>
      <w:jc w:val="right"/>
      <w:rPr>
        <w:i/>
        <w:iCs/>
      </w:rPr>
    </w:pPr>
    <w:r w:rsidRPr="00D27F38">
      <w:rPr>
        <w:bCs/>
        <w:i/>
        <w:iCs/>
      </w:rPr>
      <w:t>SHMII-11_T05-02</w:t>
    </w:r>
    <w:r w:rsidR="00193950" w:rsidRPr="00160B18">
      <w:rPr>
        <w:bCs/>
        <w:i/>
        <w:iCs/>
      </w:rPr>
      <w:t xml:space="preserve">, </w:t>
    </w:r>
    <w:r w:rsidR="000A541B">
      <w:rPr>
        <w:bCs/>
        <w:i/>
        <w:iCs/>
      </w:rPr>
      <w:t>Shabani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90CB2" w14:textId="77777777" w:rsidR="009529EB" w:rsidRPr="00476CB6" w:rsidRDefault="00193950" w:rsidP="00476CB6">
    <w:pPr>
      <w:pStyle w:val="a"/>
      <w:wordWrap/>
      <w:spacing w:line="240" w:lineRule="auto"/>
      <w:rPr>
        <w:rFonts w:ascii="Times New Roman" w:hAnsi="Times New Roman" w:cs="Times New Roman"/>
        <w:b/>
        <w:sz w:val="18"/>
        <w:szCs w:val="18"/>
      </w:rPr>
    </w:pPr>
    <w:r w:rsidRPr="002D14AF">
      <w:rPr>
        <w:b/>
        <w:noProof/>
      </w:rPr>
      <w:drawing>
        <wp:anchor distT="0" distB="0" distL="114300" distR="114300" simplePos="0" relativeHeight="251658240" behindDoc="0" locked="0" layoutInCell="1" allowOverlap="1" wp14:anchorId="56AAF777" wp14:editId="77E478AD">
          <wp:simplePos x="0" y="0"/>
          <wp:positionH relativeFrom="column">
            <wp:posOffset>97790</wp:posOffset>
          </wp:positionH>
          <wp:positionV relativeFrom="paragraph">
            <wp:posOffset>-53975</wp:posOffset>
          </wp:positionV>
          <wp:extent cx="497433" cy="497433"/>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327329" name="Picture 9"/>
                  <pic:cNvPicPr>
                    <a:picLocks noChangeAspect="1" noChangeArrowheads="1"/>
                  </pic:cNvPicPr>
                </pic:nvPicPr>
                <pic:blipFill>
                  <a:blip r:embed="rId1"/>
                  <a:stretch>
                    <a:fillRect/>
                  </a:stretch>
                </pic:blipFill>
                <pic:spPr bwMode="auto">
                  <a:xfrm>
                    <a:off x="0" y="0"/>
                    <a:ext cx="497433" cy="497433"/>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rPr>
      <w:t xml:space="preserve">                       </w:t>
    </w:r>
    <w:r w:rsidRPr="00476CB6">
      <w:rPr>
        <w:rFonts w:ascii="Times New Roman" w:hAnsi="Times New Roman" w:cs="Times New Roman"/>
        <w:b/>
        <w:sz w:val="18"/>
        <w:szCs w:val="18"/>
      </w:rPr>
      <w:t>SHMII-11: 11th International Conference on Structural Health Monitoring of Intelligent Infrastructure</w:t>
    </w:r>
  </w:p>
  <w:p w14:paraId="3D98E580" w14:textId="1F532126" w:rsidR="009529EB" w:rsidRPr="009529EB" w:rsidRDefault="00160B18" w:rsidP="009529EB">
    <w:pPr>
      <w:pStyle w:val="Header"/>
      <w:rPr>
        <w:bCs/>
      </w:rPr>
    </w:pPr>
    <w:r w:rsidRPr="00160B18">
      <w:rPr>
        <w:bCs/>
      </w:rPr>
      <w:t xml:space="preserve">                       August 8-12, 2022, Montreal, QC, Canada. </w:t>
    </w:r>
    <w:r w:rsidR="00D27F38" w:rsidRPr="00D27F38">
      <w:rPr>
        <w:bCs/>
      </w:rPr>
      <w:t>SHMII-11_T05-02</w:t>
    </w:r>
    <w:r w:rsidRPr="00160B18">
      <w:rPr>
        <w:bCs/>
      </w:rPr>
      <w:t xml:space="preserve">, </w:t>
    </w:r>
    <w:r w:rsidR="000A541B">
      <w:rPr>
        <w:bCs/>
      </w:rPr>
      <w:t>Shabani</w:t>
    </w:r>
  </w:p>
  <w:p w14:paraId="2DA93B5D" w14:textId="77777777" w:rsidR="009529EB" w:rsidRDefault="00193950" w:rsidP="009529EB">
    <w:r>
      <w:rPr>
        <w:noProof/>
      </w:rPr>
      <mc:AlternateContent>
        <mc:Choice Requires="wps">
          <w:drawing>
            <wp:anchor distT="0" distB="0" distL="114300" distR="114300" simplePos="0" relativeHeight="251659264" behindDoc="0" locked="0" layoutInCell="1" allowOverlap="1" wp14:anchorId="12F68CFF" wp14:editId="178BC7C4">
              <wp:simplePos x="0" y="0"/>
              <wp:positionH relativeFrom="column">
                <wp:posOffset>634060</wp:posOffset>
              </wp:positionH>
              <wp:positionV relativeFrom="paragraph">
                <wp:posOffset>140970</wp:posOffset>
              </wp:positionV>
              <wp:extent cx="5916905"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591690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o:spid="_x0000_s2049" style="mso-height-percent:0;mso-height-relative:margin;mso-width-percent:0;mso-width-relative:margin;mso-wrap-distance-bottom:0;mso-wrap-distance-left:9pt;mso-wrap-distance-right:9pt;mso-wrap-distance-top:0;mso-wrap-style:square;position:absolute;visibility:visible;z-index:251660288" from="49.95pt,11.1pt" to="515.85pt,11.1pt" strokecolor="black" strokeweight="1.5pt">
              <v:stroke joinstyle="miter"/>
            </v:line>
          </w:pict>
        </mc:Fallback>
      </mc:AlternateContent>
    </w:r>
  </w:p>
  <w:p w14:paraId="50572CC9" w14:textId="77777777" w:rsidR="009529EB" w:rsidRDefault="009529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F9A998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3EAD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6CC91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6568B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34DA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16C79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1E4A44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3F8A53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6020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BE234D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40304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9CB3474"/>
    <w:multiLevelType w:val="hybridMultilevel"/>
    <w:tmpl w:val="168E9772"/>
    <w:lvl w:ilvl="0" w:tplc="33A4AAB6">
      <w:start w:val="1"/>
      <w:numFmt w:val="bullet"/>
      <w:lvlText w:val=""/>
      <w:lvlJc w:val="left"/>
      <w:pPr>
        <w:tabs>
          <w:tab w:val="num" w:pos="720"/>
        </w:tabs>
        <w:ind w:left="720" w:hanging="360"/>
      </w:pPr>
      <w:rPr>
        <w:rFonts w:ascii="Symbol" w:hAnsi="Symbol" w:hint="default"/>
      </w:rPr>
    </w:lvl>
    <w:lvl w:ilvl="1" w:tplc="85D4BFB6" w:tentative="1">
      <w:start w:val="1"/>
      <w:numFmt w:val="bullet"/>
      <w:lvlText w:val="o"/>
      <w:lvlJc w:val="left"/>
      <w:pPr>
        <w:tabs>
          <w:tab w:val="num" w:pos="1440"/>
        </w:tabs>
        <w:ind w:left="1440" w:hanging="360"/>
      </w:pPr>
      <w:rPr>
        <w:rFonts w:ascii="Courier New" w:hAnsi="Courier New" w:cs="Courier New" w:hint="default"/>
      </w:rPr>
    </w:lvl>
    <w:lvl w:ilvl="2" w:tplc="55504E0C" w:tentative="1">
      <w:start w:val="1"/>
      <w:numFmt w:val="bullet"/>
      <w:lvlText w:val=""/>
      <w:lvlJc w:val="left"/>
      <w:pPr>
        <w:tabs>
          <w:tab w:val="num" w:pos="2160"/>
        </w:tabs>
        <w:ind w:left="2160" w:hanging="360"/>
      </w:pPr>
      <w:rPr>
        <w:rFonts w:ascii="Wingdings" w:hAnsi="Wingdings" w:hint="default"/>
      </w:rPr>
    </w:lvl>
    <w:lvl w:ilvl="3" w:tplc="9EB06FC8" w:tentative="1">
      <w:start w:val="1"/>
      <w:numFmt w:val="bullet"/>
      <w:lvlText w:val=""/>
      <w:lvlJc w:val="left"/>
      <w:pPr>
        <w:tabs>
          <w:tab w:val="num" w:pos="2880"/>
        </w:tabs>
        <w:ind w:left="2880" w:hanging="360"/>
      </w:pPr>
      <w:rPr>
        <w:rFonts w:ascii="Symbol" w:hAnsi="Symbol" w:hint="default"/>
      </w:rPr>
    </w:lvl>
    <w:lvl w:ilvl="4" w:tplc="AAF87D7E" w:tentative="1">
      <w:start w:val="1"/>
      <w:numFmt w:val="bullet"/>
      <w:lvlText w:val="o"/>
      <w:lvlJc w:val="left"/>
      <w:pPr>
        <w:tabs>
          <w:tab w:val="num" w:pos="3600"/>
        </w:tabs>
        <w:ind w:left="3600" w:hanging="360"/>
      </w:pPr>
      <w:rPr>
        <w:rFonts w:ascii="Courier New" w:hAnsi="Courier New" w:cs="Courier New" w:hint="default"/>
      </w:rPr>
    </w:lvl>
    <w:lvl w:ilvl="5" w:tplc="DBAE489C" w:tentative="1">
      <w:start w:val="1"/>
      <w:numFmt w:val="bullet"/>
      <w:lvlText w:val=""/>
      <w:lvlJc w:val="left"/>
      <w:pPr>
        <w:tabs>
          <w:tab w:val="num" w:pos="4320"/>
        </w:tabs>
        <w:ind w:left="4320" w:hanging="360"/>
      </w:pPr>
      <w:rPr>
        <w:rFonts w:ascii="Wingdings" w:hAnsi="Wingdings" w:hint="default"/>
      </w:rPr>
    </w:lvl>
    <w:lvl w:ilvl="6" w:tplc="FF72544E" w:tentative="1">
      <w:start w:val="1"/>
      <w:numFmt w:val="bullet"/>
      <w:lvlText w:val=""/>
      <w:lvlJc w:val="left"/>
      <w:pPr>
        <w:tabs>
          <w:tab w:val="num" w:pos="5040"/>
        </w:tabs>
        <w:ind w:left="5040" w:hanging="360"/>
      </w:pPr>
      <w:rPr>
        <w:rFonts w:ascii="Symbol" w:hAnsi="Symbol" w:hint="default"/>
      </w:rPr>
    </w:lvl>
    <w:lvl w:ilvl="7" w:tplc="B9BE2DE2" w:tentative="1">
      <w:start w:val="1"/>
      <w:numFmt w:val="bullet"/>
      <w:lvlText w:val="o"/>
      <w:lvlJc w:val="left"/>
      <w:pPr>
        <w:tabs>
          <w:tab w:val="num" w:pos="5760"/>
        </w:tabs>
        <w:ind w:left="5760" w:hanging="360"/>
      </w:pPr>
      <w:rPr>
        <w:rFonts w:ascii="Courier New" w:hAnsi="Courier New" w:cs="Courier New" w:hint="default"/>
      </w:rPr>
    </w:lvl>
    <w:lvl w:ilvl="8" w:tplc="89FAE29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2626B7"/>
    <w:multiLevelType w:val="multilevel"/>
    <w:tmpl w:val="168E97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C0316C"/>
    <w:multiLevelType w:val="hybridMultilevel"/>
    <w:tmpl w:val="0F00BD66"/>
    <w:lvl w:ilvl="0" w:tplc="78364772">
      <w:start w:val="2"/>
      <w:numFmt w:val="bullet"/>
      <w:lvlText w:val="-"/>
      <w:lvlJc w:val="left"/>
      <w:pPr>
        <w:ind w:left="360" w:hanging="360"/>
      </w:pPr>
      <w:rPr>
        <w:rFonts w:ascii="Times New Roman" w:eastAsiaTheme="minorHAnsi" w:hAnsi="Times New Roman" w:cs="Times New Roman" w:hint="default"/>
      </w:rPr>
    </w:lvl>
    <w:lvl w:ilvl="1" w:tplc="370C42EE" w:tentative="1">
      <w:start w:val="1"/>
      <w:numFmt w:val="bullet"/>
      <w:lvlText w:val="o"/>
      <w:lvlJc w:val="left"/>
      <w:pPr>
        <w:ind w:left="1080" w:hanging="360"/>
      </w:pPr>
      <w:rPr>
        <w:rFonts w:ascii="Courier New" w:hAnsi="Courier New" w:cs="Courier New" w:hint="default"/>
      </w:rPr>
    </w:lvl>
    <w:lvl w:ilvl="2" w:tplc="314C826E" w:tentative="1">
      <w:start w:val="1"/>
      <w:numFmt w:val="bullet"/>
      <w:lvlText w:val=""/>
      <w:lvlJc w:val="left"/>
      <w:pPr>
        <w:ind w:left="1800" w:hanging="360"/>
      </w:pPr>
      <w:rPr>
        <w:rFonts w:ascii="Wingdings" w:hAnsi="Wingdings" w:hint="default"/>
      </w:rPr>
    </w:lvl>
    <w:lvl w:ilvl="3" w:tplc="2E5E187E" w:tentative="1">
      <w:start w:val="1"/>
      <w:numFmt w:val="bullet"/>
      <w:lvlText w:val=""/>
      <w:lvlJc w:val="left"/>
      <w:pPr>
        <w:ind w:left="2520" w:hanging="360"/>
      </w:pPr>
      <w:rPr>
        <w:rFonts w:ascii="Symbol" w:hAnsi="Symbol" w:hint="default"/>
      </w:rPr>
    </w:lvl>
    <w:lvl w:ilvl="4" w:tplc="E06298C4" w:tentative="1">
      <w:start w:val="1"/>
      <w:numFmt w:val="bullet"/>
      <w:lvlText w:val="o"/>
      <w:lvlJc w:val="left"/>
      <w:pPr>
        <w:ind w:left="3240" w:hanging="360"/>
      </w:pPr>
      <w:rPr>
        <w:rFonts w:ascii="Courier New" w:hAnsi="Courier New" w:cs="Courier New" w:hint="default"/>
      </w:rPr>
    </w:lvl>
    <w:lvl w:ilvl="5" w:tplc="2104EEE6" w:tentative="1">
      <w:start w:val="1"/>
      <w:numFmt w:val="bullet"/>
      <w:lvlText w:val=""/>
      <w:lvlJc w:val="left"/>
      <w:pPr>
        <w:ind w:left="3960" w:hanging="360"/>
      </w:pPr>
      <w:rPr>
        <w:rFonts w:ascii="Wingdings" w:hAnsi="Wingdings" w:hint="default"/>
      </w:rPr>
    </w:lvl>
    <w:lvl w:ilvl="6" w:tplc="ADC4ED4E" w:tentative="1">
      <w:start w:val="1"/>
      <w:numFmt w:val="bullet"/>
      <w:lvlText w:val=""/>
      <w:lvlJc w:val="left"/>
      <w:pPr>
        <w:ind w:left="4680" w:hanging="360"/>
      </w:pPr>
      <w:rPr>
        <w:rFonts w:ascii="Symbol" w:hAnsi="Symbol" w:hint="default"/>
      </w:rPr>
    </w:lvl>
    <w:lvl w:ilvl="7" w:tplc="67D837E6" w:tentative="1">
      <w:start w:val="1"/>
      <w:numFmt w:val="bullet"/>
      <w:lvlText w:val="o"/>
      <w:lvlJc w:val="left"/>
      <w:pPr>
        <w:ind w:left="5400" w:hanging="360"/>
      </w:pPr>
      <w:rPr>
        <w:rFonts w:ascii="Courier New" w:hAnsi="Courier New" w:cs="Courier New" w:hint="default"/>
      </w:rPr>
    </w:lvl>
    <w:lvl w:ilvl="8" w:tplc="F6D86018" w:tentative="1">
      <w:start w:val="1"/>
      <w:numFmt w:val="bullet"/>
      <w:lvlText w:val=""/>
      <w:lvlJc w:val="left"/>
      <w:pPr>
        <w:ind w:left="6120" w:hanging="360"/>
      </w:pPr>
      <w:rPr>
        <w:rFonts w:ascii="Wingdings" w:hAnsi="Wingdings" w:hint="default"/>
      </w:rPr>
    </w:lvl>
  </w:abstractNum>
  <w:abstractNum w:abstractNumId="14" w15:restartNumberingAfterBreak="0">
    <w:nsid w:val="35221031"/>
    <w:multiLevelType w:val="multilevel"/>
    <w:tmpl w:val="65DC423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379510BA"/>
    <w:multiLevelType w:val="multilevel"/>
    <w:tmpl w:val="168E97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E73919"/>
    <w:multiLevelType w:val="multilevel"/>
    <w:tmpl w:val="20467C4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ascii="Times New Roman" w:hAnsi="Times New Roman" w:cs="Times New Roman" w:hint="default"/>
        <w:b w:val="0"/>
        <w:bCs w:val="0"/>
        <w:i/>
        <w:iCs w:val="0"/>
        <w:caps w:val="0"/>
        <w:smallCaps w:val="0"/>
        <w:strike w:val="0"/>
        <w:dstrike w:val="0"/>
        <w:outline w:val="0"/>
        <w:shadow w:val="0"/>
        <w:emboss w:val="0"/>
        <w:imprint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decimal"/>
      <w:pStyle w:val="Heading3"/>
      <w:lvlText w:val="%1.%2.%3"/>
      <w:lvlJc w:val="left"/>
      <w:pPr>
        <w:tabs>
          <w:tab w:val="num" w:pos="720"/>
        </w:tabs>
        <w:ind w:left="720" w:hanging="720"/>
      </w:pPr>
      <w:rPr>
        <w:rFonts w:hint="default"/>
      </w:rPr>
    </w:lvl>
    <w:lvl w:ilvl="3">
      <w:start w:val="1"/>
      <w:numFmt w:val="lowerLetter"/>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459821A9"/>
    <w:multiLevelType w:val="multilevel"/>
    <w:tmpl w:val="A376528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47816D63"/>
    <w:multiLevelType w:val="multilevel"/>
    <w:tmpl w:val="FE6CFA1E"/>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D673ADE"/>
    <w:multiLevelType w:val="multilevel"/>
    <w:tmpl w:val="65DC423C"/>
    <w:lvl w:ilvl="0">
      <w:start w:val="1"/>
      <w:numFmt w:val="decimal"/>
      <w:lvlText w:val="%1."/>
      <w:lvlJc w:val="left"/>
      <w:pPr>
        <w:tabs>
          <w:tab w:val="num" w:pos="890"/>
        </w:tabs>
        <w:ind w:left="890" w:hanging="360"/>
      </w:pPr>
    </w:lvl>
    <w:lvl w:ilvl="1">
      <w:start w:val="1"/>
      <w:numFmt w:val="lowerLetter"/>
      <w:lvlText w:val="%2."/>
      <w:lvlJc w:val="left"/>
      <w:pPr>
        <w:tabs>
          <w:tab w:val="num" w:pos="1610"/>
        </w:tabs>
        <w:ind w:left="1610" w:hanging="360"/>
      </w:pPr>
    </w:lvl>
    <w:lvl w:ilvl="2">
      <w:start w:val="1"/>
      <w:numFmt w:val="lowerRoman"/>
      <w:lvlText w:val="%3."/>
      <w:lvlJc w:val="right"/>
      <w:pPr>
        <w:tabs>
          <w:tab w:val="num" w:pos="2330"/>
        </w:tabs>
        <w:ind w:left="2330" w:hanging="180"/>
      </w:pPr>
    </w:lvl>
    <w:lvl w:ilvl="3">
      <w:start w:val="1"/>
      <w:numFmt w:val="decimal"/>
      <w:lvlText w:val="%4."/>
      <w:lvlJc w:val="left"/>
      <w:pPr>
        <w:tabs>
          <w:tab w:val="num" w:pos="3050"/>
        </w:tabs>
        <w:ind w:left="3050" w:hanging="360"/>
      </w:pPr>
    </w:lvl>
    <w:lvl w:ilvl="4">
      <w:start w:val="1"/>
      <w:numFmt w:val="lowerLetter"/>
      <w:lvlText w:val="%5."/>
      <w:lvlJc w:val="left"/>
      <w:pPr>
        <w:tabs>
          <w:tab w:val="num" w:pos="3770"/>
        </w:tabs>
        <w:ind w:left="3770" w:hanging="360"/>
      </w:pPr>
    </w:lvl>
    <w:lvl w:ilvl="5">
      <w:start w:val="1"/>
      <w:numFmt w:val="lowerRoman"/>
      <w:lvlText w:val="%6."/>
      <w:lvlJc w:val="right"/>
      <w:pPr>
        <w:tabs>
          <w:tab w:val="num" w:pos="4490"/>
        </w:tabs>
        <w:ind w:left="4490" w:hanging="180"/>
      </w:pPr>
    </w:lvl>
    <w:lvl w:ilvl="6">
      <w:start w:val="1"/>
      <w:numFmt w:val="decimal"/>
      <w:lvlText w:val="%7."/>
      <w:lvlJc w:val="left"/>
      <w:pPr>
        <w:tabs>
          <w:tab w:val="num" w:pos="5210"/>
        </w:tabs>
        <w:ind w:left="5210" w:hanging="360"/>
      </w:pPr>
    </w:lvl>
    <w:lvl w:ilvl="7">
      <w:start w:val="1"/>
      <w:numFmt w:val="lowerLetter"/>
      <w:lvlText w:val="%8."/>
      <w:lvlJc w:val="left"/>
      <w:pPr>
        <w:tabs>
          <w:tab w:val="num" w:pos="5930"/>
        </w:tabs>
        <w:ind w:left="5930" w:hanging="360"/>
      </w:pPr>
    </w:lvl>
    <w:lvl w:ilvl="8">
      <w:start w:val="1"/>
      <w:numFmt w:val="lowerRoman"/>
      <w:lvlText w:val="%9."/>
      <w:lvlJc w:val="right"/>
      <w:pPr>
        <w:tabs>
          <w:tab w:val="num" w:pos="6650"/>
        </w:tabs>
        <w:ind w:left="6650" w:hanging="180"/>
      </w:pPr>
    </w:lvl>
  </w:abstractNum>
  <w:abstractNum w:abstractNumId="20" w15:restartNumberingAfterBreak="0">
    <w:nsid w:val="5263682B"/>
    <w:multiLevelType w:val="hybridMultilevel"/>
    <w:tmpl w:val="8CC4D9FE"/>
    <w:lvl w:ilvl="0" w:tplc="93A8FE88">
      <w:start w:val="1"/>
      <w:numFmt w:val="decimal"/>
      <w:pStyle w:val="References"/>
      <w:lvlText w:val="[%1]"/>
      <w:lvlJc w:val="left"/>
      <w:pPr>
        <w:tabs>
          <w:tab w:val="num" w:pos="360"/>
        </w:tabs>
        <w:ind w:left="360" w:hanging="360"/>
      </w:pPr>
      <w:rPr>
        <w:rFonts w:hint="default"/>
        <w:sz w:val="16"/>
        <w:szCs w:val="20"/>
      </w:rPr>
    </w:lvl>
    <w:lvl w:ilvl="1" w:tplc="688EA460" w:tentative="1">
      <w:start w:val="1"/>
      <w:numFmt w:val="lowerLetter"/>
      <w:lvlText w:val="%2."/>
      <w:lvlJc w:val="left"/>
      <w:pPr>
        <w:tabs>
          <w:tab w:val="num" w:pos="1080"/>
        </w:tabs>
        <w:ind w:left="1080" w:hanging="360"/>
      </w:pPr>
    </w:lvl>
    <w:lvl w:ilvl="2" w:tplc="6DB4F604" w:tentative="1">
      <w:start w:val="1"/>
      <w:numFmt w:val="lowerRoman"/>
      <w:lvlText w:val="%3."/>
      <w:lvlJc w:val="right"/>
      <w:pPr>
        <w:tabs>
          <w:tab w:val="num" w:pos="1800"/>
        </w:tabs>
        <w:ind w:left="1800" w:hanging="180"/>
      </w:pPr>
    </w:lvl>
    <w:lvl w:ilvl="3" w:tplc="BAE6A408" w:tentative="1">
      <w:start w:val="1"/>
      <w:numFmt w:val="decimal"/>
      <w:lvlText w:val="%4."/>
      <w:lvlJc w:val="left"/>
      <w:pPr>
        <w:tabs>
          <w:tab w:val="num" w:pos="2520"/>
        </w:tabs>
        <w:ind w:left="2520" w:hanging="360"/>
      </w:pPr>
    </w:lvl>
    <w:lvl w:ilvl="4" w:tplc="71CE8D26" w:tentative="1">
      <w:start w:val="1"/>
      <w:numFmt w:val="lowerLetter"/>
      <w:lvlText w:val="%5."/>
      <w:lvlJc w:val="left"/>
      <w:pPr>
        <w:tabs>
          <w:tab w:val="num" w:pos="3240"/>
        </w:tabs>
        <w:ind w:left="3240" w:hanging="360"/>
      </w:pPr>
    </w:lvl>
    <w:lvl w:ilvl="5" w:tplc="7CA8DF86" w:tentative="1">
      <w:start w:val="1"/>
      <w:numFmt w:val="lowerRoman"/>
      <w:lvlText w:val="%6."/>
      <w:lvlJc w:val="right"/>
      <w:pPr>
        <w:tabs>
          <w:tab w:val="num" w:pos="3960"/>
        </w:tabs>
        <w:ind w:left="3960" w:hanging="180"/>
      </w:pPr>
    </w:lvl>
    <w:lvl w:ilvl="6" w:tplc="B6EADE40" w:tentative="1">
      <w:start w:val="1"/>
      <w:numFmt w:val="decimal"/>
      <w:lvlText w:val="%7."/>
      <w:lvlJc w:val="left"/>
      <w:pPr>
        <w:tabs>
          <w:tab w:val="num" w:pos="4680"/>
        </w:tabs>
        <w:ind w:left="4680" w:hanging="360"/>
      </w:pPr>
    </w:lvl>
    <w:lvl w:ilvl="7" w:tplc="D6A4DBBE" w:tentative="1">
      <w:start w:val="1"/>
      <w:numFmt w:val="lowerLetter"/>
      <w:lvlText w:val="%8."/>
      <w:lvlJc w:val="left"/>
      <w:pPr>
        <w:tabs>
          <w:tab w:val="num" w:pos="5400"/>
        </w:tabs>
        <w:ind w:left="5400" w:hanging="360"/>
      </w:pPr>
    </w:lvl>
    <w:lvl w:ilvl="8" w:tplc="BE741298" w:tentative="1">
      <w:start w:val="1"/>
      <w:numFmt w:val="lowerRoman"/>
      <w:lvlText w:val="%9."/>
      <w:lvlJc w:val="right"/>
      <w:pPr>
        <w:tabs>
          <w:tab w:val="num" w:pos="6120"/>
        </w:tabs>
        <w:ind w:left="6120" w:hanging="180"/>
      </w:pPr>
    </w:lvl>
  </w:abstractNum>
  <w:abstractNum w:abstractNumId="21" w15:restartNumberingAfterBreak="0">
    <w:nsid w:val="5CDC36E9"/>
    <w:multiLevelType w:val="multilevel"/>
    <w:tmpl w:val="41DAA800"/>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5760"/>
        </w:tabs>
        <w:ind w:left="4320" w:hanging="1440"/>
      </w:pPr>
    </w:lvl>
  </w:abstractNum>
  <w:abstractNum w:abstractNumId="22" w15:restartNumberingAfterBreak="0">
    <w:nsid w:val="5E1D4DE8"/>
    <w:multiLevelType w:val="multilevel"/>
    <w:tmpl w:val="168E97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0210EC6"/>
    <w:multiLevelType w:val="multilevel"/>
    <w:tmpl w:val="0494F57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15:restartNumberingAfterBreak="0">
    <w:nsid w:val="6565133B"/>
    <w:multiLevelType w:val="multilevel"/>
    <w:tmpl w:val="168E97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5E77CC"/>
    <w:multiLevelType w:val="multilevel"/>
    <w:tmpl w:val="168E97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DE7221"/>
    <w:multiLevelType w:val="multilevel"/>
    <w:tmpl w:val="168E97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6E32838"/>
    <w:multiLevelType w:val="multilevel"/>
    <w:tmpl w:val="65DC423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16cid:durableId="298146947">
    <w:abstractNumId w:val="16"/>
  </w:num>
  <w:num w:numId="2" w16cid:durableId="1845237944">
    <w:abstractNumId w:val="9"/>
  </w:num>
  <w:num w:numId="3" w16cid:durableId="1693722964">
    <w:abstractNumId w:val="7"/>
  </w:num>
  <w:num w:numId="4" w16cid:durableId="1091245204">
    <w:abstractNumId w:val="6"/>
  </w:num>
  <w:num w:numId="5" w16cid:durableId="1978729161">
    <w:abstractNumId w:val="5"/>
  </w:num>
  <w:num w:numId="6" w16cid:durableId="1528980390">
    <w:abstractNumId w:val="4"/>
  </w:num>
  <w:num w:numId="7" w16cid:durableId="1479882104">
    <w:abstractNumId w:val="8"/>
  </w:num>
  <w:num w:numId="8" w16cid:durableId="804927887">
    <w:abstractNumId w:val="3"/>
  </w:num>
  <w:num w:numId="9" w16cid:durableId="565647517">
    <w:abstractNumId w:val="2"/>
  </w:num>
  <w:num w:numId="10" w16cid:durableId="1156723916">
    <w:abstractNumId w:val="1"/>
  </w:num>
  <w:num w:numId="11" w16cid:durableId="1520974345">
    <w:abstractNumId w:val="0"/>
  </w:num>
  <w:num w:numId="12" w16cid:durableId="655375862">
    <w:abstractNumId w:val="16"/>
  </w:num>
  <w:num w:numId="13" w16cid:durableId="1045716905">
    <w:abstractNumId w:val="21"/>
  </w:num>
  <w:num w:numId="14" w16cid:durableId="188186156">
    <w:abstractNumId w:val="18"/>
  </w:num>
  <w:num w:numId="15" w16cid:durableId="12344966">
    <w:abstractNumId w:val="17"/>
  </w:num>
  <w:num w:numId="16" w16cid:durableId="1140340911">
    <w:abstractNumId w:val="11"/>
  </w:num>
  <w:num w:numId="17" w16cid:durableId="1517571043">
    <w:abstractNumId w:val="22"/>
  </w:num>
  <w:num w:numId="18" w16cid:durableId="260842516">
    <w:abstractNumId w:val="25"/>
  </w:num>
  <w:num w:numId="19" w16cid:durableId="1423333033">
    <w:abstractNumId w:val="12"/>
  </w:num>
  <w:num w:numId="20" w16cid:durableId="108087383">
    <w:abstractNumId w:val="15"/>
  </w:num>
  <w:num w:numId="21" w16cid:durableId="592470408">
    <w:abstractNumId w:val="24"/>
  </w:num>
  <w:num w:numId="22" w16cid:durableId="2124110272">
    <w:abstractNumId w:val="26"/>
  </w:num>
  <w:num w:numId="23" w16cid:durableId="1600287464">
    <w:abstractNumId w:val="27"/>
  </w:num>
  <w:num w:numId="24" w16cid:durableId="671685791">
    <w:abstractNumId w:val="19"/>
  </w:num>
  <w:num w:numId="25" w16cid:durableId="806049039">
    <w:abstractNumId w:val="14"/>
  </w:num>
  <w:num w:numId="26" w16cid:durableId="570501410">
    <w:abstractNumId w:val="20"/>
  </w:num>
  <w:num w:numId="27" w16cid:durableId="772822962">
    <w:abstractNumId w:val="23"/>
  </w:num>
  <w:num w:numId="28" w16cid:durableId="253393330">
    <w:abstractNumId w:val="10"/>
  </w:num>
  <w:num w:numId="29" w16cid:durableId="11227715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A1NbewMDYzMLawNDBQ0lEKTi0uzszPAykwrAUA6M81pywAAAA="/>
  </w:docVars>
  <w:rsids>
    <w:rsidRoot w:val="00D96E7E"/>
    <w:rsid w:val="00027508"/>
    <w:rsid w:val="000277F0"/>
    <w:rsid w:val="00057DFF"/>
    <w:rsid w:val="00060324"/>
    <w:rsid w:val="00094360"/>
    <w:rsid w:val="000A541B"/>
    <w:rsid w:val="000A7FA2"/>
    <w:rsid w:val="000B03CD"/>
    <w:rsid w:val="000D207F"/>
    <w:rsid w:val="00101A30"/>
    <w:rsid w:val="00103549"/>
    <w:rsid w:val="00110DF2"/>
    <w:rsid w:val="00112E7A"/>
    <w:rsid w:val="00124A37"/>
    <w:rsid w:val="001324BC"/>
    <w:rsid w:val="00132ACD"/>
    <w:rsid w:val="00133938"/>
    <w:rsid w:val="0015192B"/>
    <w:rsid w:val="00153248"/>
    <w:rsid w:val="00160B18"/>
    <w:rsid w:val="00162B3E"/>
    <w:rsid w:val="00166E0B"/>
    <w:rsid w:val="001712C2"/>
    <w:rsid w:val="00193950"/>
    <w:rsid w:val="001A5FC4"/>
    <w:rsid w:val="001E292B"/>
    <w:rsid w:val="001F02DD"/>
    <w:rsid w:val="002078A6"/>
    <w:rsid w:val="00220884"/>
    <w:rsid w:val="0022400C"/>
    <w:rsid w:val="00272AE5"/>
    <w:rsid w:val="002D14AF"/>
    <w:rsid w:val="0033492F"/>
    <w:rsid w:val="00362C0F"/>
    <w:rsid w:val="00390ECC"/>
    <w:rsid w:val="003A0E33"/>
    <w:rsid w:val="003A7747"/>
    <w:rsid w:val="003A7980"/>
    <w:rsid w:val="003B6400"/>
    <w:rsid w:val="003C527F"/>
    <w:rsid w:val="003F2A78"/>
    <w:rsid w:val="003F34D2"/>
    <w:rsid w:val="00411925"/>
    <w:rsid w:val="00414E82"/>
    <w:rsid w:val="00422899"/>
    <w:rsid w:val="004230AF"/>
    <w:rsid w:val="00431CE5"/>
    <w:rsid w:val="004321C2"/>
    <w:rsid w:val="00436F8A"/>
    <w:rsid w:val="00470445"/>
    <w:rsid w:val="00475F9E"/>
    <w:rsid w:val="00476CB6"/>
    <w:rsid w:val="00485F4F"/>
    <w:rsid w:val="004968AB"/>
    <w:rsid w:val="004A54D8"/>
    <w:rsid w:val="004F5AE8"/>
    <w:rsid w:val="004F69A3"/>
    <w:rsid w:val="005173AF"/>
    <w:rsid w:val="00526E6F"/>
    <w:rsid w:val="00531DA2"/>
    <w:rsid w:val="005439BD"/>
    <w:rsid w:val="00555988"/>
    <w:rsid w:val="00557C0E"/>
    <w:rsid w:val="00562106"/>
    <w:rsid w:val="0059491B"/>
    <w:rsid w:val="005A55C2"/>
    <w:rsid w:val="005A74A4"/>
    <w:rsid w:val="005B708F"/>
    <w:rsid w:val="00603B00"/>
    <w:rsid w:val="00611669"/>
    <w:rsid w:val="0061702D"/>
    <w:rsid w:val="006317F2"/>
    <w:rsid w:val="006643EE"/>
    <w:rsid w:val="006861C5"/>
    <w:rsid w:val="006A411E"/>
    <w:rsid w:val="006A4D59"/>
    <w:rsid w:val="006D364F"/>
    <w:rsid w:val="006E0BD5"/>
    <w:rsid w:val="006E7F88"/>
    <w:rsid w:val="00705406"/>
    <w:rsid w:val="007143A1"/>
    <w:rsid w:val="0071766D"/>
    <w:rsid w:val="00742574"/>
    <w:rsid w:val="0077016D"/>
    <w:rsid w:val="007815E6"/>
    <w:rsid w:val="007924C4"/>
    <w:rsid w:val="00793C3B"/>
    <w:rsid w:val="007C3F10"/>
    <w:rsid w:val="007D285F"/>
    <w:rsid w:val="007D65EE"/>
    <w:rsid w:val="007D74FB"/>
    <w:rsid w:val="007E284E"/>
    <w:rsid w:val="007F0BB9"/>
    <w:rsid w:val="007F195B"/>
    <w:rsid w:val="007F7FC3"/>
    <w:rsid w:val="008035F7"/>
    <w:rsid w:val="008155F7"/>
    <w:rsid w:val="008158FC"/>
    <w:rsid w:val="00832990"/>
    <w:rsid w:val="0084021E"/>
    <w:rsid w:val="0084325B"/>
    <w:rsid w:val="00861FB4"/>
    <w:rsid w:val="00865AAD"/>
    <w:rsid w:val="0087067F"/>
    <w:rsid w:val="008C1FAA"/>
    <w:rsid w:val="008C534D"/>
    <w:rsid w:val="008D54E6"/>
    <w:rsid w:val="008E263C"/>
    <w:rsid w:val="008F73E4"/>
    <w:rsid w:val="009072FF"/>
    <w:rsid w:val="00942073"/>
    <w:rsid w:val="00943BD2"/>
    <w:rsid w:val="00947B8E"/>
    <w:rsid w:val="009529EB"/>
    <w:rsid w:val="00955B33"/>
    <w:rsid w:val="00973CF6"/>
    <w:rsid w:val="009B2AE6"/>
    <w:rsid w:val="009D6B26"/>
    <w:rsid w:val="009F20B8"/>
    <w:rsid w:val="009F7D8A"/>
    <w:rsid w:val="00A43B1D"/>
    <w:rsid w:val="00A517D7"/>
    <w:rsid w:val="00A51BF9"/>
    <w:rsid w:val="00A53E9C"/>
    <w:rsid w:val="00A8619B"/>
    <w:rsid w:val="00AD01E6"/>
    <w:rsid w:val="00AE02B4"/>
    <w:rsid w:val="00B1676B"/>
    <w:rsid w:val="00B308B2"/>
    <w:rsid w:val="00B3539D"/>
    <w:rsid w:val="00B427E7"/>
    <w:rsid w:val="00B614E2"/>
    <w:rsid w:val="00B75B7B"/>
    <w:rsid w:val="00B81E54"/>
    <w:rsid w:val="00B859C0"/>
    <w:rsid w:val="00B93BDD"/>
    <w:rsid w:val="00BA58DE"/>
    <w:rsid w:val="00BC16B9"/>
    <w:rsid w:val="00BD1C99"/>
    <w:rsid w:val="00BD2B9E"/>
    <w:rsid w:val="00BF29F9"/>
    <w:rsid w:val="00C01FF8"/>
    <w:rsid w:val="00C354B4"/>
    <w:rsid w:val="00C455E4"/>
    <w:rsid w:val="00C74718"/>
    <w:rsid w:val="00C94CAB"/>
    <w:rsid w:val="00C95379"/>
    <w:rsid w:val="00CC1FE3"/>
    <w:rsid w:val="00CC60E6"/>
    <w:rsid w:val="00CD176A"/>
    <w:rsid w:val="00D21CB0"/>
    <w:rsid w:val="00D2423B"/>
    <w:rsid w:val="00D27F38"/>
    <w:rsid w:val="00D379BC"/>
    <w:rsid w:val="00D40454"/>
    <w:rsid w:val="00D66D9D"/>
    <w:rsid w:val="00D94E6D"/>
    <w:rsid w:val="00D96E7E"/>
    <w:rsid w:val="00DB1AEB"/>
    <w:rsid w:val="00DB4BBC"/>
    <w:rsid w:val="00DB4D54"/>
    <w:rsid w:val="00DD6EFA"/>
    <w:rsid w:val="00DF0718"/>
    <w:rsid w:val="00E00F51"/>
    <w:rsid w:val="00E044BA"/>
    <w:rsid w:val="00E17062"/>
    <w:rsid w:val="00E2521A"/>
    <w:rsid w:val="00E3571C"/>
    <w:rsid w:val="00E451B2"/>
    <w:rsid w:val="00E60EBC"/>
    <w:rsid w:val="00E61EDE"/>
    <w:rsid w:val="00E649D7"/>
    <w:rsid w:val="00E66867"/>
    <w:rsid w:val="00E7634C"/>
    <w:rsid w:val="00F13956"/>
    <w:rsid w:val="00F23E4E"/>
    <w:rsid w:val="00F25B8D"/>
    <w:rsid w:val="00F26EFD"/>
    <w:rsid w:val="00F27AA3"/>
    <w:rsid w:val="00F44DB3"/>
    <w:rsid w:val="00F64AD3"/>
    <w:rsid w:val="00F87330"/>
    <w:rsid w:val="00FA4B44"/>
    <w:rsid w:val="00FB2471"/>
  </w:rsids>
  <m:mathPr>
    <m:mathFont m:val="Cambria Math"/>
    <m:brkBin m:val="before"/>
    <m:brkBinSub m:val="--"/>
    <m:smallFrac m:val="0"/>
    <m:dispDef/>
    <m:lMargin m:val="0"/>
    <m:rMargin m:val="0"/>
    <m:defJc m:val="centerGroup"/>
    <m:wrapIndent m:val="1440"/>
    <m:intLim m:val="subSup"/>
    <m:naryLim m:val="undOvr"/>
  </m:mathPr>
  <w:themeFontLang w:val="en-GB" w:bidi="b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FA2F419"/>
  <w14:defaultImageDpi w14:val="300"/>
  <w15:chartTrackingRefBased/>
  <w15:docId w15:val="{3807E95C-F359-45E7-A5E2-1536862A4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header"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next w:val="NormalIndent"/>
    <w:qFormat/>
    <w:rsid w:val="0084325B"/>
    <w:pPr>
      <w:suppressAutoHyphens/>
      <w:autoSpaceDE w:val="0"/>
      <w:jc w:val="both"/>
    </w:pPr>
    <w:rPr>
      <w:rFonts w:ascii="Times New Roman" w:eastAsia="Times New Roman" w:hAnsi="Times New Roman"/>
      <w:lang w:val="en-US" w:eastAsia="ar-SA"/>
    </w:rPr>
  </w:style>
  <w:style w:type="paragraph" w:styleId="Heading1">
    <w:name w:val="heading 1"/>
    <w:basedOn w:val="Normal"/>
    <w:next w:val="Normal"/>
    <w:link w:val="Heading1Char"/>
    <w:qFormat/>
    <w:rsid w:val="00DD6EFA"/>
    <w:pPr>
      <w:keepNext/>
      <w:numPr>
        <w:numId w:val="1"/>
      </w:numPr>
      <w:spacing w:before="180" w:after="80"/>
      <w:outlineLvl w:val="0"/>
    </w:pPr>
    <w:rPr>
      <w:caps/>
      <w:kern w:val="20"/>
    </w:rPr>
  </w:style>
  <w:style w:type="paragraph" w:styleId="Heading2">
    <w:name w:val="heading 2"/>
    <w:basedOn w:val="Normal"/>
    <w:next w:val="Normal"/>
    <w:link w:val="Heading2Char"/>
    <w:uiPriority w:val="9"/>
    <w:qFormat/>
    <w:rsid w:val="00DD6EFA"/>
    <w:pPr>
      <w:keepNext/>
      <w:numPr>
        <w:ilvl w:val="1"/>
        <w:numId w:val="1"/>
      </w:numPr>
      <w:spacing w:before="120" w:after="80"/>
      <w:outlineLvl w:val="1"/>
    </w:pPr>
    <w:rPr>
      <w:bCs/>
      <w:i/>
      <w:iCs/>
      <w:szCs w:val="28"/>
    </w:rPr>
  </w:style>
  <w:style w:type="paragraph" w:styleId="Heading3">
    <w:name w:val="heading 3"/>
    <w:basedOn w:val="Normal"/>
    <w:next w:val="Normal"/>
    <w:qFormat/>
    <w:rsid w:val="00DD6EFA"/>
    <w:pPr>
      <w:keepNext/>
      <w:numPr>
        <w:ilvl w:val="2"/>
        <w:numId w:val="1"/>
      </w:numPr>
      <w:spacing w:before="120" w:after="80"/>
      <w:outlineLvl w:val="2"/>
    </w:pPr>
    <w:rPr>
      <w:rFonts w:cs="Arial"/>
      <w:bCs/>
      <w:szCs w:val="26"/>
    </w:rPr>
  </w:style>
  <w:style w:type="paragraph" w:styleId="Heading4">
    <w:name w:val="heading 4"/>
    <w:basedOn w:val="Normal"/>
    <w:next w:val="Normal"/>
    <w:qFormat/>
    <w:rsid w:val="00DD6EFA"/>
    <w:pPr>
      <w:keepNext/>
      <w:numPr>
        <w:ilvl w:val="3"/>
        <w:numId w:val="1"/>
      </w:numPr>
      <w:spacing w:before="120" w:after="80"/>
      <w:outlineLvl w:val="3"/>
    </w:pPr>
    <w:rPr>
      <w:bCs/>
      <w:szCs w:val="28"/>
    </w:rPr>
  </w:style>
  <w:style w:type="paragraph" w:styleId="Heading5">
    <w:name w:val="heading 5"/>
    <w:basedOn w:val="Normal"/>
    <w:next w:val="Normal"/>
    <w:qFormat/>
    <w:rsid w:val="00DD6EFA"/>
    <w:pPr>
      <w:numPr>
        <w:ilvl w:val="4"/>
        <w:numId w:val="1"/>
      </w:numPr>
      <w:spacing w:before="240" w:after="60"/>
      <w:outlineLvl w:val="4"/>
    </w:pPr>
    <w:rPr>
      <w:b/>
      <w:bCs/>
      <w:i/>
      <w:iCs/>
      <w:sz w:val="26"/>
      <w:szCs w:val="26"/>
    </w:rPr>
  </w:style>
  <w:style w:type="paragraph" w:styleId="Heading6">
    <w:name w:val="heading 6"/>
    <w:basedOn w:val="Normal"/>
    <w:next w:val="Normal"/>
    <w:qFormat/>
    <w:rsid w:val="00DD6EFA"/>
    <w:pPr>
      <w:numPr>
        <w:ilvl w:val="5"/>
        <w:numId w:val="1"/>
      </w:numPr>
      <w:spacing w:before="240" w:after="60"/>
      <w:outlineLvl w:val="5"/>
    </w:pPr>
    <w:rPr>
      <w:b/>
      <w:bCs/>
      <w:sz w:val="22"/>
      <w:szCs w:val="22"/>
    </w:rPr>
  </w:style>
  <w:style w:type="paragraph" w:styleId="Heading7">
    <w:name w:val="heading 7"/>
    <w:basedOn w:val="Normal"/>
    <w:next w:val="Normal"/>
    <w:qFormat/>
    <w:rsid w:val="00DD6EFA"/>
    <w:pPr>
      <w:numPr>
        <w:ilvl w:val="6"/>
        <w:numId w:val="1"/>
      </w:numPr>
      <w:spacing w:before="240" w:after="60"/>
      <w:outlineLvl w:val="6"/>
    </w:pPr>
    <w:rPr>
      <w:sz w:val="24"/>
      <w:szCs w:val="24"/>
    </w:rPr>
  </w:style>
  <w:style w:type="paragraph" w:styleId="Heading8">
    <w:name w:val="heading 8"/>
    <w:basedOn w:val="Normal"/>
    <w:next w:val="Normal"/>
    <w:qFormat/>
    <w:rsid w:val="00DD6EFA"/>
    <w:pPr>
      <w:numPr>
        <w:ilvl w:val="7"/>
        <w:numId w:val="1"/>
      </w:numPr>
      <w:spacing w:before="240" w:after="60"/>
      <w:outlineLvl w:val="7"/>
    </w:pPr>
    <w:rPr>
      <w:i/>
      <w:iCs/>
      <w:sz w:val="24"/>
      <w:szCs w:val="24"/>
    </w:rPr>
  </w:style>
  <w:style w:type="paragraph" w:styleId="Heading9">
    <w:name w:val="heading 9"/>
    <w:basedOn w:val="Normal"/>
    <w:next w:val="Normal"/>
    <w:qFormat/>
    <w:rsid w:val="00DD6EFA"/>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D96E7E"/>
    <w:pPr>
      <w:spacing w:after="240"/>
      <w:jc w:val="center"/>
    </w:pPr>
    <w:rPr>
      <w:b/>
      <w:kern w:val="32"/>
      <w:sz w:val="28"/>
      <w:szCs w:val="48"/>
    </w:rPr>
  </w:style>
  <w:style w:type="character" w:customStyle="1" w:styleId="TitleChar">
    <w:name w:val="Title Char"/>
    <w:link w:val="Title"/>
    <w:rsid w:val="00D96E7E"/>
    <w:rPr>
      <w:rFonts w:ascii="Times New Roman" w:eastAsia="Times New Roman" w:hAnsi="Times New Roman" w:cs="Times New Roman"/>
      <w:b/>
      <w:kern w:val="32"/>
      <w:sz w:val="28"/>
      <w:szCs w:val="48"/>
      <w:lang w:eastAsia="ar-SA"/>
    </w:rPr>
  </w:style>
  <w:style w:type="paragraph" w:customStyle="1" w:styleId="Authors">
    <w:name w:val="Authors"/>
    <w:basedOn w:val="Normal"/>
    <w:link w:val="AuthorsChar"/>
    <w:qFormat/>
    <w:rsid w:val="00D96E7E"/>
    <w:pPr>
      <w:jc w:val="center"/>
    </w:pPr>
    <w:rPr>
      <w:lang w:val="fr-FR"/>
    </w:rPr>
  </w:style>
  <w:style w:type="character" w:customStyle="1" w:styleId="AuthorsChar">
    <w:name w:val="Authors Char"/>
    <w:link w:val="Authors"/>
    <w:rsid w:val="00D96E7E"/>
    <w:rPr>
      <w:rFonts w:ascii="Times New Roman" w:eastAsia="Times New Roman" w:hAnsi="Times New Roman" w:cs="Times New Roman"/>
      <w:sz w:val="20"/>
      <w:szCs w:val="20"/>
      <w:lang w:val="fr-FR" w:eastAsia="ar-SA"/>
    </w:rPr>
  </w:style>
  <w:style w:type="character" w:customStyle="1" w:styleId="Heading1Char">
    <w:name w:val="Heading 1 Char"/>
    <w:link w:val="Heading1"/>
    <w:rsid w:val="00DD6EFA"/>
    <w:rPr>
      <w:caps/>
      <w:kern w:val="20"/>
      <w:lang w:val="en-US" w:eastAsia="ar-SA" w:bidi="ar-SA"/>
    </w:rPr>
  </w:style>
  <w:style w:type="paragraph" w:customStyle="1" w:styleId="KeyWords">
    <w:name w:val="Key Words"/>
    <w:basedOn w:val="Normal"/>
    <w:link w:val="KeyWordsChar"/>
    <w:qFormat/>
    <w:rsid w:val="00D96E7E"/>
    <w:pPr>
      <w:spacing w:before="240" w:after="240"/>
    </w:pPr>
  </w:style>
  <w:style w:type="character" w:customStyle="1" w:styleId="Heading2Char">
    <w:name w:val="Heading 2 Char"/>
    <w:link w:val="Heading2"/>
    <w:uiPriority w:val="9"/>
    <w:semiHidden/>
    <w:rsid w:val="00DD6EFA"/>
    <w:rPr>
      <w:bCs/>
      <w:i/>
      <w:iCs/>
      <w:szCs w:val="28"/>
      <w:lang w:val="en-US" w:eastAsia="ar-SA" w:bidi="ar-SA"/>
    </w:rPr>
  </w:style>
  <w:style w:type="character" w:customStyle="1" w:styleId="KeyWordsChar">
    <w:name w:val="Key Words Char"/>
    <w:link w:val="KeyWords"/>
    <w:rsid w:val="00D96E7E"/>
    <w:rPr>
      <w:rFonts w:ascii="Times New Roman" w:eastAsia="Times New Roman" w:hAnsi="Times New Roman" w:cs="Times New Roman"/>
      <w:sz w:val="20"/>
      <w:szCs w:val="20"/>
      <w:lang w:eastAsia="ar-SA"/>
    </w:rPr>
  </w:style>
  <w:style w:type="paragraph" w:styleId="NormalIndent">
    <w:name w:val="Normal Indent"/>
    <w:basedOn w:val="Normal"/>
    <w:uiPriority w:val="99"/>
    <w:unhideWhenUsed/>
    <w:qFormat/>
    <w:rsid w:val="0084325B"/>
    <w:pPr>
      <w:ind w:firstLine="170"/>
    </w:pPr>
  </w:style>
  <w:style w:type="paragraph" w:customStyle="1" w:styleId="Equation">
    <w:name w:val="Equation"/>
    <w:basedOn w:val="Normal"/>
    <w:next w:val="Normal"/>
    <w:rsid w:val="008155F7"/>
    <w:pPr>
      <w:tabs>
        <w:tab w:val="center" w:pos="2509"/>
        <w:tab w:val="right" w:pos="5018"/>
      </w:tabs>
      <w:spacing w:before="120" w:after="120"/>
    </w:pPr>
  </w:style>
  <w:style w:type="paragraph" w:styleId="ListBullet">
    <w:name w:val="List Bullet"/>
    <w:basedOn w:val="Normal"/>
    <w:autoRedefine/>
    <w:rsid w:val="00B3539D"/>
    <w:pPr>
      <w:numPr>
        <w:numId w:val="2"/>
      </w:numPr>
    </w:pPr>
  </w:style>
  <w:style w:type="paragraph" w:styleId="Caption">
    <w:name w:val="caption"/>
    <w:basedOn w:val="Normal"/>
    <w:next w:val="NormalIndent"/>
    <w:qFormat/>
    <w:rsid w:val="0087067F"/>
    <w:pPr>
      <w:spacing w:before="120" w:after="120"/>
      <w:jc w:val="center"/>
    </w:pPr>
    <w:rPr>
      <w:bCs/>
    </w:rPr>
  </w:style>
  <w:style w:type="paragraph" w:customStyle="1" w:styleId="Figure">
    <w:name w:val="Figure"/>
    <w:basedOn w:val="Normal"/>
    <w:next w:val="Caption"/>
    <w:qFormat/>
    <w:rsid w:val="00436F8A"/>
    <w:pPr>
      <w:jc w:val="center"/>
    </w:pPr>
  </w:style>
  <w:style w:type="paragraph" w:customStyle="1" w:styleId="References">
    <w:name w:val="References"/>
    <w:basedOn w:val="ListNumber"/>
    <w:rsid w:val="00153248"/>
    <w:pPr>
      <w:numPr>
        <w:numId w:val="26"/>
      </w:numPr>
    </w:pPr>
    <w:rPr>
      <w:sz w:val="16"/>
    </w:rPr>
  </w:style>
  <w:style w:type="table" w:styleId="TableGrid">
    <w:name w:val="Table Grid"/>
    <w:basedOn w:val="TableNormal"/>
    <w:rsid w:val="007D65EE"/>
    <w:pPr>
      <w:suppressAutoHyphens/>
      <w:autoSpaceDE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rsid w:val="00153248"/>
    <w:pPr>
      <w:numPr>
        <w:numId w:val="7"/>
      </w:numPr>
    </w:pPr>
  </w:style>
  <w:style w:type="character" w:styleId="Hyperlink">
    <w:name w:val="Hyperlink"/>
    <w:uiPriority w:val="99"/>
    <w:rsid w:val="006317F2"/>
    <w:rPr>
      <w:color w:val="0000FF"/>
      <w:u w:val="single"/>
    </w:rPr>
  </w:style>
  <w:style w:type="paragraph" w:styleId="Header">
    <w:name w:val="header"/>
    <w:basedOn w:val="Normal"/>
    <w:link w:val="HeaderChar"/>
    <w:uiPriority w:val="99"/>
    <w:rsid w:val="00531DA2"/>
    <w:pPr>
      <w:tabs>
        <w:tab w:val="center" w:pos="4680"/>
        <w:tab w:val="right" w:pos="9360"/>
      </w:tabs>
    </w:pPr>
  </w:style>
  <w:style w:type="character" w:customStyle="1" w:styleId="HeaderChar">
    <w:name w:val="Header Char"/>
    <w:basedOn w:val="DefaultParagraphFont"/>
    <w:link w:val="Header"/>
    <w:uiPriority w:val="99"/>
    <w:rsid w:val="00531DA2"/>
    <w:rPr>
      <w:rFonts w:ascii="Times New Roman" w:eastAsia="Times New Roman" w:hAnsi="Times New Roman"/>
      <w:lang w:val="en-US" w:eastAsia="ar-SA"/>
    </w:rPr>
  </w:style>
  <w:style w:type="paragraph" w:styleId="Footer">
    <w:name w:val="footer"/>
    <w:basedOn w:val="Normal"/>
    <w:link w:val="FooterChar"/>
    <w:uiPriority w:val="99"/>
    <w:rsid w:val="00531DA2"/>
    <w:pPr>
      <w:tabs>
        <w:tab w:val="center" w:pos="4680"/>
        <w:tab w:val="right" w:pos="9360"/>
      </w:tabs>
    </w:pPr>
  </w:style>
  <w:style w:type="character" w:customStyle="1" w:styleId="FooterChar">
    <w:name w:val="Footer Char"/>
    <w:basedOn w:val="DefaultParagraphFont"/>
    <w:link w:val="Footer"/>
    <w:uiPriority w:val="99"/>
    <w:rsid w:val="00531DA2"/>
    <w:rPr>
      <w:rFonts w:ascii="Times New Roman" w:eastAsia="Times New Roman" w:hAnsi="Times New Roman"/>
      <w:lang w:val="en-US" w:eastAsia="ar-SA"/>
    </w:rPr>
  </w:style>
  <w:style w:type="paragraph" w:customStyle="1" w:styleId="a">
    <w:name w:val="바탕글"/>
    <w:basedOn w:val="Normal"/>
    <w:rsid w:val="002D14AF"/>
    <w:pPr>
      <w:widowControl w:val="0"/>
      <w:suppressAutoHyphens w:val="0"/>
      <w:wordWrap w:val="0"/>
      <w:autoSpaceDN w:val="0"/>
      <w:snapToGrid w:val="0"/>
      <w:spacing w:line="384" w:lineRule="auto"/>
      <w:textAlignment w:val="baseline"/>
    </w:pPr>
    <w:rPr>
      <w:rFonts w:ascii="Gulim" w:eastAsia="Gulim" w:hAnsi="Gulim" w:cs="Gulim"/>
      <w:color w:val="000000"/>
      <w:lang w:eastAsia="ko-KR"/>
    </w:rPr>
  </w:style>
  <w:style w:type="character" w:customStyle="1" w:styleId="UnresolvedMention1">
    <w:name w:val="Unresolved Mention1"/>
    <w:basedOn w:val="DefaultParagraphFont"/>
    <w:uiPriority w:val="99"/>
    <w:semiHidden/>
    <w:unhideWhenUsed/>
    <w:rsid w:val="002D14AF"/>
    <w:rPr>
      <w:color w:val="808080"/>
      <w:shd w:val="clear" w:color="auto" w:fill="E6E6E6"/>
    </w:rPr>
  </w:style>
  <w:style w:type="paragraph" w:styleId="FootnoteText">
    <w:name w:val="footnote text"/>
    <w:basedOn w:val="Normal"/>
    <w:link w:val="FootnoteTextChar"/>
    <w:uiPriority w:val="99"/>
    <w:unhideWhenUsed/>
    <w:qFormat/>
    <w:rsid w:val="006E0BD5"/>
    <w:pPr>
      <w:suppressAutoHyphens w:val="0"/>
      <w:autoSpaceDE/>
      <w:spacing w:line="480" w:lineRule="auto"/>
      <w:ind w:left="454" w:hanging="454"/>
    </w:pPr>
    <w:rPr>
      <w:rFonts w:eastAsia="Calibri"/>
      <w:lang w:val="en-CA" w:eastAsia="en-US"/>
    </w:rPr>
  </w:style>
  <w:style w:type="character" w:customStyle="1" w:styleId="FootnoteTextChar">
    <w:name w:val="Footnote Text Char"/>
    <w:basedOn w:val="DefaultParagraphFont"/>
    <w:link w:val="FootnoteText"/>
    <w:uiPriority w:val="99"/>
    <w:rsid w:val="006E0BD5"/>
    <w:rPr>
      <w:rFonts w:ascii="Times New Roman" w:hAnsi="Times New Roman"/>
      <w:lang w:val="en-CA" w:eastAsia="en-US"/>
    </w:rPr>
  </w:style>
  <w:style w:type="character" w:styleId="FootnoteReference">
    <w:name w:val="footnote reference"/>
    <w:uiPriority w:val="99"/>
    <w:unhideWhenUsed/>
    <w:rsid w:val="006E0BD5"/>
    <w:rPr>
      <w:vertAlign w:val="superscript"/>
    </w:rPr>
  </w:style>
  <w:style w:type="character" w:customStyle="1" w:styleId="UnresolvedMention2">
    <w:name w:val="Unresolved Mention2"/>
    <w:basedOn w:val="DefaultParagraphFont"/>
    <w:uiPriority w:val="99"/>
    <w:semiHidden/>
    <w:unhideWhenUsed/>
    <w:rsid w:val="006E0BD5"/>
    <w:rPr>
      <w:color w:val="605E5C"/>
      <w:shd w:val="clear" w:color="auto" w:fill="E1DFDD"/>
    </w:rPr>
  </w:style>
  <w:style w:type="paragraph" w:styleId="NormalWeb">
    <w:name w:val="Normal (Web)"/>
    <w:basedOn w:val="Normal"/>
    <w:uiPriority w:val="99"/>
    <w:unhideWhenUsed/>
    <w:rsid w:val="00942073"/>
    <w:pPr>
      <w:suppressAutoHyphens w:val="0"/>
      <w:autoSpaceDE/>
      <w:spacing w:before="100" w:beforeAutospacing="1" w:after="100" w:afterAutospacing="1"/>
      <w:jc w:val="left"/>
    </w:pPr>
    <w:rPr>
      <w:sz w:val="24"/>
      <w:szCs w:val="24"/>
      <w:lang w:val="en-CA" w:eastAsia="en-CA"/>
    </w:rPr>
  </w:style>
  <w:style w:type="paragraph" w:styleId="ListParagraph">
    <w:name w:val="List Paragraph"/>
    <w:basedOn w:val="Normal"/>
    <w:uiPriority w:val="34"/>
    <w:qFormat/>
    <w:rsid w:val="000277F0"/>
    <w:pPr>
      <w:suppressAutoHyphens w:val="0"/>
      <w:autoSpaceDE/>
      <w:spacing w:after="160" w:line="259" w:lineRule="auto"/>
      <w:ind w:left="720"/>
      <w:contextualSpacing/>
      <w:jc w:val="left"/>
    </w:pPr>
    <w:rPr>
      <w:rFonts w:asciiTheme="minorHAnsi" w:eastAsiaTheme="minorHAnsi" w:hAnsiTheme="minorHAnsi" w:cstheme="minorBidi"/>
      <w:sz w:val="22"/>
      <w:szCs w:val="22"/>
      <w:lang w:val="en-CA" w:eastAsia="en-US"/>
    </w:rPr>
  </w:style>
  <w:style w:type="character" w:styleId="CommentReference">
    <w:name w:val="annotation reference"/>
    <w:basedOn w:val="DefaultParagraphFont"/>
    <w:uiPriority w:val="99"/>
    <w:rsid w:val="000F3DF7"/>
    <w:rPr>
      <w:sz w:val="16"/>
      <w:szCs w:val="16"/>
    </w:rPr>
  </w:style>
  <w:style w:type="paragraph" w:styleId="BalloonText">
    <w:name w:val="Balloon Text"/>
    <w:basedOn w:val="Normal"/>
    <w:link w:val="BalloonTextChar"/>
    <w:semiHidden/>
    <w:unhideWhenUsed/>
    <w:rsid w:val="000A541B"/>
    <w:rPr>
      <w:rFonts w:ascii="Segoe UI" w:hAnsi="Segoe UI" w:cs="Segoe UI"/>
      <w:sz w:val="18"/>
      <w:szCs w:val="18"/>
    </w:rPr>
  </w:style>
  <w:style w:type="character" w:customStyle="1" w:styleId="BalloonTextChar">
    <w:name w:val="Balloon Text Char"/>
    <w:basedOn w:val="DefaultParagraphFont"/>
    <w:link w:val="BalloonText"/>
    <w:semiHidden/>
    <w:rsid w:val="000A541B"/>
    <w:rPr>
      <w:rFonts w:ascii="Segoe UI" w:eastAsia="Times New Roman" w:hAnsi="Segoe UI" w:cs="Segoe UI"/>
      <w:sz w:val="18"/>
      <w:szCs w:val="18"/>
      <w:lang w:val="en-US" w:eastAsia="ar-SA"/>
    </w:rPr>
  </w:style>
  <w:style w:type="paragraph" w:styleId="CommentText">
    <w:name w:val="annotation text"/>
    <w:basedOn w:val="Normal"/>
    <w:link w:val="CommentTextChar"/>
    <w:rsid w:val="000A541B"/>
  </w:style>
  <w:style w:type="character" w:customStyle="1" w:styleId="CommentTextChar">
    <w:name w:val="Comment Text Char"/>
    <w:basedOn w:val="DefaultParagraphFont"/>
    <w:link w:val="CommentText"/>
    <w:rsid w:val="000A541B"/>
    <w:rPr>
      <w:rFonts w:ascii="Times New Roman" w:eastAsia="Times New Roman" w:hAnsi="Times New Roman"/>
      <w:lang w:val="en-US" w:eastAsia="ar-SA"/>
    </w:rPr>
  </w:style>
  <w:style w:type="paragraph" w:styleId="CommentSubject">
    <w:name w:val="annotation subject"/>
    <w:basedOn w:val="CommentText"/>
    <w:next w:val="CommentText"/>
    <w:link w:val="CommentSubjectChar"/>
    <w:rsid w:val="000A541B"/>
    <w:rPr>
      <w:b/>
      <w:bCs/>
    </w:rPr>
  </w:style>
  <w:style w:type="character" w:customStyle="1" w:styleId="CommentSubjectChar">
    <w:name w:val="Comment Subject Char"/>
    <w:basedOn w:val="CommentTextChar"/>
    <w:link w:val="CommentSubject"/>
    <w:rsid w:val="000A541B"/>
    <w:rPr>
      <w:rFonts w:ascii="Times New Roman" w:eastAsia="Times New Roman" w:hAnsi="Times New Roman"/>
      <w:b/>
      <w:bCs/>
      <w:lang w:val="en-US" w:eastAsia="ar-SA"/>
    </w:rPr>
  </w:style>
  <w:style w:type="paragraph" w:styleId="Revision">
    <w:name w:val="Revision"/>
    <w:hidden/>
    <w:uiPriority w:val="71"/>
    <w:rsid w:val="00110DF2"/>
    <w:rPr>
      <w:rFonts w:ascii="Times New Roman" w:eastAsia="Times New Roman" w:hAnsi="Times New Roman"/>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chart" Target="charts/chart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amed.shabaniattar@concordia.ca"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amed.shabaniattar@concordia.ca"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4197429527009739"/>
          <c:y val="7.2968490878938641E-2"/>
          <c:w val="0.82613413606336883"/>
          <c:h val="0.66886407855734453"/>
        </c:manualLayout>
      </c:layout>
      <c:barChart>
        <c:barDir val="col"/>
        <c:grouping val="clustered"/>
        <c:varyColors val="0"/>
        <c:ser>
          <c:idx val="0"/>
          <c:order val="0"/>
          <c:tx>
            <c:v>ACI 440.IR</c:v>
          </c:tx>
          <c:spPr>
            <a:solidFill>
              <a:schemeClr val="accent1"/>
            </a:solidFill>
            <a:ln>
              <a:noFill/>
            </a:ln>
            <a:effectLst/>
          </c:spPr>
          <c:invertIfNegative val="0"/>
          <c:errBars>
            <c:errBarType val="both"/>
            <c:errValType val="cust"/>
            <c:noEndCap val="0"/>
            <c:plus>
              <c:numRef>
                <c:f>'Sheet2 (2)'!$C$8:$F$8</c:f>
                <c:numCache>
                  <c:formatCode>General</c:formatCode>
                  <c:ptCount val="4"/>
                  <c:pt idx="0">
                    <c:v>0.17874971452848365</c:v>
                  </c:pt>
                  <c:pt idx="1">
                    <c:v>0.25288586481445996</c:v>
                  </c:pt>
                  <c:pt idx="2">
                    <c:v>0.23444327252270167</c:v>
                  </c:pt>
                  <c:pt idx="3">
                    <c:v>0.11150961512904534</c:v>
                  </c:pt>
                </c:numCache>
              </c:numRef>
            </c:plus>
            <c:minus>
              <c:numRef>
                <c:f>'Sheet2 (2)'!$C$8:$F$8</c:f>
                <c:numCache>
                  <c:formatCode>General</c:formatCode>
                  <c:ptCount val="4"/>
                  <c:pt idx="0">
                    <c:v>0.17874971452848365</c:v>
                  </c:pt>
                  <c:pt idx="1">
                    <c:v>0.25288586481445996</c:v>
                  </c:pt>
                  <c:pt idx="2">
                    <c:v>0.23444327252270167</c:v>
                  </c:pt>
                  <c:pt idx="3">
                    <c:v>0.11150961512904534</c:v>
                  </c:pt>
                </c:numCache>
              </c:numRef>
            </c:minus>
            <c:spPr>
              <a:noFill/>
              <a:ln w="9525">
                <a:solidFill>
                  <a:schemeClr val="tx1">
                    <a:lumMod val="65000"/>
                    <a:lumOff val="35000"/>
                  </a:schemeClr>
                </a:solidFill>
                <a:round/>
              </a:ln>
              <a:effectLst/>
            </c:spPr>
          </c:errBars>
          <c:cat>
            <c:strRef>
              <c:f>'Sheet2 (2)'!$G$3:$J$3</c:f>
              <c:strCache>
                <c:ptCount val="4"/>
                <c:pt idx="0">
                  <c:v>Sand coated</c:v>
                </c:pt>
                <c:pt idx="1">
                  <c:v>Ribbed</c:v>
                </c:pt>
                <c:pt idx="2">
                  <c:v>Grooved</c:v>
                </c:pt>
                <c:pt idx="3">
                  <c:v>Helically Wrapped</c:v>
                </c:pt>
              </c:strCache>
            </c:strRef>
          </c:cat>
          <c:val>
            <c:numRef>
              <c:f>'Sheet2 (2)'!$C$7:$F$7</c:f>
              <c:numCache>
                <c:formatCode>0.00</c:formatCode>
                <c:ptCount val="4"/>
                <c:pt idx="0">
                  <c:v>1.1148555084434244</c:v>
                </c:pt>
                <c:pt idx="1">
                  <c:v>1.1318550833574426</c:v>
                </c:pt>
                <c:pt idx="2">
                  <c:v>1.1944266974557165</c:v>
                </c:pt>
                <c:pt idx="3">
                  <c:v>1.1684629216330802</c:v>
                </c:pt>
              </c:numCache>
            </c:numRef>
          </c:val>
          <c:extLst>
            <c:ext xmlns:c16="http://schemas.microsoft.com/office/drawing/2014/chart" uri="{C3380CC4-5D6E-409C-BE32-E72D297353CC}">
              <c16:uniqueId val="{00000000-70B1-42AE-B6FE-5DAE8F7D58DF}"/>
            </c:ext>
          </c:extLst>
        </c:ser>
        <c:ser>
          <c:idx val="1"/>
          <c:order val="1"/>
          <c:tx>
            <c:v>ISIS</c:v>
          </c:tx>
          <c:spPr>
            <a:solidFill>
              <a:schemeClr val="accent2"/>
            </a:solidFill>
            <a:ln>
              <a:noFill/>
            </a:ln>
            <a:effectLst/>
          </c:spPr>
          <c:invertIfNegative val="0"/>
          <c:errBars>
            <c:errBarType val="both"/>
            <c:errValType val="cust"/>
            <c:noEndCap val="0"/>
            <c:plus>
              <c:numRef>
                <c:f>'Sheet2 (2)'!$G$8:$J$8</c:f>
                <c:numCache>
                  <c:formatCode>General</c:formatCode>
                  <c:ptCount val="4"/>
                  <c:pt idx="0">
                    <c:v>0.13053528457393368</c:v>
                  </c:pt>
                  <c:pt idx="1">
                    <c:v>0.20302777388112209</c:v>
                  </c:pt>
                  <c:pt idx="2">
                    <c:v>0.18278368860314428</c:v>
                  </c:pt>
                  <c:pt idx="3">
                    <c:v>9.4686345825515578E-2</c:v>
                  </c:pt>
                </c:numCache>
              </c:numRef>
            </c:plus>
            <c:minus>
              <c:numRef>
                <c:f>'Sheet2 (2)'!$G$8:$J$8</c:f>
                <c:numCache>
                  <c:formatCode>General</c:formatCode>
                  <c:ptCount val="4"/>
                  <c:pt idx="0">
                    <c:v>0.13053528457393368</c:v>
                  </c:pt>
                  <c:pt idx="1">
                    <c:v>0.20302777388112209</c:v>
                  </c:pt>
                  <c:pt idx="2">
                    <c:v>0.18278368860314428</c:v>
                  </c:pt>
                  <c:pt idx="3">
                    <c:v>9.4686345825515578E-2</c:v>
                  </c:pt>
                </c:numCache>
              </c:numRef>
            </c:minus>
            <c:spPr>
              <a:noFill/>
              <a:ln w="9525">
                <a:solidFill>
                  <a:schemeClr val="tx1">
                    <a:lumMod val="65000"/>
                    <a:lumOff val="35000"/>
                  </a:schemeClr>
                </a:solidFill>
                <a:round/>
              </a:ln>
              <a:effectLst/>
            </c:spPr>
          </c:errBars>
          <c:cat>
            <c:strRef>
              <c:f>'Sheet2 (2)'!$G$3:$J$3</c:f>
              <c:strCache>
                <c:ptCount val="4"/>
                <c:pt idx="0">
                  <c:v>Sand coated</c:v>
                </c:pt>
                <c:pt idx="1">
                  <c:v>Ribbed</c:v>
                </c:pt>
                <c:pt idx="2">
                  <c:v>Grooved</c:v>
                </c:pt>
                <c:pt idx="3">
                  <c:v>Helically Wrapped</c:v>
                </c:pt>
              </c:strCache>
            </c:strRef>
          </c:cat>
          <c:val>
            <c:numRef>
              <c:f>'Sheet2 (2)'!$G$7:$J$7</c:f>
              <c:numCache>
                <c:formatCode>0.00</c:formatCode>
                <c:ptCount val="4"/>
                <c:pt idx="0">
                  <c:v>0.91296254473241734</c:v>
                </c:pt>
                <c:pt idx="1">
                  <c:v>0.93841837317346311</c:v>
                </c:pt>
                <c:pt idx="2">
                  <c:v>0.9844132447406545</c:v>
                </c:pt>
                <c:pt idx="3">
                  <c:v>0.97348063895453907</c:v>
                </c:pt>
              </c:numCache>
            </c:numRef>
          </c:val>
          <c:extLst>
            <c:ext xmlns:c16="http://schemas.microsoft.com/office/drawing/2014/chart" uri="{C3380CC4-5D6E-409C-BE32-E72D297353CC}">
              <c16:uniqueId val="{00000001-70B1-42AE-B6FE-5DAE8F7D58DF}"/>
            </c:ext>
          </c:extLst>
        </c:ser>
        <c:ser>
          <c:idx val="4"/>
          <c:order val="2"/>
          <c:tx>
            <c:v>JSCE</c:v>
          </c:tx>
          <c:spPr>
            <a:solidFill>
              <a:schemeClr val="accent6"/>
            </a:solidFill>
            <a:ln>
              <a:noFill/>
            </a:ln>
            <a:effectLst/>
          </c:spPr>
          <c:invertIfNegative val="0"/>
          <c:errBars>
            <c:errBarType val="both"/>
            <c:errValType val="cust"/>
            <c:noEndCap val="0"/>
            <c:plus>
              <c:numRef>
                <c:f>'Sheet2 (2)'!$K$8:$N$8</c:f>
                <c:numCache>
                  <c:formatCode>General</c:formatCode>
                  <c:ptCount val="4"/>
                  <c:pt idx="0">
                    <c:v>0.12845230204482877</c:v>
                  </c:pt>
                  <c:pt idx="1">
                    <c:v>0.18062174000966963</c:v>
                  </c:pt>
                  <c:pt idx="2">
                    <c:v>0.18568522639841989</c:v>
                  </c:pt>
                  <c:pt idx="3">
                    <c:v>8.5232753512656495E-2</c:v>
                  </c:pt>
                </c:numCache>
              </c:numRef>
            </c:plus>
            <c:minus>
              <c:numRef>
                <c:f>'Sheet2 (2)'!$K$8:$N$8</c:f>
                <c:numCache>
                  <c:formatCode>General</c:formatCode>
                  <c:ptCount val="4"/>
                  <c:pt idx="0">
                    <c:v>0.12845230204482877</c:v>
                  </c:pt>
                  <c:pt idx="1">
                    <c:v>0.18062174000966963</c:v>
                  </c:pt>
                  <c:pt idx="2">
                    <c:v>0.18568522639841989</c:v>
                  </c:pt>
                  <c:pt idx="3">
                    <c:v>8.5232753512656495E-2</c:v>
                  </c:pt>
                </c:numCache>
              </c:numRef>
            </c:minus>
            <c:spPr>
              <a:noFill/>
              <a:ln w="9525">
                <a:solidFill>
                  <a:schemeClr val="tx1">
                    <a:lumMod val="65000"/>
                    <a:lumOff val="35000"/>
                  </a:schemeClr>
                </a:solidFill>
                <a:round/>
              </a:ln>
              <a:effectLst/>
            </c:spPr>
          </c:errBars>
          <c:val>
            <c:numRef>
              <c:f>'Sheet2 (2)'!$K$7:$N$7</c:f>
              <c:numCache>
                <c:formatCode>0.00</c:formatCode>
                <c:ptCount val="4"/>
                <c:pt idx="0">
                  <c:v>0.82000204338125915</c:v>
                </c:pt>
                <c:pt idx="1">
                  <c:v>0.80916124103906273</c:v>
                </c:pt>
                <c:pt idx="2">
                  <c:v>0.87613370375158517</c:v>
                </c:pt>
                <c:pt idx="3">
                  <c:v>0.84536670436048844</c:v>
                </c:pt>
              </c:numCache>
            </c:numRef>
          </c:val>
          <c:extLst>
            <c:ext xmlns:c16="http://schemas.microsoft.com/office/drawing/2014/chart" uri="{C3380CC4-5D6E-409C-BE32-E72D297353CC}">
              <c16:uniqueId val="{00000002-70B1-42AE-B6FE-5DAE8F7D58DF}"/>
            </c:ext>
          </c:extLst>
        </c:ser>
        <c:ser>
          <c:idx val="2"/>
          <c:order val="3"/>
          <c:tx>
            <c:v>Modified JSCE</c:v>
          </c:tx>
          <c:spPr>
            <a:solidFill>
              <a:schemeClr val="accent3"/>
            </a:solidFill>
            <a:ln>
              <a:noFill/>
            </a:ln>
            <a:effectLst/>
          </c:spPr>
          <c:invertIfNegative val="0"/>
          <c:errBars>
            <c:errBarType val="both"/>
            <c:errValType val="cust"/>
            <c:noEndCap val="0"/>
            <c:plus>
              <c:numRef>
                <c:f>'Sheet2 (2)'!$O$8:$R$8</c:f>
                <c:numCache>
                  <c:formatCode>General</c:formatCode>
                  <c:ptCount val="4"/>
                  <c:pt idx="0">
                    <c:v>9.0820578661378965E-2</c:v>
                  </c:pt>
                  <c:pt idx="1">
                    <c:v>0.1210384722380556</c:v>
                  </c:pt>
                  <c:pt idx="2">
                    <c:v>0.12367527929940692</c:v>
                  </c:pt>
                  <c:pt idx="3">
                    <c:v>6.016245210612535E-2</c:v>
                  </c:pt>
                </c:numCache>
              </c:numRef>
            </c:plus>
            <c:minus>
              <c:numRef>
                <c:f>'Sheet2 (2)'!$O$8:$R$8</c:f>
                <c:numCache>
                  <c:formatCode>General</c:formatCode>
                  <c:ptCount val="4"/>
                  <c:pt idx="0">
                    <c:v>9.0820578661378965E-2</c:v>
                  </c:pt>
                  <c:pt idx="1">
                    <c:v>0.1210384722380556</c:v>
                  </c:pt>
                  <c:pt idx="2">
                    <c:v>0.12367527929940692</c:v>
                  </c:pt>
                  <c:pt idx="3">
                    <c:v>6.016245210612535E-2</c:v>
                  </c:pt>
                </c:numCache>
              </c:numRef>
            </c:minus>
            <c:spPr>
              <a:noFill/>
              <a:ln w="9525">
                <a:solidFill>
                  <a:schemeClr val="tx1">
                    <a:lumMod val="65000"/>
                    <a:lumOff val="35000"/>
                  </a:schemeClr>
                </a:solidFill>
                <a:round/>
              </a:ln>
              <a:effectLst/>
            </c:spPr>
          </c:errBars>
          <c:val>
            <c:numRef>
              <c:f>'Sheet2 (2)'!$O$7:$R$7</c:f>
              <c:numCache>
                <c:formatCode>0.00</c:formatCode>
                <c:ptCount val="4"/>
                <c:pt idx="0">
                  <c:v>0.58687702981002809</c:v>
                </c:pt>
                <c:pt idx="1">
                  <c:v>0.59205341725598215</c:v>
                </c:pt>
                <c:pt idx="2">
                  <c:v>0.64154942293287309</c:v>
                </c:pt>
                <c:pt idx="3">
                  <c:v>0.67466011685708782</c:v>
                </c:pt>
              </c:numCache>
            </c:numRef>
          </c:val>
          <c:extLst>
            <c:ext xmlns:c16="http://schemas.microsoft.com/office/drawing/2014/chart" uri="{C3380CC4-5D6E-409C-BE32-E72D297353CC}">
              <c16:uniqueId val="{00000003-70B1-42AE-B6FE-5DAE8F7D58DF}"/>
            </c:ext>
          </c:extLst>
        </c:ser>
        <c:ser>
          <c:idx val="3"/>
          <c:order val="4"/>
          <c:tx>
            <c:v>European</c:v>
          </c:tx>
          <c:spPr>
            <a:solidFill>
              <a:srgbClr val="FFC000"/>
            </a:solidFill>
            <a:ln>
              <a:noFill/>
            </a:ln>
            <a:effectLst/>
          </c:spPr>
          <c:invertIfNegative val="0"/>
          <c:errBars>
            <c:errBarType val="both"/>
            <c:errValType val="cust"/>
            <c:noEndCap val="0"/>
            <c:plus>
              <c:numRef>
                <c:f>'Sheet2 (2)'!$S$8:$V$8</c:f>
                <c:numCache>
                  <c:formatCode>General</c:formatCode>
                  <c:ptCount val="4"/>
                  <c:pt idx="0">
                    <c:v>0.15870979189766407</c:v>
                  </c:pt>
                  <c:pt idx="1">
                    <c:v>0.17317929227683063</c:v>
                  </c:pt>
                  <c:pt idx="2">
                    <c:v>0.13563192615233949</c:v>
                  </c:pt>
                  <c:pt idx="3">
                    <c:v>8.782135325004406E-2</c:v>
                  </c:pt>
                </c:numCache>
              </c:numRef>
            </c:plus>
            <c:minus>
              <c:numRef>
                <c:f>'Sheet2 (2)'!$S$8:$V$8</c:f>
                <c:numCache>
                  <c:formatCode>General</c:formatCode>
                  <c:ptCount val="4"/>
                  <c:pt idx="0">
                    <c:v>0.15870979189766407</c:v>
                  </c:pt>
                  <c:pt idx="1">
                    <c:v>0.17317929227683063</c:v>
                  </c:pt>
                  <c:pt idx="2">
                    <c:v>0.13563192615233949</c:v>
                  </c:pt>
                  <c:pt idx="3">
                    <c:v>8.782135325004406E-2</c:v>
                  </c:pt>
                </c:numCache>
              </c:numRef>
            </c:minus>
            <c:spPr>
              <a:noFill/>
              <a:ln w="9525">
                <a:solidFill>
                  <a:schemeClr val="tx1">
                    <a:lumMod val="65000"/>
                    <a:lumOff val="35000"/>
                  </a:schemeClr>
                </a:solidFill>
                <a:round/>
              </a:ln>
              <a:effectLst/>
            </c:spPr>
          </c:errBars>
          <c:val>
            <c:numRef>
              <c:f>'Sheet2 (2)'!$S$7:$V$7</c:f>
              <c:numCache>
                <c:formatCode>0.00</c:formatCode>
                <c:ptCount val="4"/>
                <c:pt idx="0">
                  <c:v>0.74413434150805324</c:v>
                </c:pt>
                <c:pt idx="1">
                  <c:v>0.74823852716961448</c:v>
                </c:pt>
                <c:pt idx="2">
                  <c:v>0.68155408652741156</c:v>
                </c:pt>
                <c:pt idx="3">
                  <c:v>0.7030881453948421</c:v>
                </c:pt>
              </c:numCache>
            </c:numRef>
          </c:val>
          <c:extLst>
            <c:ext xmlns:c16="http://schemas.microsoft.com/office/drawing/2014/chart" uri="{C3380CC4-5D6E-409C-BE32-E72D297353CC}">
              <c16:uniqueId val="{00000004-70B1-42AE-B6FE-5DAE8F7D58DF}"/>
            </c:ext>
          </c:extLst>
        </c:ser>
        <c:dLbls>
          <c:showLegendKey val="0"/>
          <c:showVal val="0"/>
          <c:showCatName val="0"/>
          <c:showSerName val="0"/>
          <c:showPercent val="0"/>
          <c:showBubbleSize val="0"/>
        </c:dLbls>
        <c:gapWidth val="219"/>
        <c:overlap val="-27"/>
        <c:axId val="416994912"/>
        <c:axId val="416995240"/>
      </c:barChart>
      <c:catAx>
        <c:axId val="4169949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800" b="1">
                    <a:latin typeface="Times New Roman" panose="02020603050405020304" pitchFamily="18" charset="0"/>
                    <a:cs typeface="Times New Roman" panose="02020603050405020304" pitchFamily="18" charset="0"/>
                  </a:rPr>
                  <a:t>Bar</a:t>
                </a:r>
                <a:r>
                  <a:rPr lang="en-US" sz="800" b="1" baseline="0">
                    <a:latin typeface="Times New Roman" panose="02020603050405020304" pitchFamily="18" charset="0"/>
                    <a:cs typeface="Times New Roman" panose="02020603050405020304" pitchFamily="18" charset="0"/>
                  </a:rPr>
                  <a:t> Surface</a:t>
                </a:r>
                <a:endParaRPr lang="en-US" sz="800" b="1">
                  <a:latin typeface="Times New Roman" panose="02020603050405020304" pitchFamily="18" charset="0"/>
                  <a:cs typeface="Times New Roman" panose="02020603050405020304" pitchFamily="18" charset="0"/>
                </a:endParaRPr>
              </a:p>
            </c:rich>
          </c:tx>
          <c:layout>
            <c:manualLayout>
              <c:xMode val="edge"/>
              <c:yMode val="edge"/>
              <c:x val="0.411040572290433"/>
              <c:y val="0.81790626917903919"/>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16995240"/>
        <c:crosses val="autoZero"/>
        <c:auto val="1"/>
        <c:lblAlgn val="ctr"/>
        <c:lblOffset val="100"/>
        <c:noMultiLvlLbl val="0"/>
      </c:catAx>
      <c:valAx>
        <c:axId val="416995240"/>
        <c:scaling>
          <c:orientation val="minMax"/>
        </c:scaling>
        <c:delete val="0"/>
        <c:axPos val="l"/>
        <c:majorGridlines>
          <c:spPr>
            <a:ln w="9525">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baseline="0">
                    <a:effectLst/>
                    <a:latin typeface="Times New Roman" panose="02020603050405020304" pitchFamily="18" charset="0"/>
                    <a:cs typeface="Times New Roman" panose="02020603050405020304" pitchFamily="18" charset="0"/>
                  </a:rPr>
                  <a:t>k</a:t>
                </a:r>
                <a:r>
                  <a:rPr lang="en-US" sz="1000" b="1" i="0" u="none" strike="noStrike" baseline="-25000">
                    <a:effectLst/>
                    <a:latin typeface="Times New Roman" panose="02020603050405020304" pitchFamily="18" charset="0"/>
                    <a:cs typeface="Times New Roman" panose="02020603050405020304" pitchFamily="18" charset="0"/>
                  </a:rPr>
                  <a:t>b</a:t>
                </a:r>
                <a:endParaRPr lang="en-CA">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416994912"/>
        <c:crosses val="autoZero"/>
        <c:crossBetween val="between"/>
      </c:valAx>
      <c:spPr>
        <a:noFill/>
        <a:ln>
          <a:noFill/>
        </a:ln>
        <a:effectLst/>
      </c:spPr>
    </c:plotArea>
    <c:legend>
      <c:legendPos val="b"/>
      <c:layout>
        <c:manualLayout>
          <c:xMode val="edge"/>
          <c:yMode val="edge"/>
          <c:x val="0"/>
          <c:y val="0.92572261636058872"/>
          <c:w val="1"/>
          <c:h val="5.4794891803137867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a:no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00873AEC5A7F46956973A10F10E837" ma:contentTypeVersion="8" ma:contentTypeDescription="Create a new document." ma:contentTypeScope="" ma:versionID="c1eb6fc448b0e71907b186a0c37d8da8">
  <xsd:schema xmlns:xsd="http://www.w3.org/2001/XMLSchema" xmlns:xs="http://www.w3.org/2001/XMLSchema" xmlns:p="http://schemas.microsoft.com/office/2006/metadata/properties" xmlns:ns2="96792209-dca3-4728-a484-0cd3c20a6a39" targetNamespace="http://schemas.microsoft.com/office/2006/metadata/properties" ma:root="true" ma:fieldsID="5a702d351bfee4830d7842d91ee89176" ns2:_="">
    <xsd:import namespace="96792209-dca3-4728-a484-0cd3c20a6a3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792209-dca3-4728-a484-0cd3c20a6a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C9B6E9-4EBE-4971-AF32-FA31BE71D3A5}">
  <ds:schemaRefs>
    <ds:schemaRef ds:uri="http://schemas.microsoft.com/sharepoint/v3/contenttype/forms"/>
  </ds:schemaRefs>
</ds:datastoreItem>
</file>

<file path=customXml/itemProps2.xml><?xml version="1.0" encoding="utf-8"?>
<ds:datastoreItem xmlns:ds="http://schemas.openxmlformats.org/officeDocument/2006/customXml" ds:itemID="{C558D561-514A-432B-AAD6-BA1C23C781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792209-dca3-4728-a484-0cd3c20a6a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53FCAD-AE3D-480A-B2A2-C0446290EED5}">
  <ds:schemaRefs>
    <ds:schemaRef ds:uri="http://schemas.openxmlformats.org/officeDocument/2006/bibliography"/>
  </ds:schemaRefs>
</ds:datastoreItem>
</file>

<file path=customXml/itemProps4.xml><?xml version="1.0" encoding="utf-8"?>
<ds:datastoreItem xmlns:ds="http://schemas.openxmlformats.org/officeDocument/2006/customXml" ds:itemID="{052E5253-4F64-4825-AC7E-F6F5CC34D4E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3</Pages>
  <Words>1575</Words>
  <Characters>8978</Characters>
  <Application>Microsoft Office Word</Application>
  <DocSecurity>0</DocSecurity>
  <Lines>74</Lines>
  <Paragraphs>21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{logo} 11th Int conference on SHM – Addheader and fooer</vt:lpstr>
      <vt:lpstr>ABSTRACT: This is a sample file demonstrating the style for Eurodyn 2011 papers</vt:lpstr>
    </vt:vector>
  </TitlesOfParts>
  <Company>K.U.Leuven</Company>
  <LinksUpToDate>false</LinksUpToDate>
  <CharactersWithSpaces>10532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11th Int conference on SHM – Addheader and fooer</dc:title>
  <dc:creator>Mattias Schevenels</dc:creator>
  <cp:lastModifiedBy>Hamed Shabani Attar</cp:lastModifiedBy>
  <cp:revision>16</cp:revision>
  <cp:lastPrinted>2010-10-25T22:56:00Z</cp:lastPrinted>
  <dcterms:created xsi:type="dcterms:W3CDTF">2022-07-26T23:10:00Z</dcterms:created>
  <dcterms:modified xsi:type="dcterms:W3CDTF">2022-07-31T17:12:00Z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0x0101000B00873AEC5A7F46956973A10F10E837</vt:lpwstr>
  </property>
  <property fmtid="{D5CDD505-2E9C-101B-9397-08002B2CF9AE}" pid="3" name="Mendeley Citation Style_1">
    <vt:lpwstr>http://www.zotero.org/styles/ieee</vt:lpwstr>
  </property>
  <property fmtid="{D5CDD505-2E9C-101B-9397-08002B2CF9AE}" pid="4" name="Mendeley Document_1">
    <vt:lpwstr>True</vt:lpwstr>
  </property>
  <property fmtid="{D5CDD505-2E9C-101B-9397-08002B2CF9AE}" pid="5" name="Mendeley Recent Style Id 0_1">
    <vt:lpwstr>http://www.zotero.org/styles/american-medical-association</vt:lpwstr>
  </property>
  <property fmtid="{D5CDD505-2E9C-101B-9397-08002B2CF9AE}" pid="6" name="Mendeley Recent Style Id 1_1">
    <vt:lpwstr>http://www.zotero.org/styles/american-political-science-association</vt:lpwstr>
  </property>
  <property fmtid="{D5CDD505-2E9C-101B-9397-08002B2CF9AE}" pid="7" name="Mendeley Recent Style Id 2_1">
    <vt:lpwstr>http://www.zotero.org/styles/apa</vt:lpwstr>
  </property>
  <property fmtid="{D5CDD505-2E9C-101B-9397-08002B2CF9AE}" pid="8" name="Mendeley Recent Style Id 3_1">
    <vt:lpwstr>http://www.zotero.org/styles/american-sociological-association</vt:lpwstr>
  </property>
  <property fmtid="{D5CDD505-2E9C-101B-9397-08002B2CF9AE}" pid="9" name="Mendeley Recent Style Id 4_1">
    <vt:lpwstr>http://www.zotero.org/styles/chicago-author-date</vt:lpwstr>
  </property>
  <property fmtid="{D5CDD505-2E9C-101B-9397-08002B2CF9AE}" pid="10" name="Mendeley Recent Style Id 5_1">
    <vt:lpwstr>http://www.zotero.org/styles/harvard-cite-them-right</vt:lpwstr>
  </property>
  <property fmtid="{D5CDD505-2E9C-101B-9397-08002B2CF9AE}" pid="11" name="Mendeley Recent Style Id 6_1">
    <vt:lpwstr>http://www.zotero.org/styles/ieee</vt:lpwstr>
  </property>
  <property fmtid="{D5CDD505-2E9C-101B-9397-08002B2CF9AE}" pid="12" name="Mendeley Recent Style Id 7_1">
    <vt:lpwstr>http://www.zotero.org/styles/modern-humanities-research-association</vt:lpwstr>
  </property>
  <property fmtid="{D5CDD505-2E9C-101B-9397-08002B2CF9AE}" pid="13" name="Mendeley Recent Style Id 8_1">
    <vt:lpwstr>http://www.zotero.org/styles/modern-language-association</vt:lpwstr>
  </property>
  <property fmtid="{D5CDD505-2E9C-101B-9397-08002B2CF9AE}" pid="14" name="Mendeley Recent Style Id 9_1">
    <vt:lpwstr>http://www.zotero.org/styles/nature</vt:lpwstr>
  </property>
  <property fmtid="{D5CDD505-2E9C-101B-9397-08002B2CF9AE}" pid="15" name="Mendeley Recent Style Name 0_1">
    <vt:lpwstr>American Medical Association 11th edition</vt:lpwstr>
  </property>
  <property fmtid="{D5CDD505-2E9C-101B-9397-08002B2CF9AE}" pid="16" name="Mendeley Recent Style Name 1_1">
    <vt:lpwstr>American Political Science Association</vt:lpwstr>
  </property>
  <property fmtid="{D5CDD505-2E9C-101B-9397-08002B2CF9AE}" pid="17" name="Mendeley Recent Style Name 2_1">
    <vt:lpwstr>American Psychological Association 7th edition</vt:lpwstr>
  </property>
  <property fmtid="{D5CDD505-2E9C-101B-9397-08002B2CF9AE}" pid="18" name="Mendeley Recent Style Name 3_1">
    <vt:lpwstr>American Sociological Association 6th edition</vt:lpwstr>
  </property>
  <property fmtid="{D5CDD505-2E9C-101B-9397-08002B2CF9AE}" pid="19" name="Mendeley Recent Style Name 4_1">
    <vt:lpwstr>Chicago Manual of Style 17th edition (author-date)</vt:lpwstr>
  </property>
  <property fmtid="{D5CDD505-2E9C-101B-9397-08002B2CF9AE}" pid="20" name="Mendeley Recent Style Name 5_1">
    <vt:lpwstr>Cite Them Right 10th edition - Harvard</vt:lpwstr>
  </property>
  <property fmtid="{D5CDD505-2E9C-101B-9397-08002B2CF9AE}" pid="21" name="Mendeley Recent Style Name 6_1">
    <vt:lpwstr>IEEE</vt:lpwstr>
  </property>
  <property fmtid="{D5CDD505-2E9C-101B-9397-08002B2CF9AE}" pid="22" name="Mendeley Recent Style Name 7_1">
    <vt:lpwstr>Modern Humanities Research Association 3rd edition (note with bibliography)</vt:lpwstr>
  </property>
  <property fmtid="{D5CDD505-2E9C-101B-9397-08002B2CF9AE}" pid="23" name="Mendeley Recent Style Name 8_1">
    <vt:lpwstr>Modern Language Association 8th edition</vt:lpwstr>
  </property>
  <property fmtid="{D5CDD505-2E9C-101B-9397-08002B2CF9AE}" pid="24" name="Mendeley Recent Style Name 9_1">
    <vt:lpwstr>Nature</vt:lpwstr>
  </property>
  <property fmtid="{D5CDD505-2E9C-101B-9397-08002B2CF9AE}" pid="25" name="Mendeley Unique User Id_1">
    <vt:lpwstr>d4ef4e5a-d9f1-3dc9-ad1d-7958e3654d09</vt:lpwstr>
  </property>
</Properties>
</file>