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5CFEE" w14:textId="77777777" w:rsidR="00611669" w:rsidRDefault="00611669" w:rsidP="009F20B8"/>
    <w:p w14:paraId="438BEE62" w14:textId="77777777" w:rsidR="00611669" w:rsidRDefault="00611669" w:rsidP="009F20B8"/>
    <w:p w14:paraId="69AC3DC0" w14:textId="100B03A2" w:rsidR="0084325B" w:rsidRPr="0084325B" w:rsidRDefault="00166E0B" w:rsidP="009F20B8">
      <w:r w:rsidRPr="00D96E7E">
        <w:rPr>
          <w:noProof/>
          <w:lang w:eastAsia="en-US"/>
        </w:rPr>
        <mc:AlternateContent>
          <mc:Choice Requires="wps">
            <w:drawing>
              <wp:anchor distT="0" distB="0" distL="114935" distR="114935" simplePos="0" relativeHeight="251657728" behindDoc="0" locked="0" layoutInCell="1" allowOverlap="1" wp14:anchorId="5C2BA2EE" wp14:editId="0B0D9C75">
                <wp:simplePos x="0" y="0"/>
                <wp:positionH relativeFrom="page">
                  <wp:posOffset>545135</wp:posOffset>
                </wp:positionH>
                <wp:positionV relativeFrom="page">
                  <wp:posOffset>1032714</wp:posOffset>
                </wp:positionV>
                <wp:extent cx="6480175" cy="126426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64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1ED9" w14:textId="3832F950" w:rsidR="003E0A81" w:rsidRPr="00D96E7E" w:rsidRDefault="003E0A81" w:rsidP="006861C5">
                            <w:pPr>
                              <w:pStyle w:val="Title"/>
                            </w:pPr>
                            <w:bookmarkStart w:id="1" w:name="_GoBack"/>
                            <w:bookmarkEnd w:id="1"/>
                            <w:r>
                              <w:t>Feasibility of network-wide bridge monitoring from space</w:t>
                            </w:r>
                          </w:p>
                          <w:p w14:paraId="0A142B20" w14:textId="17FFDCAD" w:rsidR="003E0A81" w:rsidRPr="00531DA2" w:rsidRDefault="003E0A81" w:rsidP="00D96E7E">
                            <w:pPr>
                              <w:pStyle w:val="Authors"/>
                              <w:rPr>
                                <w:vertAlign w:val="superscript"/>
                                <w:lang w:val="en-CA"/>
                              </w:rPr>
                            </w:pPr>
                            <w:r>
                              <w:rPr>
                                <w:lang w:val="en-CA"/>
                              </w:rPr>
                              <w:t>Edward Hoppe</w:t>
                            </w:r>
                            <w:r w:rsidRPr="00531DA2">
                              <w:rPr>
                                <w:vertAlign w:val="superscript"/>
                                <w:lang w:val="en-CA"/>
                              </w:rPr>
                              <w:t>1</w:t>
                            </w:r>
                          </w:p>
                          <w:p w14:paraId="2E2042EE" w14:textId="77777777" w:rsidR="003E0A81" w:rsidRDefault="003E0A81" w:rsidP="00611669">
                            <w:pPr>
                              <w:pStyle w:val="Authors"/>
                              <w:rPr>
                                <w:lang w:val="en-CA"/>
                              </w:rPr>
                            </w:pPr>
                            <w:r w:rsidRPr="00531DA2">
                              <w:rPr>
                                <w:vertAlign w:val="superscript"/>
                                <w:lang w:val="en-CA"/>
                              </w:rPr>
                              <w:t>1</w:t>
                            </w:r>
                            <w:r>
                              <w:rPr>
                                <w:lang w:val="en-CA"/>
                              </w:rPr>
                              <w:t>Virginia Transportation Research Council</w:t>
                            </w:r>
                          </w:p>
                          <w:p w14:paraId="4DC1A86C" w14:textId="5C476603" w:rsidR="003E0A81" w:rsidRDefault="003E0A81" w:rsidP="00611669">
                            <w:pPr>
                              <w:pStyle w:val="Authors"/>
                              <w:rPr>
                                <w:lang w:val="en-CA"/>
                              </w:rPr>
                            </w:pPr>
                            <w:r>
                              <w:rPr>
                                <w:lang w:val="en-CA"/>
                              </w:rPr>
                              <w:t>530 Edgemont Road</w:t>
                            </w:r>
                          </w:p>
                          <w:p w14:paraId="29DFAF26" w14:textId="2547E72E" w:rsidR="003E0A81" w:rsidRPr="00531DA2" w:rsidRDefault="003E0A81" w:rsidP="000D2BC8">
                            <w:pPr>
                              <w:pStyle w:val="Authors"/>
                              <w:rPr>
                                <w:lang w:val="en-CA"/>
                              </w:rPr>
                            </w:pPr>
                            <w:r>
                              <w:rPr>
                                <w:lang w:val="en-CA"/>
                              </w:rPr>
                              <w:t>Charlottesville</w:t>
                            </w:r>
                            <w:r w:rsidRPr="00531DA2">
                              <w:rPr>
                                <w:lang w:val="en-CA"/>
                              </w:rPr>
                              <w:t xml:space="preserve">, </w:t>
                            </w:r>
                            <w:r>
                              <w:rPr>
                                <w:lang w:val="en-CA"/>
                              </w:rPr>
                              <w:t>Virginia</w:t>
                            </w:r>
                            <w:r w:rsidRPr="00531DA2">
                              <w:rPr>
                                <w:lang w:val="en-CA"/>
                              </w:rPr>
                              <w:t xml:space="preserve">, </w:t>
                            </w:r>
                            <w:r>
                              <w:rPr>
                                <w:lang w:val="en-CA"/>
                              </w:rPr>
                              <w:t>22903, USA</w:t>
                            </w:r>
                            <w:r w:rsidRPr="00531DA2">
                              <w:rPr>
                                <w:lang w:val="en-CA"/>
                              </w:rPr>
                              <w:t xml:space="preserve"> </w:t>
                            </w:r>
                          </w:p>
                          <w:p w14:paraId="054EFC7B" w14:textId="4A767415" w:rsidR="003E0A81" w:rsidRDefault="003E0A81" w:rsidP="00611669">
                            <w:pPr>
                              <w:pStyle w:val="Authors"/>
                            </w:pPr>
                            <w:r>
                              <w:t>Email : edward.hoppe@vdot.virginia.gov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2.9pt;margin-top:81.3pt;width:510.25pt;height:99.5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" stroked="f">
                <v:fill opacity="0"/>
                <v:textbox inset="0,0,0,0">
                  <w:txbxContent>
                    <w:p w14:paraId="1D881ED9" w14:textId="3832F950" w:rsidR="003E0A81" w:rsidRPr="00D96E7E" w:rsidRDefault="003E0A81" w:rsidP="006861C5">
                      <w:pPr>
                        <w:pStyle w:val="Title"/>
                      </w:pPr>
                      <w:bookmarkStart w:id="2" w:name="_GoBack"/>
                      <w:bookmarkEnd w:id="2"/>
                      <w:r>
                        <w:t>Feasibility of network-wide bridge monitoring from space</w:t>
                      </w:r>
                    </w:p>
                    <w:p w14:paraId="0A142B20" w14:textId="17FFDCAD" w:rsidR="003E0A81" w:rsidRPr="00531DA2" w:rsidRDefault="003E0A81" w:rsidP="00D96E7E">
                      <w:pPr>
                        <w:pStyle w:val="Authors"/>
                        <w:rPr>
                          <w:vertAlign w:val="superscript"/>
                          <w:lang w:val="en-CA"/>
                        </w:rPr>
                      </w:pPr>
                      <w:r>
                        <w:rPr>
                          <w:lang w:val="en-CA"/>
                        </w:rPr>
                        <w:t>Edward Hoppe</w:t>
                      </w:r>
                      <w:r w:rsidRPr="00531DA2">
                        <w:rPr>
                          <w:vertAlign w:val="superscript"/>
                          <w:lang w:val="en-CA"/>
                        </w:rPr>
                        <w:t>1</w:t>
                      </w:r>
                    </w:p>
                    <w:p w14:paraId="2E2042EE" w14:textId="77777777" w:rsidR="003E0A81" w:rsidRDefault="003E0A81" w:rsidP="00611669">
                      <w:pPr>
                        <w:pStyle w:val="Authors"/>
                        <w:rPr>
                          <w:lang w:val="en-CA"/>
                        </w:rPr>
                      </w:pPr>
                      <w:r w:rsidRPr="00531DA2">
                        <w:rPr>
                          <w:vertAlign w:val="superscript"/>
                          <w:lang w:val="en-CA"/>
                        </w:rPr>
                        <w:t>1</w:t>
                      </w:r>
                      <w:r>
                        <w:rPr>
                          <w:lang w:val="en-CA"/>
                        </w:rPr>
                        <w:t>Virginia Transportation Research Council</w:t>
                      </w:r>
                    </w:p>
                    <w:p w14:paraId="4DC1A86C" w14:textId="5C476603" w:rsidR="003E0A81" w:rsidRDefault="003E0A81" w:rsidP="00611669">
                      <w:pPr>
                        <w:pStyle w:val="Authors"/>
                        <w:rPr>
                          <w:lang w:val="en-CA"/>
                        </w:rPr>
                      </w:pPr>
                      <w:r>
                        <w:rPr>
                          <w:lang w:val="en-CA"/>
                        </w:rPr>
                        <w:t>530 Edgemont Road</w:t>
                      </w:r>
                    </w:p>
                    <w:p w14:paraId="29DFAF26" w14:textId="2547E72E" w:rsidR="003E0A81" w:rsidRPr="00531DA2" w:rsidRDefault="003E0A81" w:rsidP="000D2BC8">
                      <w:pPr>
                        <w:pStyle w:val="Authors"/>
                        <w:rPr>
                          <w:lang w:val="en-CA"/>
                        </w:rPr>
                      </w:pPr>
                      <w:r>
                        <w:rPr>
                          <w:lang w:val="en-CA"/>
                        </w:rPr>
                        <w:t>Charlottesville</w:t>
                      </w:r>
                      <w:r w:rsidRPr="00531DA2">
                        <w:rPr>
                          <w:lang w:val="en-CA"/>
                        </w:rPr>
                        <w:t xml:space="preserve">, </w:t>
                      </w:r>
                      <w:r>
                        <w:rPr>
                          <w:lang w:val="en-CA"/>
                        </w:rPr>
                        <w:t>Virginia</w:t>
                      </w:r>
                      <w:r w:rsidRPr="00531DA2">
                        <w:rPr>
                          <w:lang w:val="en-CA"/>
                        </w:rPr>
                        <w:t xml:space="preserve">, </w:t>
                      </w:r>
                      <w:r>
                        <w:rPr>
                          <w:lang w:val="en-CA"/>
                        </w:rPr>
                        <w:t>22903, USA</w:t>
                      </w:r>
                      <w:r w:rsidRPr="00531DA2">
                        <w:rPr>
                          <w:lang w:val="en-CA"/>
                        </w:rPr>
                        <w:t xml:space="preserve"> </w:t>
                      </w:r>
                    </w:p>
                    <w:p w14:paraId="054EFC7B" w14:textId="4A767415" w:rsidR="003E0A81" w:rsidRDefault="003E0A81" w:rsidP="00611669">
                      <w:pPr>
                        <w:pStyle w:val="Authors"/>
                      </w:pPr>
                      <w:r>
                        <w:t>Email : edward.hoppe@vdot.virginia.gov</w:t>
                      </w:r>
                    </w:p>
                  </w:txbxContent>
                </v:textbox>
                <w10:wrap type="square" anchorx="page" anchory="page"/>
              </v:shape>
            </w:pict>
          </mc:Fallback>
        </mc:AlternateContent>
      </w:r>
      <w:r w:rsidR="00D96E7E" w:rsidRPr="00D96E7E">
        <w:t>ABSTRACT: T</w:t>
      </w:r>
      <w:r w:rsidR="00EA66AA">
        <w:t xml:space="preserve">here is </w:t>
      </w:r>
      <w:r w:rsidR="00A32E16">
        <w:t xml:space="preserve">considerable interest in network-wide structural health monitoring of bridges. </w:t>
      </w:r>
      <w:proofErr w:type="spellStart"/>
      <w:r w:rsidR="00A32E16">
        <w:t>Spaceborne</w:t>
      </w:r>
      <w:proofErr w:type="spellEnd"/>
      <w:r w:rsidR="00A32E16">
        <w:t xml:space="preserve"> </w:t>
      </w:r>
      <w:proofErr w:type="spellStart"/>
      <w:r w:rsidR="00A32E16">
        <w:t>InSAR</w:t>
      </w:r>
      <w:proofErr w:type="spellEnd"/>
      <w:r w:rsidR="00A32E16">
        <w:t xml:space="preserve"> technology </w:t>
      </w:r>
      <w:r w:rsidR="00BC0C21">
        <w:t xml:space="preserve">appears to </w:t>
      </w:r>
      <w:r w:rsidR="000D2BC8">
        <w:t>be uniquely positioned</w:t>
      </w:r>
      <w:r w:rsidR="00BC0C21">
        <w:t xml:space="preserve"> </w:t>
      </w:r>
      <w:r w:rsidR="00A32E16">
        <w:t xml:space="preserve">for this task. Its primary advantage is </w:t>
      </w:r>
      <w:r w:rsidR="00565FE6">
        <w:t xml:space="preserve">fast and efficient </w:t>
      </w:r>
      <w:r w:rsidR="00A32E16">
        <w:t xml:space="preserve">wireless data collection over large geographic areas. </w:t>
      </w:r>
      <w:r w:rsidR="00BC0C21">
        <w:t>However, as opp</w:t>
      </w:r>
      <w:r w:rsidR="00B4631A">
        <w:t xml:space="preserve">osed to many ground </w:t>
      </w:r>
      <w:r w:rsidR="00BC0C21">
        <w:t>monitoring applications, there are some specific factors to consider in order to obt</w:t>
      </w:r>
      <w:r w:rsidR="005B6F8C">
        <w:t xml:space="preserve">ain actionable results </w:t>
      </w:r>
      <w:r w:rsidR="006E5F8F">
        <w:t xml:space="preserve">when scaling up </w:t>
      </w:r>
      <w:proofErr w:type="spellStart"/>
      <w:r w:rsidR="006E5F8F">
        <w:t>spaceborne</w:t>
      </w:r>
      <w:proofErr w:type="spellEnd"/>
      <w:r w:rsidR="006E5F8F">
        <w:t xml:space="preserve"> remote sensing from a single bridge to a </w:t>
      </w:r>
      <w:r w:rsidR="004A135C">
        <w:t xml:space="preserve">complex </w:t>
      </w:r>
      <w:r w:rsidR="006E5F8F">
        <w:t>network of hundreds of bridges</w:t>
      </w:r>
      <w:r w:rsidR="00BC0C21">
        <w:t xml:space="preserve">. Of prime importance is the ability to deliver </w:t>
      </w:r>
      <w:r w:rsidR="00B411F6">
        <w:t xml:space="preserve">timely deformation data at user-specified locations on the structure. Additional research may be needed to accomplish this task. </w:t>
      </w:r>
    </w:p>
    <w:p w14:paraId="0FC9EB6F" w14:textId="12B3A4BC" w:rsidR="0022400C" w:rsidRPr="00CD176A" w:rsidRDefault="00C255D3" w:rsidP="00CD176A">
      <w:pPr>
        <w:pStyle w:val="KeyWords"/>
      </w:pPr>
      <w:r>
        <w:t xml:space="preserve">KEY WORDS: </w:t>
      </w:r>
      <w:r w:rsidR="00BA18D8">
        <w:t xml:space="preserve">SHM; </w:t>
      </w:r>
      <w:proofErr w:type="spellStart"/>
      <w:r>
        <w:t>InSAR</w:t>
      </w:r>
      <w:proofErr w:type="spellEnd"/>
      <w:r>
        <w:t>; Satellite</w:t>
      </w:r>
      <w:r w:rsidR="00D96E7E" w:rsidRPr="00CD176A">
        <w:t xml:space="preserve">; </w:t>
      </w:r>
      <w:r>
        <w:t>Bridge monitoring</w:t>
      </w:r>
      <w:r w:rsidR="00D96E7E" w:rsidRPr="00CD176A">
        <w:t>.</w:t>
      </w:r>
    </w:p>
    <w:p w14:paraId="5059BE64" w14:textId="77777777" w:rsidR="00D96E7E" w:rsidRPr="00CD176A" w:rsidRDefault="00D96E7E" w:rsidP="00CD176A">
      <w:pPr>
        <w:pStyle w:val="KeyWords"/>
        <w:sectPr w:rsidR="00D96E7E" w:rsidRPr="00CD176A" w:rsidSect="009529EB">
          <w:headerReference w:type="default" r:id="rId10"/>
          <w:footerReference w:type="default" r:id="rId11"/>
          <w:headerReference w:type="first" r:id="rId12"/>
          <w:footerReference w:type="first" r:id="rId13"/>
          <w:pgSz w:w="11907" w:h="16839" w:code="9"/>
          <w:pgMar w:top="1418" w:right="794" w:bottom="1418" w:left="794" w:header="709" w:footer="709" w:gutter="0"/>
          <w:cols w:space="708"/>
          <w:titlePg/>
          <w:docGrid w:linePitch="360"/>
        </w:sectPr>
      </w:pPr>
    </w:p>
    <w:p w14:paraId="1DE9DD98" w14:textId="0DF18DAA" w:rsidR="00D96E7E" w:rsidRDefault="003962B4" w:rsidP="009F20B8">
      <w:pPr>
        <w:pStyle w:val="Heading1"/>
      </w:pPr>
      <w:r>
        <w:t>INTRODUCTION</w:t>
      </w:r>
    </w:p>
    <w:p w14:paraId="7395D2CB" w14:textId="17A8CC90" w:rsidR="00EA66AA" w:rsidRDefault="003962B4" w:rsidP="003E5978">
      <w:r>
        <w:t>The problem of ageing transpor</w:t>
      </w:r>
      <w:r w:rsidR="00B4631A">
        <w:t>tation infrastructure, compounded</w:t>
      </w:r>
      <w:r>
        <w:t xml:space="preserve"> by extreme weather events, underscores the need for structural health monitoring (SHM). Effective monitoring </w:t>
      </w:r>
      <w:r w:rsidR="00D03E9B">
        <w:t xml:space="preserve">of </w:t>
      </w:r>
      <w:r>
        <w:t xml:space="preserve">the structural condition of existing infrastructure is critical to public safety. To achieve this goal, SHM augments conventional visual inspections with various sensor technologies. One of the available approaches is </w:t>
      </w:r>
      <w:proofErr w:type="spellStart"/>
      <w:r>
        <w:t>spaceborne</w:t>
      </w:r>
      <w:proofErr w:type="spellEnd"/>
      <w:r>
        <w:t xml:space="preserve"> remote sensing. This technology is fairly mature and</w:t>
      </w:r>
      <w:r w:rsidR="00D03E9B">
        <w:t xml:space="preserve"> has</w:t>
      </w:r>
      <w:r>
        <w:t xml:space="preserve"> recently undergone numerous advances with respect to the processing algorithms. Using </w:t>
      </w:r>
      <w:r w:rsidR="00D03E9B">
        <w:t xml:space="preserve">a </w:t>
      </w:r>
      <w:r>
        <w:t xml:space="preserve">satellite as a sensing platform is conceptually attractive because </w:t>
      </w:r>
      <w:r w:rsidR="00D03E9B">
        <w:t xml:space="preserve">it </w:t>
      </w:r>
      <w:r>
        <w:t>allows mon</w:t>
      </w:r>
      <w:r w:rsidR="00EA66AA">
        <w:t>itoring of wide geographic areas</w:t>
      </w:r>
      <w:r w:rsidR="00F85E8D">
        <w:t xml:space="preserve"> at any location on the Earth</w:t>
      </w:r>
      <w:r w:rsidR="00D03E9B">
        <w:t>’s</w:t>
      </w:r>
      <w:r w:rsidR="00F85E8D">
        <w:t xml:space="preserve"> surface.</w:t>
      </w:r>
    </w:p>
    <w:p w14:paraId="3373D56D" w14:textId="377A6930" w:rsidR="003962B4" w:rsidRPr="003962B4" w:rsidRDefault="003E5978" w:rsidP="003E5978">
      <w:pPr>
        <w:pStyle w:val="Heading2"/>
      </w:pPr>
      <w:r>
        <w:t>Theory of operation</w:t>
      </w:r>
    </w:p>
    <w:p w14:paraId="0DC494B4" w14:textId="13F319F4" w:rsidR="003962B4" w:rsidRDefault="003962B4" w:rsidP="003962B4">
      <w:r>
        <w:t xml:space="preserve">The idea of implementing </w:t>
      </w:r>
      <w:proofErr w:type="spellStart"/>
      <w:r>
        <w:t>spaceborne</w:t>
      </w:r>
      <w:proofErr w:type="spellEnd"/>
      <w:r>
        <w:t xml:space="preserve"> remote sensing to </w:t>
      </w:r>
      <w:r w:rsidR="00D03E9B">
        <w:t xml:space="preserve">the monitoring of </w:t>
      </w:r>
      <w:r>
        <w:t xml:space="preserve">transportation infrastructure centers on the use of synthetic aperture radar (SAR). SAR operates by transmitting radar pulses along the path of a rapidly moving platform and subsequently combining (synthesizing) the return echoes to reconstruct the surface of interest. This approach effectively simulates the use of a large physical antenna, </w:t>
      </w:r>
      <w:r w:rsidR="00F85E8D">
        <w:t>allowing</w:t>
      </w:r>
      <w:r>
        <w:t xml:space="preserve"> extremely high resolution imaging in </w:t>
      </w:r>
      <w:r w:rsidR="00F85E8D">
        <w:t>the cross range direction [1]</w:t>
      </w:r>
      <w:r>
        <w:t>.</w:t>
      </w:r>
    </w:p>
    <w:p w14:paraId="49896F38" w14:textId="6857E60D" w:rsidR="003962B4" w:rsidRDefault="003962B4" w:rsidP="0013583C">
      <w:pPr>
        <w:pStyle w:val="NormalIndent"/>
      </w:pPr>
      <w:r>
        <w:t xml:space="preserve">The application of satellite radar remote sensing to infrastructure monitoring involves </w:t>
      </w:r>
      <w:r w:rsidR="00D03E9B">
        <w:t xml:space="preserve">a </w:t>
      </w:r>
      <w:r>
        <w:t>numer</w:t>
      </w:r>
      <w:r w:rsidR="00CB4736">
        <w:t>ical signal processing technique</w:t>
      </w:r>
      <w:r>
        <w:t xml:space="preserve"> commonly known as Interferometric Synthetic Aperture Radar (</w:t>
      </w:r>
      <w:proofErr w:type="spellStart"/>
      <w:r>
        <w:t>InSAR</w:t>
      </w:r>
      <w:proofErr w:type="spellEnd"/>
      <w:r>
        <w:t xml:space="preserve">). Of prime interest is the precise determination of the phase component of the return radar signal. The difference in </w:t>
      </w:r>
      <w:r w:rsidR="000442BF">
        <w:t xml:space="preserve">the </w:t>
      </w:r>
      <w:r>
        <w:t xml:space="preserve">phase angle computed from the successive </w:t>
      </w:r>
      <w:r w:rsidR="00B4631A">
        <w:t xml:space="preserve">revisit </w:t>
      </w:r>
      <w:r>
        <w:t>scans over the same location is translated into the actual surface displacement along the satellite line of sight (LOS), as shown in Figure 1.</w:t>
      </w:r>
      <w:r w:rsidR="00F85E8D">
        <w:t xml:space="preserve"> Accuracy on the order of a </w:t>
      </w:r>
      <w:r w:rsidR="00B4631A">
        <w:t xml:space="preserve">small </w:t>
      </w:r>
      <w:r w:rsidR="00F85E8D">
        <w:t>fraction of the signal wavelength can be achieved.</w:t>
      </w:r>
    </w:p>
    <w:p w14:paraId="387C892B" w14:textId="217B8F22" w:rsidR="003962B4" w:rsidRDefault="003962B4" w:rsidP="003962B4"/>
    <w:p w14:paraId="1BB2C48F" w14:textId="1AA84356" w:rsidR="000442BF" w:rsidRDefault="00953C97" w:rsidP="00953C97">
      <w:pPr>
        <w:jc w:val="center"/>
      </w:pPr>
      <w:r>
        <w:rPr>
          <w:noProof/>
          <w:lang w:eastAsia="en-US"/>
        </w:rPr>
        <w:drawing>
          <wp:inline distT="0" distB="0" distL="0" distR="0" wp14:anchorId="442BEDF1" wp14:editId="3E1AAAA1">
            <wp:extent cx="2319795" cy="1256306"/>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 - Interferometric Synthetic Aperture Radar.png"/>
                    <pic:cNvPicPr/>
                  </pic:nvPicPr>
                  <pic:blipFill>
                    <a:blip r:embed="rId14">
                      <a:extLst>
                        <a:ext uri="{28A0092B-C50C-407E-A947-70E740481C1C}">
                          <a14:useLocalDpi xmlns:a14="http://schemas.microsoft.com/office/drawing/2010/main" val="0"/>
                        </a:ext>
                      </a:extLst>
                    </a:blip>
                    <a:stretch>
                      <a:fillRect/>
                    </a:stretch>
                  </pic:blipFill>
                  <pic:spPr>
                    <a:xfrm>
                      <a:off x="0" y="0"/>
                      <a:ext cx="2357965" cy="1276978"/>
                    </a:xfrm>
                    <a:prstGeom prst="rect">
                      <a:avLst/>
                    </a:prstGeom>
                  </pic:spPr>
                </pic:pic>
              </a:graphicData>
            </a:graphic>
          </wp:inline>
        </w:drawing>
      </w:r>
    </w:p>
    <w:p w14:paraId="1F14B23E" w14:textId="1B5B5D6D" w:rsidR="001C6737" w:rsidRPr="001C6737" w:rsidRDefault="00EA66AA" w:rsidP="001C6737">
      <w:pPr>
        <w:pStyle w:val="Caption"/>
      </w:pPr>
      <w:r>
        <w:t xml:space="preserve">Figure </w:t>
      </w:r>
      <w:r>
        <w:fldChar w:fldCharType="begin"/>
      </w:r>
      <w:r>
        <w:instrText xml:space="preserve"> SEQ Figure \* ARABIC </w:instrText>
      </w:r>
      <w:r>
        <w:fldChar w:fldCharType="separate"/>
      </w:r>
      <w:r w:rsidR="00C87FA3">
        <w:rPr>
          <w:noProof/>
        </w:rPr>
        <w:t>1</w:t>
      </w:r>
      <w:r>
        <w:fldChar w:fldCharType="end"/>
      </w:r>
      <w:r w:rsidR="003E5978">
        <w:t xml:space="preserve">. Principle of </w:t>
      </w:r>
      <w:proofErr w:type="spellStart"/>
      <w:r w:rsidR="003E5978">
        <w:t>InSAR</w:t>
      </w:r>
      <w:proofErr w:type="spellEnd"/>
      <w:r w:rsidR="003E5978">
        <w:t xml:space="preserve"> </w:t>
      </w:r>
      <w:r w:rsidR="00DA0FA3">
        <w:t xml:space="preserve">differential </w:t>
      </w:r>
      <w:r w:rsidR="003E5978">
        <w:t>measurement</w:t>
      </w:r>
      <w:r>
        <w:t>.</w:t>
      </w:r>
    </w:p>
    <w:p w14:paraId="1CA6F796" w14:textId="0B262DDA" w:rsidR="003962B4" w:rsidRDefault="00D03E9B" w:rsidP="003E5978">
      <w:pPr>
        <w:pStyle w:val="NormalIndent"/>
        <w:ind w:firstLine="0"/>
      </w:pPr>
      <w:r>
        <w:t xml:space="preserve">   </w:t>
      </w:r>
      <w:r w:rsidR="003962B4">
        <w:t>The propagation and the backscatter characteristics of the radar signal depend on its frequency.  Typically the objective is to minimize signal attenuation. Table 1 lists common frequencies and the corresponding</w:t>
      </w:r>
      <w:r w:rsidR="003E5978">
        <w:t xml:space="preserve"> wavelengths for radar signals.</w:t>
      </w:r>
    </w:p>
    <w:p w14:paraId="342B6EC0" w14:textId="38C2D1B9" w:rsidR="000442BF" w:rsidRDefault="003E5978" w:rsidP="001C6737">
      <w:pPr>
        <w:pStyle w:val="Caption"/>
        <w:keepNext/>
      </w:pPr>
      <w:r>
        <w:t xml:space="preserve">Table </w:t>
      </w:r>
      <w:r>
        <w:fldChar w:fldCharType="begin"/>
      </w:r>
      <w:r>
        <w:instrText xml:space="preserve"> SEQ Table \* ARABIC </w:instrText>
      </w:r>
      <w:r>
        <w:fldChar w:fldCharType="separate"/>
      </w:r>
      <w:r w:rsidR="00C87FA3">
        <w:rPr>
          <w:noProof/>
        </w:rPr>
        <w:t>1</w:t>
      </w:r>
      <w:r>
        <w:fldChar w:fldCharType="end"/>
      </w:r>
      <w:r>
        <w:t>. Radar frequencies and applications.</w:t>
      </w:r>
      <w:r w:rsidR="00953C97">
        <w:rPr>
          <w:noProof/>
          <w:lang w:eastAsia="en-US"/>
        </w:rPr>
        <w:drawing>
          <wp:inline distT="0" distB="0" distL="0" distR="0" wp14:anchorId="4D0022E2" wp14:editId="544FBBD7">
            <wp:extent cx="3209925" cy="16033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1 - SAR bands.png"/>
                    <pic:cNvPicPr/>
                  </pic:nvPicPr>
                  <pic:blipFill>
                    <a:blip r:embed="rId15">
                      <a:extLst>
                        <a:ext uri="{28A0092B-C50C-407E-A947-70E740481C1C}">
                          <a14:useLocalDpi xmlns:a14="http://schemas.microsoft.com/office/drawing/2010/main" val="0"/>
                        </a:ext>
                      </a:extLst>
                    </a:blip>
                    <a:stretch>
                      <a:fillRect/>
                    </a:stretch>
                  </pic:blipFill>
                  <pic:spPr>
                    <a:xfrm>
                      <a:off x="0" y="0"/>
                      <a:ext cx="3230081" cy="1613431"/>
                    </a:xfrm>
                    <a:prstGeom prst="rect">
                      <a:avLst/>
                    </a:prstGeom>
                  </pic:spPr>
                </pic:pic>
              </a:graphicData>
            </a:graphic>
          </wp:inline>
        </w:drawing>
      </w:r>
    </w:p>
    <w:p w14:paraId="533FEC9D" w14:textId="56F7C325" w:rsidR="00EF093C" w:rsidRDefault="00D03E9B" w:rsidP="003E5978">
      <w:pPr>
        <w:pStyle w:val="NormalIndent"/>
        <w:ind w:firstLine="0"/>
      </w:pPr>
      <w:r>
        <w:t xml:space="preserve">  </w:t>
      </w:r>
      <w:r w:rsidR="003962B4">
        <w:t xml:space="preserve">Typically </w:t>
      </w:r>
      <w:r w:rsidR="000442BF">
        <w:t>only C, X, and L radar bands are</w:t>
      </w:r>
      <w:r w:rsidR="003962B4">
        <w:t xml:space="preserve"> used for civilian applications.</w:t>
      </w:r>
      <w:r w:rsidR="003E5978">
        <w:t xml:space="preserve"> Higher frequencies offer greater</w:t>
      </w:r>
      <w:r w:rsidR="003962B4">
        <w:t xml:space="preserve"> measurement accuracy but usually at a cost of reduced spatial coverage.</w:t>
      </w:r>
    </w:p>
    <w:p w14:paraId="3C96BA96" w14:textId="11E90675" w:rsidR="003962B4" w:rsidRDefault="000442BF" w:rsidP="0013583C">
      <w:pPr>
        <w:pStyle w:val="NormalIndent"/>
      </w:pPr>
      <w:r>
        <w:t xml:space="preserve">Signal </w:t>
      </w:r>
      <w:r w:rsidR="003962B4">
        <w:t xml:space="preserve">backscatter depends greatly on the monitored surface characteristics, primarily roughness. However, roughness is a relative quantity, strongly dependent on the radar signal frequency. The </w:t>
      </w:r>
      <w:proofErr w:type="spellStart"/>
      <w:r w:rsidR="003962B4">
        <w:t>scatterers</w:t>
      </w:r>
      <w:proofErr w:type="spellEnd"/>
      <w:r w:rsidR="003962B4">
        <w:t xml:space="preserve"> detected by </w:t>
      </w:r>
      <w:r w:rsidR="007165DF">
        <w:t xml:space="preserve">the </w:t>
      </w:r>
      <w:proofErr w:type="spellStart"/>
      <w:r w:rsidR="003962B4">
        <w:t>I</w:t>
      </w:r>
      <w:r w:rsidR="00CB4736">
        <w:t>nSAR</w:t>
      </w:r>
      <w:proofErr w:type="spellEnd"/>
      <w:r w:rsidR="00CB4736">
        <w:t xml:space="preserve"> technique</w:t>
      </w:r>
      <w:r w:rsidR="003962B4">
        <w:t xml:space="preserve"> are typically classified as permanent (PS), temporary (TS), and distributed (DS). Distributed </w:t>
      </w:r>
      <w:proofErr w:type="spellStart"/>
      <w:r w:rsidR="003962B4">
        <w:t>scatterers</w:t>
      </w:r>
      <w:proofErr w:type="spellEnd"/>
      <w:r w:rsidR="003962B4">
        <w:t xml:space="preserve"> are indicative of some irregular area</w:t>
      </w:r>
      <w:r w:rsidR="007165DF">
        <w:t>,</w:t>
      </w:r>
      <w:r w:rsidR="003962B4">
        <w:t xml:space="preserve"> </w:t>
      </w:r>
      <w:r w:rsidR="007165DF">
        <w:t xml:space="preserve">and </w:t>
      </w:r>
      <w:r w:rsidR="003962B4">
        <w:t xml:space="preserve">permanent scatters provide </w:t>
      </w:r>
      <w:r w:rsidR="00B4631A">
        <w:t xml:space="preserve">coherent </w:t>
      </w:r>
      <w:r w:rsidR="003962B4">
        <w:t>data at specific locations over the entire monitoring period. Satellite-</w:t>
      </w:r>
      <w:r w:rsidR="003962B4">
        <w:lastRenderedPageBreak/>
        <w:t xml:space="preserve">based interferometric techniques have already </w:t>
      </w:r>
      <w:r w:rsidR="006C3496">
        <w:t xml:space="preserve">been </w:t>
      </w:r>
      <w:r w:rsidR="003962B4">
        <w:t xml:space="preserve">proven very effective in detecting minute displacements of the Earth’s surface over a wide range of applications </w:t>
      </w:r>
      <w:r w:rsidR="00F85E8D">
        <w:t>[2, 3, 4</w:t>
      </w:r>
      <w:r w:rsidR="006C3496">
        <w:t xml:space="preserve">, </w:t>
      </w:r>
      <w:proofErr w:type="gramStart"/>
      <w:r w:rsidR="006C3496">
        <w:t>5</w:t>
      </w:r>
      <w:proofErr w:type="gramEnd"/>
      <w:r w:rsidR="00F85E8D">
        <w:t>].</w:t>
      </w:r>
    </w:p>
    <w:p w14:paraId="5F86D3F8" w14:textId="0F6320BE" w:rsidR="000442BF" w:rsidRPr="000442BF" w:rsidRDefault="001C6737" w:rsidP="001C6737">
      <w:pPr>
        <w:pStyle w:val="Heading1"/>
      </w:pPr>
      <w:r>
        <w:t>CASE</w:t>
      </w:r>
      <w:r w:rsidR="00BE711B">
        <w:t xml:space="preserve"> </w:t>
      </w:r>
      <w:r>
        <w:t>STUDIES</w:t>
      </w:r>
    </w:p>
    <w:p w14:paraId="3694E0DD" w14:textId="16A316C1" w:rsidR="003962B4" w:rsidRDefault="002A06CE" w:rsidP="00D4784B">
      <w:pPr>
        <w:pStyle w:val="NormalIndent"/>
        <w:ind w:firstLine="0"/>
      </w:pPr>
      <w:r>
        <w:t>Figure 2</w:t>
      </w:r>
      <w:r w:rsidR="003962B4">
        <w:t xml:space="preserve"> shows the results of </w:t>
      </w:r>
      <w:proofErr w:type="spellStart"/>
      <w:r w:rsidR="003962B4">
        <w:t>SqueeSAR</w:t>
      </w:r>
      <w:proofErr w:type="spellEnd"/>
      <w:r w:rsidR="003962B4">
        <w:t xml:space="preserve"> </w:t>
      </w:r>
      <w:r w:rsidR="00976956">
        <w:t xml:space="preserve">algorithm </w:t>
      </w:r>
      <w:r w:rsidR="003962B4">
        <w:t xml:space="preserve">X-band data processing over parts of Washington, D.C. </w:t>
      </w:r>
      <w:r w:rsidR="00662C04">
        <w:t>Consistent with the commonly adopted convention</w:t>
      </w:r>
      <w:r w:rsidR="007165DF">
        <w:t>,</w:t>
      </w:r>
      <w:r w:rsidR="00662C04">
        <w:t xml:space="preserve"> </w:t>
      </w:r>
      <w:r w:rsidR="007165DF">
        <w:t>“</w:t>
      </w:r>
      <w:r w:rsidR="00662C04">
        <w:t>hot</w:t>
      </w:r>
      <w:r w:rsidR="007165DF">
        <w:t>”</w:t>
      </w:r>
      <w:r w:rsidR="00662C04">
        <w:t xml:space="preserve"> colors indicate areas of significant movement. </w:t>
      </w:r>
      <w:r w:rsidR="003962B4">
        <w:t xml:space="preserve">The red band of PS points </w:t>
      </w:r>
      <w:r w:rsidR="00976956">
        <w:t>corresponds to</w:t>
      </w:r>
      <w:r w:rsidR="003962B4">
        <w:t xml:space="preserve"> the extent of subsidence caused by ground</w:t>
      </w:r>
      <w:r w:rsidR="006F2096">
        <w:t>water extraction</w:t>
      </w:r>
      <w:r w:rsidR="003962B4">
        <w:t xml:space="preserve"> associated with </w:t>
      </w:r>
      <w:r w:rsidR="006F2096">
        <w:t xml:space="preserve">a </w:t>
      </w:r>
      <w:r w:rsidR="003962B4">
        <w:t xml:space="preserve">tunnel construction. The south portion of the image shows bridges </w:t>
      </w:r>
      <w:r w:rsidR="006F2096">
        <w:t xml:space="preserve">near Anacostia. </w:t>
      </w:r>
      <w:r w:rsidR="003962B4">
        <w:t>It can be seen that the PS point density at these bridges is relatively low</w:t>
      </w:r>
      <w:r w:rsidR="00976956">
        <w:t xml:space="preserve"> and random</w:t>
      </w:r>
      <w:r w:rsidR="003962B4">
        <w:t>.</w:t>
      </w:r>
      <w:r w:rsidR="00F344DB">
        <w:t xml:space="preserve"> These remote sensing data were acquired by the COSMO-</w:t>
      </w:r>
      <w:proofErr w:type="spellStart"/>
      <w:r w:rsidR="00F344DB">
        <w:t>SkyMed</w:t>
      </w:r>
      <w:proofErr w:type="spellEnd"/>
      <w:r w:rsidR="00F344DB">
        <w:t xml:space="preserve"> satellite in </w:t>
      </w:r>
      <w:proofErr w:type="spellStart"/>
      <w:r w:rsidR="00F344DB">
        <w:t>Stripmap</w:t>
      </w:r>
      <w:proofErr w:type="spellEnd"/>
      <w:r w:rsidR="00F344DB">
        <w:t xml:space="preserve"> mode (3x3m).</w:t>
      </w:r>
    </w:p>
    <w:p w14:paraId="6BF6C9E6" w14:textId="61B92E47" w:rsidR="0013583C" w:rsidRPr="0013583C" w:rsidRDefault="00953C97" w:rsidP="00BE711B">
      <w:pPr>
        <w:pStyle w:val="NormalIndent"/>
        <w:ind w:firstLine="0"/>
        <w:jc w:val="center"/>
      </w:pPr>
      <w:r>
        <w:rPr>
          <w:noProof/>
          <w:lang w:eastAsia="en-US"/>
        </w:rPr>
        <w:drawing>
          <wp:inline distT="0" distB="0" distL="0" distR="0" wp14:anchorId="18313881" wp14:editId="505C52F1">
            <wp:extent cx="3185795" cy="41249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 bridges in DC.jpg"/>
                    <pic:cNvPicPr/>
                  </pic:nvPicPr>
                  <pic:blipFill>
                    <a:blip r:embed="rId16">
                      <a:extLst>
                        <a:ext uri="{28A0092B-C50C-407E-A947-70E740481C1C}">
                          <a14:useLocalDpi xmlns:a14="http://schemas.microsoft.com/office/drawing/2010/main" val="0"/>
                        </a:ext>
                      </a:extLst>
                    </a:blip>
                    <a:stretch>
                      <a:fillRect/>
                    </a:stretch>
                  </pic:blipFill>
                  <pic:spPr>
                    <a:xfrm>
                      <a:off x="0" y="0"/>
                      <a:ext cx="3185795" cy="4124960"/>
                    </a:xfrm>
                    <a:prstGeom prst="rect">
                      <a:avLst/>
                    </a:prstGeom>
                  </pic:spPr>
                </pic:pic>
              </a:graphicData>
            </a:graphic>
          </wp:inline>
        </w:drawing>
      </w:r>
    </w:p>
    <w:p w14:paraId="71AB22DB" w14:textId="7BD132B3" w:rsidR="001C6737" w:rsidRDefault="001C6737" w:rsidP="001C6737">
      <w:pPr>
        <w:pStyle w:val="NormalIndent"/>
        <w:ind w:firstLine="0"/>
      </w:pPr>
      <w:r>
        <w:t xml:space="preserve">Figure 2. </w:t>
      </w:r>
      <w:r w:rsidR="00D4784B">
        <w:t xml:space="preserve">Distribution of X-band </w:t>
      </w:r>
      <w:proofErr w:type="spellStart"/>
      <w:r w:rsidR="00D4784B">
        <w:t>scatterers</w:t>
      </w:r>
      <w:proofErr w:type="spellEnd"/>
      <w:r w:rsidR="00D4784B">
        <w:t xml:space="preserve"> over Washington</w:t>
      </w:r>
      <w:r w:rsidR="007165DF">
        <w:t>, D.C.</w:t>
      </w:r>
    </w:p>
    <w:p w14:paraId="4D650F4A" w14:textId="77777777" w:rsidR="001C6737" w:rsidRDefault="001C6737" w:rsidP="0013583C">
      <w:pPr>
        <w:pStyle w:val="NormalIndent"/>
      </w:pPr>
    </w:p>
    <w:p w14:paraId="3051A6E3" w14:textId="38B82BFF" w:rsidR="003962B4" w:rsidRDefault="007165DF" w:rsidP="00D4784B">
      <w:pPr>
        <w:pStyle w:val="NormalIndent"/>
        <w:ind w:firstLine="0"/>
      </w:pPr>
      <w:r>
        <w:t xml:space="preserve">  </w:t>
      </w:r>
      <w:r w:rsidR="002A06CE">
        <w:t>Figure 3</w:t>
      </w:r>
      <w:r w:rsidR="003962B4">
        <w:t xml:space="preserve"> shows the r</w:t>
      </w:r>
      <w:r w:rsidR="00976956">
        <w:t>esults of X-band processing on</w:t>
      </w:r>
      <w:r w:rsidR="003962B4">
        <w:t xml:space="preserve"> the Woodrow Wilson Bridge over the Potomac </w:t>
      </w:r>
      <w:r w:rsidR="00976956">
        <w:t xml:space="preserve">River </w:t>
      </w:r>
      <w:r w:rsidR="003962B4">
        <w:t xml:space="preserve">near Alexandria, Virginia. The bridge </w:t>
      </w:r>
      <w:r>
        <w:t xml:space="preserve">has </w:t>
      </w:r>
      <w:r w:rsidR="003962B4">
        <w:t>a traffic volume of approximatel</w:t>
      </w:r>
      <w:r w:rsidR="002B7490">
        <w:t xml:space="preserve">y 200,000 vehicles per day. </w:t>
      </w:r>
      <w:r>
        <w:t xml:space="preserve">As a consequence, </w:t>
      </w:r>
      <w:r w:rsidR="003962B4">
        <w:t xml:space="preserve">it may not be realistic to expect identifiable PS points along the traffic lanes. Most of the </w:t>
      </w:r>
      <w:r w:rsidR="00976956">
        <w:t xml:space="preserve">identifiable </w:t>
      </w:r>
      <w:proofErr w:type="spellStart"/>
      <w:r w:rsidR="003962B4">
        <w:t>scatterers</w:t>
      </w:r>
      <w:proofErr w:type="spellEnd"/>
      <w:r w:rsidR="003962B4">
        <w:t xml:space="preserve"> </w:t>
      </w:r>
      <w:r w:rsidR="00976956">
        <w:t xml:space="preserve">are </w:t>
      </w:r>
      <w:r w:rsidR="002B7490">
        <w:t xml:space="preserve">associated with </w:t>
      </w:r>
      <w:r w:rsidR="008561A7">
        <w:t xml:space="preserve">secondary features on the bridge, </w:t>
      </w:r>
      <w:r w:rsidR="003962B4">
        <w:t>parap</w:t>
      </w:r>
      <w:r w:rsidR="002B7490">
        <w:t>ets</w:t>
      </w:r>
      <w:r w:rsidR="00976956">
        <w:t>, lamp</w:t>
      </w:r>
      <w:r>
        <w:t xml:space="preserve"> </w:t>
      </w:r>
      <w:r w:rsidR="00976956">
        <w:t>posts</w:t>
      </w:r>
      <w:r>
        <w:t>,</w:t>
      </w:r>
      <w:r w:rsidR="002B7490">
        <w:t xml:space="preserve"> and </w:t>
      </w:r>
      <w:r w:rsidR="003962B4">
        <w:t>overhead traffic signs.</w:t>
      </w:r>
      <w:r w:rsidR="00F344DB">
        <w:t xml:space="preserve"> </w:t>
      </w:r>
      <w:r w:rsidR="00467F7E">
        <w:t xml:space="preserve">These are not necessarily locations indicative of the bridge structural health. </w:t>
      </w:r>
      <w:r w:rsidR="00F344DB">
        <w:t>Data were acquired by the COSMO-</w:t>
      </w:r>
      <w:proofErr w:type="spellStart"/>
      <w:r w:rsidR="00F344DB">
        <w:t>SkyMed</w:t>
      </w:r>
      <w:proofErr w:type="spellEnd"/>
      <w:r w:rsidR="00F344DB">
        <w:t xml:space="preserve"> satellite in </w:t>
      </w:r>
      <w:proofErr w:type="spellStart"/>
      <w:r w:rsidR="00F344DB">
        <w:t>Stripmap</w:t>
      </w:r>
      <w:proofErr w:type="spellEnd"/>
      <w:r w:rsidR="00F344DB">
        <w:t xml:space="preserve"> mode </w:t>
      </w:r>
      <w:r w:rsidR="008561A7">
        <w:t xml:space="preserve">(3x3m) </w:t>
      </w:r>
      <w:r w:rsidR="00F344DB">
        <w:t xml:space="preserve">and subsequently processed using the </w:t>
      </w:r>
      <w:proofErr w:type="spellStart"/>
      <w:r w:rsidR="00F344DB">
        <w:t>SqueeSAR</w:t>
      </w:r>
      <w:proofErr w:type="spellEnd"/>
      <w:r w:rsidR="00F344DB">
        <w:t xml:space="preserve"> algorithm.</w:t>
      </w:r>
    </w:p>
    <w:p w14:paraId="7657D4B3" w14:textId="77777777" w:rsidR="00D4784B" w:rsidRDefault="00D4784B" w:rsidP="00D4784B">
      <w:pPr>
        <w:pStyle w:val="NormalIndent"/>
        <w:ind w:firstLine="0"/>
      </w:pPr>
    </w:p>
    <w:p w14:paraId="0F8ECD2E" w14:textId="77777777" w:rsidR="00662C04" w:rsidRDefault="00662C04" w:rsidP="00D4784B">
      <w:pPr>
        <w:pStyle w:val="NormalIndent"/>
        <w:ind w:firstLine="0"/>
      </w:pPr>
    </w:p>
    <w:p w14:paraId="746226C3" w14:textId="77777777" w:rsidR="00662C04" w:rsidRDefault="00662C04" w:rsidP="00D4784B">
      <w:pPr>
        <w:pStyle w:val="NormalIndent"/>
        <w:ind w:firstLine="0"/>
      </w:pPr>
    </w:p>
    <w:p w14:paraId="1A32789C" w14:textId="2E037D1B" w:rsidR="0013583C" w:rsidRDefault="00953C97" w:rsidP="00BE711B">
      <w:pPr>
        <w:pStyle w:val="NormalIndent"/>
        <w:ind w:firstLine="0"/>
        <w:jc w:val="center"/>
      </w:pPr>
      <w:r>
        <w:rPr>
          <w:noProof/>
          <w:lang w:eastAsia="en-US"/>
        </w:rPr>
        <w:drawing>
          <wp:inline distT="0" distB="0" distL="0" distR="0" wp14:anchorId="56E34FB2" wp14:editId="08C45C9A">
            <wp:extent cx="3162028" cy="158739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 - COSMO-SkyMed Stripmap mode, 3mx3m pixel resolution.jpg"/>
                    <pic:cNvPicPr/>
                  </pic:nvPicPr>
                  <pic:blipFill>
                    <a:blip r:embed="rId17">
                      <a:extLst>
                        <a:ext uri="{28A0092B-C50C-407E-A947-70E740481C1C}">
                          <a14:useLocalDpi xmlns:a14="http://schemas.microsoft.com/office/drawing/2010/main" val="0"/>
                        </a:ext>
                      </a:extLst>
                    </a:blip>
                    <a:stretch>
                      <a:fillRect/>
                    </a:stretch>
                  </pic:blipFill>
                  <pic:spPr>
                    <a:xfrm>
                      <a:off x="0" y="0"/>
                      <a:ext cx="3167769" cy="1590280"/>
                    </a:xfrm>
                    <a:prstGeom prst="rect">
                      <a:avLst/>
                    </a:prstGeom>
                  </pic:spPr>
                </pic:pic>
              </a:graphicData>
            </a:graphic>
          </wp:inline>
        </w:drawing>
      </w:r>
    </w:p>
    <w:p w14:paraId="4BF207ED" w14:textId="77777777" w:rsidR="001C6737" w:rsidRDefault="001C6737" w:rsidP="00953C97">
      <w:pPr>
        <w:pStyle w:val="NormalIndent"/>
        <w:ind w:firstLine="0"/>
      </w:pPr>
    </w:p>
    <w:p w14:paraId="78180508" w14:textId="7BA3BF44" w:rsidR="001C6737" w:rsidRDefault="001C6737" w:rsidP="00953C97">
      <w:pPr>
        <w:pStyle w:val="NormalIndent"/>
        <w:ind w:firstLine="0"/>
      </w:pPr>
      <w:r>
        <w:t xml:space="preserve">Figure </w:t>
      </w:r>
      <w:r w:rsidR="00D4784B">
        <w:t>3</w:t>
      </w:r>
      <w:r>
        <w:t xml:space="preserve">. </w:t>
      </w:r>
      <w:r w:rsidR="00662C04">
        <w:t>Distribution o</w:t>
      </w:r>
      <w:r w:rsidR="006C3496">
        <w:t xml:space="preserve">f X-band permanent </w:t>
      </w:r>
      <w:proofErr w:type="spellStart"/>
      <w:r w:rsidR="006C3496">
        <w:t>scatterers</w:t>
      </w:r>
      <w:proofErr w:type="spellEnd"/>
      <w:r w:rsidR="006C3496">
        <w:t xml:space="preserve"> across</w:t>
      </w:r>
      <w:r w:rsidR="00662C04">
        <w:t xml:space="preserve"> the Woodrow Wilson Bridge.</w:t>
      </w:r>
    </w:p>
    <w:p w14:paraId="1F26FEF8" w14:textId="77777777" w:rsidR="001C6737" w:rsidRPr="0013583C" w:rsidRDefault="001C6737" w:rsidP="00953C97">
      <w:pPr>
        <w:pStyle w:val="NormalIndent"/>
        <w:ind w:firstLine="0"/>
      </w:pPr>
    </w:p>
    <w:p w14:paraId="686DB610" w14:textId="66A3122D" w:rsidR="00662C04" w:rsidRDefault="007165DF" w:rsidP="00662C04">
      <w:pPr>
        <w:pStyle w:val="NormalIndent"/>
        <w:ind w:firstLine="0"/>
      </w:pPr>
      <w:r>
        <w:t xml:space="preserve">  </w:t>
      </w:r>
      <w:r w:rsidR="002A06CE">
        <w:t>Figure 4</w:t>
      </w:r>
      <w:r w:rsidR="00662C04">
        <w:t xml:space="preserve"> </w:t>
      </w:r>
      <w:r w:rsidR="00B4631A">
        <w:t>shows two</w:t>
      </w:r>
      <w:r w:rsidR="003962B4">
        <w:t xml:space="preserve"> bridges </w:t>
      </w:r>
      <w:r w:rsidR="00B4631A">
        <w:t>linking the town of</w:t>
      </w:r>
      <w:r w:rsidR="003962B4">
        <w:t xml:space="preserve"> West Point, Virginia. Relatively high spatial density was achieved through the use of the Staring Spotlight mode of </w:t>
      </w:r>
      <w:r w:rsidR="008561A7">
        <w:t xml:space="preserve">data </w:t>
      </w:r>
      <w:r w:rsidR="003962B4">
        <w:t>acquisition with</w:t>
      </w:r>
      <w:r>
        <w:t xml:space="preserve"> the</w:t>
      </w:r>
      <w:r w:rsidR="003962B4">
        <w:t xml:space="preserve"> </w:t>
      </w:r>
      <w:proofErr w:type="spellStart"/>
      <w:r w:rsidR="003962B4">
        <w:t>TerraSAR</w:t>
      </w:r>
      <w:proofErr w:type="spellEnd"/>
      <w:r w:rsidR="003962B4">
        <w:t>-X satellite, in contrast to the traditional</w:t>
      </w:r>
      <w:r w:rsidR="00976956">
        <w:t xml:space="preserve"> </w:t>
      </w:r>
      <w:proofErr w:type="spellStart"/>
      <w:r w:rsidR="00976956">
        <w:t>Stripmap</w:t>
      </w:r>
      <w:proofErr w:type="spellEnd"/>
      <w:r w:rsidR="00976956">
        <w:t xml:space="preserve"> </w:t>
      </w:r>
      <w:r w:rsidR="00B4631A">
        <w:t xml:space="preserve">imaging </w:t>
      </w:r>
      <w:r w:rsidR="00976956">
        <w:t>mode used in the previous</w:t>
      </w:r>
      <w:r w:rsidR="002B7490">
        <w:t xml:space="preserve"> case studies. </w:t>
      </w:r>
      <w:r>
        <w:t xml:space="preserve">More than </w:t>
      </w:r>
      <w:r w:rsidR="002B7490">
        <w:t xml:space="preserve">1 </w:t>
      </w:r>
      <w:r w:rsidR="003962B4">
        <w:t xml:space="preserve">million </w:t>
      </w:r>
      <w:r w:rsidR="00B4049C">
        <w:t xml:space="preserve">distinctive </w:t>
      </w:r>
      <w:proofErr w:type="spellStart"/>
      <w:r w:rsidR="00B4049C">
        <w:t>scatterers</w:t>
      </w:r>
      <w:proofErr w:type="spellEnd"/>
      <w:r w:rsidR="003962B4">
        <w:t xml:space="preserve"> were identified</w:t>
      </w:r>
      <w:r w:rsidR="006C3496">
        <w:t xml:space="preserve"> [6]</w:t>
      </w:r>
      <w:r w:rsidR="003962B4">
        <w:t xml:space="preserve">. </w:t>
      </w:r>
      <w:r w:rsidR="008561A7">
        <w:t xml:space="preserve">Staring Spotlight offers significantly higher </w:t>
      </w:r>
      <w:proofErr w:type="spellStart"/>
      <w:r w:rsidR="008561A7">
        <w:t>scatterer</w:t>
      </w:r>
      <w:proofErr w:type="spellEnd"/>
      <w:r w:rsidR="008561A7">
        <w:t xml:space="preserve"> density as compared with the </w:t>
      </w:r>
      <w:proofErr w:type="spellStart"/>
      <w:r w:rsidR="008561A7">
        <w:t>Stripmad</w:t>
      </w:r>
      <w:proofErr w:type="spellEnd"/>
      <w:r w:rsidR="008561A7">
        <w:t xml:space="preserve"> mode.</w:t>
      </w:r>
      <w:r w:rsidR="003962B4">
        <w:t xml:space="preserve"> </w:t>
      </w:r>
    </w:p>
    <w:p w14:paraId="6B8561A5" w14:textId="03C4506B" w:rsidR="006F2096" w:rsidRDefault="00953C97" w:rsidP="00BE711B">
      <w:pPr>
        <w:pStyle w:val="NormalIndent"/>
        <w:ind w:firstLine="0"/>
        <w:jc w:val="center"/>
      </w:pPr>
      <w:r>
        <w:rPr>
          <w:noProof/>
          <w:lang w:eastAsia="en-US"/>
        </w:rPr>
        <w:drawing>
          <wp:inline distT="0" distB="0" distL="0" distR="0" wp14:anchorId="1D4DCB13" wp14:editId="3D5809AD">
            <wp:extent cx="3228230" cy="249340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 - Distribution of ascending and descending points over West Point (2).png"/>
                    <pic:cNvPicPr/>
                  </pic:nvPicPr>
                  <pic:blipFill>
                    <a:blip r:embed="rId18">
                      <a:extLst>
                        <a:ext uri="{28A0092B-C50C-407E-A947-70E740481C1C}">
                          <a14:useLocalDpi xmlns:a14="http://schemas.microsoft.com/office/drawing/2010/main" val="0"/>
                        </a:ext>
                      </a:extLst>
                    </a:blip>
                    <a:stretch>
                      <a:fillRect/>
                    </a:stretch>
                  </pic:blipFill>
                  <pic:spPr>
                    <a:xfrm>
                      <a:off x="0" y="0"/>
                      <a:ext cx="3230247" cy="2494959"/>
                    </a:xfrm>
                    <a:prstGeom prst="rect">
                      <a:avLst/>
                    </a:prstGeom>
                  </pic:spPr>
                </pic:pic>
              </a:graphicData>
            </a:graphic>
          </wp:inline>
        </w:drawing>
      </w:r>
    </w:p>
    <w:p w14:paraId="52F51DE1" w14:textId="04AA571C" w:rsidR="001C6737" w:rsidRPr="006F2096" w:rsidRDefault="001C6737" w:rsidP="00953C97">
      <w:pPr>
        <w:pStyle w:val="NormalIndent"/>
        <w:ind w:firstLine="0"/>
      </w:pPr>
      <w:r>
        <w:t xml:space="preserve">Figure 4. </w:t>
      </w:r>
      <w:r w:rsidR="00EF39F4">
        <w:t xml:space="preserve">Distribution of permanent </w:t>
      </w:r>
      <w:proofErr w:type="spellStart"/>
      <w:r w:rsidR="00EF39F4">
        <w:t>scatterers</w:t>
      </w:r>
      <w:proofErr w:type="spellEnd"/>
      <w:r w:rsidR="00EF39F4">
        <w:t xml:space="preserve"> over West Point.</w:t>
      </w:r>
    </w:p>
    <w:p w14:paraId="76FFF0B2" w14:textId="2F9453DA" w:rsidR="006F2096" w:rsidRPr="006F2096" w:rsidRDefault="00EF39F4" w:rsidP="00EF39F4">
      <w:pPr>
        <w:pStyle w:val="Heading1"/>
      </w:pPr>
      <w:r>
        <w:t>DISCUSSION</w:t>
      </w:r>
    </w:p>
    <w:p w14:paraId="43187F6E" w14:textId="0FBED3BB" w:rsidR="003962B4" w:rsidRDefault="003962B4" w:rsidP="003962B4">
      <w:proofErr w:type="spellStart"/>
      <w:r>
        <w:t>Spaceborne</w:t>
      </w:r>
      <w:proofErr w:type="spellEnd"/>
      <w:r>
        <w:t xml:space="preserve"> </w:t>
      </w:r>
      <w:proofErr w:type="spellStart"/>
      <w:r>
        <w:t>InSAR</w:t>
      </w:r>
      <w:proofErr w:type="spellEnd"/>
      <w:r>
        <w:t xml:space="preserve"> technology lends itself exceptionally well to monitoring wide swaths of land. It became a tool of choice for detecting abnormal ground deformations and </w:t>
      </w:r>
      <w:r w:rsidR="00B4631A">
        <w:t xml:space="preserve">unstable </w:t>
      </w:r>
      <w:r>
        <w:t>slope</w:t>
      </w:r>
      <w:r w:rsidR="00B4631A">
        <w:t>s</w:t>
      </w:r>
      <w:r>
        <w:t>. In most cases</w:t>
      </w:r>
      <w:r w:rsidR="007165DF">
        <w:t>,</w:t>
      </w:r>
      <w:r>
        <w:t xml:space="preserve"> point density and spatial distribution are sufficient to characterize the location of interest. Successful applications at the regional level prompted new research aimed at monitoring spe</w:t>
      </w:r>
      <w:r w:rsidR="007015F2">
        <w:t xml:space="preserve">cific infrastructure assets. </w:t>
      </w:r>
      <w:r w:rsidR="007165DF">
        <w:t>A r</w:t>
      </w:r>
      <w:r>
        <w:t xml:space="preserve">ecent study by </w:t>
      </w:r>
      <w:proofErr w:type="spellStart"/>
      <w:r>
        <w:t>Mac</w:t>
      </w:r>
      <w:r w:rsidR="007015F2">
        <w:t>chiarulo</w:t>
      </w:r>
      <w:proofErr w:type="spellEnd"/>
      <w:r w:rsidR="007015F2">
        <w:t xml:space="preserve"> et al. [7</w:t>
      </w:r>
      <w:r w:rsidR="00F85E8D">
        <w:t>]</w:t>
      </w:r>
      <w:r w:rsidR="008A24A8">
        <w:t xml:space="preserve"> offers </w:t>
      </w:r>
      <w:r w:rsidR="00976956">
        <w:t xml:space="preserve">a </w:t>
      </w:r>
      <w:r w:rsidR="008A24A8">
        <w:t>potential</w:t>
      </w:r>
      <w:r w:rsidR="00976956">
        <w:t xml:space="preserve"> implementation path</w:t>
      </w:r>
      <w:r>
        <w:t xml:space="preserve"> to </w:t>
      </w:r>
      <w:r w:rsidR="00944594">
        <w:t xml:space="preserve">the </w:t>
      </w:r>
      <w:r>
        <w:t>network-level bridge monitoring.</w:t>
      </w:r>
    </w:p>
    <w:p w14:paraId="1DDD6E50" w14:textId="7F249C54" w:rsidR="003962B4" w:rsidRDefault="003962B4" w:rsidP="0013583C">
      <w:pPr>
        <w:pStyle w:val="NormalIndent"/>
      </w:pPr>
      <w:r>
        <w:t xml:space="preserve">It is evident that the challenge of monitoring bridges from space is significant, albeit not insurmountable. </w:t>
      </w:r>
      <w:proofErr w:type="spellStart"/>
      <w:r>
        <w:t>Spaceborne</w:t>
      </w:r>
      <w:proofErr w:type="spellEnd"/>
      <w:r>
        <w:t xml:space="preserve"> monitoring of hundreds of bridges across a widely dispersed transportation network adds another level of complexity. The entire premise behind implementing </w:t>
      </w:r>
      <w:proofErr w:type="spellStart"/>
      <w:r>
        <w:t>InSAR</w:t>
      </w:r>
      <w:proofErr w:type="spellEnd"/>
      <w:r>
        <w:t xml:space="preserve"> technology for bridge monitoring is that </w:t>
      </w:r>
      <w:r w:rsidR="00976956">
        <w:t>movement</w:t>
      </w:r>
      <w:r>
        <w:t xml:space="preserve"> is a proxy for potential distress. It further assumes </w:t>
      </w:r>
      <w:r w:rsidR="00976956">
        <w:t>that capturing this movement</w:t>
      </w:r>
      <w:r>
        <w:t xml:space="preserve"> will provide an early warning signal to bridge owners.</w:t>
      </w:r>
    </w:p>
    <w:p w14:paraId="1E58D624" w14:textId="04707E13" w:rsidR="003962B4" w:rsidRDefault="003962B4" w:rsidP="00976956">
      <w:pPr>
        <w:pStyle w:val="NormalIndent"/>
      </w:pPr>
      <w:r>
        <w:lastRenderedPageBreak/>
        <w:t>One of the pro</w:t>
      </w:r>
      <w:r w:rsidR="00CB4736">
        <w:t>blems with the idea of focusing on</w:t>
      </w:r>
      <w:r>
        <w:t xml:space="preserve"> bridge displacement is that virtually all bridges move </w:t>
      </w:r>
      <w:r w:rsidR="00944594">
        <w:t>all the time</w:t>
      </w:r>
      <w:r>
        <w:t>, mainly in response to ambient air temperature va</w:t>
      </w:r>
      <w:r w:rsidR="00C274BE">
        <w:t>riations and other</w:t>
      </w:r>
      <w:r>
        <w:t xml:space="preserve"> factors suc</w:t>
      </w:r>
      <w:r w:rsidR="002A06CE">
        <w:t>h as wind</w:t>
      </w:r>
      <w:r w:rsidR="00944594">
        <w:t xml:space="preserve"> loading</w:t>
      </w:r>
      <w:r w:rsidR="002A06CE">
        <w:t>. For example, Figure 5</w:t>
      </w:r>
      <w:r>
        <w:t xml:space="preserve"> shows an envelope of thermally induced s</w:t>
      </w:r>
      <w:r w:rsidR="00944594">
        <w:t>uperstructure lateral displacements on the</w:t>
      </w:r>
      <w:r>
        <w:t xml:space="preserve"> bridge in West Point, Virginia</w:t>
      </w:r>
      <w:r w:rsidR="00E84008">
        <w:t xml:space="preserve">. </w:t>
      </w:r>
      <w:r w:rsidR="00E37CBF">
        <w:t>These displacements represent the time history of a longitudinal cross secti</w:t>
      </w:r>
      <w:r w:rsidR="00C274BE">
        <w:t xml:space="preserve">on of </w:t>
      </w:r>
      <w:proofErr w:type="spellStart"/>
      <w:r w:rsidR="00C274BE">
        <w:t>scatterers</w:t>
      </w:r>
      <w:proofErr w:type="spellEnd"/>
      <w:r w:rsidR="00C274BE">
        <w:t xml:space="preserve"> located along </w:t>
      </w:r>
      <w:r w:rsidR="00E37CBF">
        <w:t xml:space="preserve">the northern parapet. </w:t>
      </w:r>
      <w:r w:rsidR="00E84008">
        <w:t xml:space="preserve">The </w:t>
      </w:r>
      <w:r w:rsidR="008561A7">
        <w:t xml:space="preserve">displacement </w:t>
      </w:r>
      <w:r w:rsidR="00E84008">
        <w:t>pattern is characteristic of fixed and expansion bearing locations.</w:t>
      </w:r>
      <w:r w:rsidR="008561A7">
        <w:t xml:space="preserve"> </w:t>
      </w:r>
    </w:p>
    <w:p w14:paraId="3D6DE0AA" w14:textId="77777777" w:rsidR="00976956" w:rsidRDefault="00976956" w:rsidP="00976956">
      <w:pPr>
        <w:pStyle w:val="NormalIndent"/>
      </w:pPr>
    </w:p>
    <w:p w14:paraId="121BB535" w14:textId="4F270DFD" w:rsidR="00D143B1" w:rsidRDefault="00953C97" w:rsidP="00BE711B">
      <w:pPr>
        <w:pStyle w:val="NormalIndent"/>
        <w:ind w:firstLine="0"/>
        <w:jc w:val="center"/>
      </w:pPr>
      <w:r>
        <w:rPr>
          <w:noProof/>
          <w:lang w:eastAsia="en-US"/>
        </w:rPr>
        <w:drawing>
          <wp:inline distT="0" distB="0" distL="0" distR="0" wp14:anchorId="28508A63" wp14:editId="29CEBCAF">
            <wp:extent cx="3214637" cy="2369489"/>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5 - Range of East-West displacements at West Point.png"/>
                    <pic:cNvPicPr/>
                  </pic:nvPicPr>
                  <pic:blipFill>
                    <a:blip r:embed="rId19">
                      <a:extLst>
                        <a:ext uri="{28A0092B-C50C-407E-A947-70E740481C1C}">
                          <a14:useLocalDpi xmlns:a14="http://schemas.microsoft.com/office/drawing/2010/main" val="0"/>
                        </a:ext>
                      </a:extLst>
                    </a:blip>
                    <a:stretch>
                      <a:fillRect/>
                    </a:stretch>
                  </pic:blipFill>
                  <pic:spPr>
                    <a:xfrm>
                      <a:off x="0" y="0"/>
                      <a:ext cx="3218921" cy="2372646"/>
                    </a:xfrm>
                    <a:prstGeom prst="rect">
                      <a:avLst/>
                    </a:prstGeom>
                  </pic:spPr>
                </pic:pic>
              </a:graphicData>
            </a:graphic>
          </wp:inline>
        </w:drawing>
      </w:r>
    </w:p>
    <w:p w14:paraId="36102AD7" w14:textId="77777777" w:rsidR="001C6737" w:rsidRDefault="001C6737" w:rsidP="00953C97">
      <w:pPr>
        <w:pStyle w:val="NormalIndent"/>
        <w:ind w:firstLine="0"/>
      </w:pPr>
    </w:p>
    <w:p w14:paraId="25483D2B" w14:textId="5B944727" w:rsidR="001C6737" w:rsidRDefault="001C6737" w:rsidP="00953C97">
      <w:pPr>
        <w:pStyle w:val="NormalIndent"/>
        <w:ind w:firstLine="0"/>
      </w:pPr>
      <w:r>
        <w:t xml:space="preserve">Figure </w:t>
      </w:r>
      <w:r w:rsidR="00EF39F4">
        <w:t>5</w:t>
      </w:r>
      <w:r>
        <w:t xml:space="preserve">. </w:t>
      </w:r>
      <w:r w:rsidR="00EF39F4">
        <w:t xml:space="preserve">Envelope of </w:t>
      </w:r>
      <w:r w:rsidR="00504A20">
        <w:t xml:space="preserve">the </w:t>
      </w:r>
      <w:r w:rsidR="00EF39F4">
        <w:t xml:space="preserve">long-term </w:t>
      </w:r>
      <w:r w:rsidR="007165DF">
        <w:t>east-west</w:t>
      </w:r>
      <w:r w:rsidR="00504A20">
        <w:t xml:space="preserve"> horizontal component</w:t>
      </w:r>
      <w:r w:rsidR="00EF39F4">
        <w:t xml:space="preserve"> thermal displacements of the Eltham Bridge</w:t>
      </w:r>
      <w:r w:rsidR="00976956">
        <w:t xml:space="preserve"> superstructure</w:t>
      </w:r>
      <w:r w:rsidR="00EF39F4">
        <w:t>.</w:t>
      </w:r>
      <w:r w:rsidR="0004264B">
        <w:t xml:space="preserve"> Results are b</w:t>
      </w:r>
      <w:r w:rsidR="00504A20">
        <w:t>ased on the longitudinal cross-section</w:t>
      </w:r>
      <w:r w:rsidR="0004264B">
        <w:t xml:space="preserve"> of PS points</w:t>
      </w:r>
      <w:r w:rsidR="00504A20">
        <w:t xml:space="preserve"> along the parapet</w:t>
      </w:r>
      <w:r w:rsidR="0004264B">
        <w:t xml:space="preserve">.  </w:t>
      </w:r>
    </w:p>
    <w:p w14:paraId="6988611E" w14:textId="77777777" w:rsidR="001C6737" w:rsidRDefault="001C6737" w:rsidP="00953C97">
      <w:pPr>
        <w:pStyle w:val="NormalIndent"/>
        <w:ind w:firstLine="0"/>
      </w:pPr>
    </w:p>
    <w:p w14:paraId="3BBABB46" w14:textId="7378BB82" w:rsidR="00B4049C" w:rsidRDefault="00EF39F4" w:rsidP="00EF093C">
      <w:pPr>
        <w:pStyle w:val="NormalIndent"/>
      </w:pPr>
      <w:r>
        <w:t>It is important</w:t>
      </w:r>
      <w:r w:rsidR="003962B4">
        <w:t xml:space="preserve"> to recognize that </w:t>
      </w:r>
      <w:r w:rsidR="007165DF">
        <w:t>millimeter</w:t>
      </w:r>
      <w:r w:rsidR="003962B4">
        <w:t xml:space="preserve">-range displacements can be resolved quite accurately. In this respect, </w:t>
      </w:r>
      <w:proofErr w:type="spellStart"/>
      <w:r w:rsidR="003962B4">
        <w:t>InSAR</w:t>
      </w:r>
      <w:proofErr w:type="spellEnd"/>
      <w:r w:rsidR="003962B4">
        <w:t xml:space="preserve"> offers approximately an order of magnitude advantage over the currently used LiDAR sensors. However, it must </w:t>
      </w:r>
      <w:r w:rsidR="00C639BB">
        <w:t xml:space="preserve">also </w:t>
      </w:r>
      <w:r w:rsidR="003962B4">
        <w:t xml:space="preserve">be recognized that depending on the specific location on a bridge, the onset of distress-related movement may be effectively masked by </w:t>
      </w:r>
      <w:r w:rsidR="007165DF">
        <w:t>“</w:t>
      </w:r>
      <w:r w:rsidR="003962B4">
        <w:t>normal</w:t>
      </w:r>
      <w:r w:rsidR="007165DF">
        <w:t>”</w:t>
      </w:r>
      <w:r w:rsidR="003962B4">
        <w:t xml:space="preserve"> displacements.  Thus</w:t>
      </w:r>
      <w:r w:rsidR="007165DF">
        <w:t>,</w:t>
      </w:r>
      <w:r w:rsidR="003962B4">
        <w:t xml:space="preserve"> it is important to identify </w:t>
      </w:r>
      <w:r w:rsidR="007165DF">
        <w:t xml:space="preserve">properly </w:t>
      </w:r>
      <w:r w:rsidR="003962B4">
        <w:t>the locations of PS points to assess the significance of their time-displacement history.</w:t>
      </w:r>
    </w:p>
    <w:p w14:paraId="35E8A167" w14:textId="5FEA8900" w:rsidR="003962B4" w:rsidRDefault="003962B4" w:rsidP="00D143B1">
      <w:pPr>
        <w:pStyle w:val="NormalIndent"/>
      </w:pPr>
      <w:r>
        <w:t xml:space="preserve">In a typical </w:t>
      </w:r>
      <w:proofErr w:type="spellStart"/>
      <w:r>
        <w:t>InSAR</w:t>
      </w:r>
      <w:proofErr w:type="spellEnd"/>
      <w:r>
        <w:t xml:space="preserve"> application</w:t>
      </w:r>
      <w:r w:rsidR="00ED30E2">
        <w:t>,</w:t>
      </w:r>
      <w:r>
        <w:t xml:space="preserve"> the locations of permanent </w:t>
      </w:r>
      <w:proofErr w:type="spellStart"/>
      <w:r>
        <w:t>scatterers</w:t>
      </w:r>
      <w:proofErr w:type="spellEnd"/>
      <w:r>
        <w:t xml:space="preserve"> are not known a priori. They are determined during the subsequent data processing stage, following a protracted period of repetitive data acquisition. The actual locations of PS points depend on the local scattering properties of the structure</w:t>
      </w:r>
      <w:r w:rsidR="00944594">
        <w:t xml:space="preserve">. This </w:t>
      </w:r>
      <w:r w:rsidR="00ED30E2">
        <w:t>“</w:t>
      </w:r>
      <w:r>
        <w:t>opportunistic</w:t>
      </w:r>
      <w:r w:rsidR="00ED30E2">
        <w:t>”</w:t>
      </w:r>
      <w:r>
        <w:t xml:space="preserve"> nature of </w:t>
      </w:r>
      <w:proofErr w:type="spellStart"/>
      <w:r>
        <w:t>InSAR</w:t>
      </w:r>
      <w:proofErr w:type="spellEnd"/>
      <w:r>
        <w:t xml:space="preserve"> can be advantageous in ground monitoring applications</w:t>
      </w:r>
      <w:r w:rsidR="00ED30E2">
        <w:t>,</w:t>
      </w:r>
      <w:r>
        <w:t xml:space="preserve"> but it presents a serious challenge when applied to bridges. Since the actual locations of radar </w:t>
      </w:r>
      <w:proofErr w:type="spellStart"/>
      <w:r>
        <w:t>scatterers</w:t>
      </w:r>
      <w:proofErr w:type="spellEnd"/>
      <w:r>
        <w:t xml:space="preserve"> are not known a priori, there is a need for </w:t>
      </w:r>
      <w:r w:rsidR="00C639BB">
        <w:t xml:space="preserve">extensive </w:t>
      </w:r>
      <w:r>
        <w:t xml:space="preserve">redundancy, as only a fraction of these measurement points may end up </w:t>
      </w:r>
      <w:r w:rsidR="00C639BB">
        <w:t xml:space="preserve">being </w:t>
      </w:r>
      <w:r>
        <w:t>useful to bridge engineers. Ultimately</w:t>
      </w:r>
      <w:r w:rsidR="00ED30E2">
        <w:t>,</w:t>
      </w:r>
      <w:r>
        <w:t xml:space="preserve"> it comes down to the ability to </w:t>
      </w:r>
      <w:r w:rsidR="00C639BB">
        <w:t xml:space="preserve">monitor </w:t>
      </w:r>
      <w:r w:rsidR="00ED30E2">
        <w:t xml:space="preserve">effectively </w:t>
      </w:r>
      <w:r w:rsidR="00C639BB">
        <w:t>certain specific locations</w:t>
      </w:r>
      <w:r>
        <w:t xml:space="preserve"> on a bridge</w:t>
      </w:r>
      <w:r w:rsidR="00C639BB">
        <w:t>.  These locations</w:t>
      </w:r>
      <w:r>
        <w:t xml:space="preserve"> may vary across the entire bridge network.</w:t>
      </w:r>
    </w:p>
    <w:p w14:paraId="3884BFE4" w14:textId="5B1B373A" w:rsidR="003962B4" w:rsidRDefault="003962B4" w:rsidP="00D143B1">
      <w:pPr>
        <w:pStyle w:val="NormalIndent"/>
      </w:pPr>
      <w:r>
        <w:t>One of the common concerns for many bridge owners is the issue of foundation scour. Ostensi</w:t>
      </w:r>
      <w:r w:rsidR="0013583C">
        <w:t>bly it should be relatively straightforward</w:t>
      </w:r>
      <w:r w:rsidR="0024245F">
        <w:t xml:space="preserve"> to detect</w:t>
      </w:r>
      <w:r>
        <w:t xml:space="preserve"> using </w:t>
      </w:r>
      <w:proofErr w:type="spellStart"/>
      <w:r>
        <w:t>InSAR</w:t>
      </w:r>
      <w:proofErr w:type="spellEnd"/>
      <w:r>
        <w:t xml:space="preserve"> since the </w:t>
      </w:r>
      <w:r w:rsidR="0024245F">
        <w:t xml:space="preserve">substructure </w:t>
      </w:r>
      <w:r>
        <w:t xml:space="preserve">support locations at piers and abutments are permanently fixed </w:t>
      </w:r>
      <w:r>
        <w:t>and not subject to thermally induced movements. The main challenge</w:t>
      </w:r>
      <w:r w:rsidR="0024245F">
        <w:t xml:space="preserve">, in addition to monitoring the </w:t>
      </w:r>
      <w:r w:rsidR="00ED30E2">
        <w:t>“</w:t>
      </w:r>
      <w:r w:rsidR="0024245F">
        <w:t>right</w:t>
      </w:r>
      <w:r w:rsidR="00ED30E2">
        <w:t>”</w:t>
      </w:r>
      <w:r w:rsidR="0024245F">
        <w:t xml:space="preserve"> locations,</w:t>
      </w:r>
      <w:r>
        <w:t xml:space="preserve"> is to reduce the unavoidable time delay between data collection and processing of result</w:t>
      </w:r>
      <w:r w:rsidR="00944594">
        <w:t>s to capture the onset of scour-</w:t>
      </w:r>
      <w:r>
        <w:t>induced settle</w:t>
      </w:r>
      <w:r w:rsidR="00C639BB">
        <w:t>ment. With reference to Figure 5</w:t>
      </w:r>
      <w:r>
        <w:t>, if the objective is to monitor some specific element on the superstructure</w:t>
      </w:r>
      <w:r w:rsidR="00ED30E2">
        <w:t>,</w:t>
      </w:r>
      <w:r>
        <w:t xml:space="preserve"> then the early warning signal must be separated from the ordinary background movement.</w:t>
      </w:r>
      <w:r w:rsidR="008D3017">
        <w:t xml:space="preserve"> </w:t>
      </w:r>
      <w:r w:rsidR="004237E4">
        <w:t xml:space="preserve">A case study of </w:t>
      </w:r>
      <w:proofErr w:type="spellStart"/>
      <w:r w:rsidR="004237E4">
        <w:t>s</w:t>
      </w:r>
      <w:r w:rsidR="008D3017">
        <w:t>paceborne</w:t>
      </w:r>
      <w:proofErr w:type="spellEnd"/>
      <w:r w:rsidR="004237E4">
        <w:t xml:space="preserve"> </w:t>
      </w:r>
      <w:r w:rsidR="008D3017">
        <w:t xml:space="preserve">monitoring to predict </w:t>
      </w:r>
      <w:r w:rsidR="007015F2">
        <w:t xml:space="preserve">the onset of </w:t>
      </w:r>
      <w:r w:rsidR="008D3017">
        <w:t xml:space="preserve">bridge foundation scour was reported by </w:t>
      </w:r>
      <w:proofErr w:type="spellStart"/>
      <w:r w:rsidR="008D3017">
        <w:t>Selvakumaran</w:t>
      </w:r>
      <w:proofErr w:type="spellEnd"/>
      <w:r w:rsidR="008D3017">
        <w:t xml:space="preserve"> et al. [</w:t>
      </w:r>
      <w:r w:rsidR="007015F2">
        <w:t>8</w:t>
      </w:r>
      <w:r w:rsidR="008D3017">
        <w:t>]</w:t>
      </w:r>
      <w:r w:rsidR="00ED30E2">
        <w:t>.</w:t>
      </w:r>
    </w:p>
    <w:p w14:paraId="57C24EA4" w14:textId="0712C0C5" w:rsidR="003962B4" w:rsidRDefault="003962B4" w:rsidP="00D143B1">
      <w:pPr>
        <w:pStyle w:val="NormalIndent"/>
      </w:pPr>
      <w:r>
        <w:t>The range of remote sensing options available to address the</w:t>
      </w:r>
      <w:r w:rsidR="00ED30E2">
        <w:t>se</w:t>
      </w:r>
      <w:r>
        <w:t xml:space="preserve"> identified issues is currently rather limited. Typical </w:t>
      </w:r>
      <w:proofErr w:type="spellStart"/>
      <w:r>
        <w:t>Stripmap</w:t>
      </w:r>
      <w:proofErr w:type="spellEnd"/>
      <w:r>
        <w:t xml:space="preserve"> imaging offers</w:t>
      </w:r>
      <w:r w:rsidR="00E84008">
        <w:t xml:space="preserve"> wide </w:t>
      </w:r>
      <w:r w:rsidR="00CB4736">
        <w:t xml:space="preserve">and continuous </w:t>
      </w:r>
      <w:r w:rsidR="00E84008">
        <w:t>spatial coverage but frequently</w:t>
      </w:r>
      <w:r>
        <w:t xml:space="preserve"> less than adequate point density. Spotlight imaging offers excellent </w:t>
      </w:r>
      <w:r w:rsidR="00CB4736">
        <w:t xml:space="preserve">localized </w:t>
      </w:r>
      <w:r>
        <w:t xml:space="preserve">spatial resolution at a cost of limited </w:t>
      </w:r>
      <w:r w:rsidR="00411074">
        <w:t xml:space="preserve">area </w:t>
      </w:r>
      <w:r>
        <w:t xml:space="preserve">coverage. It may be </w:t>
      </w:r>
      <w:r w:rsidR="00944594">
        <w:t xml:space="preserve">very </w:t>
      </w:r>
      <w:r w:rsidR="00C639BB">
        <w:t xml:space="preserve">appropriate for </w:t>
      </w:r>
      <w:r w:rsidR="00E37CBF">
        <w:t xml:space="preserve">monitoring </w:t>
      </w:r>
      <w:r w:rsidR="00C639BB">
        <w:t>certain signature</w:t>
      </w:r>
      <w:r>
        <w:t xml:space="preserve"> structures</w:t>
      </w:r>
      <w:r w:rsidR="00ED30E2">
        <w:t>,</w:t>
      </w:r>
      <w:r>
        <w:t xml:space="preserve"> but it is currently imprac</w:t>
      </w:r>
      <w:r w:rsidR="00E37CBF">
        <w:t xml:space="preserve">tical to implement network-wide in a cost-effective manner. </w:t>
      </w:r>
    </w:p>
    <w:p w14:paraId="42FEF92A" w14:textId="500DE78D" w:rsidR="00B4726B" w:rsidRDefault="003962B4" w:rsidP="00D143B1">
      <w:pPr>
        <w:pStyle w:val="NormalIndent"/>
      </w:pPr>
      <w:r>
        <w:t>One potential avenue of further research is the development of radar reflectors optimized for bridge applications. These may include active and passive units. It may be infinitely more practical to focus on the development of passive reflectors</w:t>
      </w:r>
      <w:r w:rsidR="00ED30E2">
        <w:t>,</w:t>
      </w:r>
      <w:r>
        <w:t xml:space="preserve"> as active transponders inevitably require periodic maintenance. </w:t>
      </w:r>
      <w:r w:rsidR="00ED30E2">
        <w:t xml:space="preserve">Although </w:t>
      </w:r>
      <w:r w:rsidR="002408EB">
        <w:t xml:space="preserve">the use of corner reflectors is well documented for </w:t>
      </w:r>
      <w:r w:rsidR="0062543D">
        <w:t>ground surface monitoring</w:t>
      </w:r>
      <w:r w:rsidR="002408EB">
        <w:t xml:space="preserve"> [</w:t>
      </w:r>
      <w:r w:rsidR="007015F2">
        <w:t>9, 10, 11</w:t>
      </w:r>
      <w:r w:rsidR="0062543D">
        <w:t>]</w:t>
      </w:r>
      <w:r w:rsidR="00ED30E2">
        <w:t>,</w:t>
      </w:r>
      <w:r w:rsidR="0062543D">
        <w:t xml:space="preserve"> the principal constraint with the bridge application is the physical size. </w:t>
      </w:r>
      <w:proofErr w:type="spellStart"/>
      <w:r w:rsidR="00B4726B">
        <w:t>Cusson</w:t>
      </w:r>
      <w:proofErr w:type="spellEnd"/>
      <w:r w:rsidR="00B4726B">
        <w:t xml:space="preserve"> and Greene Gondi [12] reported on the successful implementation of trihedral passive corner reflectors on the Confederation Bridge in Canada.</w:t>
      </w:r>
    </w:p>
    <w:p w14:paraId="05030AB6" w14:textId="08F49BA0" w:rsidR="00E37CBF" w:rsidRDefault="00B4726B" w:rsidP="0072786C">
      <w:pPr>
        <w:pStyle w:val="NormalIndent"/>
      </w:pPr>
      <w:r>
        <w:t>A potential research goal may be to optimize</w:t>
      </w:r>
      <w:r w:rsidR="003962B4">
        <w:t xml:space="preserve"> the f</w:t>
      </w:r>
      <w:r w:rsidR="00C639BB">
        <w:t xml:space="preserve">ootprint and the cost of a </w:t>
      </w:r>
      <w:r w:rsidR="003962B4">
        <w:t xml:space="preserve">reflector while providing </w:t>
      </w:r>
      <w:r w:rsidR="00ED30E2">
        <w:t xml:space="preserve">an </w:t>
      </w:r>
      <w:r w:rsidR="003962B4">
        <w:t>adequate radar cross section (RCS)</w:t>
      </w:r>
      <w:r w:rsidR="00053887">
        <w:t xml:space="preserve"> </w:t>
      </w:r>
      <w:r w:rsidR="00B40AAD">
        <w:t xml:space="preserve">signature </w:t>
      </w:r>
      <w:r w:rsidR="00053887">
        <w:t>for reliable detection</w:t>
      </w:r>
      <w:r w:rsidR="003962B4">
        <w:t>. Each unit would provide a user-specified point for precise periodic and post extreme event monitoring of LOS displacement using a variety of radar satellites and orbits.</w:t>
      </w:r>
      <w:r w:rsidR="00E37CBF">
        <w:t xml:space="preserve"> </w:t>
      </w:r>
      <w:r w:rsidR="00887F81">
        <w:t>Post extreme event assessment (earthquakes, floods, etc.) will require rapid data processing to allow follow-up inspections of potentially compromised structures.</w:t>
      </w:r>
    </w:p>
    <w:p w14:paraId="18C2DCC0" w14:textId="0D1835E0" w:rsidR="00C72FD4" w:rsidRDefault="003962B4" w:rsidP="0072786C">
      <w:pPr>
        <w:pStyle w:val="NormalIndent"/>
      </w:pPr>
      <w:r>
        <w:t>Some preliminary experiments with the use of Lunenburg lens reflectors on a bridge i</w:t>
      </w:r>
      <w:r w:rsidR="002A06CE">
        <w:t>n Virginia, as shown in Figure 6</w:t>
      </w:r>
      <w:r>
        <w:t xml:space="preserve">, indicate that the minimum equivalent </w:t>
      </w:r>
      <w:r w:rsidR="00B329DB">
        <w:t>RCS</w:t>
      </w:r>
      <w:r>
        <w:t xml:space="preserve"> should be</w:t>
      </w:r>
      <w:r w:rsidR="00C95145">
        <w:t xml:space="preserve"> approximately 10 square meters. </w:t>
      </w:r>
      <w:proofErr w:type="spellStart"/>
      <w:r w:rsidR="00C95145" w:rsidRPr="00C95145">
        <w:t>Dheenathayalan</w:t>
      </w:r>
      <w:proofErr w:type="spellEnd"/>
      <w:r w:rsidR="00C95145">
        <w:t xml:space="preserve"> et al. [13] advanced the concept of a small (sub-meter) </w:t>
      </w:r>
      <w:r w:rsidR="00B63B04">
        <w:t xml:space="preserve">and inexpensive </w:t>
      </w:r>
      <w:r w:rsidR="00C95145">
        <w:t>box-like reflector that could be used for monitoring structures.</w:t>
      </w:r>
      <w:r w:rsidR="00C72FD4">
        <w:t xml:space="preserve"> </w:t>
      </w:r>
      <w:proofErr w:type="spellStart"/>
      <w:r w:rsidR="00C72FD4">
        <w:t>Necsoiu</w:t>
      </w:r>
      <w:proofErr w:type="spellEnd"/>
      <w:r w:rsidR="00C72FD4">
        <w:t xml:space="preserve"> et al. [14] proposed the use of a </w:t>
      </w:r>
      <w:r w:rsidR="00B329DB">
        <w:t xml:space="preserve">flat, </w:t>
      </w:r>
      <w:r w:rsidR="00C72FD4">
        <w:t>two-dimensional Van Atta array reflector as a more efficient replacement for the traditional corner reflector.</w:t>
      </w:r>
      <w:r w:rsidR="0072786C">
        <w:t xml:space="preserve"> </w:t>
      </w:r>
      <w:r w:rsidR="009D39C6">
        <w:t xml:space="preserve">Further </w:t>
      </w:r>
      <w:r w:rsidR="0072786C">
        <w:t>research in th</w:t>
      </w:r>
      <w:r w:rsidR="009D39C6">
        <w:t>is field is needed</w:t>
      </w:r>
      <w:r w:rsidR="00887F81">
        <w:t xml:space="preserve"> to advance current practice.</w:t>
      </w:r>
    </w:p>
    <w:p w14:paraId="2B081886" w14:textId="77777777" w:rsidR="002E319F" w:rsidRDefault="002E319F" w:rsidP="0072786C">
      <w:pPr>
        <w:pStyle w:val="NormalIndent"/>
      </w:pPr>
    </w:p>
    <w:p w14:paraId="16573638" w14:textId="4EB003BA" w:rsidR="003962B4" w:rsidRDefault="00953C97" w:rsidP="00BE711B">
      <w:pPr>
        <w:jc w:val="center"/>
      </w:pPr>
      <w:r>
        <w:rPr>
          <w:noProof/>
          <w:lang w:eastAsia="en-US"/>
        </w:rPr>
        <w:drawing>
          <wp:inline distT="0" distB="0" distL="0" distR="0" wp14:anchorId="518BD31B" wp14:editId="4EBF3298">
            <wp:extent cx="2691624" cy="121465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6 - Lunenburg lens reflectors.jpg"/>
                    <pic:cNvPicPr/>
                  </pic:nvPicPr>
                  <pic:blipFill>
                    <a:blip r:embed="rId20">
                      <a:extLst>
                        <a:ext uri="{28A0092B-C50C-407E-A947-70E740481C1C}">
                          <a14:useLocalDpi xmlns:a14="http://schemas.microsoft.com/office/drawing/2010/main" val="0"/>
                        </a:ext>
                      </a:extLst>
                    </a:blip>
                    <a:stretch>
                      <a:fillRect/>
                    </a:stretch>
                  </pic:blipFill>
                  <pic:spPr>
                    <a:xfrm>
                      <a:off x="0" y="0"/>
                      <a:ext cx="2705744" cy="1221023"/>
                    </a:xfrm>
                    <a:prstGeom prst="rect">
                      <a:avLst/>
                    </a:prstGeom>
                  </pic:spPr>
                </pic:pic>
              </a:graphicData>
            </a:graphic>
          </wp:inline>
        </w:drawing>
      </w:r>
    </w:p>
    <w:p w14:paraId="0603F07D" w14:textId="77777777" w:rsidR="001C6737" w:rsidRPr="00CB4736" w:rsidRDefault="001C6737" w:rsidP="001C6737">
      <w:pPr>
        <w:pStyle w:val="NormalIndent"/>
        <w:ind w:firstLine="0"/>
        <w:rPr>
          <w:sz w:val="16"/>
          <w:szCs w:val="16"/>
        </w:rPr>
      </w:pPr>
    </w:p>
    <w:p w14:paraId="602DAC12" w14:textId="6C51D047" w:rsidR="001C6737" w:rsidRDefault="001C6737" w:rsidP="001C6737">
      <w:pPr>
        <w:pStyle w:val="NormalIndent"/>
        <w:ind w:firstLine="0"/>
      </w:pPr>
      <w:r>
        <w:t xml:space="preserve">Figure </w:t>
      </w:r>
      <w:r w:rsidR="00EF39F4">
        <w:t>6</w:t>
      </w:r>
      <w:r>
        <w:t xml:space="preserve">. </w:t>
      </w:r>
      <w:r w:rsidR="00EF39F4">
        <w:t>Lunenburg lens reflectors on a bridge in Virginia.</w:t>
      </w:r>
    </w:p>
    <w:p w14:paraId="7BB1F425" w14:textId="62945084" w:rsidR="001C6737" w:rsidRDefault="001C6737" w:rsidP="001C6737">
      <w:pPr>
        <w:pStyle w:val="Heading1"/>
      </w:pPr>
      <w:r>
        <w:lastRenderedPageBreak/>
        <w:t>CONCLUSIONS</w:t>
      </w:r>
    </w:p>
    <w:p w14:paraId="125C2B80" w14:textId="6533F712" w:rsidR="00081213" w:rsidRDefault="00081213" w:rsidP="00B63B04">
      <w:pPr>
        <w:pStyle w:val="NormalIndent"/>
        <w:numPr>
          <w:ilvl w:val="0"/>
          <w:numId w:val="30"/>
        </w:numPr>
      </w:pPr>
      <w:r>
        <w:t>There have bee</w:t>
      </w:r>
      <w:r w:rsidR="00DC667A">
        <w:t>n numerous attempts to harness</w:t>
      </w:r>
      <w:r>
        <w:t xml:space="preserve"> satellite remote sensing </w:t>
      </w:r>
      <w:r w:rsidR="00DC667A">
        <w:t xml:space="preserve">technology </w:t>
      </w:r>
      <w:r>
        <w:t>to bridge monitoring. Despite its very attractive features, notably no need for active sensors, there are some significant technical obstacles to overcome before a reliable system can be implemented</w:t>
      </w:r>
      <w:r w:rsidR="00CB4736">
        <w:t xml:space="preserve"> network-wide</w:t>
      </w:r>
      <w:r>
        <w:t xml:space="preserve">. </w:t>
      </w:r>
    </w:p>
    <w:p w14:paraId="10001FAB" w14:textId="07BF35A9" w:rsidR="00A55D17" w:rsidRDefault="00DC667A" w:rsidP="00B63B04">
      <w:pPr>
        <w:pStyle w:val="NormalIndent"/>
        <w:numPr>
          <w:ilvl w:val="0"/>
          <w:numId w:val="30"/>
        </w:numPr>
      </w:pPr>
      <w:r>
        <w:t>Typically t</w:t>
      </w:r>
      <w:r w:rsidR="00B63B04">
        <w:t xml:space="preserve">here is a trade-off between spatial coverage and </w:t>
      </w:r>
      <w:proofErr w:type="spellStart"/>
      <w:r w:rsidR="00B63B04">
        <w:t>scatterer</w:t>
      </w:r>
      <w:proofErr w:type="spellEnd"/>
      <w:r w:rsidR="00B63B04">
        <w:t xml:space="preserve"> density when </w:t>
      </w:r>
      <w:proofErr w:type="spellStart"/>
      <w:r w:rsidR="00A55D17">
        <w:t>s</w:t>
      </w:r>
      <w:r w:rsidR="00B63B04">
        <w:t>paceborne</w:t>
      </w:r>
      <w:proofErr w:type="spellEnd"/>
      <w:r w:rsidR="00B63B04">
        <w:t xml:space="preserve"> </w:t>
      </w:r>
      <w:proofErr w:type="spellStart"/>
      <w:r w:rsidR="00B63B04">
        <w:t>InSAR</w:t>
      </w:r>
      <w:proofErr w:type="spellEnd"/>
      <w:r w:rsidR="00ED30E2">
        <w:t xml:space="preserve"> is employed</w:t>
      </w:r>
      <w:r w:rsidR="00A55D17">
        <w:t xml:space="preserve">, posing a significant </w:t>
      </w:r>
      <w:r>
        <w:t xml:space="preserve">challenge to </w:t>
      </w:r>
      <w:r w:rsidR="00A55D17">
        <w:t>network-wide implementation.</w:t>
      </w:r>
    </w:p>
    <w:p w14:paraId="42ED110E" w14:textId="757A058D" w:rsidR="00A55D17" w:rsidRDefault="00A55D17" w:rsidP="00B63B04">
      <w:pPr>
        <w:pStyle w:val="NormalIndent"/>
        <w:numPr>
          <w:ilvl w:val="0"/>
          <w:numId w:val="30"/>
        </w:numPr>
      </w:pPr>
      <w:r>
        <w:t xml:space="preserve">Bridge engineers need detailed results from </w:t>
      </w:r>
      <w:r w:rsidR="00DC667A">
        <w:t xml:space="preserve">certain </w:t>
      </w:r>
      <w:r>
        <w:t>user-specified locations on a structure. S</w:t>
      </w:r>
      <w:r w:rsidR="001502E5">
        <w:t>imply monitoring a cluster</w:t>
      </w:r>
      <w:r>
        <w:t xml:space="preserve"> of random </w:t>
      </w:r>
      <w:r w:rsidR="001502E5">
        <w:t xml:space="preserve">natural </w:t>
      </w:r>
      <w:proofErr w:type="spellStart"/>
      <w:r>
        <w:t>scatterers</w:t>
      </w:r>
      <w:proofErr w:type="spellEnd"/>
      <w:r>
        <w:t xml:space="preserve"> </w:t>
      </w:r>
      <w:r w:rsidR="00CB4736">
        <w:t xml:space="preserve">on a bridge </w:t>
      </w:r>
      <w:r>
        <w:t>may provide a false sense of security.</w:t>
      </w:r>
    </w:p>
    <w:p w14:paraId="207CBB55" w14:textId="477C8DCC" w:rsidR="00B63B04" w:rsidRDefault="00A55D17" w:rsidP="00B63B04">
      <w:pPr>
        <w:pStyle w:val="NormalIndent"/>
        <w:numPr>
          <w:ilvl w:val="0"/>
          <w:numId w:val="30"/>
        </w:numPr>
      </w:pPr>
      <w:r>
        <w:t xml:space="preserve">Artificial </w:t>
      </w:r>
      <w:r w:rsidR="001502E5">
        <w:t xml:space="preserve">targets </w:t>
      </w:r>
      <w:r>
        <w:t xml:space="preserve">in the form of man-made reflectors may provide the means to address the challenge of </w:t>
      </w:r>
      <w:r w:rsidR="00ED30E2">
        <w:t>SHM</w:t>
      </w:r>
      <w:r w:rsidR="00ED30E2" w:rsidDel="00ED30E2">
        <w:t xml:space="preserve"> </w:t>
      </w:r>
      <w:r w:rsidR="001502E5">
        <w:t xml:space="preserve">of bridges </w:t>
      </w:r>
      <w:r w:rsidR="00CF2AEC">
        <w:t xml:space="preserve">across the entire network using the </w:t>
      </w:r>
      <w:proofErr w:type="spellStart"/>
      <w:r w:rsidR="00CF2AEC">
        <w:t>Stripmap</w:t>
      </w:r>
      <w:proofErr w:type="spellEnd"/>
      <w:r w:rsidR="00CF2AEC">
        <w:t xml:space="preserve"> mode of data acquisition.</w:t>
      </w:r>
    </w:p>
    <w:p w14:paraId="4B741266" w14:textId="75FE888F" w:rsidR="00DC667A" w:rsidRDefault="00DC667A" w:rsidP="00B63B04">
      <w:pPr>
        <w:pStyle w:val="NormalIndent"/>
        <w:numPr>
          <w:ilvl w:val="0"/>
          <w:numId w:val="30"/>
        </w:numPr>
      </w:pPr>
      <w:r>
        <w:t>Staring Spotlight mode of acquisition offers very detailed coverage of specific bridge</w:t>
      </w:r>
      <w:r w:rsidR="00C87FA3">
        <w:t>s</w:t>
      </w:r>
      <w:r w:rsidR="00CF2AEC">
        <w:t xml:space="preserve"> but does not readily lend itsel</w:t>
      </w:r>
      <w:r w:rsidR="003F2FF2">
        <w:t>f to network-wide coverage</w:t>
      </w:r>
      <w:r w:rsidR="00CF2AEC">
        <w:t xml:space="preserve"> with the current technology.</w:t>
      </w:r>
    </w:p>
    <w:p w14:paraId="2E8F69B1" w14:textId="5880FAA9" w:rsidR="00CF2AEC" w:rsidRDefault="00CF2AEC" w:rsidP="00B63B04">
      <w:pPr>
        <w:pStyle w:val="NormalIndent"/>
        <w:numPr>
          <w:ilvl w:val="0"/>
          <w:numId w:val="30"/>
        </w:numPr>
      </w:pPr>
      <w:r>
        <w:t xml:space="preserve">Timely processing of </w:t>
      </w:r>
      <w:proofErr w:type="spellStart"/>
      <w:r>
        <w:t>spaceborne</w:t>
      </w:r>
      <w:proofErr w:type="spellEnd"/>
      <w:r w:rsidR="003F2FF2">
        <w:t xml:space="preserve"> remote sensing data is essential</w:t>
      </w:r>
      <w:r>
        <w:t xml:space="preserve"> to provide actionable information</w:t>
      </w:r>
      <w:r w:rsidR="00C51696">
        <w:t xml:space="preserve"> on bridge structural condition, especially when dealing with the post extreme event assessment.</w:t>
      </w:r>
    </w:p>
    <w:p w14:paraId="5649366E" w14:textId="77777777" w:rsidR="005D698E" w:rsidRPr="00153248" w:rsidRDefault="005D698E" w:rsidP="005D698E">
      <w:pPr>
        <w:pStyle w:val="Heading1"/>
        <w:numPr>
          <w:ilvl w:val="0"/>
          <w:numId w:val="0"/>
        </w:numPr>
      </w:pPr>
      <w:r w:rsidRPr="00153248">
        <w:t>ACKNOWLEDGMENTS</w:t>
      </w:r>
    </w:p>
    <w:p w14:paraId="644AD87D" w14:textId="26600F33" w:rsidR="00504A20" w:rsidRDefault="005D698E" w:rsidP="005D698E">
      <w:pPr>
        <w:pStyle w:val="NormalIndent"/>
        <w:ind w:firstLine="0"/>
      </w:pPr>
      <w:r>
        <w:t>The author wishes to acknowledge technical support provided by the bridge engineers of the Virginia Department of Transportation</w:t>
      </w:r>
      <w:r w:rsidR="00504A20">
        <w:t xml:space="preserve"> (VDOT)</w:t>
      </w:r>
      <w:r>
        <w:t xml:space="preserve">. </w:t>
      </w:r>
      <w:proofErr w:type="spellStart"/>
      <w:r>
        <w:t>TerraSAR</w:t>
      </w:r>
      <w:proofErr w:type="spellEnd"/>
      <w:r>
        <w:t xml:space="preserve">-X satellite radar data used in this study were provided by the German Aerospace Center (DLR). </w:t>
      </w:r>
      <w:proofErr w:type="spellStart"/>
      <w:r>
        <w:t>SqueeSAR</w:t>
      </w:r>
      <w:proofErr w:type="spellEnd"/>
      <w:r>
        <w:t xml:space="preserve"> data processing was performed by TRE Altamira Inc. of Vancouver, BC, Canada.</w:t>
      </w:r>
      <w:r w:rsidR="00504A20">
        <w:t xml:space="preserve"> Linda Evans of VDOT provided assistance with the editorial process.</w:t>
      </w:r>
    </w:p>
    <w:p w14:paraId="64C81CC8" w14:textId="77777777" w:rsidR="005D698E" w:rsidRPr="00153248" w:rsidRDefault="005D698E" w:rsidP="005D698E">
      <w:pPr>
        <w:pStyle w:val="Heading1"/>
        <w:numPr>
          <w:ilvl w:val="0"/>
          <w:numId w:val="0"/>
        </w:numPr>
      </w:pPr>
      <w:r>
        <w:t>References</w:t>
      </w:r>
    </w:p>
    <w:p w14:paraId="6C0517AB" w14:textId="014B8A43" w:rsidR="005D698E" w:rsidRDefault="003D0B5F" w:rsidP="00AF6811">
      <w:pPr>
        <w:pStyle w:val="References"/>
      </w:pPr>
      <w:r>
        <w:t>Berens, P. Introduction to synthetic aperture radar (SAR)</w:t>
      </w:r>
      <w:r w:rsidR="00107EA8">
        <w:t>.</w:t>
      </w:r>
      <w:r>
        <w:t xml:space="preserve"> In </w:t>
      </w:r>
      <w:r w:rsidRPr="00F27866">
        <w:rPr>
          <w:i/>
        </w:rPr>
        <w:t xml:space="preserve">Advanced </w:t>
      </w:r>
      <w:r w:rsidR="00AF6811" w:rsidRPr="00F27866">
        <w:rPr>
          <w:i/>
        </w:rPr>
        <w:t>Radar and Data Processing</w:t>
      </w:r>
      <w:r w:rsidR="00AF6811">
        <w:t xml:space="preserve">, </w:t>
      </w:r>
      <w:r w:rsidR="00AF6811" w:rsidRPr="00AF6811">
        <w:t>3.1-3.14.</w:t>
      </w:r>
      <w:r w:rsidR="004E0DE4">
        <w:t xml:space="preserve"> Accessed June 29, 2022</w:t>
      </w:r>
      <w:r w:rsidR="00AF6811">
        <w:t xml:space="preserve">.  </w:t>
      </w:r>
      <w:hyperlink r:id="rId21" w:history="1">
        <w:r w:rsidR="00AF6811" w:rsidRPr="00AF6811">
          <w:rPr>
            <w:rStyle w:val="Hyperlink"/>
          </w:rPr>
          <w:t>https://www.sto.nato.int/publications/STO%20Educational%20Notes/RTO-EN-SET-086bis/EN-SET-086bis-03.pdf</w:t>
        </w:r>
      </w:hyperlink>
      <w:r w:rsidR="005D698E">
        <w:t xml:space="preserve">. </w:t>
      </w:r>
    </w:p>
    <w:p w14:paraId="62472ACB" w14:textId="6C100DFB" w:rsidR="003D0B5F" w:rsidRDefault="00F27866" w:rsidP="00F27866">
      <w:pPr>
        <w:pStyle w:val="References"/>
      </w:pPr>
      <w:r>
        <w:t xml:space="preserve">Ferretti, A., A. </w:t>
      </w:r>
      <w:proofErr w:type="spellStart"/>
      <w:r>
        <w:t>Fumagalli</w:t>
      </w:r>
      <w:proofErr w:type="spellEnd"/>
      <w:r>
        <w:t xml:space="preserve">, F. </w:t>
      </w:r>
      <w:proofErr w:type="spellStart"/>
      <w:r>
        <w:t>Novali</w:t>
      </w:r>
      <w:proofErr w:type="spellEnd"/>
      <w:r>
        <w:t xml:space="preserve">, C. </w:t>
      </w:r>
      <w:proofErr w:type="spellStart"/>
      <w:r>
        <w:t>Prati</w:t>
      </w:r>
      <w:proofErr w:type="spellEnd"/>
      <w:r>
        <w:t xml:space="preserve">, F. Rocca, and A. </w:t>
      </w:r>
      <w:proofErr w:type="spellStart"/>
      <w:r>
        <w:t>Rucci</w:t>
      </w:r>
      <w:proofErr w:type="spellEnd"/>
      <w:r>
        <w:t xml:space="preserve">.    A new algorithm for processing interferometric data-stacks: Squee-SAR. IEEE Trans. </w:t>
      </w:r>
      <w:proofErr w:type="spellStart"/>
      <w:r>
        <w:t>Geosci</w:t>
      </w:r>
      <w:proofErr w:type="spellEnd"/>
      <w:r>
        <w:t>. Remote Sens. 49 (9): 3460–3470, 2011.</w:t>
      </w:r>
    </w:p>
    <w:p w14:paraId="3EF548D3" w14:textId="77CB70B9" w:rsidR="00107EA8" w:rsidRDefault="00107EA8" w:rsidP="00107EA8">
      <w:pPr>
        <w:pStyle w:val="References"/>
      </w:pPr>
      <w:r>
        <w:t xml:space="preserve">Ferretti, A., G. </w:t>
      </w:r>
      <w:proofErr w:type="spellStart"/>
      <w:r>
        <w:t>Savio</w:t>
      </w:r>
      <w:proofErr w:type="spellEnd"/>
      <w:r>
        <w:t xml:space="preserve">, R. </w:t>
      </w:r>
      <w:proofErr w:type="spellStart"/>
      <w:r>
        <w:t>Barzaghi</w:t>
      </w:r>
      <w:proofErr w:type="spellEnd"/>
      <w:r>
        <w:t xml:space="preserve">, A. </w:t>
      </w:r>
      <w:proofErr w:type="spellStart"/>
      <w:r>
        <w:t>Borghi</w:t>
      </w:r>
      <w:proofErr w:type="spellEnd"/>
      <w:r>
        <w:t xml:space="preserve">, S. </w:t>
      </w:r>
      <w:proofErr w:type="spellStart"/>
      <w:r>
        <w:t>Musazzi</w:t>
      </w:r>
      <w:proofErr w:type="spellEnd"/>
      <w:r>
        <w:t xml:space="preserve">, F. </w:t>
      </w:r>
      <w:proofErr w:type="spellStart"/>
      <w:r>
        <w:t>Novali</w:t>
      </w:r>
      <w:proofErr w:type="spellEnd"/>
      <w:r>
        <w:t xml:space="preserve">, C. </w:t>
      </w:r>
      <w:proofErr w:type="spellStart"/>
      <w:r>
        <w:t>Prati</w:t>
      </w:r>
      <w:proofErr w:type="spellEnd"/>
      <w:r>
        <w:t xml:space="preserve">, and F. Rocca. Submillimeter accuracy of </w:t>
      </w:r>
      <w:proofErr w:type="spellStart"/>
      <w:r>
        <w:t>InSAR</w:t>
      </w:r>
      <w:proofErr w:type="spellEnd"/>
      <w:r>
        <w:t xml:space="preserve"> time series: Experimental validation. IEEE Trans. </w:t>
      </w:r>
      <w:proofErr w:type="spellStart"/>
      <w:r>
        <w:t>Geosci</w:t>
      </w:r>
      <w:proofErr w:type="spellEnd"/>
      <w:r>
        <w:t>. Remote Sens. 45 (5): 1142–1153, 2007.</w:t>
      </w:r>
    </w:p>
    <w:p w14:paraId="5CBDC8C1" w14:textId="4238066C" w:rsidR="00107EA8" w:rsidRDefault="00107EA8" w:rsidP="00107EA8">
      <w:pPr>
        <w:pStyle w:val="References"/>
      </w:pPr>
      <w:r>
        <w:t xml:space="preserve">Ferretti, A., C. </w:t>
      </w:r>
      <w:proofErr w:type="spellStart"/>
      <w:r>
        <w:t>Prati</w:t>
      </w:r>
      <w:proofErr w:type="spellEnd"/>
      <w:r>
        <w:t xml:space="preserve">, and F. Rocca. Permanent </w:t>
      </w:r>
      <w:proofErr w:type="spellStart"/>
      <w:r>
        <w:t>scatterers</w:t>
      </w:r>
      <w:proofErr w:type="spellEnd"/>
      <w:r>
        <w:t xml:space="preserve"> in SAR interferometry. IEEE Trans. </w:t>
      </w:r>
      <w:proofErr w:type="spellStart"/>
      <w:r>
        <w:t>Geosci</w:t>
      </w:r>
      <w:proofErr w:type="spellEnd"/>
      <w:r>
        <w:t>. Remote Sens. 39 (1): 8–20, 2001.</w:t>
      </w:r>
    </w:p>
    <w:p w14:paraId="6514EA41" w14:textId="4A4C156A" w:rsidR="006C3496" w:rsidRDefault="006C3496" w:rsidP="006C3496">
      <w:pPr>
        <w:pStyle w:val="References"/>
      </w:pPr>
      <w:proofErr w:type="spellStart"/>
      <w:r>
        <w:t>Cusson</w:t>
      </w:r>
      <w:proofErr w:type="spellEnd"/>
      <w:r>
        <w:t xml:space="preserve">, D., Rossi, C., and </w:t>
      </w:r>
      <w:proofErr w:type="spellStart"/>
      <w:r>
        <w:t>Ozkan</w:t>
      </w:r>
      <w:proofErr w:type="spellEnd"/>
      <w:r>
        <w:t xml:space="preserve">, I. </w:t>
      </w:r>
      <w:r w:rsidRPr="006C3496">
        <w:t>Early warning system for the detection of unexpected bridge displacements from radar satellite data</w:t>
      </w:r>
      <w:r>
        <w:t>. Journal of Civil Structural Health Monitoring (11), 189-204, 2021.</w:t>
      </w:r>
    </w:p>
    <w:p w14:paraId="24985105" w14:textId="28E6CDCB" w:rsidR="007015F2" w:rsidRDefault="007015F2" w:rsidP="007015F2">
      <w:pPr>
        <w:pStyle w:val="References"/>
      </w:pPr>
      <w:r w:rsidRPr="007015F2">
        <w:t xml:space="preserve">Hoppe, E., </w:t>
      </w:r>
      <w:proofErr w:type="spellStart"/>
      <w:r w:rsidRPr="007015F2">
        <w:t>Novali</w:t>
      </w:r>
      <w:proofErr w:type="spellEnd"/>
      <w:r w:rsidRPr="007015F2">
        <w:t xml:space="preserve">, F., </w:t>
      </w:r>
      <w:proofErr w:type="spellStart"/>
      <w:r w:rsidRPr="007015F2">
        <w:t>Rucci</w:t>
      </w:r>
      <w:proofErr w:type="spellEnd"/>
      <w:r w:rsidRPr="007015F2">
        <w:t xml:space="preserve">, A., </w:t>
      </w:r>
      <w:proofErr w:type="spellStart"/>
      <w:r w:rsidRPr="007015F2">
        <w:t>Fumagalli</w:t>
      </w:r>
      <w:proofErr w:type="spellEnd"/>
      <w:r w:rsidRPr="007015F2">
        <w:t xml:space="preserve">, A., Del Conte, S., </w:t>
      </w:r>
      <w:proofErr w:type="spellStart"/>
      <w:r w:rsidRPr="007015F2">
        <w:t>Falorni</w:t>
      </w:r>
      <w:proofErr w:type="spellEnd"/>
      <w:r w:rsidRPr="007015F2">
        <w:t>, G., and Toro, N.  Deformation Monitoring of Post-Tensioned Bridges Using High-Resolution Satellite Remote Sensing. ASCE Jour</w:t>
      </w:r>
      <w:r>
        <w:t xml:space="preserve">nal of Bridge Engineering </w:t>
      </w:r>
      <w:r w:rsidRPr="007015F2">
        <w:t>24</w:t>
      </w:r>
      <w:r>
        <w:t>(12)</w:t>
      </w:r>
      <w:r w:rsidRPr="007015F2">
        <w:t>, 2019</w:t>
      </w:r>
      <w:r>
        <w:t>.</w:t>
      </w:r>
    </w:p>
    <w:p w14:paraId="2BAEB420" w14:textId="6E62EB6B" w:rsidR="003E0A81" w:rsidRDefault="00F8068B" w:rsidP="00107EA8">
      <w:pPr>
        <w:pStyle w:val="References"/>
      </w:pPr>
      <w:proofErr w:type="spellStart"/>
      <w:r>
        <w:t>Macchiarulo</w:t>
      </w:r>
      <w:proofErr w:type="spellEnd"/>
      <w:r>
        <w:t>,</w:t>
      </w:r>
      <w:r w:rsidR="00CB7DD4">
        <w:t xml:space="preserve"> </w:t>
      </w:r>
      <w:r>
        <w:t xml:space="preserve">V, </w:t>
      </w:r>
      <w:proofErr w:type="spellStart"/>
      <w:r>
        <w:t>Milillo</w:t>
      </w:r>
      <w:proofErr w:type="spellEnd"/>
      <w:r>
        <w:t xml:space="preserve">, P., Blenkinsopp, C., and </w:t>
      </w:r>
      <w:proofErr w:type="spellStart"/>
      <w:r>
        <w:t>Giardina</w:t>
      </w:r>
      <w:proofErr w:type="spellEnd"/>
      <w:r>
        <w:t xml:space="preserve">, G. Monitoring deformations of infrastructure networks: A fully automated GIS integration and analysis of </w:t>
      </w:r>
      <w:proofErr w:type="spellStart"/>
      <w:r>
        <w:t>InSAR</w:t>
      </w:r>
      <w:proofErr w:type="spellEnd"/>
      <w:r>
        <w:t xml:space="preserve"> time-series. </w:t>
      </w:r>
      <w:r w:rsidR="003E0A81">
        <w:t>Structural Health Monitoring 21(4), 1849-1878, 2022.</w:t>
      </w:r>
    </w:p>
    <w:p w14:paraId="3293CBBD" w14:textId="0ED3DEC5" w:rsidR="004237E4" w:rsidRDefault="004237E4" w:rsidP="004237E4">
      <w:pPr>
        <w:pStyle w:val="References"/>
      </w:pPr>
      <w:proofErr w:type="spellStart"/>
      <w:r>
        <w:t>Selvakumaran</w:t>
      </w:r>
      <w:proofErr w:type="spellEnd"/>
      <w:r>
        <w:t xml:space="preserve">, S, Plank, S., </w:t>
      </w:r>
      <w:proofErr w:type="spellStart"/>
      <w:r w:rsidRPr="004237E4">
        <w:t>Geiß</w:t>
      </w:r>
      <w:proofErr w:type="spellEnd"/>
      <w:r>
        <w:t xml:space="preserve">, C., Rossi, C., and Middleton, C. </w:t>
      </w:r>
      <w:r w:rsidRPr="004237E4">
        <w:t>Remote monitoring to predict bridge scour failure using Interferometric Synthetic Aperture Radar (</w:t>
      </w:r>
      <w:proofErr w:type="spellStart"/>
      <w:r w:rsidRPr="004237E4">
        <w:t>InSAR</w:t>
      </w:r>
      <w:proofErr w:type="spellEnd"/>
      <w:r w:rsidRPr="004237E4">
        <w:t>) stacking techniques</w:t>
      </w:r>
      <w:r>
        <w:t>. I</w:t>
      </w:r>
      <w:r w:rsidRPr="004237E4">
        <w:t xml:space="preserve">nternational </w:t>
      </w:r>
      <w:r w:rsidRPr="004237E4">
        <w:t xml:space="preserve">Journal of Applied Earth Observation and </w:t>
      </w:r>
      <w:proofErr w:type="spellStart"/>
      <w:r w:rsidRPr="004237E4">
        <w:t>Geoinformation</w:t>
      </w:r>
      <w:proofErr w:type="spellEnd"/>
      <w:r>
        <w:t xml:space="preserve"> (</w:t>
      </w:r>
      <w:r w:rsidRPr="004237E4">
        <w:t>73</w:t>
      </w:r>
      <w:r>
        <w:t>)</w:t>
      </w:r>
      <w:r w:rsidR="00461780">
        <w:t xml:space="preserve">, </w:t>
      </w:r>
      <w:r w:rsidRPr="004237E4">
        <w:t>463-470</w:t>
      </w:r>
      <w:r w:rsidR="00461780">
        <w:t>, 2018</w:t>
      </w:r>
    </w:p>
    <w:p w14:paraId="7D690D81" w14:textId="62F92C9F" w:rsidR="00107EA8" w:rsidRDefault="00F8068B" w:rsidP="00C1097E">
      <w:pPr>
        <w:pStyle w:val="References"/>
      </w:pPr>
      <w:r>
        <w:t xml:space="preserve"> </w:t>
      </w:r>
      <w:r w:rsidR="00C1097E">
        <w:t xml:space="preserve">Qin, Y., D. </w:t>
      </w:r>
      <w:proofErr w:type="spellStart"/>
      <w:r w:rsidR="00C1097E">
        <w:t>Perissin</w:t>
      </w:r>
      <w:proofErr w:type="spellEnd"/>
      <w:r w:rsidR="00C1097E">
        <w:t xml:space="preserve">, and L. Lei. The design and experiments on corner reflectors for urban ground deformation monitoring in Hong Kong.        Int. J. Antennas </w:t>
      </w:r>
      <w:proofErr w:type="spellStart"/>
      <w:r w:rsidR="00C1097E">
        <w:t>Propag</w:t>
      </w:r>
      <w:proofErr w:type="spellEnd"/>
      <w:r w:rsidR="00C1097E">
        <w:t>. 2013.</w:t>
      </w:r>
    </w:p>
    <w:p w14:paraId="0C31C1BB" w14:textId="2107D6B3" w:rsidR="00C1097E" w:rsidRDefault="00C1097E" w:rsidP="00C1097E">
      <w:pPr>
        <w:pStyle w:val="References"/>
      </w:pPr>
      <w:proofErr w:type="spellStart"/>
      <w:r>
        <w:t>Crosetto</w:t>
      </w:r>
      <w:proofErr w:type="spellEnd"/>
      <w:r>
        <w:t xml:space="preserve">, M., J. A. </w:t>
      </w:r>
      <w:proofErr w:type="spellStart"/>
      <w:r>
        <w:t>Gili</w:t>
      </w:r>
      <w:proofErr w:type="spellEnd"/>
      <w:r>
        <w:t xml:space="preserve">, O. Monserrat, M. Cuevas-González, J. </w:t>
      </w:r>
      <w:proofErr w:type="spellStart"/>
      <w:r>
        <w:t>Corominas</w:t>
      </w:r>
      <w:proofErr w:type="spellEnd"/>
      <w:r>
        <w:t xml:space="preserve">, and D. </w:t>
      </w:r>
      <w:proofErr w:type="spellStart"/>
      <w:r>
        <w:t>Serral</w:t>
      </w:r>
      <w:proofErr w:type="spellEnd"/>
      <w:r>
        <w:t xml:space="preserve">. Interferometric SAR monitoring of the </w:t>
      </w:r>
      <w:proofErr w:type="spellStart"/>
      <w:r>
        <w:t>Vallcebre</w:t>
      </w:r>
      <w:proofErr w:type="spellEnd"/>
      <w:r>
        <w:t xml:space="preserve"> landslide (Spain) using corner reflectors. Nat. Hazards Earth Syst. Sci.13 (4): 923–933, 2017.</w:t>
      </w:r>
    </w:p>
    <w:p w14:paraId="3387782B" w14:textId="41B7519D" w:rsidR="007015F2" w:rsidRDefault="00C1097E" w:rsidP="00C1097E">
      <w:pPr>
        <w:pStyle w:val="References"/>
      </w:pPr>
      <w:proofErr w:type="spellStart"/>
      <w:r>
        <w:t>Bovenga</w:t>
      </w:r>
      <w:proofErr w:type="spellEnd"/>
      <w:r>
        <w:t xml:space="preserve">, F., G. </w:t>
      </w:r>
      <w:proofErr w:type="spellStart"/>
      <w:r>
        <w:t>Pasquariello</w:t>
      </w:r>
      <w:proofErr w:type="spellEnd"/>
      <w:r>
        <w:t xml:space="preserve">, R. </w:t>
      </w:r>
      <w:proofErr w:type="spellStart"/>
      <w:r>
        <w:t>Pellicani</w:t>
      </w:r>
      <w:proofErr w:type="spellEnd"/>
      <w:r>
        <w:t xml:space="preserve">, A. </w:t>
      </w:r>
      <w:proofErr w:type="spellStart"/>
      <w:r>
        <w:t>Refice</w:t>
      </w:r>
      <w:proofErr w:type="spellEnd"/>
      <w:r>
        <w:t xml:space="preserve">, and G. </w:t>
      </w:r>
      <w:proofErr w:type="spellStart"/>
      <w:r>
        <w:t>Spilotro</w:t>
      </w:r>
      <w:proofErr w:type="spellEnd"/>
      <w:r>
        <w:t xml:space="preserve">. Landslide monitoring for risk mitigation by using corner reflector and satellite SAR interferometry: The large landslide of </w:t>
      </w:r>
      <w:proofErr w:type="spellStart"/>
      <w:r>
        <w:t>Carlantino</w:t>
      </w:r>
      <w:proofErr w:type="spellEnd"/>
      <w:r>
        <w:t xml:space="preserve"> (Italy). CATENA151 (Apr): 49–62, 2017.</w:t>
      </w:r>
    </w:p>
    <w:p w14:paraId="0F85096F" w14:textId="32266BBE" w:rsidR="00C1097E" w:rsidRDefault="00C1097E" w:rsidP="008140CC">
      <w:pPr>
        <w:pStyle w:val="References"/>
      </w:pPr>
      <w:proofErr w:type="spellStart"/>
      <w:r>
        <w:t>Cusson</w:t>
      </w:r>
      <w:proofErr w:type="spellEnd"/>
      <w:r>
        <w:t xml:space="preserve">, D., and </w:t>
      </w:r>
      <w:r w:rsidR="008140CC">
        <w:t xml:space="preserve">Greene </w:t>
      </w:r>
      <w:r>
        <w:t xml:space="preserve">Gondi, </w:t>
      </w:r>
      <w:r w:rsidR="004E0DE4">
        <w:t>F</w:t>
      </w:r>
      <w:r w:rsidR="008140CC">
        <w:t xml:space="preserve">. </w:t>
      </w:r>
      <w:r w:rsidR="008140CC" w:rsidRPr="008140CC">
        <w:t>Assessment of Trihedral Corner reflectors to improve satellite-based monitoring of bridges</w:t>
      </w:r>
      <w:r w:rsidR="008140CC">
        <w:t xml:space="preserve">. </w:t>
      </w:r>
      <w:r w:rsidR="008140CC" w:rsidRPr="008140CC">
        <w:t>SHMII-10 Conference</w:t>
      </w:r>
      <w:r w:rsidR="008140CC">
        <w:t>,</w:t>
      </w:r>
      <w:r w:rsidR="008140CC" w:rsidRPr="008140CC">
        <w:t xml:space="preserve"> June 30 t</w:t>
      </w:r>
      <w:r w:rsidR="008140CC">
        <w:t>o July 2, 2021 – Porto, Portugal.</w:t>
      </w:r>
    </w:p>
    <w:p w14:paraId="30C2D179" w14:textId="687002D7" w:rsidR="00B4726B" w:rsidRDefault="00C95145" w:rsidP="00C95145">
      <w:pPr>
        <w:pStyle w:val="References"/>
      </w:pPr>
      <w:proofErr w:type="spellStart"/>
      <w:r w:rsidRPr="00C95145">
        <w:t>Dheenathayalan</w:t>
      </w:r>
      <w:proofErr w:type="spellEnd"/>
      <w:r>
        <w:t xml:space="preserve">, P., </w:t>
      </w:r>
      <w:r w:rsidRPr="00C95145">
        <w:t>Cuenca</w:t>
      </w:r>
      <w:r>
        <w:t xml:space="preserve">, M., </w:t>
      </w:r>
      <w:proofErr w:type="spellStart"/>
      <w:r w:rsidRPr="00C95145">
        <w:t>Hoogeboom</w:t>
      </w:r>
      <w:proofErr w:type="spellEnd"/>
      <w:r>
        <w:t xml:space="preserve">, P., and </w:t>
      </w:r>
      <w:r w:rsidRPr="00C95145">
        <w:t>Hanssen</w:t>
      </w:r>
      <w:r>
        <w:t xml:space="preserve">, R. Small Reflectors for Ground Motion Monitoring With </w:t>
      </w:r>
      <w:proofErr w:type="spellStart"/>
      <w:r>
        <w:t>InSAR</w:t>
      </w:r>
      <w:proofErr w:type="spellEnd"/>
      <w:r>
        <w:t xml:space="preserve">. IEEE Transactions on Geoscience and Remote Sensing </w:t>
      </w:r>
      <w:r w:rsidRPr="00C95145">
        <w:t>55</w:t>
      </w:r>
      <w:r>
        <w:t>(12)</w:t>
      </w:r>
      <w:r w:rsidRPr="00C95145">
        <w:t xml:space="preserve">, </w:t>
      </w:r>
      <w:r w:rsidR="00C72FD4">
        <w:t xml:space="preserve">6703-6712, </w:t>
      </w:r>
      <w:r w:rsidRPr="00C95145">
        <w:t>2017</w:t>
      </w:r>
      <w:r w:rsidR="00C72FD4">
        <w:t>.</w:t>
      </w:r>
    </w:p>
    <w:p w14:paraId="6871950D" w14:textId="4A62C92D" w:rsidR="00C72FD4" w:rsidRDefault="0072786C" w:rsidP="0072786C">
      <w:pPr>
        <w:pStyle w:val="References"/>
      </w:pPr>
      <w:proofErr w:type="spellStart"/>
      <w:r w:rsidRPr="0072786C">
        <w:t>Necsoiu</w:t>
      </w:r>
      <w:proofErr w:type="spellEnd"/>
      <w:r w:rsidRPr="0072786C">
        <w:t xml:space="preserve">; </w:t>
      </w:r>
      <w:r>
        <w:t xml:space="preserve">M., </w:t>
      </w:r>
      <w:r w:rsidRPr="0072786C">
        <w:t xml:space="preserve">Martinez; </w:t>
      </w:r>
      <w:r>
        <w:t xml:space="preserve">E. and </w:t>
      </w:r>
      <w:r w:rsidRPr="0072786C">
        <w:t>Moore</w:t>
      </w:r>
      <w:r>
        <w:t xml:space="preserve"> D. </w:t>
      </w:r>
      <w:r w:rsidRPr="0072786C">
        <w:t>Satellite radar interferometry using micro-retroreflective arrays</w:t>
      </w:r>
      <w:r>
        <w:t xml:space="preserve">. </w:t>
      </w:r>
      <w:r w:rsidRPr="0072786C">
        <w:t>Proc. SPIE 11003, Radar Sensor Techno</w:t>
      </w:r>
      <w:r>
        <w:t>logy XXIII, 1100311, 2019.</w:t>
      </w:r>
    </w:p>
    <w:sectPr w:rsidR="00C72FD4"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1473B2" w14:textId="77777777" w:rsidR="007A1471" w:rsidRDefault="007A1471" w:rsidP="00531DA2">
      <w:r>
        <w:separator/>
      </w:r>
    </w:p>
  </w:endnote>
  <w:endnote w:type="continuationSeparator" w:id="0">
    <w:p w14:paraId="67415775" w14:textId="77777777" w:rsidR="007A1471" w:rsidRDefault="007A1471"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078669"/>
      <w:docPartObj>
        <w:docPartGallery w:val="Page Numbers (Bottom of Page)"/>
        <w:docPartUnique/>
      </w:docPartObj>
    </w:sdtPr>
    <w:sdtEndPr>
      <w:rPr>
        <w:noProof/>
      </w:rPr>
    </w:sdtEndPr>
    <w:sdtContent>
      <w:p w14:paraId="6D21D7BC" w14:textId="606E2A81" w:rsidR="003E0A81" w:rsidRDefault="003E0A81">
        <w:pPr>
          <w:pStyle w:val="Footer"/>
          <w:jc w:val="right"/>
        </w:pPr>
        <w:r>
          <w:fldChar w:fldCharType="begin"/>
        </w:r>
        <w:r>
          <w:instrText xml:space="preserve"> PAGE   \* MERGEFORMAT </w:instrText>
        </w:r>
        <w:r>
          <w:fldChar w:fldCharType="separate"/>
        </w:r>
        <w:r w:rsidR="002E319F">
          <w:rPr>
            <w:noProof/>
          </w:rPr>
          <w:t>4</w:t>
        </w:r>
        <w:r>
          <w:rPr>
            <w:noProof/>
          </w:rPr>
          <w:fldChar w:fldCharType="end"/>
        </w:r>
      </w:p>
    </w:sdtContent>
  </w:sdt>
  <w:p w14:paraId="2E617DBF" w14:textId="77777777" w:rsidR="003E0A81" w:rsidRDefault="003E0A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63867"/>
      <w:docPartObj>
        <w:docPartGallery w:val="Page Numbers (Bottom of Page)"/>
        <w:docPartUnique/>
      </w:docPartObj>
    </w:sdtPr>
    <w:sdtEndPr>
      <w:rPr>
        <w:noProof/>
      </w:rPr>
    </w:sdtEndPr>
    <w:sdtContent>
      <w:p w14:paraId="497B6E1A" w14:textId="5FAB8B11" w:rsidR="003E0A81" w:rsidRDefault="003E0A81">
        <w:pPr>
          <w:pStyle w:val="Footer"/>
          <w:jc w:val="right"/>
        </w:pPr>
        <w:r>
          <w:fldChar w:fldCharType="begin"/>
        </w:r>
        <w:r>
          <w:instrText xml:space="preserve"> PAGE   \* MERGEFORMAT </w:instrText>
        </w:r>
        <w:r>
          <w:fldChar w:fldCharType="separate"/>
        </w:r>
        <w:r w:rsidR="002E319F">
          <w:rPr>
            <w:noProof/>
          </w:rPr>
          <w:t>1</w:t>
        </w:r>
        <w:r>
          <w:rPr>
            <w:noProof/>
          </w:rPr>
          <w:fldChar w:fldCharType="end"/>
        </w:r>
      </w:p>
    </w:sdtContent>
  </w:sdt>
  <w:p w14:paraId="2309C947" w14:textId="77777777" w:rsidR="003E0A81" w:rsidRDefault="003E0A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8A02B" w14:textId="77777777" w:rsidR="007A1471" w:rsidRDefault="007A1471" w:rsidP="00531DA2">
      <w:bookmarkStart w:id="0" w:name="_Hlk93279580"/>
      <w:bookmarkEnd w:id="0"/>
      <w:r>
        <w:separator/>
      </w:r>
    </w:p>
  </w:footnote>
  <w:footnote w:type="continuationSeparator" w:id="0">
    <w:p w14:paraId="7B533B88" w14:textId="77777777" w:rsidR="007A1471" w:rsidRDefault="007A1471" w:rsidP="00531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B10B8" w14:textId="291D85DB" w:rsidR="003E0A81" w:rsidRPr="00160B18" w:rsidRDefault="003E0A81" w:rsidP="00160B18">
    <w:pPr>
      <w:pStyle w:val="Header"/>
      <w:jc w:val="right"/>
      <w:rPr>
        <w:i/>
        <w:iCs/>
      </w:rPr>
    </w:pPr>
    <w:r w:rsidRPr="00160B18">
      <w:rPr>
        <w:bCs/>
        <w:i/>
        <w:iCs/>
      </w:rPr>
      <w:t>P</w:t>
    </w:r>
    <w:r w:rsidR="008D01E0">
      <w:rPr>
        <w:bCs/>
        <w:i/>
        <w:iCs/>
      </w:rPr>
      <w:t>aper ID# SHMII-11_T10-16, Hoppe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14B9F" w14:textId="0EF07099" w:rsidR="003E0A81" w:rsidRPr="00476CB6" w:rsidRDefault="003E0A81" w:rsidP="00476CB6">
    <w:pPr>
      <w:pStyle w:val="a"/>
      <w:wordWrap/>
      <w:spacing w:line="240" w:lineRule="auto"/>
      <w:rPr>
        <w:rFonts w:ascii="Times New Roman" w:hAnsi="Times New Roman" w:cs="Times New Roman"/>
        <w:b/>
        <w:sz w:val="18"/>
        <w:szCs w:val="18"/>
      </w:rPr>
    </w:pPr>
    <w:r w:rsidRPr="002D14AF">
      <w:rPr>
        <w:b/>
        <w:noProof/>
        <w:lang w:eastAsia="en-US"/>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2F025EE0" w:rsidR="003E0A81" w:rsidRPr="009529EB" w:rsidRDefault="003E0A81" w:rsidP="009529EB">
    <w:pPr>
      <w:pStyle w:val="Header"/>
      <w:rPr>
        <w:bCs/>
      </w:rPr>
    </w:pPr>
    <w:r>
      <w:rPr>
        <w:bCs/>
      </w:rPr>
      <w:t xml:space="preserve">                       </w:t>
    </w:r>
    <w:r w:rsidRPr="009529EB">
      <w:rPr>
        <w:bCs/>
      </w:rPr>
      <w:t>August 8-12, 2022, Montreal, QC, Canada</w:t>
    </w:r>
    <w:r>
      <w:rPr>
        <w:bCs/>
      </w:rPr>
      <w:t xml:space="preserve">. </w:t>
    </w:r>
    <w:r w:rsidR="008D01E0">
      <w:rPr>
        <w:bCs/>
      </w:rPr>
      <w:t>Paper ID# SHMII-11_T10-16, Hoppe</w:t>
    </w:r>
  </w:p>
  <w:p w14:paraId="7BC8F5B8" w14:textId="36B44AE9" w:rsidR="003E0A81" w:rsidRDefault="003E0A81" w:rsidP="009529EB">
    <w:r>
      <w:rPr>
        <w:noProof/>
        <w:lang w:eastAsia="en-US"/>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183913"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3E0A81" w:rsidRDefault="003E0A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20467C4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9"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1"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2A5A3F"/>
    <w:multiLevelType w:val="hybridMultilevel"/>
    <w:tmpl w:val="D786E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20"/>
  </w:num>
  <w:num w:numId="14">
    <w:abstractNumId w:val="17"/>
  </w:num>
  <w:num w:numId="15">
    <w:abstractNumId w:val="16"/>
  </w:num>
  <w:num w:numId="16">
    <w:abstractNumId w:val="11"/>
  </w:num>
  <w:num w:numId="17">
    <w:abstractNumId w:val="21"/>
  </w:num>
  <w:num w:numId="18">
    <w:abstractNumId w:val="24"/>
  </w:num>
  <w:num w:numId="19">
    <w:abstractNumId w:val="12"/>
  </w:num>
  <w:num w:numId="20">
    <w:abstractNumId w:val="14"/>
  </w:num>
  <w:num w:numId="21">
    <w:abstractNumId w:val="23"/>
  </w:num>
  <w:num w:numId="22">
    <w:abstractNumId w:val="25"/>
  </w:num>
  <w:num w:numId="23">
    <w:abstractNumId w:val="27"/>
  </w:num>
  <w:num w:numId="24">
    <w:abstractNumId w:val="18"/>
  </w:num>
  <w:num w:numId="25">
    <w:abstractNumId w:val="13"/>
  </w:num>
  <w:num w:numId="26">
    <w:abstractNumId w:val="19"/>
  </w:num>
  <w:num w:numId="27">
    <w:abstractNumId w:val="22"/>
  </w:num>
  <w:num w:numId="28">
    <w:abstractNumId w:val="10"/>
  </w:num>
  <w:num w:numId="29">
    <w:abstractNumId w:val="15"/>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A1NbewMDYzMLawNDBQ0lEKTi0uzszPAykwrAUA6M81pywAAAA="/>
  </w:docVars>
  <w:rsids>
    <w:rsidRoot w:val="00D96E7E"/>
    <w:rsid w:val="0004264B"/>
    <w:rsid w:val="000442BF"/>
    <w:rsid w:val="00053887"/>
    <w:rsid w:val="00060324"/>
    <w:rsid w:val="00081213"/>
    <w:rsid w:val="00082518"/>
    <w:rsid w:val="00094476"/>
    <w:rsid w:val="000D2BC8"/>
    <w:rsid w:val="000E2D0F"/>
    <w:rsid w:val="00107EA8"/>
    <w:rsid w:val="00132ACD"/>
    <w:rsid w:val="0013583C"/>
    <w:rsid w:val="001502E5"/>
    <w:rsid w:val="00153248"/>
    <w:rsid w:val="00160B18"/>
    <w:rsid w:val="00165367"/>
    <w:rsid w:val="00166E0B"/>
    <w:rsid w:val="00190AEE"/>
    <w:rsid w:val="001C14E9"/>
    <w:rsid w:val="001C6737"/>
    <w:rsid w:val="001C7A8F"/>
    <w:rsid w:val="001F02DD"/>
    <w:rsid w:val="002078A6"/>
    <w:rsid w:val="0022400C"/>
    <w:rsid w:val="00233D9A"/>
    <w:rsid w:val="002408EB"/>
    <w:rsid w:val="0024245F"/>
    <w:rsid w:val="00272AE5"/>
    <w:rsid w:val="0028261F"/>
    <w:rsid w:val="002A06CE"/>
    <w:rsid w:val="002B7490"/>
    <w:rsid w:val="002C753D"/>
    <w:rsid w:val="002D14AF"/>
    <w:rsid w:val="002E319F"/>
    <w:rsid w:val="00303836"/>
    <w:rsid w:val="00303A3A"/>
    <w:rsid w:val="00342D01"/>
    <w:rsid w:val="00357D8C"/>
    <w:rsid w:val="003962B4"/>
    <w:rsid w:val="003A0E33"/>
    <w:rsid w:val="003A336A"/>
    <w:rsid w:val="003A3B6C"/>
    <w:rsid w:val="003A7747"/>
    <w:rsid w:val="003A7980"/>
    <w:rsid w:val="003D0B5F"/>
    <w:rsid w:val="003D19FD"/>
    <w:rsid w:val="003E0A81"/>
    <w:rsid w:val="003E5978"/>
    <w:rsid w:val="003F2A78"/>
    <w:rsid w:val="003F2FF2"/>
    <w:rsid w:val="003F34D2"/>
    <w:rsid w:val="00411074"/>
    <w:rsid w:val="00414E82"/>
    <w:rsid w:val="004163ED"/>
    <w:rsid w:val="00422899"/>
    <w:rsid w:val="004230AF"/>
    <w:rsid w:val="004237E4"/>
    <w:rsid w:val="00431CE5"/>
    <w:rsid w:val="00436F8A"/>
    <w:rsid w:val="00461780"/>
    <w:rsid w:val="00467F7E"/>
    <w:rsid w:val="00470445"/>
    <w:rsid w:val="00476CB6"/>
    <w:rsid w:val="00485F4F"/>
    <w:rsid w:val="004968AB"/>
    <w:rsid w:val="004A135C"/>
    <w:rsid w:val="004A54D8"/>
    <w:rsid w:val="004E0DE4"/>
    <w:rsid w:val="004F69A3"/>
    <w:rsid w:val="00504A20"/>
    <w:rsid w:val="00507B89"/>
    <w:rsid w:val="00524FE4"/>
    <w:rsid w:val="00531DA2"/>
    <w:rsid w:val="0055128B"/>
    <w:rsid w:val="00565FE6"/>
    <w:rsid w:val="00587C6B"/>
    <w:rsid w:val="00593CE5"/>
    <w:rsid w:val="0059491B"/>
    <w:rsid w:val="005A74A4"/>
    <w:rsid w:val="005B6F8C"/>
    <w:rsid w:val="005B708F"/>
    <w:rsid w:val="005D698E"/>
    <w:rsid w:val="005E3905"/>
    <w:rsid w:val="00611669"/>
    <w:rsid w:val="0061702D"/>
    <w:rsid w:val="00617461"/>
    <w:rsid w:val="00622697"/>
    <w:rsid w:val="0062543D"/>
    <w:rsid w:val="0063056A"/>
    <w:rsid w:val="006317F2"/>
    <w:rsid w:val="00633BA8"/>
    <w:rsid w:val="00662C04"/>
    <w:rsid w:val="006861C5"/>
    <w:rsid w:val="006A4D59"/>
    <w:rsid w:val="006C3496"/>
    <w:rsid w:val="006D364F"/>
    <w:rsid w:val="006E5F8F"/>
    <w:rsid w:val="006F2096"/>
    <w:rsid w:val="007015F2"/>
    <w:rsid w:val="00705406"/>
    <w:rsid w:val="007165DF"/>
    <w:rsid w:val="0072786C"/>
    <w:rsid w:val="00732CBB"/>
    <w:rsid w:val="007A1471"/>
    <w:rsid w:val="007A2F48"/>
    <w:rsid w:val="007C3F10"/>
    <w:rsid w:val="007D285F"/>
    <w:rsid w:val="007D65EE"/>
    <w:rsid w:val="007E284E"/>
    <w:rsid w:val="007F0BB9"/>
    <w:rsid w:val="00803885"/>
    <w:rsid w:val="00806D28"/>
    <w:rsid w:val="008140CC"/>
    <w:rsid w:val="008155F7"/>
    <w:rsid w:val="008158FC"/>
    <w:rsid w:val="00837777"/>
    <w:rsid w:val="0084325B"/>
    <w:rsid w:val="008561A7"/>
    <w:rsid w:val="00861FB4"/>
    <w:rsid w:val="00865AAD"/>
    <w:rsid w:val="0087067F"/>
    <w:rsid w:val="00887F81"/>
    <w:rsid w:val="008A24A8"/>
    <w:rsid w:val="008C1FAA"/>
    <w:rsid w:val="008D01E0"/>
    <w:rsid w:val="008D3017"/>
    <w:rsid w:val="00944594"/>
    <w:rsid w:val="009529EB"/>
    <w:rsid w:val="00953C97"/>
    <w:rsid w:val="00955B33"/>
    <w:rsid w:val="00976956"/>
    <w:rsid w:val="0099738E"/>
    <w:rsid w:val="009A2A58"/>
    <w:rsid w:val="009B480B"/>
    <w:rsid w:val="009D39C6"/>
    <w:rsid w:val="009F20B8"/>
    <w:rsid w:val="00A32E16"/>
    <w:rsid w:val="00A43B1D"/>
    <w:rsid w:val="00A517D7"/>
    <w:rsid w:val="00A51BF9"/>
    <w:rsid w:val="00A53E9C"/>
    <w:rsid w:val="00A55D17"/>
    <w:rsid w:val="00AF6811"/>
    <w:rsid w:val="00B329DB"/>
    <w:rsid w:val="00B3539D"/>
    <w:rsid w:val="00B4049C"/>
    <w:rsid w:val="00B40AAD"/>
    <w:rsid w:val="00B411F6"/>
    <w:rsid w:val="00B4631A"/>
    <w:rsid w:val="00B4726B"/>
    <w:rsid w:val="00B63B04"/>
    <w:rsid w:val="00B75B7B"/>
    <w:rsid w:val="00B81E54"/>
    <w:rsid w:val="00B859C0"/>
    <w:rsid w:val="00BA18D8"/>
    <w:rsid w:val="00BC0C21"/>
    <w:rsid w:val="00BE711B"/>
    <w:rsid w:val="00C1097E"/>
    <w:rsid w:val="00C255D3"/>
    <w:rsid w:val="00C274BE"/>
    <w:rsid w:val="00C354B4"/>
    <w:rsid w:val="00C51696"/>
    <w:rsid w:val="00C54521"/>
    <w:rsid w:val="00C639BB"/>
    <w:rsid w:val="00C71200"/>
    <w:rsid w:val="00C72FD4"/>
    <w:rsid w:val="00C87FA3"/>
    <w:rsid w:val="00C95145"/>
    <w:rsid w:val="00CA0B9F"/>
    <w:rsid w:val="00CB4736"/>
    <w:rsid w:val="00CB7DD4"/>
    <w:rsid w:val="00CD176A"/>
    <w:rsid w:val="00CF2AEC"/>
    <w:rsid w:val="00D03E9B"/>
    <w:rsid w:val="00D143B1"/>
    <w:rsid w:val="00D2423B"/>
    <w:rsid w:val="00D33A6F"/>
    <w:rsid w:val="00D379BC"/>
    <w:rsid w:val="00D4784B"/>
    <w:rsid w:val="00D66D9D"/>
    <w:rsid w:val="00D96E7E"/>
    <w:rsid w:val="00DA0FA3"/>
    <w:rsid w:val="00DB1AEB"/>
    <w:rsid w:val="00DC667A"/>
    <w:rsid w:val="00DD6EFA"/>
    <w:rsid w:val="00DE0695"/>
    <w:rsid w:val="00E17062"/>
    <w:rsid w:val="00E37CBF"/>
    <w:rsid w:val="00E5487C"/>
    <w:rsid w:val="00E55853"/>
    <w:rsid w:val="00E60EBC"/>
    <w:rsid w:val="00E84008"/>
    <w:rsid w:val="00E95BEC"/>
    <w:rsid w:val="00EA66AA"/>
    <w:rsid w:val="00ED30E2"/>
    <w:rsid w:val="00EF093C"/>
    <w:rsid w:val="00EF1CEA"/>
    <w:rsid w:val="00EF39F4"/>
    <w:rsid w:val="00F10628"/>
    <w:rsid w:val="00F25B8D"/>
    <w:rsid w:val="00F27866"/>
    <w:rsid w:val="00F344DB"/>
    <w:rsid w:val="00F37FF1"/>
    <w:rsid w:val="00F44DB3"/>
    <w:rsid w:val="00F64AD3"/>
    <w:rsid w:val="00F8068B"/>
    <w:rsid w:val="00F85E8D"/>
    <w:rsid w:val="00F87330"/>
    <w:rsid w:val="00FB2471"/>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rsid w:val="0084325B"/>
    <w:pPr>
      <w:suppressAutoHyphens/>
      <w:autoSpaceDE w:val="0"/>
      <w:jc w:val="both"/>
    </w:pPr>
    <w:rPr>
      <w:rFonts w:ascii="Times New Roman" w:eastAsia="Times New Roman" w:hAnsi="Times New Roman"/>
      <w:lang w:val="en-US" w:eastAsia="ar-SA"/>
    </w:rPr>
  </w:style>
  <w:style w:type="paragraph" w:styleId="Heading1">
    <w:name w:val="heading 1"/>
    <w:basedOn w:val="Normal"/>
    <w:next w:val="Normal"/>
    <w:link w:val="Heading1Char"/>
    <w:qFormat/>
    <w:rsid w:val="00DD6EFA"/>
    <w:pPr>
      <w:keepNext/>
      <w:numPr>
        <w:numId w:val="29"/>
      </w:numPr>
      <w:spacing w:before="180" w:after="80"/>
      <w:outlineLvl w:val="0"/>
    </w:pPr>
    <w:rPr>
      <w:caps/>
      <w:kern w:val="20"/>
    </w:rPr>
  </w:style>
  <w:style w:type="paragraph" w:styleId="Heading2">
    <w:name w:val="heading 2"/>
    <w:basedOn w:val="Normal"/>
    <w:next w:val="Normal"/>
    <w:link w:val="Heading2Char"/>
    <w:uiPriority w:val="9"/>
    <w:qFormat/>
    <w:rsid w:val="00DD6EFA"/>
    <w:pPr>
      <w:keepNext/>
      <w:numPr>
        <w:ilvl w:val="1"/>
        <w:numId w:val="29"/>
      </w:numPr>
      <w:spacing w:before="120" w:after="80"/>
      <w:outlineLvl w:val="1"/>
    </w:pPr>
    <w:rPr>
      <w:bCs/>
      <w:i/>
      <w:iCs/>
      <w:szCs w:val="28"/>
    </w:rPr>
  </w:style>
  <w:style w:type="paragraph" w:styleId="Heading3">
    <w:name w:val="heading 3"/>
    <w:basedOn w:val="Normal"/>
    <w:next w:val="Normal"/>
    <w:qFormat/>
    <w:rsid w:val="00DD6EFA"/>
    <w:pPr>
      <w:keepNext/>
      <w:numPr>
        <w:ilvl w:val="2"/>
        <w:numId w:val="29"/>
      </w:numPr>
      <w:spacing w:before="120" w:after="80"/>
      <w:outlineLvl w:val="2"/>
    </w:pPr>
    <w:rPr>
      <w:rFonts w:cs="Arial"/>
      <w:bCs/>
      <w:szCs w:val="26"/>
    </w:rPr>
  </w:style>
  <w:style w:type="paragraph" w:styleId="Heading4">
    <w:name w:val="heading 4"/>
    <w:basedOn w:val="Normal"/>
    <w:next w:val="Normal"/>
    <w:qFormat/>
    <w:rsid w:val="00DD6EFA"/>
    <w:pPr>
      <w:keepNext/>
      <w:numPr>
        <w:ilvl w:val="3"/>
        <w:numId w:val="29"/>
      </w:numPr>
      <w:spacing w:before="120" w:after="80"/>
      <w:outlineLvl w:val="3"/>
    </w:pPr>
    <w:rPr>
      <w:bCs/>
      <w:szCs w:val="28"/>
    </w:rPr>
  </w:style>
  <w:style w:type="paragraph" w:styleId="Heading5">
    <w:name w:val="heading 5"/>
    <w:basedOn w:val="Normal"/>
    <w:next w:val="Normal"/>
    <w:qFormat/>
    <w:rsid w:val="00DD6EFA"/>
    <w:pPr>
      <w:numPr>
        <w:ilvl w:val="4"/>
        <w:numId w:val="29"/>
      </w:numPr>
      <w:spacing w:before="240" w:after="60"/>
      <w:outlineLvl w:val="4"/>
    </w:pPr>
    <w:rPr>
      <w:b/>
      <w:bCs/>
      <w:i/>
      <w:iCs/>
      <w:sz w:val="26"/>
      <w:szCs w:val="26"/>
    </w:rPr>
  </w:style>
  <w:style w:type="paragraph" w:styleId="Heading6">
    <w:name w:val="heading 6"/>
    <w:basedOn w:val="Normal"/>
    <w:next w:val="Normal"/>
    <w:qFormat/>
    <w:rsid w:val="00DD6EFA"/>
    <w:pPr>
      <w:numPr>
        <w:ilvl w:val="5"/>
        <w:numId w:val="29"/>
      </w:numPr>
      <w:spacing w:before="240" w:after="60"/>
      <w:outlineLvl w:val="5"/>
    </w:pPr>
    <w:rPr>
      <w:b/>
      <w:bCs/>
      <w:sz w:val="22"/>
      <w:szCs w:val="22"/>
    </w:rPr>
  </w:style>
  <w:style w:type="paragraph" w:styleId="Heading7">
    <w:name w:val="heading 7"/>
    <w:basedOn w:val="Normal"/>
    <w:next w:val="Normal"/>
    <w:qFormat/>
    <w:rsid w:val="00DD6EFA"/>
    <w:pPr>
      <w:numPr>
        <w:ilvl w:val="6"/>
        <w:numId w:val="29"/>
      </w:numPr>
      <w:spacing w:before="240" w:after="60"/>
      <w:outlineLvl w:val="6"/>
    </w:pPr>
    <w:rPr>
      <w:sz w:val="24"/>
      <w:szCs w:val="24"/>
    </w:rPr>
  </w:style>
  <w:style w:type="paragraph" w:styleId="Heading8">
    <w:name w:val="heading 8"/>
    <w:basedOn w:val="Normal"/>
    <w:next w:val="Normal"/>
    <w:qFormat/>
    <w:rsid w:val="00DD6EFA"/>
    <w:pPr>
      <w:numPr>
        <w:ilvl w:val="7"/>
        <w:numId w:val="29"/>
      </w:numPr>
      <w:spacing w:before="240" w:after="60"/>
      <w:outlineLvl w:val="7"/>
    </w:pPr>
    <w:rPr>
      <w:i/>
      <w:iCs/>
      <w:sz w:val="24"/>
      <w:szCs w:val="24"/>
    </w:rPr>
  </w:style>
  <w:style w:type="paragraph" w:styleId="Heading9">
    <w:name w:val="heading 9"/>
    <w:basedOn w:val="Normal"/>
    <w:next w:val="Normal"/>
    <w:qFormat/>
    <w:rsid w:val="00DD6EFA"/>
    <w:pPr>
      <w:numPr>
        <w:ilvl w:val="8"/>
        <w:numId w:val="2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96E7E"/>
    <w:pPr>
      <w:spacing w:after="240"/>
      <w:jc w:val="center"/>
    </w:pPr>
    <w:rPr>
      <w:b/>
      <w:kern w:val="32"/>
      <w:sz w:val="28"/>
      <w:szCs w:val="48"/>
    </w:rPr>
  </w:style>
  <w:style w:type="character" w:customStyle="1" w:styleId="TitleChar">
    <w:name w:val="Title Char"/>
    <w:link w:val="Title"/>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Heading1Char">
    <w:name w:val="Heading 1 Char"/>
    <w:link w:val="Heading1"/>
    <w:rsid w:val="00DD6EFA"/>
    <w:rPr>
      <w:caps/>
      <w:kern w:val="20"/>
      <w:lang w:val="en-US" w:eastAsia="ar-SA" w:bidi="ar-SA"/>
    </w:rPr>
  </w:style>
  <w:style w:type="paragraph" w:customStyle="1" w:styleId="KeyWords">
    <w:name w:val="Key Words"/>
    <w:basedOn w:val="Normal"/>
    <w:link w:val="KeyWordsChar"/>
    <w:qFormat/>
    <w:rsid w:val="00D96E7E"/>
    <w:pPr>
      <w:spacing w:before="240" w:after="240"/>
    </w:pPr>
  </w:style>
  <w:style w:type="character" w:customStyle="1" w:styleId="Heading2Char">
    <w:name w:val="Heading 2 Char"/>
    <w:link w:val="Heading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NormalIndent">
    <w:name w:val="Normal Indent"/>
    <w:basedOn w:val="Normal"/>
    <w:uiPriority w:val="99"/>
    <w:unhideWhenUsed/>
    <w:qFormat/>
    <w:rsid w:val="0084325B"/>
    <w:pPr>
      <w:ind w:firstLine="170"/>
    </w:pPr>
  </w:style>
  <w:style w:type="paragraph" w:customStyle="1" w:styleId="Equation">
    <w:name w:val="Equation"/>
    <w:basedOn w:val="Normal"/>
    <w:next w:val="Normal"/>
    <w:rsid w:val="008155F7"/>
    <w:pPr>
      <w:tabs>
        <w:tab w:val="center" w:pos="2509"/>
        <w:tab w:val="right" w:pos="5018"/>
      </w:tabs>
      <w:spacing w:before="120" w:after="120"/>
    </w:pPr>
  </w:style>
  <w:style w:type="paragraph" w:styleId="ListBullet">
    <w:name w:val="List Bullet"/>
    <w:basedOn w:val="Normal"/>
    <w:autoRedefine/>
    <w:rsid w:val="00B3539D"/>
    <w:pPr>
      <w:numPr>
        <w:numId w:val="2"/>
      </w:numPr>
    </w:pPr>
  </w:style>
  <w:style w:type="paragraph" w:styleId="Caption">
    <w:name w:val="caption"/>
    <w:basedOn w:val="Normal"/>
    <w:next w:val="NormalIndent"/>
    <w:qFormat/>
    <w:rsid w:val="0087067F"/>
    <w:pPr>
      <w:spacing w:before="120" w:after="120"/>
      <w:jc w:val="center"/>
    </w:pPr>
    <w:rPr>
      <w:bCs/>
    </w:rPr>
  </w:style>
  <w:style w:type="paragraph" w:customStyle="1" w:styleId="Figure">
    <w:name w:val="Figure"/>
    <w:basedOn w:val="Normal"/>
    <w:next w:val="Caption"/>
    <w:qFormat/>
    <w:rsid w:val="00436F8A"/>
    <w:pPr>
      <w:jc w:val="center"/>
    </w:pPr>
  </w:style>
  <w:style w:type="paragraph" w:customStyle="1" w:styleId="References">
    <w:name w:val="References"/>
    <w:basedOn w:val="ListNumber"/>
    <w:rsid w:val="00153248"/>
    <w:pPr>
      <w:numPr>
        <w:numId w:val="26"/>
      </w:numPr>
    </w:pPr>
    <w:rPr>
      <w:sz w:val="16"/>
    </w:rPr>
  </w:style>
  <w:style w:type="table" w:styleId="TableGrid">
    <w:name w:val="Table Grid"/>
    <w:basedOn w:val="TableNormal"/>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153248"/>
    <w:pPr>
      <w:numPr>
        <w:numId w:val="7"/>
      </w:numPr>
    </w:pPr>
  </w:style>
  <w:style w:type="character" w:styleId="Hyperlink">
    <w:name w:val="Hyperlink"/>
    <w:rsid w:val="006317F2"/>
    <w:rPr>
      <w:color w:val="0000FF"/>
      <w:u w:val="single"/>
    </w:rPr>
  </w:style>
  <w:style w:type="paragraph" w:styleId="Header">
    <w:name w:val="header"/>
    <w:basedOn w:val="Normal"/>
    <w:link w:val="HeaderChar"/>
    <w:uiPriority w:val="99"/>
    <w:rsid w:val="00531DA2"/>
    <w:pPr>
      <w:tabs>
        <w:tab w:val="center" w:pos="4680"/>
        <w:tab w:val="right" w:pos="9360"/>
      </w:tabs>
    </w:pPr>
  </w:style>
  <w:style w:type="character" w:customStyle="1" w:styleId="HeaderChar">
    <w:name w:val="Header Char"/>
    <w:basedOn w:val="DefaultParagraphFont"/>
    <w:link w:val="Header"/>
    <w:uiPriority w:val="99"/>
    <w:rsid w:val="00531DA2"/>
    <w:rPr>
      <w:rFonts w:ascii="Times New Roman" w:eastAsia="Times New Roman" w:hAnsi="Times New Roman"/>
      <w:lang w:val="en-US" w:eastAsia="ar-SA"/>
    </w:rPr>
  </w:style>
  <w:style w:type="paragraph" w:styleId="Footer">
    <w:name w:val="footer"/>
    <w:basedOn w:val="Normal"/>
    <w:link w:val="FooterChar"/>
    <w:uiPriority w:val="99"/>
    <w:rsid w:val="00531DA2"/>
    <w:pPr>
      <w:tabs>
        <w:tab w:val="center" w:pos="4680"/>
        <w:tab w:val="right" w:pos="9360"/>
      </w:tabs>
    </w:pPr>
  </w:style>
  <w:style w:type="character" w:customStyle="1" w:styleId="FooterChar">
    <w:name w:val="Footer Char"/>
    <w:basedOn w:val="DefaultParagraphFont"/>
    <w:link w:val="Footer"/>
    <w:uiPriority w:val="99"/>
    <w:rsid w:val="00531DA2"/>
    <w:rPr>
      <w:rFonts w:ascii="Times New Roman" w:eastAsia="Times New Roman" w:hAnsi="Times New Roman"/>
      <w:lang w:val="en-US" w:eastAsia="ar-SA"/>
    </w:rPr>
  </w:style>
  <w:style w:type="paragraph" w:customStyle="1" w:styleId="a">
    <w:name w:val="바탕글"/>
    <w:basedOn w:val="Normal"/>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DefaultParagraphFont"/>
    <w:uiPriority w:val="99"/>
    <w:semiHidden/>
    <w:unhideWhenUsed/>
    <w:rsid w:val="002D14AF"/>
    <w:rPr>
      <w:color w:val="808080"/>
      <w:shd w:val="clear" w:color="auto" w:fill="E6E6E6"/>
    </w:rPr>
  </w:style>
  <w:style w:type="character" w:customStyle="1" w:styleId="DefaultChar">
    <w:name w:val="Default Char"/>
    <w:link w:val="Default"/>
    <w:locked/>
    <w:rsid w:val="00D33A6F"/>
    <w:rPr>
      <w:rFonts w:ascii="Times New Roman" w:eastAsia="Times New Roman" w:hAnsi="Times New Roman"/>
      <w:color w:val="000000"/>
    </w:rPr>
  </w:style>
  <w:style w:type="paragraph" w:customStyle="1" w:styleId="Default">
    <w:name w:val="Default"/>
    <w:link w:val="DefaultChar"/>
    <w:rsid w:val="00D33A6F"/>
    <w:pPr>
      <w:autoSpaceDE w:val="0"/>
      <w:autoSpaceDN w:val="0"/>
      <w:adjustRightInd w:val="0"/>
      <w:spacing w:after="160" w:line="480" w:lineRule="auto"/>
    </w:pPr>
    <w:rPr>
      <w:rFonts w:ascii="Times New Roman" w:eastAsia="Times New Roman" w:hAnsi="Times New Roman"/>
      <w:color w:val="000000"/>
    </w:rPr>
  </w:style>
  <w:style w:type="character" w:styleId="FollowedHyperlink">
    <w:name w:val="FollowedHyperlink"/>
    <w:basedOn w:val="DefaultParagraphFont"/>
    <w:rsid w:val="00F27866"/>
    <w:rPr>
      <w:color w:val="954F72" w:themeColor="followedHyperlink"/>
      <w:u w:val="single"/>
    </w:rPr>
  </w:style>
  <w:style w:type="paragraph" w:styleId="BalloonText">
    <w:name w:val="Balloon Text"/>
    <w:basedOn w:val="Normal"/>
    <w:link w:val="BalloonTextChar"/>
    <w:semiHidden/>
    <w:unhideWhenUsed/>
    <w:rsid w:val="00D03E9B"/>
    <w:rPr>
      <w:rFonts w:ascii="Segoe UI" w:hAnsi="Segoe UI" w:cs="Segoe UI"/>
      <w:sz w:val="18"/>
      <w:szCs w:val="18"/>
    </w:rPr>
  </w:style>
  <w:style w:type="character" w:customStyle="1" w:styleId="BalloonTextChar">
    <w:name w:val="Balloon Text Char"/>
    <w:basedOn w:val="DefaultParagraphFont"/>
    <w:link w:val="BalloonText"/>
    <w:semiHidden/>
    <w:rsid w:val="00D03E9B"/>
    <w:rPr>
      <w:rFonts w:ascii="Segoe UI" w:eastAsia="Times New Roman" w:hAnsi="Segoe UI" w:cs="Segoe UI"/>
      <w:sz w:val="18"/>
      <w:szCs w:val="18"/>
      <w:lang w:val="en-US" w:eastAsia="ar-SA"/>
    </w:rPr>
  </w:style>
  <w:style w:type="paragraph" w:styleId="Revision">
    <w:name w:val="Revision"/>
    <w:hidden/>
    <w:uiPriority w:val="71"/>
    <w:rsid w:val="009A2A58"/>
    <w:rPr>
      <w:rFonts w:ascii="Times New Roman" w:eastAsia="Times New Roman" w:hAnsi="Times New Roman"/>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sto.nato.int/publications/STO%20Educational%20Notes/RTO-EN-SET-086bis/EN-SET-086bis-03.pdf"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2.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4</Pages>
  <Words>2507</Words>
  <Characters>14290</Characters>
  <Application>Microsoft Office Word</Application>
  <DocSecurity>0</DocSecurity>
  <Lines>119</Lines>
  <Paragraphs>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fooer</vt:lpstr>
      <vt:lpstr>ABSTRACT: This is a sample file demonstrating the style for Eurodyn 2011 papers</vt:lpstr>
    </vt:vector>
  </TitlesOfParts>
  <Company>K.U.Leuven</Company>
  <LinksUpToDate>false</LinksUpToDate>
  <CharactersWithSpaces>16764</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edward.hoppe@vdot.virginia.gov</dc:creator>
  <cp:keywords/>
  <dc:description/>
  <cp:lastModifiedBy>ejh4c</cp:lastModifiedBy>
  <cp:revision>23</cp:revision>
  <cp:lastPrinted>2022-07-24T00:40:00Z</cp:lastPrinted>
  <dcterms:created xsi:type="dcterms:W3CDTF">2022-06-30T19:59:00Z</dcterms:created>
  <dcterms:modified xsi:type="dcterms:W3CDTF">2022-07-24T00:56:00Z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