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5CFEE" w14:textId="47819641" w:rsidR="00611669" w:rsidRDefault="00D877D3" w:rsidP="009F20B8">
      <w:r w:rsidRPr="00D96E7E"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5C2BA2EE" wp14:editId="4916CF65">
                <wp:simplePos x="0" y="0"/>
                <wp:positionH relativeFrom="page">
                  <wp:posOffset>542925</wp:posOffset>
                </wp:positionH>
                <wp:positionV relativeFrom="page">
                  <wp:posOffset>1028700</wp:posOffset>
                </wp:positionV>
                <wp:extent cx="6480175" cy="12954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295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881ED9" w14:textId="29C25FB8" w:rsidR="00D96E7E" w:rsidRPr="00D96E7E" w:rsidRDefault="00230F60" w:rsidP="006861C5">
                            <w:pPr>
                              <w:pStyle w:val="Title"/>
                            </w:pPr>
                            <w:r>
                              <w:t xml:space="preserve">Investigation of Smoke Movement from Solar Roof Fire </w:t>
                            </w:r>
                            <w:r w:rsidR="00FB1BF2">
                              <w:t xml:space="preserve">by </w:t>
                            </w:r>
                            <w:r w:rsidR="00BB1E27">
                              <w:t xml:space="preserve">a </w:t>
                            </w:r>
                            <w:r w:rsidR="00FB1BF2">
                              <w:t>Modified Froude-Modeling Scaling</w:t>
                            </w:r>
                            <w:r w:rsidR="00BB1E27">
                              <w:t xml:space="preserve"> Method</w:t>
                            </w:r>
                          </w:p>
                          <w:p w14:paraId="0A142B20" w14:textId="6D95706E" w:rsidR="00D96E7E" w:rsidRPr="00531DA2" w:rsidRDefault="003660A5" w:rsidP="00D96E7E">
                            <w:pPr>
                              <w:pStyle w:val="Authors"/>
                              <w:rPr>
                                <w:vertAlign w:val="superscript"/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Xin Zhang</w:t>
                            </w:r>
                            <w:r w:rsidR="00D96E7E" w:rsidRPr="00531DA2">
                              <w:rPr>
                                <w:vertAlign w:val="superscript"/>
                                <w:lang w:val="en-CA"/>
                              </w:rPr>
                              <w:t>1</w:t>
                            </w:r>
                            <w:r w:rsidR="00D96E7E" w:rsidRPr="00531DA2">
                              <w:rPr>
                                <w:lang w:val="en-CA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lang w:val="en-CA"/>
                              </w:rPr>
                              <w:t>Monireh</w:t>
                            </w:r>
                            <w:proofErr w:type="spellEnd"/>
                            <w:r>
                              <w:rPr>
                                <w:lang w:val="en-CA"/>
                              </w:rPr>
                              <w:t xml:space="preserve"> Aram</w:t>
                            </w:r>
                            <w:r>
                              <w:rPr>
                                <w:vertAlign w:val="superscript"/>
                                <w:lang w:val="en-CA"/>
                              </w:rPr>
                              <w:t>1</w:t>
                            </w:r>
                            <w:r w:rsidR="00D96E7E" w:rsidRPr="00531DA2">
                              <w:rPr>
                                <w:lang w:val="en-CA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lang w:val="en-CA"/>
                              </w:rPr>
                              <w:t>Dahai</w:t>
                            </w:r>
                            <w:proofErr w:type="spellEnd"/>
                            <w:r>
                              <w:rPr>
                                <w:lang w:val="en-CA"/>
                              </w:rPr>
                              <w:t xml:space="preserve"> Qi</w:t>
                            </w:r>
                            <w:r w:rsidR="00D96E7E" w:rsidRPr="00531DA2">
                              <w:rPr>
                                <w:vertAlign w:val="superscript"/>
                                <w:lang w:val="en-CA"/>
                              </w:rPr>
                              <w:t>1</w:t>
                            </w:r>
                            <w:r w:rsidR="00D877D3" w:rsidRPr="00531DA2">
                              <w:rPr>
                                <w:lang w:val="en-CA"/>
                              </w:rPr>
                              <w:t xml:space="preserve">, </w:t>
                            </w:r>
                            <w:proofErr w:type="spellStart"/>
                            <w:r w:rsidR="00D877D3">
                              <w:rPr>
                                <w:lang w:val="en-CA"/>
                              </w:rPr>
                              <w:t>Liangzhu</w:t>
                            </w:r>
                            <w:proofErr w:type="spellEnd"/>
                            <w:r w:rsidR="00D877D3">
                              <w:rPr>
                                <w:lang w:val="en-CA"/>
                              </w:rPr>
                              <w:t xml:space="preserve"> (Leon) Wang</w:t>
                            </w:r>
                            <w:r w:rsidR="00D877D3">
                              <w:rPr>
                                <w:vertAlign w:val="superscript"/>
                                <w:lang w:val="en-CA"/>
                              </w:rPr>
                              <w:t>2</w:t>
                            </w:r>
                          </w:p>
                          <w:p w14:paraId="05E77516" w14:textId="35D83547" w:rsidR="003660A5" w:rsidRDefault="00611669" w:rsidP="00611669">
                            <w:pPr>
                              <w:pStyle w:val="Authors"/>
                              <w:rPr>
                                <w:lang w:val="en-CA"/>
                              </w:rPr>
                            </w:pPr>
                            <w:r w:rsidRPr="00531DA2">
                              <w:rPr>
                                <w:vertAlign w:val="superscript"/>
                                <w:lang w:val="en-CA"/>
                              </w:rPr>
                              <w:t>1</w:t>
                            </w:r>
                            <w:r w:rsidR="003660A5" w:rsidRPr="003660A5">
                              <w:rPr>
                                <w:lang w:val="en-CA"/>
                              </w:rPr>
                              <w:t>Department of Civil and Building Engineering, Université de Sherbrooke, Sherbrooke</w:t>
                            </w:r>
                            <w:r w:rsidR="003660A5">
                              <w:rPr>
                                <w:lang w:val="en-CA"/>
                              </w:rPr>
                              <w:t>,</w:t>
                            </w:r>
                            <w:r w:rsidR="003660A5" w:rsidRPr="003660A5">
                              <w:rPr>
                                <w:lang w:val="en-CA"/>
                              </w:rPr>
                              <w:t xml:space="preserve"> Québec,</w:t>
                            </w:r>
                            <w:r w:rsidR="003660A5">
                              <w:rPr>
                                <w:lang w:val="en-CA"/>
                              </w:rPr>
                              <w:t xml:space="preserve"> Canada,</w:t>
                            </w:r>
                            <w:r w:rsidR="003660A5" w:rsidRPr="003660A5">
                              <w:rPr>
                                <w:lang w:val="en-CA"/>
                              </w:rPr>
                              <w:t xml:space="preserve"> J1K 2R1</w:t>
                            </w:r>
                          </w:p>
                          <w:p w14:paraId="39ECBE61" w14:textId="7D1475D9" w:rsidR="00D877D3" w:rsidRDefault="00D877D3" w:rsidP="00611669">
                            <w:pPr>
                              <w:pStyle w:val="Authors"/>
                              <w:rPr>
                                <w:lang w:val="en-CA"/>
                              </w:rPr>
                            </w:pPr>
                            <w:r w:rsidRPr="00D877D3">
                              <w:rPr>
                                <w:vertAlign w:val="superscript"/>
                                <w:lang w:val="en-CA"/>
                              </w:rPr>
                              <w:t>2</w:t>
                            </w:r>
                            <w:r w:rsidRPr="00D877D3">
                              <w:rPr>
                                <w:lang w:val="en-CA"/>
                              </w:rPr>
                              <w:t xml:space="preserve">Department of Building, Civil, and Environmental Engineering, </w:t>
                            </w:r>
                            <w:r>
                              <w:rPr>
                                <w:lang w:val="en-CA"/>
                              </w:rPr>
                              <w:t>Concordia University</w:t>
                            </w:r>
                            <w:r w:rsidRPr="00531DA2">
                              <w:rPr>
                                <w:lang w:val="en-CA"/>
                              </w:rPr>
                              <w:t xml:space="preserve">, </w:t>
                            </w:r>
                            <w:r>
                              <w:rPr>
                                <w:lang w:val="en-CA"/>
                              </w:rPr>
                              <w:t>Montreal</w:t>
                            </w:r>
                            <w:r w:rsidRPr="00531DA2">
                              <w:rPr>
                                <w:lang w:val="en-CA"/>
                              </w:rPr>
                              <w:t xml:space="preserve">, </w:t>
                            </w:r>
                            <w:r>
                              <w:rPr>
                                <w:lang w:val="en-CA"/>
                              </w:rPr>
                              <w:t>Quebec</w:t>
                            </w:r>
                            <w:r w:rsidRPr="00531DA2">
                              <w:rPr>
                                <w:lang w:val="en-CA"/>
                              </w:rPr>
                              <w:t xml:space="preserve">, </w:t>
                            </w:r>
                            <w:r>
                              <w:rPr>
                                <w:lang w:val="en-CA"/>
                              </w:rPr>
                              <w:t>Canada, H3G 1M8</w:t>
                            </w:r>
                          </w:p>
                          <w:p w14:paraId="054EFC7B" w14:textId="5CCDDBE4" w:rsidR="00611669" w:rsidRDefault="00611669" w:rsidP="00611669">
                            <w:pPr>
                              <w:pStyle w:val="Authors"/>
                            </w:pPr>
                            <w:proofErr w:type="gramStart"/>
                            <w:r>
                              <w:t>Email</w:t>
                            </w:r>
                            <w:proofErr w:type="gramEnd"/>
                            <w:r>
                              <w:t xml:space="preserve"> : </w:t>
                            </w:r>
                            <w:r w:rsidR="003660A5">
                              <w:t>xin.zhang@usherbrooke.ca</w:t>
                            </w:r>
                            <w:r>
                              <w:t xml:space="preserve">, </w:t>
                            </w:r>
                            <w:r w:rsidR="003660A5" w:rsidRPr="003660A5">
                              <w:t>monireh.aram@usherbrooke.ca</w:t>
                            </w:r>
                            <w:r w:rsidR="003660A5">
                              <w:t xml:space="preserve">, </w:t>
                            </w:r>
                            <w:r w:rsidR="003660A5" w:rsidRPr="003660A5">
                              <w:t>dahai.qi@usherbrooke.ca</w:t>
                            </w:r>
                            <w:r w:rsidR="00D877D3">
                              <w:t xml:space="preserve">, </w:t>
                            </w:r>
                            <w:r w:rsidR="00D877D3" w:rsidRPr="00D877D3">
                              <w:t>leon.wang@concordia.ca</w:t>
                            </w:r>
                          </w:p>
                          <w:p w14:paraId="23561DD1" w14:textId="795CE8AB" w:rsidR="00D96E7E" w:rsidRDefault="00D96E7E" w:rsidP="00611669">
                            <w:pPr>
                              <w:pStyle w:val="Author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2BA2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.75pt;margin-top:81pt;width:510.25pt;height:102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" stroked="f">
                <v:fill opacity="0"/>
                <v:textbox inset="0,0,0,0">
                  <w:txbxContent>
                    <w:p w14:paraId="1D881ED9" w14:textId="29C25FB8" w:rsidR="00D96E7E" w:rsidRPr="00D96E7E" w:rsidRDefault="00230F60" w:rsidP="006861C5">
                      <w:pPr>
                        <w:pStyle w:val="Title"/>
                      </w:pPr>
                      <w:r>
                        <w:t xml:space="preserve">Investigation of Smoke Movement from Solar Roof Fire </w:t>
                      </w:r>
                      <w:r w:rsidR="00FB1BF2">
                        <w:t xml:space="preserve">by </w:t>
                      </w:r>
                      <w:r w:rsidR="00BB1E27">
                        <w:t xml:space="preserve">a </w:t>
                      </w:r>
                      <w:r w:rsidR="00FB1BF2">
                        <w:t>Modified Froude-Modeling Scaling</w:t>
                      </w:r>
                      <w:r w:rsidR="00BB1E27">
                        <w:t xml:space="preserve"> Method</w:t>
                      </w:r>
                    </w:p>
                    <w:p w14:paraId="0A142B20" w14:textId="6D95706E" w:rsidR="00D96E7E" w:rsidRPr="00531DA2" w:rsidRDefault="003660A5" w:rsidP="00D96E7E">
                      <w:pPr>
                        <w:pStyle w:val="Authors"/>
                        <w:rPr>
                          <w:vertAlign w:val="superscript"/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Xin Zhang</w:t>
                      </w:r>
                      <w:r w:rsidR="00D96E7E" w:rsidRPr="00531DA2">
                        <w:rPr>
                          <w:vertAlign w:val="superscript"/>
                          <w:lang w:val="en-CA"/>
                        </w:rPr>
                        <w:t>1</w:t>
                      </w:r>
                      <w:r w:rsidR="00D96E7E" w:rsidRPr="00531DA2">
                        <w:rPr>
                          <w:lang w:val="en-CA"/>
                        </w:rPr>
                        <w:t xml:space="preserve">, </w:t>
                      </w:r>
                      <w:proofErr w:type="spellStart"/>
                      <w:r>
                        <w:rPr>
                          <w:lang w:val="en-CA"/>
                        </w:rPr>
                        <w:t>Monireh</w:t>
                      </w:r>
                      <w:proofErr w:type="spellEnd"/>
                      <w:r>
                        <w:rPr>
                          <w:lang w:val="en-CA"/>
                        </w:rPr>
                        <w:t xml:space="preserve"> Aram</w:t>
                      </w:r>
                      <w:r>
                        <w:rPr>
                          <w:vertAlign w:val="superscript"/>
                          <w:lang w:val="en-CA"/>
                        </w:rPr>
                        <w:t>1</w:t>
                      </w:r>
                      <w:r w:rsidR="00D96E7E" w:rsidRPr="00531DA2">
                        <w:rPr>
                          <w:lang w:val="en-CA"/>
                        </w:rPr>
                        <w:t xml:space="preserve">, </w:t>
                      </w:r>
                      <w:proofErr w:type="spellStart"/>
                      <w:r>
                        <w:rPr>
                          <w:lang w:val="en-CA"/>
                        </w:rPr>
                        <w:t>Dahai</w:t>
                      </w:r>
                      <w:proofErr w:type="spellEnd"/>
                      <w:r>
                        <w:rPr>
                          <w:lang w:val="en-CA"/>
                        </w:rPr>
                        <w:t xml:space="preserve"> Qi</w:t>
                      </w:r>
                      <w:r w:rsidR="00D96E7E" w:rsidRPr="00531DA2">
                        <w:rPr>
                          <w:vertAlign w:val="superscript"/>
                          <w:lang w:val="en-CA"/>
                        </w:rPr>
                        <w:t>1</w:t>
                      </w:r>
                      <w:r w:rsidR="00D877D3" w:rsidRPr="00531DA2">
                        <w:rPr>
                          <w:lang w:val="en-CA"/>
                        </w:rPr>
                        <w:t xml:space="preserve">, </w:t>
                      </w:r>
                      <w:proofErr w:type="spellStart"/>
                      <w:r w:rsidR="00D877D3">
                        <w:rPr>
                          <w:lang w:val="en-CA"/>
                        </w:rPr>
                        <w:t>Liangzhu</w:t>
                      </w:r>
                      <w:proofErr w:type="spellEnd"/>
                      <w:r w:rsidR="00D877D3">
                        <w:rPr>
                          <w:lang w:val="en-CA"/>
                        </w:rPr>
                        <w:t xml:space="preserve"> (Leon) Wang</w:t>
                      </w:r>
                      <w:r w:rsidR="00D877D3">
                        <w:rPr>
                          <w:vertAlign w:val="superscript"/>
                          <w:lang w:val="en-CA"/>
                        </w:rPr>
                        <w:t>2</w:t>
                      </w:r>
                    </w:p>
                    <w:p w14:paraId="05E77516" w14:textId="35D83547" w:rsidR="003660A5" w:rsidRDefault="00611669" w:rsidP="00611669">
                      <w:pPr>
                        <w:pStyle w:val="Authors"/>
                        <w:rPr>
                          <w:lang w:val="en-CA"/>
                        </w:rPr>
                      </w:pPr>
                      <w:r w:rsidRPr="00531DA2">
                        <w:rPr>
                          <w:vertAlign w:val="superscript"/>
                          <w:lang w:val="en-CA"/>
                        </w:rPr>
                        <w:t>1</w:t>
                      </w:r>
                      <w:r w:rsidR="003660A5" w:rsidRPr="003660A5">
                        <w:rPr>
                          <w:lang w:val="en-CA"/>
                        </w:rPr>
                        <w:t>Department of Civil and Building Engineering, Université de Sherbrooke, Sherbrooke</w:t>
                      </w:r>
                      <w:r w:rsidR="003660A5">
                        <w:rPr>
                          <w:lang w:val="en-CA"/>
                        </w:rPr>
                        <w:t>,</w:t>
                      </w:r>
                      <w:r w:rsidR="003660A5" w:rsidRPr="003660A5">
                        <w:rPr>
                          <w:lang w:val="en-CA"/>
                        </w:rPr>
                        <w:t xml:space="preserve"> Québec,</w:t>
                      </w:r>
                      <w:r w:rsidR="003660A5">
                        <w:rPr>
                          <w:lang w:val="en-CA"/>
                        </w:rPr>
                        <w:t xml:space="preserve"> Canada,</w:t>
                      </w:r>
                      <w:r w:rsidR="003660A5" w:rsidRPr="003660A5">
                        <w:rPr>
                          <w:lang w:val="en-CA"/>
                        </w:rPr>
                        <w:t xml:space="preserve"> J1K 2R1</w:t>
                      </w:r>
                    </w:p>
                    <w:p w14:paraId="39ECBE61" w14:textId="7D1475D9" w:rsidR="00D877D3" w:rsidRDefault="00D877D3" w:rsidP="00611669">
                      <w:pPr>
                        <w:pStyle w:val="Authors"/>
                        <w:rPr>
                          <w:lang w:val="en-CA"/>
                        </w:rPr>
                      </w:pPr>
                      <w:r w:rsidRPr="00D877D3">
                        <w:rPr>
                          <w:vertAlign w:val="superscript"/>
                          <w:lang w:val="en-CA"/>
                        </w:rPr>
                        <w:t>2</w:t>
                      </w:r>
                      <w:r w:rsidRPr="00D877D3">
                        <w:rPr>
                          <w:lang w:val="en-CA"/>
                        </w:rPr>
                        <w:t xml:space="preserve">Department of Building, Civil, and Environmental Engineering, </w:t>
                      </w:r>
                      <w:r>
                        <w:rPr>
                          <w:lang w:val="en-CA"/>
                        </w:rPr>
                        <w:t>Concordia University</w:t>
                      </w:r>
                      <w:r w:rsidRPr="00531DA2">
                        <w:rPr>
                          <w:lang w:val="en-CA"/>
                        </w:rPr>
                        <w:t xml:space="preserve">, </w:t>
                      </w:r>
                      <w:r>
                        <w:rPr>
                          <w:lang w:val="en-CA"/>
                        </w:rPr>
                        <w:t>Montreal</w:t>
                      </w:r>
                      <w:r w:rsidRPr="00531DA2">
                        <w:rPr>
                          <w:lang w:val="en-CA"/>
                        </w:rPr>
                        <w:t xml:space="preserve">, </w:t>
                      </w:r>
                      <w:r>
                        <w:rPr>
                          <w:lang w:val="en-CA"/>
                        </w:rPr>
                        <w:t>Quebec</w:t>
                      </w:r>
                      <w:r w:rsidRPr="00531DA2">
                        <w:rPr>
                          <w:lang w:val="en-CA"/>
                        </w:rPr>
                        <w:t xml:space="preserve">, </w:t>
                      </w:r>
                      <w:r>
                        <w:rPr>
                          <w:lang w:val="en-CA"/>
                        </w:rPr>
                        <w:t>Canada, H3G 1M8</w:t>
                      </w:r>
                    </w:p>
                    <w:p w14:paraId="054EFC7B" w14:textId="5CCDDBE4" w:rsidR="00611669" w:rsidRDefault="00611669" w:rsidP="00611669">
                      <w:pPr>
                        <w:pStyle w:val="Authors"/>
                      </w:pPr>
                      <w:proofErr w:type="gramStart"/>
                      <w:r>
                        <w:t>Email</w:t>
                      </w:r>
                      <w:proofErr w:type="gramEnd"/>
                      <w:r>
                        <w:t xml:space="preserve"> : </w:t>
                      </w:r>
                      <w:r w:rsidR="003660A5">
                        <w:t>xin.zhang@usherbrooke.ca</w:t>
                      </w:r>
                      <w:r>
                        <w:t xml:space="preserve">, </w:t>
                      </w:r>
                      <w:r w:rsidR="003660A5" w:rsidRPr="003660A5">
                        <w:t>monireh.aram@usherbrooke.ca</w:t>
                      </w:r>
                      <w:r w:rsidR="003660A5">
                        <w:t xml:space="preserve">, </w:t>
                      </w:r>
                      <w:r w:rsidR="003660A5" w:rsidRPr="003660A5">
                        <w:t>dahai.qi@usherbrooke.ca</w:t>
                      </w:r>
                      <w:r w:rsidR="00D877D3">
                        <w:t xml:space="preserve">, </w:t>
                      </w:r>
                      <w:r w:rsidR="00D877D3" w:rsidRPr="00D877D3">
                        <w:t>leon.wang@concordia.ca</w:t>
                      </w:r>
                    </w:p>
                    <w:p w14:paraId="23561DD1" w14:textId="795CE8AB" w:rsidR="00D96E7E" w:rsidRDefault="00D96E7E" w:rsidP="00611669">
                      <w:pPr>
                        <w:pStyle w:val="Authors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438BEE62" w14:textId="77777777" w:rsidR="00611669" w:rsidRDefault="00611669" w:rsidP="009F20B8"/>
    <w:p w14:paraId="69AC3DC0" w14:textId="6FC2C8C5" w:rsidR="0084325B" w:rsidRPr="0084325B" w:rsidRDefault="00D96E7E" w:rsidP="00CC315B">
      <w:r w:rsidRPr="00D96E7E">
        <w:t xml:space="preserve">ABSTRACT: </w:t>
      </w:r>
      <w:r w:rsidR="00891080">
        <w:t>As one of the most important clean technologies, solar roof is increas</w:t>
      </w:r>
      <w:r w:rsidR="004D5FDC">
        <w:t>ing</w:t>
      </w:r>
      <w:r w:rsidR="00891080">
        <w:t xml:space="preserve">ly applied. </w:t>
      </w:r>
      <w:r w:rsidR="00CC315B">
        <w:t>To understand the mechanics of smoke spread from solar roof fire into the building, it is necessary to conduct s</w:t>
      </w:r>
      <w:r w:rsidR="00891080">
        <w:t>mall</w:t>
      </w:r>
      <w:r w:rsidR="004D5FDC">
        <w:t>-</w:t>
      </w:r>
      <w:r w:rsidR="00891080">
        <w:t>scale experiments</w:t>
      </w:r>
      <w:r w:rsidR="00CC315B">
        <w:t>, which need an accurate</w:t>
      </w:r>
      <w:r w:rsidR="00891080">
        <w:t xml:space="preserve"> </w:t>
      </w:r>
      <w:r w:rsidR="00CC315B">
        <w:t>scaling method by considering both wind and buoyancy effects</w:t>
      </w:r>
      <w:r w:rsidR="00891080">
        <w:t>. This study propose</w:t>
      </w:r>
      <w:r w:rsidR="00CC315B">
        <w:t>s</w:t>
      </w:r>
      <w:r w:rsidR="00891080">
        <w:t xml:space="preserve"> a modified Froude-modeling scaling</w:t>
      </w:r>
      <w:r w:rsidR="00CC315B">
        <w:t>, where the</w:t>
      </w:r>
      <w:r w:rsidR="00891080">
        <w:t xml:space="preserve"> </w:t>
      </w:r>
      <w:r w:rsidR="00CC315B">
        <w:t>impacts of</w:t>
      </w:r>
      <w:r w:rsidR="00891080">
        <w:t xml:space="preserve"> wind and buoyancy force</w:t>
      </w:r>
      <w:r w:rsidR="00DB7458">
        <w:t>s</w:t>
      </w:r>
      <w:r w:rsidR="00CC315B">
        <w:t xml:space="preserve"> are considered using</w:t>
      </w:r>
      <w:r w:rsidR="005709D6">
        <w:t xml:space="preserve"> two</w:t>
      </w:r>
      <w:r w:rsidR="00367324" w:rsidRPr="00367324">
        <w:t xml:space="preserve"> modification coefficients</w:t>
      </w:r>
      <w:r w:rsidR="00CC315B">
        <w:t>,</w:t>
      </w:r>
      <w:r w:rsidR="00367324" w:rsidRPr="00367324">
        <w:t xml:space="preserve"> α</w:t>
      </w:r>
      <w:r w:rsidR="00DB7458">
        <w:t>,</w:t>
      </w:r>
      <w:r w:rsidR="00367324" w:rsidRPr="00367324">
        <w:t xml:space="preserve"> and β</w:t>
      </w:r>
      <w:r w:rsidR="00367324">
        <w:t xml:space="preserve">. </w:t>
      </w:r>
      <w:r w:rsidR="00367324" w:rsidRPr="00367324">
        <w:t xml:space="preserve">A series of </w:t>
      </w:r>
      <w:r w:rsidR="00806D21">
        <w:t xml:space="preserve">sub-scale and full-scale </w:t>
      </w:r>
      <w:r w:rsidR="00367324" w:rsidRPr="00367324">
        <w:t xml:space="preserve">CFD simulations </w:t>
      </w:r>
      <w:r w:rsidR="00CC315B">
        <w:t>were</w:t>
      </w:r>
      <w:r w:rsidR="00367324" w:rsidRPr="00367324">
        <w:t xml:space="preserve"> </w:t>
      </w:r>
      <w:r w:rsidR="00CC315B">
        <w:t>conducted</w:t>
      </w:r>
      <w:r w:rsidR="00367324">
        <w:t xml:space="preserve">. By comparing </w:t>
      </w:r>
      <w:r w:rsidR="00806D21">
        <w:t xml:space="preserve">the </w:t>
      </w:r>
      <w:r w:rsidR="00367324">
        <w:t xml:space="preserve">dimensionless velocity and temperature, </w:t>
      </w:r>
      <w:r w:rsidR="00EB178D">
        <w:t xml:space="preserve">it was found that when </w:t>
      </w:r>
      <w:r w:rsidR="00367324" w:rsidRPr="00367324">
        <w:rPr>
          <w:rFonts w:hint="eastAsia"/>
        </w:rPr>
        <w:t>α</w:t>
      </w:r>
      <w:r w:rsidR="00367324" w:rsidRPr="00367324">
        <w:t>=0.25</w:t>
      </w:r>
      <w:r w:rsidR="00367324">
        <w:t xml:space="preserve"> and</w:t>
      </w:r>
      <w:r w:rsidR="00367324" w:rsidRPr="00367324">
        <w:t xml:space="preserve"> β=0.</w:t>
      </w:r>
      <w:proofErr w:type="gramStart"/>
      <w:r w:rsidR="00367324" w:rsidRPr="00367324">
        <w:t>1875</w:t>
      </w:r>
      <w:r w:rsidR="00EB178D">
        <w:t xml:space="preserve">, </w:t>
      </w:r>
      <w:r w:rsidR="00367324">
        <w:t xml:space="preserve"> the</w:t>
      </w:r>
      <w:proofErr w:type="gramEnd"/>
      <w:r w:rsidR="00367324">
        <w:t xml:space="preserve"> indoor </w:t>
      </w:r>
      <w:r w:rsidR="00EB178D">
        <w:t xml:space="preserve">velocity and temperature can satisfy the similarity, while for the outdoor environment, </w:t>
      </w:r>
      <w:r w:rsidR="00367324" w:rsidRPr="00367324">
        <w:t>α</w:t>
      </w:r>
      <w:r w:rsidR="00EB178D">
        <w:t>=</w:t>
      </w:r>
      <w:r w:rsidR="00367324" w:rsidRPr="00367324">
        <w:t>0.035</w:t>
      </w:r>
      <w:r w:rsidR="00367324">
        <w:t>.</w:t>
      </w:r>
    </w:p>
    <w:p w14:paraId="0FC9EB6F" w14:textId="524409F5" w:rsidR="0022400C" w:rsidRPr="00CD176A" w:rsidRDefault="00414E82" w:rsidP="00CD176A">
      <w:pPr>
        <w:pStyle w:val="KeyWords"/>
      </w:pPr>
      <w:r>
        <w:t xml:space="preserve">KEYWORDS: </w:t>
      </w:r>
      <w:r w:rsidR="00230F60" w:rsidRPr="00230F60">
        <w:t>Froude modeling</w:t>
      </w:r>
      <w:r w:rsidR="00230F60">
        <w:rPr>
          <w:rFonts w:ascii="宋体" w:eastAsia="宋体" w:hAnsi="宋体" w:cs="宋体"/>
          <w:lang w:eastAsia="zh-CN"/>
        </w:rPr>
        <w:t>;</w:t>
      </w:r>
      <w:r w:rsidR="00230F60" w:rsidRPr="00230F60">
        <w:t xml:space="preserve"> solar roof fire</w:t>
      </w:r>
      <w:r w:rsidR="00230F60">
        <w:t>;</w:t>
      </w:r>
      <w:r w:rsidR="00230F60" w:rsidRPr="00230F60">
        <w:t xml:space="preserve"> smoke spread</w:t>
      </w:r>
      <w:r w:rsidR="00230F60">
        <w:t>;</w:t>
      </w:r>
      <w:r w:rsidR="00230F60" w:rsidRPr="00230F60">
        <w:t xml:space="preserve"> CFD simulations</w:t>
      </w:r>
      <w:r w:rsidR="00D96E7E" w:rsidRPr="00CD176A">
        <w:t>.</w:t>
      </w:r>
    </w:p>
    <w:p w14:paraId="5059BE64" w14:textId="77777777" w:rsidR="00D96E7E" w:rsidRPr="00CD176A" w:rsidRDefault="00D96E7E" w:rsidP="00CD176A">
      <w:pPr>
        <w:pStyle w:val="KeyWords"/>
        <w:sectPr w:rsidR="00D96E7E" w:rsidRPr="00CD176A" w:rsidSect="009529E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1418" w:right="794" w:bottom="1418" w:left="794" w:header="709" w:footer="709" w:gutter="0"/>
          <w:cols w:space="708"/>
          <w:titlePg/>
          <w:docGrid w:linePitch="360"/>
        </w:sectPr>
      </w:pPr>
    </w:p>
    <w:p w14:paraId="1DE9DD98" w14:textId="058B6DC6" w:rsidR="00D96E7E" w:rsidRDefault="001426CD" w:rsidP="009F20B8">
      <w:pPr>
        <w:pStyle w:val="Heading1"/>
      </w:pPr>
      <w:r>
        <w:t>Introduction</w:t>
      </w:r>
    </w:p>
    <w:p w14:paraId="654339CF" w14:textId="7F98E111" w:rsidR="001426CD" w:rsidRDefault="001426CD" w:rsidP="008432AB">
      <w:pPr>
        <w:pStyle w:val="NormalIndent"/>
        <w:ind w:firstLine="0"/>
      </w:pPr>
      <w:r w:rsidRPr="001426CD">
        <w:t xml:space="preserve">To reduce carbon emissions and create a clean environment, Quebec aims to reduce greenhouse gas emissions by 27.5% in 2030 compared to the 1990 level </w:t>
      </w:r>
      <w:r>
        <w:rPr>
          <w:lang w:val="en-GB"/>
        </w:rPr>
        <w:fldChar w:fldCharType="begin" w:fldLock="1"/>
      </w:r>
      <w:r>
        <w:rPr>
          <w:lang w:val="en-GB"/>
        </w:rPr>
        <w:instrText>ADDIN CSL_CITATION {"citationItems":[{"id":"ITEM-1","itemData":{"author":[{"dropping-particle":"","family":"lEnvironnement","given":"Ministère","non-dropping-particle":"de","parse-names":false,"suffix":""},{"dropping-particle":"","family":"Lutte contre les changements climatiques","given":"de","non-dropping-particle":"la","parse-names":false,"suffix":""},{"dropping-particle":"","family":"générale de la transition climatique","given":"Direction","non-dropping-particle":"","parse-names":false,"suffix":""}],"id":"ITEM-1","issued":{"date-parts":[["2030"]]},"title":"Tableau détaillé des actions du Plan de mise en œuvre 2021-2026 du Plan pour une économie verte 2030","type":"article-journal"},"uris":["http://www.mendeley.com/documents/?uuid=194d0e40-1320-3245-b88c-6834eebcbe25"]}],"mendeley":{"formattedCitation":"[1]","plainTextFormattedCitation":"[1]","previouslyFormattedCitation":"[1]"},"properties":{"noteIndex":0},"schema":"https://github.com/citation-style-language/schema/raw/master/csl-citation.json"}</w:instrText>
      </w:r>
      <w:r>
        <w:rPr>
          <w:lang w:val="en-GB"/>
        </w:rPr>
        <w:fldChar w:fldCharType="separate"/>
      </w:r>
      <w:r w:rsidRPr="003317F5">
        <w:rPr>
          <w:noProof/>
          <w:lang w:val="en-GB"/>
        </w:rPr>
        <w:t>[1]</w:t>
      </w:r>
      <w:r>
        <w:rPr>
          <w:lang w:val="en-GB"/>
        </w:rPr>
        <w:fldChar w:fldCharType="end"/>
      </w:r>
      <w:r w:rsidRPr="001426CD">
        <w:t>.</w:t>
      </w:r>
      <w:r w:rsidR="00497F9C">
        <w:t xml:space="preserve"> Therefore, solar roof is promoted</w:t>
      </w:r>
      <w:r w:rsidR="00685332">
        <w:t xml:space="preserve"> to reach the goal of greenhouse gas emissions reduction. However, </w:t>
      </w:r>
      <w:r w:rsidR="00AE62CB">
        <w:t xml:space="preserve">there is </w:t>
      </w:r>
      <w:r w:rsidR="00E823D6">
        <w:t xml:space="preserve">a </w:t>
      </w:r>
      <w:r w:rsidR="00AE62CB">
        <w:t xml:space="preserve">huge concern on the fire safety issue of </w:t>
      </w:r>
      <w:r w:rsidR="00DB7458">
        <w:t xml:space="preserve">the </w:t>
      </w:r>
      <w:r w:rsidR="00AE62CB">
        <w:t>solar roof, e.g.</w:t>
      </w:r>
      <w:r w:rsidR="00DB7458">
        <w:t>,</w:t>
      </w:r>
      <w:r w:rsidR="00AE62CB">
        <w:t xml:space="preserve"> seven</w:t>
      </w:r>
      <w:r w:rsidR="00685332">
        <w:t xml:space="preserve"> fire accidents </w:t>
      </w:r>
      <w:r w:rsidR="00AE62CB">
        <w:t>originat</w:t>
      </w:r>
      <w:r w:rsidR="00DB7458">
        <w:t>ing</w:t>
      </w:r>
      <w:r w:rsidR="00AE62CB">
        <w:t xml:space="preserve"> </w:t>
      </w:r>
      <w:r w:rsidR="00685332">
        <w:t xml:space="preserve">from Photovoltaic (PV) panels roof </w:t>
      </w:r>
      <w:r w:rsidR="00AE62CB">
        <w:t xml:space="preserve">were reported in </w:t>
      </w:r>
      <w:r w:rsidR="00974188">
        <w:t xml:space="preserve">the </w:t>
      </w:r>
      <w:r w:rsidR="00AE62CB">
        <w:t xml:space="preserve">US in 2019 </w:t>
      </w:r>
      <w:r w:rsidR="00685332">
        <w:rPr>
          <w:lang w:val="en-GB"/>
        </w:rPr>
        <w:fldChar w:fldCharType="begin" w:fldLock="1"/>
      </w:r>
      <w:r w:rsidR="0041156A">
        <w:rPr>
          <w:lang w:val="en-GB"/>
        </w:rPr>
        <w:instrText>ADDIN CSL_CITATION {"citationItems":[{"id":"ITEM-1","itemData":{"URL":"https://www.latimes.com/business/story/2019-08-20/tesla-solar-panels-caused-fires-at-7-walmart-stores-retailer-alleges","accessed":{"date-parts":[["2020","1","16"]]},"author":[{"dropping-particle":"","family":"Dolmetsch","given":"C.","non-dropping-particle":"","parse-names":false,"suffix":""}],"id":"ITEM-1","issued":{"date-parts":[["2019"]]},"title":"Tesla solar panels caused fires at 7 Walmart stores, retailer alleges - Los Angeles Times","type":"webpage"},"uris":["http://www.mendeley.com/documents/?uuid=d6fd5f6c-89d5-3d5f-9b18-63c1855b8c0e"]}],"mendeley":{"formattedCitation":"[2]","plainTextFormattedCitation":"[2]","previouslyFormattedCitation":"[3]"},"properties":{"noteIndex":0},"schema":"https://github.com/citation-style-language/schema/raw/master/csl-citation.json"}</w:instrText>
      </w:r>
      <w:r w:rsidR="00685332">
        <w:rPr>
          <w:lang w:val="en-GB"/>
        </w:rPr>
        <w:fldChar w:fldCharType="separate"/>
      </w:r>
      <w:r w:rsidR="0041156A" w:rsidRPr="0041156A">
        <w:rPr>
          <w:noProof/>
          <w:lang w:val="en-GB"/>
        </w:rPr>
        <w:t>[2]</w:t>
      </w:r>
      <w:r w:rsidR="00685332">
        <w:rPr>
          <w:lang w:val="en-GB"/>
        </w:rPr>
        <w:fldChar w:fldCharType="end"/>
      </w:r>
      <w:r w:rsidR="00685332">
        <w:t>.</w:t>
      </w:r>
      <w:r w:rsidR="004A3680">
        <w:t xml:space="preserve"> </w:t>
      </w:r>
      <w:r w:rsidR="00891080">
        <w:t>To address the fire safety iss</w:t>
      </w:r>
      <w:r w:rsidR="00FF48BE">
        <w:t>ues</w:t>
      </w:r>
      <w:r w:rsidR="004A3680">
        <w:t xml:space="preserve">, </w:t>
      </w:r>
      <w:r w:rsidR="00CC315B">
        <w:t xml:space="preserve">it is necessary to </w:t>
      </w:r>
      <w:r w:rsidR="00FF48BE">
        <w:t>research</w:t>
      </w:r>
      <w:r w:rsidR="00AE62CB">
        <w:t xml:space="preserve"> the</w:t>
      </w:r>
      <w:r w:rsidR="004A3680">
        <w:t xml:space="preserve"> smoke spread from solar roof fire into the building. </w:t>
      </w:r>
      <w:r w:rsidR="00AE62CB">
        <w:t>Small</w:t>
      </w:r>
      <w:r w:rsidR="00DB7458">
        <w:t>-</w:t>
      </w:r>
      <w:r w:rsidR="00AE62CB">
        <w:t xml:space="preserve">scale experiments </w:t>
      </w:r>
      <w:r w:rsidR="00891080">
        <w:t xml:space="preserve">based on traditional Froude modeling </w:t>
      </w:r>
      <w:r w:rsidR="00AE62CB">
        <w:t>are often used in fire safety research</w:t>
      </w:r>
      <w:r w:rsidR="00BB1E27">
        <w:t xml:space="preserve">. </w:t>
      </w:r>
      <w:r w:rsidR="00891080">
        <w:t xml:space="preserve">However, the traditional Froude modeling neglects the wind impact; </w:t>
      </w:r>
      <w:proofErr w:type="gramStart"/>
      <w:r w:rsidR="00891080">
        <w:t>therefore</w:t>
      </w:r>
      <w:proofErr w:type="gramEnd"/>
      <w:r w:rsidR="00891080">
        <w:t xml:space="preserve"> may</w:t>
      </w:r>
      <w:r w:rsidR="00974188">
        <w:t xml:space="preserve"> </w:t>
      </w:r>
      <w:r w:rsidR="00891080">
        <w:t>not work for the PV roof fire</w:t>
      </w:r>
      <w:r w:rsidR="00974188">
        <w:t>-</w:t>
      </w:r>
      <w:r w:rsidR="00891080">
        <w:t xml:space="preserve">induced smoke spread where there </w:t>
      </w:r>
      <w:r w:rsidR="00974188">
        <w:t>are</w:t>
      </w:r>
      <w:r w:rsidR="00891080">
        <w:t xml:space="preserve"> strong wind effects. </w:t>
      </w:r>
      <w:r w:rsidR="004A3680">
        <w:t xml:space="preserve">This study </w:t>
      </w:r>
      <w:r w:rsidR="00974188">
        <w:t>proposes a modified Froude-modeling scaling by considering both wind and buoyancy force and validating</w:t>
      </w:r>
      <w:r w:rsidR="00BB1E27">
        <w:t xml:space="preserve"> its accuracy</w:t>
      </w:r>
      <w:r w:rsidR="00D27CBB">
        <w:t>.</w:t>
      </w:r>
    </w:p>
    <w:p w14:paraId="44A656D0" w14:textId="280350E3" w:rsidR="0084325B" w:rsidRDefault="001426CD" w:rsidP="00A517D7">
      <w:pPr>
        <w:pStyle w:val="Heading1"/>
      </w:pPr>
      <w:r>
        <w:t>Methodology</w:t>
      </w:r>
    </w:p>
    <w:p w14:paraId="3C5D5409" w14:textId="0FBCA883" w:rsidR="009F20B8" w:rsidRDefault="001426CD" w:rsidP="00A517D7">
      <w:pPr>
        <w:pStyle w:val="Heading2"/>
      </w:pPr>
      <w:r>
        <w:t>Modified Froude-modeling-based scaling</w:t>
      </w:r>
    </w:p>
    <w:p w14:paraId="53997245" w14:textId="34BD30A2" w:rsidR="00921F42" w:rsidRDefault="00921F42" w:rsidP="008432AB">
      <w:r>
        <w:t xml:space="preserve">Based on the Froude number, </w:t>
      </w:r>
      <w:r w:rsidRPr="00921F42">
        <w:t>velocity modification coefficient α is added to represent the other external field</w:t>
      </w:r>
      <w:r w:rsidR="00974188">
        <w:t>,</w:t>
      </w:r>
      <w:r w:rsidRPr="00921F42">
        <w:t xml:space="preserve"> such as buoyancy force as below. </w:t>
      </w:r>
      <w:r w:rsidRPr="00921F42">
        <w:rPr>
          <w:i/>
          <w:iCs/>
        </w:rPr>
        <w:t xml:space="preserve">Fr </w:t>
      </w:r>
      <w:r w:rsidRPr="00921F42">
        <w:t xml:space="preserve">is modified Froude number; </w:t>
      </w:r>
      <w:r w:rsidRPr="00921F42">
        <w:rPr>
          <w:i/>
          <w:iCs/>
        </w:rPr>
        <w:t>u</w:t>
      </w:r>
      <w:r w:rsidRPr="00921F42">
        <w:t xml:space="preserve"> is velocity (m/s); </w:t>
      </w:r>
      <w:r w:rsidRPr="00921F42">
        <w:rPr>
          <w:i/>
          <w:iCs/>
        </w:rPr>
        <w:t>g</w:t>
      </w:r>
      <w:r w:rsidRPr="00921F42">
        <w:t xml:space="preserve"> is gravity acceleration (m/s</w:t>
      </w:r>
      <w:r w:rsidRPr="00921F42">
        <w:rPr>
          <w:vertAlign w:val="superscript"/>
        </w:rPr>
        <w:t>2</w:t>
      </w:r>
      <w:r w:rsidRPr="00921F42">
        <w:t>);</w:t>
      </w:r>
      <w:r w:rsidRPr="00921F42">
        <w:rPr>
          <w:i/>
          <w:iCs/>
        </w:rPr>
        <w:t xml:space="preserve"> l</w:t>
      </w:r>
      <w:r w:rsidRPr="00921F42">
        <w:t xml:space="preserve"> is length (m); </w:t>
      </w:r>
      <w:r w:rsidRPr="00921F42">
        <w:rPr>
          <w:i/>
          <w:iCs/>
        </w:rPr>
        <w:t>T</w:t>
      </w:r>
      <w:r w:rsidRPr="00921F42">
        <w:t xml:space="preserve"> is temperature (K); </w:t>
      </w:r>
      <w:r w:rsidRPr="00921F42">
        <w:rPr>
          <w:i/>
          <w:iCs/>
        </w:rPr>
        <w:t>T*</w:t>
      </w:r>
      <w:r w:rsidRPr="00921F42">
        <w:t xml:space="preserve"> is the dimensionless temperature; subscript </w:t>
      </w:r>
      <w:r w:rsidRPr="00921F42">
        <w:rPr>
          <w:i/>
          <w:iCs/>
        </w:rPr>
        <w:t>s</w:t>
      </w:r>
      <w:r w:rsidRPr="00921F42">
        <w:t xml:space="preserve"> is sub-scale model; subscript </w:t>
      </w:r>
      <w:r w:rsidRPr="00921F42">
        <w:rPr>
          <w:i/>
          <w:iCs/>
        </w:rPr>
        <w:t>f</w:t>
      </w:r>
      <w:r w:rsidRPr="00921F42">
        <w:t xml:space="preserve"> is full-scale model.</w:t>
      </w:r>
    </w:p>
    <w:p w14:paraId="51D16CEB" w14:textId="17C5C709" w:rsidR="00921F42" w:rsidRDefault="00921F42" w:rsidP="00921F42">
      <w:pPr>
        <w:pStyle w:val="Equation"/>
      </w:pPr>
      <w:bookmarkStart w:id="1" w:name="_Hlk100823055"/>
      <w:r>
        <w:tab/>
      </w:r>
      <m:oMath>
        <m:r>
          <w:rPr>
            <w:rFonts w:ascii="Cambria Math" w:hAnsi="Cambria Math"/>
          </w:rPr>
          <m:t>Fr=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color w:val="000000" w:themeColor="text1"/>
                    <w:kern w:val="24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kern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kern w:val="24"/>
                  </w:rPr>
                  <m:t>s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g</m:t>
                </m:r>
              </m:e>
              <m:sup>
                <m:r>
                  <w:rPr>
                    <w:rFonts w:ascii="Cambria Math" w:hAnsi="Cambria Math"/>
                  </w:rPr>
                  <m:t>0.5</m:t>
                </m:r>
              </m:sup>
            </m:sSup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l</m:t>
                </m:r>
              </m:e>
              <m:sub>
                <m:r>
                  <w:rPr>
                    <w:rFonts w:ascii="Cambria Math" w:hAnsi="Cambria Math"/>
                  </w:rPr>
                  <m:t>s</m:t>
                </m:r>
              </m:sub>
              <m:sup>
                <m:r>
                  <w:rPr>
                    <w:rFonts w:ascii="Cambria Math" w:hAnsi="Cambria Math"/>
                  </w:rPr>
                  <m:t>0.5+α</m:t>
                </m:r>
              </m:sup>
            </m:sSub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color w:val="000000" w:themeColor="text1"/>
                    <w:kern w:val="24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kern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kern w:val="24"/>
                  </w:rPr>
                  <m:t>f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g</m:t>
                </m:r>
              </m:e>
              <m:sup>
                <m:r>
                  <w:rPr>
                    <w:rFonts w:ascii="Cambria Math" w:hAnsi="Cambria Math"/>
                  </w:rPr>
                  <m:t>0.5</m:t>
                </m:r>
              </m:sup>
            </m:sSup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l</m:t>
                </m:r>
              </m:e>
              <m:sub>
                <m:r>
                  <w:rPr>
                    <w:rFonts w:ascii="Cambria Math" w:hAnsi="Cambria Math"/>
                  </w:rPr>
                  <m:t>f</m:t>
                </m:r>
              </m:sub>
              <m:sup>
                <m:r>
                  <w:rPr>
                    <w:rFonts w:ascii="Cambria Math" w:hAnsi="Cambria Math"/>
                  </w:rPr>
                  <m:t>0.5+α</m:t>
                </m:r>
              </m:sup>
            </m:sSubSup>
          </m:den>
        </m:f>
      </m:oMath>
      <w:r>
        <w:tab/>
      </w:r>
      <w:r w:rsidRPr="00CD176A">
        <w:t>(</w:t>
      </w:r>
      <w:r w:rsidR="00E617E5">
        <w:fldChar w:fldCharType="begin"/>
      </w:r>
      <w:r w:rsidR="00E617E5">
        <w:instrText xml:space="preserve"> SEQ Equation \* MERGEFORMAT </w:instrText>
      </w:r>
      <w:r w:rsidR="00E617E5">
        <w:fldChar w:fldCharType="separate"/>
      </w:r>
      <w:r w:rsidR="00046530">
        <w:rPr>
          <w:noProof/>
        </w:rPr>
        <w:t>1</w:t>
      </w:r>
      <w:r w:rsidR="00E617E5">
        <w:rPr>
          <w:noProof/>
        </w:rPr>
        <w:fldChar w:fldCharType="end"/>
      </w:r>
      <w:r w:rsidRPr="00CD176A">
        <w:t>)</w:t>
      </w:r>
    </w:p>
    <w:bookmarkEnd w:id="1"/>
    <w:p w14:paraId="37B390FC" w14:textId="137352A8" w:rsidR="00921F42" w:rsidRDefault="00921F42" w:rsidP="008432AB">
      <w:pPr>
        <w:pStyle w:val="NormalIndent"/>
        <w:ind w:firstLine="0"/>
      </w:pPr>
      <w:r>
        <w:t>Velocity scaling can be derived as:</w:t>
      </w:r>
    </w:p>
    <w:p w14:paraId="30ADB826" w14:textId="6F5D8712" w:rsidR="00921F42" w:rsidRDefault="00921F42" w:rsidP="00921F42">
      <w:pPr>
        <w:pStyle w:val="Equation"/>
      </w:pPr>
      <w:r>
        <w:tab/>
      </w:r>
      <m:oMath>
        <m:f>
          <m:fPr>
            <m:ctrlPr>
              <w:rPr>
                <w:rFonts w:ascii="Cambria Math" w:hAnsi="Cambria Math"/>
                <w:color w:val="000000" w:themeColor="text1"/>
                <w:kern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color w:val="000000" w:themeColor="text1"/>
                    <w:kern w:val="24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kern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kern w:val="24"/>
                  </w:rPr>
                  <m:t>s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color w:val="000000" w:themeColor="text1"/>
                    <w:kern w:val="24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kern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kern w:val="24"/>
                  </w:rPr>
                  <m:t>f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color w:val="000000" w:themeColor="text1"/>
            <w:kern w:val="24"/>
          </w:rPr>
          <m:t>=</m:t>
        </m:r>
        <m:sSup>
          <m:sSupPr>
            <m:ctrlPr>
              <w:rPr>
                <w:rFonts w:ascii="Cambria Math" w:hAnsi="Cambria Math"/>
                <w:i/>
                <w:iCs/>
                <w:color w:val="000000" w:themeColor="text1"/>
                <w:kern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color w:val="000000" w:themeColor="text1"/>
                    <w:kern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  <w:kern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 w:themeColor="text1"/>
                            <w:kern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kern w:val="24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kern w:val="24"/>
                          </w:rPr>
                          <m:t>s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 w:themeColor="text1"/>
                            <w:kern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kern w:val="24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kern w:val="24"/>
                          </w:rPr>
                          <m:t>f</m:t>
                        </m:r>
                      </m:sub>
                    </m:sSub>
                  </m:den>
                </m:f>
                <m:ctrlPr>
                  <w:rPr>
                    <w:rFonts w:ascii="Cambria Math" w:hAnsi="Cambria Math"/>
                    <w:i/>
                    <w:iCs/>
                    <w:color w:val="000000" w:themeColor="text1"/>
                    <w:kern w:val="24"/>
                  </w:rPr>
                </m:ctrlPr>
              </m:e>
            </m:d>
          </m:e>
          <m:sup>
            <m:r>
              <w:rPr>
                <w:rFonts w:ascii="Cambria Math" w:hAnsi="Cambria Math"/>
                <w:color w:val="000000" w:themeColor="text1"/>
                <w:kern w:val="24"/>
              </w:rPr>
              <m:t>0.5+α</m:t>
            </m:r>
          </m:sup>
        </m:sSup>
      </m:oMath>
      <w:r>
        <w:tab/>
      </w:r>
      <w:r w:rsidRPr="00CD176A">
        <w:t>(</w:t>
      </w:r>
      <w:r w:rsidR="00E617E5">
        <w:fldChar w:fldCharType="begin"/>
      </w:r>
      <w:r w:rsidR="00E617E5">
        <w:instrText xml:space="preserve"> SEQ Equation \* MERGEFORMAT </w:instrText>
      </w:r>
      <w:r w:rsidR="00E617E5">
        <w:fldChar w:fldCharType="separate"/>
      </w:r>
      <w:r w:rsidR="00046530">
        <w:rPr>
          <w:noProof/>
        </w:rPr>
        <w:t>2</w:t>
      </w:r>
      <w:r w:rsidR="00E617E5">
        <w:rPr>
          <w:noProof/>
        </w:rPr>
        <w:fldChar w:fldCharType="end"/>
      </w:r>
      <w:r w:rsidRPr="00CD176A">
        <w:t>)</w:t>
      </w:r>
    </w:p>
    <w:p w14:paraId="4A36AE2E" w14:textId="40ACA97F" w:rsidR="00921F42" w:rsidRDefault="008035A9" w:rsidP="008432AB">
      <w:pPr>
        <w:pStyle w:val="NormalIndent"/>
        <w:ind w:firstLine="0"/>
      </w:pPr>
      <w:r>
        <w:t xml:space="preserve">Similarly, temperature modification coefficient </w:t>
      </w:r>
      <w:r w:rsidRPr="008035A9">
        <w:rPr>
          <w:rFonts w:hint="eastAsia"/>
        </w:rPr>
        <w:t>β</w:t>
      </w:r>
      <w:r>
        <w:t xml:space="preserve"> is imported in the </w:t>
      </w:r>
      <w:proofErr w:type="spellStart"/>
      <w:r>
        <w:t>densimetric</w:t>
      </w:r>
      <w:proofErr w:type="spellEnd"/>
      <w:r>
        <w:t xml:space="preserve"> Froude number:</w:t>
      </w:r>
    </w:p>
    <w:p w14:paraId="091DEF83" w14:textId="771307C8" w:rsidR="008035A9" w:rsidRDefault="008035A9" w:rsidP="008035A9">
      <w:pPr>
        <w:pStyle w:val="Equation"/>
      </w:pPr>
      <w:r>
        <w:tab/>
      </w:r>
      <m:oMath>
        <m:r>
          <w:rPr>
            <w:rFonts w:ascii="Cambria Math" w:hAnsi="Cambria Math"/>
          </w:rPr>
          <m:t>Fr=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color w:val="000000" w:themeColor="text1"/>
                    <w:kern w:val="24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kern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kern w:val="24"/>
                  </w:rPr>
                  <m:t>s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g</m:t>
                </m:r>
              </m:e>
              <m:sup>
                <m:r>
                  <w:rPr>
                    <w:rFonts w:ascii="Cambria Math" w:hAnsi="Cambria Math"/>
                  </w:rPr>
                  <m:t>0.5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*</m:t>
                    </m:r>
                  </m:sup>
                </m:sSup>
              </m:e>
              <m:sup>
                <m:r>
                  <w:rPr>
                    <w:rFonts w:ascii="Cambria Math" w:hAnsi="Cambria Math"/>
                  </w:rPr>
                  <m:t>0.5</m:t>
                </m:r>
              </m:sup>
            </m:sSup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l</m:t>
                </m:r>
              </m:e>
              <m:sub>
                <m:r>
                  <w:rPr>
                    <w:rFonts w:ascii="Cambria Math" w:hAnsi="Cambria Math"/>
                  </w:rPr>
                  <m:t>s</m:t>
                </m:r>
              </m:sub>
              <m:sup>
                <m:r>
                  <w:rPr>
                    <w:rFonts w:ascii="Cambria Math" w:hAnsi="Cambria Math"/>
                  </w:rPr>
                  <m:t>0.5+β</m:t>
                </m:r>
              </m:sup>
            </m:sSub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color w:val="000000" w:themeColor="text1"/>
                    <w:kern w:val="24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kern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kern w:val="24"/>
                  </w:rPr>
                  <m:t>f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g</m:t>
                </m:r>
              </m:e>
              <m:sup>
                <m:r>
                  <w:rPr>
                    <w:rFonts w:ascii="Cambria Math" w:hAnsi="Cambria Math"/>
                  </w:rPr>
                  <m:t>0.5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*</m:t>
                    </m:r>
                  </m:sup>
                </m:sSup>
              </m:e>
              <m:sup>
                <m:r>
                  <w:rPr>
                    <w:rFonts w:ascii="Cambria Math" w:hAnsi="Cambria Math"/>
                  </w:rPr>
                  <m:t>0.5</m:t>
                </m:r>
              </m:sup>
            </m:sSup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l</m:t>
                </m:r>
              </m:e>
              <m:sub>
                <m:r>
                  <w:rPr>
                    <w:rFonts w:ascii="Cambria Math" w:hAnsi="Cambria Math"/>
                  </w:rPr>
                  <m:t>f</m:t>
                </m:r>
              </m:sub>
              <m:sup>
                <m:r>
                  <w:rPr>
                    <w:rFonts w:ascii="Cambria Math" w:hAnsi="Cambria Math"/>
                  </w:rPr>
                  <m:t>0.5+β</m:t>
                </m:r>
              </m:sup>
            </m:sSubSup>
          </m:den>
        </m:f>
      </m:oMath>
      <w:r>
        <w:tab/>
      </w:r>
      <w:r w:rsidRPr="00CD176A">
        <w:t>(</w:t>
      </w:r>
      <w:r w:rsidR="00E617E5">
        <w:fldChar w:fldCharType="begin"/>
      </w:r>
      <w:r w:rsidR="00E617E5">
        <w:instrText xml:space="preserve"> SEQ Equation \* MERGEFORMAT </w:instrText>
      </w:r>
      <w:r w:rsidR="00E617E5">
        <w:fldChar w:fldCharType="separate"/>
      </w:r>
      <w:r w:rsidR="00046530">
        <w:rPr>
          <w:noProof/>
        </w:rPr>
        <w:t>3</w:t>
      </w:r>
      <w:r w:rsidR="00E617E5">
        <w:rPr>
          <w:noProof/>
        </w:rPr>
        <w:fldChar w:fldCharType="end"/>
      </w:r>
      <w:r w:rsidRPr="00CD176A">
        <w:t>)</w:t>
      </w:r>
    </w:p>
    <w:p w14:paraId="563633DE" w14:textId="1AA1C41B" w:rsidR="008035A9" w:rsidRDefault="008035A9" w:rsidP="008035A9">
      <w:pPr>
        <w:pStyle w:val="Equation"/>
      </w:pPr>
      <w:r>
        <w:tab/>
      </w:r>
      <m:oMath>
        <m:sSup>
          <m:sSupPr>
            <m:ctrlPr>
              <w:rPr>
                <w:rFonts w:ascii="Cambria Math" w:hAnsi="Cambria Math"/>
                <w:i/>
                <w:kern w:val="24"/>
              </w:rPr>
            </m:ctrlPr>
          </m:sSupPr>
          <m:e>
            <m:r>
              <w:rPr>
                <w:rFonts w:ascii="Cambria Math" w:hAnsi="Cambria Math"/>
                <w:kern w:val="24"/>
              </w:rPr>
              <m:t>T</m:t>
            </m:r>
          </m:e>
          <m:sup>
            <m:r>
              <w:rPr>
                <w:rFonts w:ascii="Cambria Math" w:hAnsi="Cambria Math"/>
                <w:kern w:val="24"/>
              </w:rPr>
              <m:t>*</m:t>
            </m:r>
          </m:sup>
        </m:sSup>
        <m:r>
          <w:rPr>
            <w:rFonts w:ascii="Cambria Math" w:hAnsi="Cambria Math"/>
            <w:kern w:val="24"/>
          </w:rPr>
          <m:t>=</m:t>
        </m:r>
        <m:f>
          <m:fPr>
            <m:ctrlPr>
              <w:rPr>
                <w:rFonts w:ascii="Cambria Math" w:hAnsi="Cambria Math"/>
                <w:i/>
                <w:iCs/>
                <w:kern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kern w:val="24"/>
                  </w:rPr>
                </m:ctrlPr>
              </m:sSubPr>
              <m:e>
                <m:r>
                  <w:rPr>
                    <w:rFonts w:ascii="Cambria Math" w:hAnsi="Cambria Math"/>
                    <w:kern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kern w:val="24"/>
                  </w:rPr>
                  <m:t>smoke</m:t>
                </m:r>
              </m:sub>
            </m:sSub>
            <m:r>
              <w:rPr>
                <w:rFonts w:ascii="Cambria Math" w:hAnsi="Cambria Math"/>
                <w:kern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kern w:val="24"/>
                  </w:rPr>
                </m:ctrlPr>
              </m:sSubPr>
              <m:e>
                <m:r>
                  <w:rPr>
                    <w:rFonts w:ascii="Cambria Math" w:hAnsi="Cambria Math"/>
                    <w:kern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kern w:val="24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kern w:val="24"/>
                  </w:rPr>
                </m:ctrlPr>
              </m:sSubPr>
              <m:e>
                <m:r>
                  <w:rPr>
                    <w:rFonts w:ascii="Cambria Math" w:hAnsi="Cambria Math"/>
                    <w:kern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kern w:val="24"/>
                  </w:rPr>
                  <m:t>a</m:t>
                </m:r>
              </m:sub>
            </m:sSub>
          </m:den>
        </m:f>
      </m:oMath>
      <w:r>
        <w:tab/>
      </w:r>
      <w:r w:rsidRPr="00CD176A">
        <w:t>(</w:t>
      </w:r>
      <w:r w:rsidR="00E617E5">
        <w:fldChar w:fldCharType="begin"/>
      </w:r>
      <w:r w:rsidR="00E617E5">
        <w:instrText xml:space="preserve"> SEQ Equation \* MERGEFORMAT </w:instrText>
      </w:r>
      <w:r w:rsidR="00E617E5">
        <w:fldChar w:fldCharType="separate"/>
      </w:r>
      <w:r w:rsidR="00046530">
        <w:rPr>
          <w:noProof/>
        </w:rPr>
        <w:t>4</w:t>
      </w:r>
      <w:r w:rsidR="00E617E5">
        <w:rPr>
          <w:noProof/>
        </w:rPr>
        <w:fldChar w:fldCharType="end"/>
      </w:r>
      <w:r w:rsidRPr="00CD176A">
        <w:t>)</w:t>
      </w:r>
    </w:p>
    <w:p w14:paraId="3AEF4B06" w14:textId="01298DB5" w:rsidR="008035A9" w:rsidRDefault="00A6327D" w:rsidP="008432AB">
      <w:pPr>
        <w:pStyle w:val="NormalIndent"/>
        <w:ind w:firstLine="0"/>
      </w:pPr>
      <w:r>
        <w:t>Therefore,</w:t>
      </w:r>
    </w:p>
    <w:p w14:paraId="322E1C57" w14:textId="77777777" w:rsidR="00A6327D" w:rsidRDefault="00A6327D" w:rsidP="00921F42">
      <w:pPr>
        <w:pStyle w:val="NormalIndent"/>
      </w:pPr>
    </w:p>
    <w:p w14:paraId="70FF345F" w14:textId="02B6413C" w:rsidR="00A6327D" w:rsidRDefault="00A6327D" w:rsidP="00A6327D">
      <w:pPr>
        <w:pStyle w:val="Equation"/>
      </w:pPr>
      <w:r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s</m:t>
            </m:r>
          </m:sub>
          <m:sup>
            <m:r>
              <w:rPr>
                <w:rFonts w:ascii="Cambria Math" w:hAnsi="Cambria Math"/>
              </w:rPr>
              <m:t>*</m:t>
            </m:r>
          </m:sup>
        </m:sSubSup>
        <m:sSup>
          <m:sSupPr>
            <m:ctrlPr>
              <w:rPr>
                <w:rFonts w:ascii="Cambria Math" w:hAnsi="Cambria Math"/>
                <w:i/>
                <w:iCs/>
                <w:color w:val="000000" w:themeColor="text1"/>
                <w:kern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color w:val="000000" w:themeColor="text1"/>
                    <w:kern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  <w:kern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 w:themeColor="text1"/>
                            <w:kern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kern w:val="24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kern w:val="24"/>
                          </w:rPr>
                          <m:t>f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 w:themeColor="text1"/>
                            <w:kern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kern w:val="24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kern w:val="24"/>
                          </w:rPr>
                          <m:t>s</m:t>
                        </m:r>
                      </m:sub>
                    </m:sSub>
                  </m:den>
                </m:f>
                <m:ctrlPr>
                  <w:rPr>
                    <w:rFonts w:ascii="Cambria Math" w:hAnsi="Cambria Math"/>
                    <w:i/>
                    <w:iCs/>
                    <w:color w:val="000000" w:themeColor="text1"/>
                    <w:kern w:val="24"/>
                  </w:rPr>
                </m:ctrlPr>
              </m:e>
            </m:d>
          </m:e>
          <m:sup>
            <m:r>
              <w:rPr>
                <w:rFonts w:ascii="Cambria Math" w:hAnsi="Cambria Math"/>
                <w:color w:val="000000" w:themeColor="text1"/>
                <w:kern w:val="24"/>
              </w:rPr>
              <m:t>2α-2β</m:t>
            </m:r>
          </m:sup>
        </m:sSup>
        <m:r>
          <w:rPr>
            <w:rFonts w:ascii="Cambria Math" w:hAnsi="Cambria Math"/>
            <w:color w:val="000000" w:themeColor="text1"/>
            <w:kern w:val="24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f</m:t>
            </m:r>
          </m:sub>
          <m:sup>
            <m:r>
              <w:rPr>
                <w:rFonts w:ascii="Cambria Math" w:hAnsi="Cambria Math"/>
              </w:rPr>
              <m:t>*</m:t>
            </m:r>
          </m:sup>
        </m:sSubSup>
      </m:oMath>
      <w:r>
        <w:tab/>
      </w:r>
      <w:r w:rsidRPr="00CD176A">
        <w:t>(</w:t>
      </w:r>
      <w:r w:rsidR="00E617E5">
        <w:fldChar w:fldCharType="begin"/>
      </w:r>
      <w:r w:rsidR="00E617E5">
        <w:instrText xml:space="preserve"> SEQ Equation \* MERGEFORMAT </w:instrText>
      </w:r>
      <w:r w:rsidR="00E617E5">
        <w:fldChar w:fldCharType="separate"/>
      </w:r>
      <w:r w:rsidR="00046530">
        <w:rPr>
          <w:noProof/>
        </w:rPr>
        <w:t>5</w:t>
      </w:r>
      <w:r w:rsidR="00E617E5">
        <w:rPr>
          <w:noProof/>
        </w:rPr>
        <w:fldChar w:fldCharType="end"/>
      </w:r>
      <w:r w:rsidRPr="00CD176A">
        <w:t>)</w:t>
      </w:r>
    </w:p>
    <w:p w14:paraId="03BA577A" w14:textId="29A7D3BB" w:rsidR="00B3539D" w:rsidRDefault="008E03DB" w:rsidP="00B3539D">
      <w:pPr>
        <w:pStyle w:val="Heading2"/>
      </w:pPr>
      <w:r>
        <w:t>CFD modeling</w:t>
      </w:r>
    </w:p>
    <w:p w14:paraId="7A9649D2" w14:textId="26FF55D1" w:rsidR="00457152" w:rsidRPr="00457152" w:rsidRDefault="00076323" w:rsidP="00B40161">
      <w:r>
        <w:t xml:space="preserve">The </w:t>
      </w:r>
      <w:r w:rsidR="00B40161">
        <w:t xml:space="preserve">CFD software, </w:t>
      </w:r>
      <w:r w:rsidR="00D27CBB">
        <w:t>Fire dynamic simulator (FDS)</w:t>
      </w:r>
      <w:r w:rsidR="00B40161">
        <w:t>,</w:t>
      </w:r>
      <w:r w:rsidR="00D27CBB">
        <w:t xml:space="preserve"> is applied to </w:t>
      </w:r>
      <w:r>
        <w:t>simulate</w:t>
      </w:r>
      <w:r w:rsidR="00D27CBB">
        <w:t xml:space="preserve"> </w:t>
      </w:r>
      <w:r w:rsidR="0040064B">
        <w:t xml:space="preserve">the </w:t>
      </w:r>
      <w:r w:rsidR="00D27CBB">
        <w:t xml:space="preserve">sub-scale </w:t>
      </w:r>
      <w:r w:rsidR="00B40161">
        <w:t>(1/15)</w:t>
      </w:r>
      <w:r w:rsidR="00D27CBB">
        <w:t xml:space="preserve"> and full-scale</w:t>
      </w:r>
      <w:r>
        <w:t xml:space="preserve"> cases of </w:t>
      </w:r>
      <w:r w:rsidR="00D27CBB">
        <w:t xml:space="preserve">flat roof </w:t>
      </w:r>
      <w:r>
        <w:t xml:space="preserve">and </w:t>
      </w:r>
      <w:r w:rsidR="00D27CBB">
        <w:t>45</w:t>
      </w:r>
      <w:r w:rsidR="00D27CBB" w:rsidRPr="00D27CBB">
        <w:rPr>
          <w:rFonts w:hint="eastAsia"/>
        </w:rPr>
        <w:t>º</w:t>
      </w:r>
      <w:r w:rsidR="00D27CBB">
        <w:t xml:space="preserve"> </w:t>
      </w:r>
      <w:r w:rsidR="00D27CBB" w:rsidRPr="00D27CBB">
        <w:t>sloped roof</w:t>
      </w:r>
      <w:r w:rsidR="00D27CBB">
        <w:t xml:space="preserve"> house</w:t>
      </w:r>
      <w:r>
        <w:t>s</w:t>
      </w:r>
      <w:r w:rsidR="00974188">
        <w:t>,</w:t>
      </w:r>
      <w:r w:rsidR="00D27CBB">
        <w:t xml:space="preserve"> </w:t>
      </w:r>
      <w:r>
        <w:t>as shown</w:t>
      </w:r>
      <w:r w:rsidR="00D27CBB">
        <w:t xml:space="preserve"> in Figure 1. </w:t>
      </w:r>
      <w:r w:rsidR="00B40161">
        <w:t xml:space="preserve">In the full-scale model, the opening is </w:t>
      </w:r>
      <w:r w:rsidR="00B40161">
        <w:rPr>
          <w:rFonts w:eastAsia="MinionPro-Regular"/>
          <w:lang w:val="en-CA" w:eastAsia="zh-CN"/>
        </w:rPr>
        <w:t xml:space="preserve">1.2 m </w:t>
      </w:r>
      <w:r w:rsidR="00B40161" w:rsidRPr="004F7244">
        <w:rPr>
          <w:rFonts w:eastAsia="MinionPro-Regular"/>
          <w:lang w:val="en-CA" w:eastAsia="zh-CN"/>
        </w:rPr>
        <w:t xml:space="preserve">× </w:t>
      </w:r>
      <w:r w:rsidR="00B40161">
        <w:rPr>
          <w:rFonts w:eastAsia="MinionPro-Regular"/>
          <w:lang w:val="en-CA" w:eastAsia="zh-CN"/>
        </w:rPr>
        <w:t>3.6</w:t>
      </w:r>
      <w:r w:rsidR="00B40161" w:rsidRPr="004F7244">
        <w:rPr>
          <w:rFonts w:eastAsia="MinionPro-Regular"/>
          <w:lang w:val="en-CA" w:eastAsia="zh-CN"/>
        </w:rPr>
        <w:t xml:space="preserve"> m</w:t>
      </w:r>
      <w:r w:rsidR="00B40161">
        <w:rPr>
          <w:rFonts w:eastAsia="MinionPro-Regular"/>
          <w:lang w:val="en-CA" w:eastAsia="zh-CN"/>
        </w:rPr>
        <w:t xml:space="preserve"> </w:t>
      </w:r>
      <w:r>
        <w:rPr>
          <w:rFonts w:eastAsia="MinionPro-Regular"/>
          <w:lang w:val="en-CA" w:eastAsia="zh-CN"/>
        </w:rPr>
        <w:t>for</w:t>
      </w:r>
      <w:r w:rsidR="00B40161">
        <w:rPr>
          <w:rFonts w:eastAsia="MinionPro-Regular"/>
          <w:lang w:val="en-CA" w:eastAsia="zh-CN"/>
        </w:rPr>
        <w:t xml:space="preserve"> the flat roof case </w:t>
      </w:r>
      <w:r w:rsidR="002C2428">
        <w:rPr>
          <w:rFonts w:eastAsia="MinionPro-Regular"/>
          <w:lang w:val="en-CA" w:eastAsia="zh-CN"/>
        </w:rPr>
        <w:t xml:space="preserve">skylight </w:t>
      </w:r>
      <w:r w:rsidR="00B40161">
        <w:rPr>
          <w:rFonts w:eastAsia="MinionPro-Regular"/>
          <w:lang w:val="en-CA" w:eastAsia="zh-CN"/>
        </w:rPr>
        <w:t xml:space="preserve">and </w:t>
      </w:r>
      <w:r w:rsidR="002C2428">
        <w:rPr>
          <w:rFonts w:eastAsia="MinionPro-Regular"/>
          <w:lang w:val="en-CA" w:eastAsia="zh-CN"/>
        </w:rPr>
        <w:t>the attic vent</w:t>
      </w:r>
      <w:r w:rsidR="00B40161">
        <w:rPr>
          <w:rFonts w:eastAsia="MinionPro-Regular"/>
          <w:lang w:val="en-CA" w:eastAsia="zh-CN"/>
        </w:rPr>
        <w:t xml:space="preserve"> in the </w:t>
      </w:r>
      <w:r w:rsidR="00B40161">
        <w:t>45</w:t>
      </w:r>
      <w:r w:rsidR="00B40161" w:rsidRPr="00D27CBB">
        <w:rPr>
          <w:rFonts w:hint="eastAsia"/>
        </w:rPr>
        <w:t>º</w:t>
      </w:r>
      <w:r w:rsidR="00B40161">
        <w:t xml:space="preserve"> </w:t>
      </w:r>
      <w:r w:rsidR="00B40161" w:rsidRPr="00D27CBB">
        <w:t>sloped roof</w:t>
      </w:r>
      <w:r w:rsidR="00B40161">
        <w:t xml:space="preserve"> case. PV panel is installed on the south of </w:t>
      </w:r>
      <w:r w:rsidR="0040064B">
        <w:t xml:space="preserve">the </w:t>
      </w:r>
      <w:r w:rsidR="00B40161">
        <w:t>roof (</w:t>
      </w:r>
      <w:r w:rsidR="00B40161">
        <w:rPr>
          <w:rFonts w:eastAsia="MinionPro-Regular"/>
          <w:lang w:val="en-CA" w:eastAsia="zh-CN"/>
        </w:rPr>
        <w:t xml:space="preserve">2 m </w:t>
      </w:r>
      <w:r w:rsidR="00B40161" w:rsidRPr="004F7244">
        <w:rPr>
          <w:rFonts w:eastAsia="MinionPro-Regular"/>
          <w:lang w:val="en-CA" w:eastAsia="zh-CN"/>
        </w:rPr>
        <w:t xml:space="preserve">× </w:t>
      </w:r>
      <w:r w:rsidR="00B40161">
        <w:rPr>
          <w:rFonts w:eastAsia="MinionPro-Regular"/>
          <w:lang w:val="en-CA" w:eastAsia="zh-CN"/>
        </w:rPr>
        <w:t>2 m</w:t>
      </w:r>
      <w:r w:rsidR="00B40161">
        <w:t xml:space="preserve">). Two windows </w:t>
      </w:r>
      <w:r w:rsidR="00B40161">
        <w:rPr>
          <w:rFonts w:eastAsia="MinionPro-Regular"/>
          <w:lang w:val="en-CA" w:eastAsia="zh-CN"/>
        </w:rPr>
        <w:t xml:space="preserve">(1.2 m </w:t>
      </w:r>
      <w:r w:rsidR="00B40161" w:rsidRPr="004F7244">
        <w:rPr>
          <w:rFonts w:eastAsia="MinionPro-Regular"/>
          <w:lang w:val="en-CA" w:eastAsia="zh-CN"/>
        </w:rPr>
        <w:t xml:space="preserve">× </w:t>
      </w:r>
      <w:r w:rsidR="00B40161">
        <w:rPr>
          <w:rFonts w:eastAsia="MinionPro-Regular"/>
          <w:lang w:val="en-CA" w:eastAsia="zh-CN"/>
        </w:rPr>
        <w:t>1.8</w:t>
      </w:r>
      <w:r w:rsidR="00B40161" w:rsidRPr="004F7244">
        <w:rPr>
          <w:rFonts w:eastAsia="MinionPro-Regular"/>
          <w:lang w:val="en-CA" w:eastAsia="zh-CN"/>
        </w:rPr>
        <w:t xml:space="preserve"> m</w:t>
      </w:r>
      <w:r w:rsidR="00B40161">
        <w:rPr>
          <w:rFonts w:eastAsia="MinionPro-Regular"/>
          <w:lang w:val="en-CA" w:eastAsia="zh-CN"/>
        </w:rPr>
        <w:t xml:space="preserve">) </w:t>
      </w:r>
      <w:r w:rsidR="00B40161">
        <w:t>are installed on both sides of the wall.</w:t>
      </w:r>
      <w:r w:rsidR="00325307">
        <w:t xml:space="preserve"> The wind speed is defined as 20 m/s in the </w:t>
      </w:r>
      <w:r w:rsidR="001E3C3D">
        <w:t>full-scale</w:t>
      </w:r>
      <w:r w:rsidR="00325307">
        <w:t xml:space="preserve"> model and 5.2 m/s in the sub-scale model based on the Froude modeling.</w:t>
      </w:r>
    </w:p>
    <w:p w14:paraId="32B87CF5" w14:textId="454A5425" w:rsidR="00A6327D" w:rsidRDefault="00A6327D" w:rsidP="00A6327D">
      <w:pPr>
        <w:pStyle w:val="NormalIndent"/>
        <w:ind w:firstLine="0"/>
      </w:pPr>
      <w:r>
        <w:rPr>
          <w:noProof/>
        </w:rPr>
        <w:drawing>
          <wp:inline distT="0" distB="0" distL="0" distR="0" wp14:anchorId="5FA3B6C8" wp14:editId="6C6225CB">
            <wp:extent cx="3146412" cy="1737360"/>
            <wp:effectExtent l="0" t="0" r="0" b="0"/>
            <wp:docPr id="33" name="Picture 3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Diagram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62266" cy="1746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1B8F9" w14:textId="08E205FA" w:rsidR="00D8191F" w:rsidRDefault="00D8191F" w:rsidP="00D8191F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046530">
        <w:rPr>
          <w:noProof/>
        </w:rPr>
        <w:t>1</w:t>
      </w:r>
      <w:r>
        <w:fldChar w:fldCharType="end"/>
      </w:r>
      <w:r>
        <w:t xml:space="preserve">. </w:t>
      </w:r>
      <w:r w:rsidR="00D27CBB" w:rsidRPr="00D27CBB">
        <w:t>Schematic view of building</w:t>
      </w:r>
      <w:r w:rsidR="00D27CBB">
        <w:t>s</w:t>
      </w:r>
      <w:r w:rsidR="00D27CBB" w:rsidRPr="00D27CBB">
        <w:t xml:space="preserve"> with a flat roof and </w:t>
      </w:r>
      <w:r w:rsidR="00D27CBB">
        <w:t>45</w:t>
      </w:r>
      <w:r w:rsidR="00D27CBB" w:rsidRPr="00D27CBB">
        <w:rPr>
          <w:rFonts w:hint="eastAsia"/>
        </w:rPr>
        <w:t>º</w:t>
      </w:r>
      <w:r w:rsidR="00D27CBB">
        <w:t xml:space="preserve"> </w:t>
      </w:r>
      <w:r w:rsidR="00D27CBB" w:rsidRPr="00D27CBB">
        <w:t>sloped roofs</w:t>
      </w:r>
    </w:p>
    <w:p w14:paraId="642291E4" w14:textId="181073A6" w:rsidR="00C354B4" w:rsidRDefault="00A6327D" w:rsidP="00C354B4">
      <w:pPr>
        <w:pStyle w:val="Heading1"/>
      </w:pPr>
      <w:r>
        <w:t>REsults and discussion</w:t>
      </w:r>
    </w:p>
    <w:p w14:paraId="35595B55" w14:textId="137C50C2" w:rsidR="004A54D8" w:rsidRDefault="00DA3D89" w:rsidP="003120F1">
      <w:r>
        <w:t xml:space="preserve">Figure 2 </w:t>
      </w:r>
      <w:r w:rsidR="00FF2C2A">
        <w:t>compares the</w:t>
      </w:r>
      <w:r>
        <w:t xml:space="preserve"> dimensionless velocity (Equation 2)</w:t>
      </w:r>
      <w:r w:rsidR="00FF2C2A">
        <w:t xml:space="preserve">, which indicates </w:t>
      </w:r>
      <w:r>
        <w:t>a good agreement between full-scale and modified sub-scale results. However, in the 45</w:t>
      </w:r>
      <w:r w:rsidRPr="00D27CBB">
        <w:rPr>
          <w:rFonts w:hint="eastAsia"/>
        </w:rPr>
        <w:t>º</w:t>
      </w:r>
      <w:r>
        <w:t xml:space="preserve"> </w:t>
      </w:r>
      <w:r w:rsidRPr="00D27CBB">
        <w:t>sloped roof</w:t>
      </w:r>
      <w:r>
        <w:t xml:space="preserve"> case, there is a distortion near the dimensionless height</w:t>
      </w:r>
      <w:r w:rsidR="00FF2C2A">
        <w:t xml:space="preserve">, </w:t>
      </w:r>
      <w:r w:rsidR="009C41E3">
        <w:t xml:space="preserve">which </w:t>
      </w:r>
      <w:r w:rsidR="00FF2C2A">
        <w:t>is</w:t>
      </w:r>
      <w:r>
        <w:t xml:space="preserve"> defined as the interface flow area, i.e., </w:t>
      </w:r>
      <w:r w:rsidR="00896653">
        <w:t xml:space="preserve">a transitional region </w:t>
      </w:r>
      <w:r w:rsidR="009C41E3">
        <w:lastRenderedPageBreak/>
        <w:t xml:space="preserve">from </w:t>
      </w:r>
      <w:r w:rsidR="00896653">
        <w:t xml:space="preserve">external </w:t>
      </w:r>
      <w:r w:rsidR="009C41E3">
        <w:t>to</w:t>
      </w:r>
      <w:r w:rsidR="00896653">
        <w:t xml:space="preserve"> internal flow. The reason may be that the pressure discharge through the skylight and the wind speed </w:t>
      </w:r>
      <w:r w:rsidR="00FF48BE">
        <w:t>is</w:t>
      </w:r>
      <w:r w:rsidR="00896653">
        <w:t xml:space="preserve"> slowed down based on the Froude modeling scaling.</w:t>
      </w:r>
      <w:r w:rsidR="006229A5">
        <w:t xml:space="preserve"> It seems that the distortion of interface flow affect</w:t>
      </w:r>
      <w:r w:rsidR="006B3E55">
        <w:t>s</w:t>
      </w:r>
      <w:r w:rsidR="006229A5">
        <w:t xml:space="preserve"> the similarity in the original Froude modeling</w:t>
      </w:r>
      <w:r w:rsidR="001D4A41">
        <w:rPr>
          <w:rFonts w:ascii="宋体" w:eastAsia="宋体" w:hAnsi="宋体" w:cs="宋体" w:hint="eastAsia"/>
          <w:lang w:eastAsia="zh-CN"/>
        </w:rPr>
        <w:t>;</w:t>
      </w:r>
      <w:r w:rsidR="001D4A41">
        <w:rPr>
          <w:rFonts w:ascii="宋体" w:eastAsia="宋体" w:hAnsi="宋体" w:cs="宋体"/>
          <w:lang w:eastAsia="zh-CN"/>
        </w:rPr>
        <w:t xml:space="preserve"> </w:t>
      </w:r>
      <w:r w:rsidR="006229A5">
        <w:t>however, it does not</w:t>
      </w:r>
      <w:r w:rsidR="006B3E55">
        <w:t xml:space="preserve"> change the characteristics of the airflow. Therefore, the new modification coefficients can be proposed to </w:t>
      </w:r>
      <w:r w:rsidR="00AE4B7B" w:rsidRPr="00FE642C">
        <w:t>mitigate</w:t>
      </w:r>
      <w:r w:rsidR="006B3E55">
        <w:t xml:space="preserve"> this distortion. Meanwhile, </w:t>
      </w:r>
      <w:r w:rsidR="002A3151">
        <w:t>an interface flow exists</w:t>
      </w:r>
      <w:r w:rsidR="006B3E55">
        <w:t xml:space="preserve"> </w:t>
      </w:r>
      <w:r w:rsidR="00F50E83">
        <w:t>between indoor and outdoor</w:t>
      </w:r>
      <w:r w:rsidR="001D4A41">
        <w:t xml:space="preserve"> conditions</w:t>
      </w:r>
      <w:r w:rsidR="00FE642C">
        <w:t xml:space="preserve">, therefore, </w:t>
      </w:r>
      <w:proofErr w:type="gramStart"/>
      <w:r w:rsidR="00FE642C">
        <w:t>i</w:t>
      </w:r>
      <w:r w:rsidR="00FE642C" w:rsidRPr="00FE642C">
        <w:t>ndoor</w:t>
      </w:r>
      <w:proofErr w:type="gramEnd"/>
      <w:r w:rsidR="00FE642C" w:rsidRPr="00FE642C">
        <w:t xml:space="preserve"> and outdoor will have different </w:t>
      </w:r>
      <w:r w:rsidR="00FE642C">
        <w:t>modification coefficients</w:t>
      </w:r>
      <w:r w:rsidR="00F50E83">
        <w:t>.</w:t>
      </w:r>
      <w:r w:rsidR="006229A5">
        <w:t xml:space="preserve"> Here</w:t>
      </w:r>
      <w:r w:rsidR="00896653">
        <w:t xml:space="preserve">, </w:t>
      </w:r>
      <w:r w:rsidR="00896653" w:rsidRPr="00921F42">
        <w:t>velocity modification coefficient</w:t>
      </w:r>
      <w:r w:rsidR="0040064B">
        <w:t>s</w:t>
      </w:r>
      <w:r w:rsidR="00896653" w:rsidRPr="00921F42">
        <w:t xml:space="preserve"> α</w:t>
      </w:r>
      <w:r w:rsidR="00896653">
        <w:t>=0.25 (indoor) and</w:t>
      </w:r>
      <w:r w:rsidR="00896653" w:rsidRPr="00896653">
        <w:rPr>
          <w:rFonts w:hint="eastAsia"/>
        </w:rPr>
        <w:t xml:space="preserve"> α</w:t>
      </w:r>
      <w:r w:rsidR="00896653" w:rsidRPr="00896653">
        <w:t>=0.035 (outdoor)</w:t>
      </w:r>
      <w:r w:rsidR="00896653">
        <w:t>.</w:t>
      </w:r>
    </w:p>
    <w:p w14:paraId="0BB5B496" w14:textId="77777777" w:rsidR="003120F1" w:rsidRDefault="003120F1" w:rsidP="00436F8A">
      <w:pPr>
        <w:pStyle w:val="Figure"/>
      </w:pPr>
      <w:r>
        <w:rPr>
          <w:noProof/>
        </w:rPr>
        <w:drawing>
          <wp:inline distT="0" distB="0" distL="0" distR="0" wp14:anchorId="6A83033F" wp14:editId="3D4777EF">
            <wp:extent cx="2704647" cy="2527396"/>
            <wp:effectExtent l="0" t="0" r="635" b="635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9B00E666-890A-4178-A7B5-5C6E242B3C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011A232" w14:textId="0F3A03C4" w:rsidR="0087067F" w:rsidRDefault="00457152" w:rsidP="00436F8A">
      <w:pPr>
        <w:pStyle w:val="Figure"/>
      </w:pPr>
      <w:r>
        <w:rPr>
          <w:noProof/>
        </w:rPr>
        <w:drawing>
          <wp:inline distT="0" distB="0" distL="0" distR="0" wp14:anchorId="3FAF23FC" wp14:editId="21FAFADC">
            <wp:extent cx="2704465" cy="2522220"/>
            <wp:effectExtent l="0" t="0" r="635" b="0"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id="{8A9FC482-745C-425F-A316-49FE3C68B63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F883B97" w14:textId="3B178281" w:rsidR="005A74A4" w:rsidRPr="00AE4B7B" w:rsidRDefault="0087067F" w:rsidP="0087067F">
      <w:pPr>
        <w:pStyle w:val="Caption"/>
        <w:rPr>
          <w:bCs w:val="0"/>
        </w:rPr>
      </w:pPr>
      <w:bookmarkStart w:id="2" w:name="_Ref275812013"/>
      <w:r w:rsidRPr="00AE4B7B">
        <w:rPr>
          <w:bCs w:val="0"/>
        </w:rPr>
        <w:t xml:space="preserve">Figure </w:t>
      </w:r>
      <w:r w:rsidRPr="00AE4B7B">
        <w:rPr>
          <w:bCs w:val="0"/>
        </w:rPr>
        <w:fldChar w:fldCharType="begin"/>
      </w:r>
      <w:r w:rsidRPr="00FE642C">
        <w:rPr>
          <w:bCs w:val="0"/>
        </w:rPr>
        <w:instrText xml:space="preserve"> SEQ Figure \* ARABIC </w:instrText>
      </w:r>
      <w:r w:rsidRPr="00AE4B7B">
        <w:rPr>
          <w:bCs w:val="0"/>
        </w:rPr>
        <w:fldChar w:fldCharType="separate"/>
      </w:r>
      <w:r w:rsidR="00046530">
        <w:rPr>
          <w:bCs w:val="0"/>
          <w:noProof/>
        </w:rPr>
        <w:t>2</w:t>
      </w:r>
      <w:r w:rsidRPr="00AE4B7B">
        <w:rPr>
          <w:bCs w:val="0"/>
        </w:rPr>
        <w:fldChar w:fldCharType="end"/>
      </w:r>
      <w:bookmarkEnd w:id="2"/>
      <w:r w:rsidRPr="00AE4B7B">
        <w:rPr>
          <w:bCs w:val="0"/>
        </w:rPr>
        <w:t xml:space="preserve">. </w:t>
      </w:r>
      <w:r w:rsidR="00DA3D89" w:rsidRPr="00AE4B7B">
        <w:rPr>
          <w:bCs w:val="0"/>
        </w:rPr>
        <w:t>Comparing dimensionless velocity.</w:t>
      </w:r>
    </w:p>
    <w:p w14:paraId="0A24E738" w14:textId="635E112A" w:rsidR="003120F1" w:rsidRDefault="006229A5" w:rsidP="00033900">
      <w:r>
        <w:t>Figure 3 compares the dimensionless temperature</w:t>
      </w:r>
      <w:r w:rsidR="006B3E55">
        <w:t xml:space="preserve"> (Equation 4)</w:t>
      </w:r>
      <w:r>
        <w:t xml:space="preserve"> between full-scale results and modified sub-scale results. Similarly, </w:t>
      </w:r>
      <w:r w:rsidR="00AE4B7B">
        <w:t>at</w:t>
      </w:r>
      <w:r>
        <w:t xml:space="preserve"> the building height, there is a</w:t>
      </w:r>
      <w:r w:rsidR="006B3E55">
        <w:t>n</w:t>
      </w:r>
      <w:r>
        <w:t xml:space="preserve"> interface flow area to distort the similarity of dimensionless temperature.</w:t>
      </w:r>
      <w:r w:rsidR="00033900">
        <w:t xml:space="preserve"> </w:t>
      </w:r>
      <w:r w:rsidR="006B3E55">
        <w:t xml:space="preserve">Therefore, it is possible to import another temperature modification coefficient </w:t>
      </w:r>
      <w:r w:rsidR="00F50E83" w:rsidRPr="00367324">
        <w:t>β=0.1875</w:t>
      </w:r>
      <w:r w:rsidR="00F50E83">
        <w:t xml:space="preserve"> (indoor) and </w:t>
      </w:r>
      <w:r w:rsidR="00F50E83" w:rsidRPr="00367324">
        <w:t>β=0.085</w:t>
      </w:r>
      <w:r w:rsidR="00F50E83">
        <w:t xml:space="preserve"> (outdoor)</w:t>
      </w:r>
      <w:r w:rsidR="006B3E55">
        <w:t>.</w:t>
      </w:r>
      <w:r w:rsidR="00F50E83">
        <w:t xml:space="preserve"> After modification of Froude modeling, the similarity can be </w:t>
      </w:r>
      <w:r w:rsidR="001E3C3D">
        <w:t>maintained</w:t>
      </w:r>
      <w:r w:rsidR="00F50E83">
        <w:t xml:space="preserve"> between sub-scale results and full-scale results.</w:t>
      </w:r>
    </w:p>
    <w:p w14:paraId="7BA27ECF" w14:textId="305F3DCD" w:rsidR="00153248" w:rsidRDefault="007E6814" w:rsidP="00153248">
      <w:pPr>
        <w:pStyle w:val="Figure"/>
      </w:pPr>
      <w:r>
        <w:rPr>
          <w:noProof/>
        </w:rPr>
        <w:drawing>
          <wp:inline distT="0" distB="0" distL="0" distR="0" wp14:anchorId="4A0D1E20" wp14:editId="1C184C83">
            <wp:extent cx="2694305" cy="2340000"/>
            <wp:effectExtent l="0" t="0" r="0" b="3175"/>
            <wp:docPr id="14" name="Chart 1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21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D2B3AB" wp14:editId="2EBA22A0">
            <wp:extent cx="2694305" cy="2340000"/>
            <wp:effectExtent l="0" t="0" r="0" b="3175"/>
            <wp:docPr id="15" name="Chart 15">
              <a:extLst xmlns:a="http://schemas.openxmlformats.org/drawingml/2006/main">
                <a:ext uri="{FF2B5EF4-FFF2-40B4-BE49-F238E27FC236}">
                  <a16:creationId xmlns:a16="http://schemas.microsoft.com/office/drawing/2014/main" id="{15EE5202-B672-4DAC-ABFC-5FFEB44BAE8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3E7D751" w14:textId="22622874" w:rsidR="00153248" w:rsidRDefault="00153248" w:rsidP="00153248">
      <w:pPr>
        <w:pStyle w:val="Caption"/>
      </w:pPr>
      <w:bookmarkStart w:id="3" w:name="_Ref275812019"/>
      <w:r w:rsidRPr="00865AAD">
        <w:t xml:space="preserve">Figure </w:t>
      </w:r>
      <w:r w:rsidRPr="00865AAD">
        <w:fldChar w:fldCharType="begin"/>
      </w:r>
      <w:r w:rsidRPr="00865AAD">
        <w:instrText xml:space="preserve"> SEQ Figure \* ARABIC </w:instrText>
      </w:r>
      <w:r w:rsidRPr="00865AAD">
        <w:fldChar w:fldCharType="separate"/>
      </w:r>
      <w:r w:rsidR="00046530">
        <w:rPr>
          <w:noProof/>
        </w:rPr>
        <w:t>3</w:t>
      </w:r>
      <w:r w:rsidRPr="00865AAD">
        <w:fldChar w:fldCharType="end"/>
      </w:r>
      <w:bookmarkEnd w:id="3"/>
      <w:r w:rsidRPr="00865AAD">
        <w:t xml:space="preserve">. </w:t>
      </w:r>
      <w:r w:rsidR="00DA3D89" w:rsidRPr="00DA3D89">
        <w:t>Comparing dimensionless temperature</w:t>
      </w:r>
      <w:r w:rsidRPr="00865AAD">
        <w:t>.</w:t>
      </w:r>
    </w:p>
    <w:p w14:paraId="041844ED" w14:textId="24EBE3CD" w:rsidR="00A6327D" w:rsidRDefault="00A6327D" w:rsidP="00A6327D">
      <w:pPr>
        <w:pStyle w:val="Heading1"/>
      </w:pPr>
      <w:r>
        <w:t>Conclusion</w:t>
      </w:r>
    </w:p>
    <w:p w14:paraId="5C0963EA" w14:textId="77154B3A" w:rsidR="007D65EE" w:rsidRPr="007D65EE" w:rsidRDefault="0048447B" w:rsidP="00374ACD">
      <w:pPr>
        <w:pStyle w:val="NormalIndent"/>
        <w:ind w:firstLine="0"/>
      </w:pPr>
      <w:r>
        <w:t xml:space="preserve">This research proposed and verified two new coefficients for Froude modeling to solve the problem that the similarity is difficult to </w:t>
      </w:r>
      <w:r w:rsidR="00424D8F">
        <w:t xml:space="preserve">be </w:t>
      </w:r>
      <w:r>
        <w:t>maintain</w:t>
      </w:r>
      <w:r w:rsidR="00424D8F">
        <w:t>ed</w:t>
      </w:r>
      <w:r>
        <w:t xml:space="preserve"> between the indoor and outdoor environments</w:t>
      </w:r>
      <w:r w:rsidR="00424D8F">
        <w:t xml:space="preserve"> due to the coupled wind and buoyancy effects</w:t>
      </w:r>
      <w:r>
        <w:t xml:space="preserve">. The results of dimensionless velocity and dimensionless temperature </w:t>
      </w:r>
      <w:r w:rsidR="00424D8F">
        <w:t xml:space="preserve">were </w:t>
      </w:r>
      <w:r>
        <w:t xml:space="preserve">obtained by </w:t>
      </w:r>
      <w:r w:rsidR="0040064B">
        <w:t xml:space="preserve">a </w:t>
      </w:r>
      <w:r>
        <w:t>validated CFD model.</w:t>
      </w:r>
      <w:r w:rsidRPr="0048447B">
        <w:rPr>
          <w:rFonts w:hint="eastAsia"/>
        </w:rPr>
        <w:t xml:space="preserve"> </w:t>
      </w:r>
      <w:r w:rsidRPr="00367324">
        <w:rPr>
          <w:rFonts w:hint="eastAsia"/>
        </w:rPr>
        <w:t>α</w:t>
      </w:r>
      <w:r w:rsidRPr="00367324">
        <w:t>=0.25</w:t>
      </w:r>
      <w:r>
        <w:t xml:space="preserve"> and</w:t>
      </w:r>
      <w:r w:rsidRPr="00367324">
        <w:t xml:space="preserve"> β=0.1875</w:t>
      </w:r>
      <w:r>
        <w:t xml:space="preserve"> for the indoor environment/</w:t>
      </w:r>
      <w:r w:rsidRPr="00367324">
        <w:t xml:space="preserve"> α=0.035</w:t>
      </w:r>
      <w:r>
        <w:t xml:space="preserve"> and </w:t>
      </w:r>
      <w:r w:rsidRPr="00367324">
        <w:t>β=0.085</w:t>
      </w:r>
      <w:r>
        <w:t xml:space="preserve"> for the outdoor environment can be </w:t>
      </w:r>
      <w:r w:rsidR="00424D8F">
        <w:t xml:space="preserve">obtained </w:t>
      </w:r>
      <w:r>
        <w:t>in modified Froude-modeling-based scaling.</w:t>
      </w:r>
      <w:r w:rsidR="00296A99">
        <w:t xml:space="preserve"> </w:t>
      </w:r>
    </w:p>
    <w:p w14:paraId="6F4ADC60" w14:textId="77777777" w:rsidR="00153248" w:rsidRPr="00153248" w:rsidRDefault="00153248" w:rsidP="00153248">
      <w:pPr>
        <w:pStyle w:val="Heading1"/>
        <w:numPr>
          <w:ilvl w:val="0"/>
          <w:numId w:val="0"/>
        </w:numPr>
      </w:pPr>
      <w:r w:rsidRPr="00153248">
        <w:t>ACKNOWLEDGMENTS</w:t>
      </w:r>
    </w:p>
    <w:p w14:paraId="08CCDC47" w14:textId="77777777" w:rsidR="00374ACD" w:rsidRDefault="00374ACD" w:rsidP="00374ACD">
      <w:pPr>
        <w:autoSpaceDN w:val="0"/>
        <w:adjustRightInd w:val="0"/>
        <w:rPr>
          <w:rFonts w:eastAsia="MinionPro-Regular"/>
          <w:lang w:val="en-CA" w:eastAsia="zh-CN"/>
        </w:rPr>
      </w:pPr>
      <w:r w:rsidRPr="00CD1795">
        <w:rPr>
          <w:rFonts w:eastAsia="MinionPro-Regular"/>
          <w:lang w:val="en-CA" w:eastAsia="zh-CN"/>
        </w:rPr>
        <w:t>This work was supported by the Start-up Fund of the Université de Sherbrooke, Discovery Grants of Natural Sciences and Engineering Research Council of Canada (NSERC), and Fonds de recherche Nature et technologies (FRQNT) – Research support for new academics.</w:t>
      </w:r>
    </w:p>
    <w:p w14:paraId="4C2FE34F" w14:textId="77777777" w:rsidR="00153248" w:rsidRPr="00AE62CB" w:rsidRDefault="00153248" w:rsidP="00153248">
      <w:pPr>
        <w:pStyle w:val="Heading1"/>
        <w:numPr>
          <w:ilvl w:val="0"/>
          <w:numId w:val="0"/>
        </w:numPr>
        <w:rPr>
          <w:lang w:val="fr-CA"/>
        </w:rPr>
      </w:pPr>
      <w:r w:rsidRPr="00AE62CB">
        <w:rPr>
          <w:lang w:val="fr-CA"/>
        </w:rPr>
        <w:t>References</w:t>
      </w:r>
    </w:p>
    <w:p w14:paraId="41B56B4B" w14:textId="32197D17" w:rsidR="0041156A" w:rsidRPr="00AE62CB" w:rsidRDefault="0041156A" w:rsidP="0041156A">
      <w:pPr>
        <w:widowControl w:val="0"/>
        <w:autoSpaceDN w:val="0"/>
        <w:adjustRightInd w:val="0"/>
        <w:ind w:left="640" w:hanging="640"/>
        <w:rPr>
          <w:noProof/>
          <w:sz w:val="16"/>
          <w:szCs w:val="24"/>
          <w:lang w:val="fr-CA"/>
        </w:rPr>
      </w:pPr>
      <w:r>
        <w:fldChar w:fldCharType="begin" w:fldLock="1"/>
      </w:r>
      <w:r w:rsidRPr="00AE62CB">
        <w:rPr>
          <w:lang w:val="fr-CA"/>
        </w:rPr>
        <w:instrText xml:space="preserve">ADDIN Mendeley Bibliography CSL_BIBLIOGRAPHY </w:instrText>
      </w:r>
      <w:r>
        <w:fldChar w:fldCharType="separate"/>
      </w:r>
      <w:r w:rsidRPr="00AE62CB">
        <w:rPr>
          <w:noProof/>
          <w:sz w:val="16"/>
          <w:szCs w:val="24"/>
          <w:lang w:val="fr-CA"/>
        </w:rPr>
        <w:t>[1]</w:t>
      </w:r>
      <w:r w:rsidRPr="00AE62CB">
        <w:rPr>
          <w:noProof/>
          <w:sz w:val="16"/>
          <w:szCs w:val="24"/>
          <w:lang w:val="fr-CA"/>
        </w:rPr>
        <w:tab/>
        <w:t>M. de lEnvironnement,  de la Lutte contre les changements climatiques, and D. générale de la transition climatique, “Tableau détaillé des actions du Plan de mise en œuvre 2021-2026 du Plan pour une économie verte,” 2030.</w:t>
      </w:r>
    </w:p>
    <w:p w14:paraId="67E1EED1" w14:textId="4121C40D" w:rsidR="0041156A" w:rsidRPr="0041156A" w:rsidRDefault="0041156A" w:rsidP="0041156A">
      <w:pPr>
        <w:widowControl w:val="0"/>
        <w:autoSpaceDN w:val="0"/>
        <w:adjustRightInd w:val="0"/>
        <w:ind w:left="640" w:hanging="640"/>
        <w:rPr>
          <w:noProof/>
          <w:sz w:val="16"/>
        </w:rPr>
      </w:pPr>
      <w:r w:rsidRPr="0041156A">
        <w:rPr>
          <w:noProof/>
          <w:sz w:val="16"/>
          <w:szCs w:val="24"/>
        </w:rPr>
        <w:t>[2]</w:t>
      </w:r>
      <w:r w:rsidRPr="0041156A">
        <w:rPr>
          <w:noProof/>
          <w:sz w:val="16"/>
          <w:szCs w:val="24"/>
        </w:rPr>
        <w:tab/>
        <w:t>C. Dolmetsch, “Tesla solar panels caused fires at 7 Walmart stores, retailer alleges - Los Angeles Times,” 2019.</w:t>
      </w:r>
    </w:p>
    <w:p w14:paraId="12D55807" w14:textId="020FD65E" w:rsidR="0041156A" w:rsidRPr="00153248" w:rsidRDefault="0041156A" w:rsidP="0041156A">
      <w:pPr>
        <w:pStyle w:val="References"/>
        <w:numPr>
          <w:ilvl w:val="0"/>
          <w:numId w:val="0"/>
        </w:numPr>
        <w:ind w:left="360"/>
      </w:pPr>
      <w:r>
        <w:fldChar w:fldCharType="end"/>
      </w:r>
    </w:p>
    <w:sectPr w:rsidR="0041156A" w:rsidRPr="00153248" w:rsidSect="00D96E7E">
      <w:type w:val="continuous"/>
      <w:pgSz w:w="11907" w:h="16839" w:code="9"/>
      <w:pgMar w:top="1418" w:right="794" w:bottom="1418" w:left="794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670D0" w14:textId="77777777" w:rsidR="00E617E5" w:rsidRDefault="00E617E5" w:rsidP="00531DA2">
      <w:r>
        <w:separator/>
      </w:r>
    </w:p>
  </w:endnote>
  <w:endnote w:type="continuationSeparator" w:id="0">
    <w:p w14:paraId="4FB2C0CC" w14:textId="77777777" w:rsidR="00E617E5" w:rsidRDefault="00E617E5" w:rsidP="0053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42DE2" w14:textId="77777777" w:rsidR="00B97E16" w:rsidRDefault="00B97E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8078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21D7BC" w14:textId="263815DF" w:rsidR="004F69A3" w:rsidRDefault="004F69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617DBF" w14:textId="77777777" w:rsidR="004F69A3" w:rsidRDefault="004F69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63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7B6E1A" w14:textId="50C06207" w:rsidR="004F69A3" w:rsidRDefault="004F69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09C947" w14:textId="77777777" w:rsidR="004F69A3" w:rsidRDefault="004F6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D77F8" w14:textId="77777777" w:rsidR="00E617E5" w:rsidRDefault="00E617E5" w:rsidP="00531DA2">
      <w:bookmarkStart w:id="0" w:name="_Hlk93279580"/>
      <w:bookmarkEnd w:id="0"/>
      <w:r>
        <w:separator/>
      </w:r>
    </w:p>
  </w:footnote>
  <w:footnote w:type="continuationSeparator" w:id="0">
    <w:p w14:paraId="254029A5" w14:textId="77777777" w:rsidR="00E617E5" w:rsidRDefault="00E617E5" w:rsidP="00531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0DB9E" w14:textId="77777777" w:rsidR="00B97E16" w:rsidRDefault="00B97E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B10B8" w14:textId="0EEAB289" w:rsidR="004230AF" w:rsidRPr="00160B18" w:rsidRDefault="00160B18" w:rsidP="00160B18">
    <w:pPr>
      <w:pStyle w:val="Header"/>
      <w:jc w:val="right"/>
      <w:rPr>
        <w:i/>
        <w:iCs/>
      </w:rPr>
    </w:pPr>
    <w:r w:rsidRPr="00160B18">
      <w:rPr>
        <w:bCs/>
        <w:i/>
        <w:iCs/>
      </w:rPr>
      <w:t xml:space="preserve">Paper ID# </w:t>
    </w:r>
    <w:r w:rsidR="00B97E16" w:rsidRPr="00B97E16">
      <w:rPr>
        <w:bCs/>
        <w:i/>
        <w:iCs/>
      </w:rPr>
      <w:t>SHMII-11_T12-03</w:t>
    </w:r>
    <w:r w:rsidRPr="00160B18">
      <w:rPr>
        <w:bCs/>
        <w:i/>
        <w:iCs/>
      </w:rPr>
      <w:t xml:space="preserve">, </w:t>
    </w:r>
    <w:r w:rsidR="00D42E4F">
      <w:rPr>
        <w:bCs/>
        <w:i/>
        <w:iCs/>
      </w:rPr>
      <w:t>Zhang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4B9F" w14:textId="0EF07099" w:rsidR="009529EB" w:rsidRPr="00476CB6" w:rsidRDefault="009529EB" w:rsidP="00476CB6">
    <w:pPr>
      <w:pStyle w:val="a"/>
      <w:wordWrap/>
      <w:spacing w:line="240" w:lineRule="auto"/>
      <w:rPr>
        <w:rFonts w:ascii="Times New Roman" w:hAnsi="Times New Roman" w:cs="Times New Roman"/>
        <w:b/>
        <w:sz w:val="18"/>
        <w:szCs w:val="18"/>
      </w:rPr>
    </w:pPr>
    <w:r w:rsidRPr="002D14AF">
      <w:rPr>
        <w:b/>
        <w:noProof/>
      </w:rPr>
      <w:drawing>
        <wp:anchor distT="0" distB="0" distL="114300" distR="114300" simplePos="0" relativeHeight="251661312" behindDoc="0" locked="0" layoutInCell="1" allowOverlap="1" wp14:anchorId="6787867B" wp14:editId="55E1CED1">
          <wp:simplePos x="0" y="0"/>
          <wp:positionH relativeFrom="column">
            <wp:posOffset>97790</wp:posOffset>
          </wp:positionH>
          <wp:positionV relativeFrom="paragraph">
            <wp:posOffset>-53975</wp:posOffset>
          </wp:positionV>
          <wp:extent cx="497433" cy="497433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7433" cy="497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                       </w:t>
    </w:r>
    <w:r w:rsidRPr="00476CB6">
      <w:rPr>
        <w:rFonts w:ascii="Times New Roman" w:hAnsi="Times New Roman" w:cs="Times New Roman"/>
        <w:b/>
        <w:sz w:val="18"/>
        <w:szCs w:val="18"/>
      </w:rPr>
      <w:t>SHMII-11: 11th International Conference on Structural Health Monitoring of Intelligent Infrastructure</w:t>
    </w:r>
  </w:p>
  <w:p w14:paraId="5BEF0613" w14:textId="43D4B367" w:rsidR="009529EB" w:rsidRPr="009529EB" w:rsidRDefault="00476CB6" w:rsidP="009529EB">
    <w:pPr>
      <w:pStyle w:val="Header"/>
      <w:rPr>
        <w:bCs/>
      </w:rPr>
    </w:pPr>
    <w:r>
      <w:rPr>
        <w:bCs/>
      </w:rPr>
      <w:t xml:space="preserve">                       </w:t>
    </w:r>
    <w:r w:rsidR="009529EB" w:rsidRPr="009529EB">
      <w:rPr>
        <w:bCs/>
      </w:rPr>
      <w:t>August 8-12, 2022, Montreal, QC, Canada</w:t>
    </w:r>
    <w:r w:rsidR="004230AF">
      <w:rPr>
        <w:bCs/>
      </w:rPr>
      <w:t xml:space="preserve">. </w:t>
    </w:r>
    <w:r w:rsidR="004230AF" w:rsidRPr="00160B18">
      <w:rPr>
        <w:bCs/>
      </w:rPr>
      <w:t xml:space="preserve">Paper ID# </w:t>
    </w:r>
    <w:r w:rsidR="00B97E16" w:rsidRPr="00B97E16">
      <w:rPr>
        <w:bCs/>
      </w:rPr>
      <w:t>SHMII-11_T12-03</w:t>
    </w:r>
    <w:r w:rsidR="00160B18" w:rsidRPr="00160B18">
      <w:rPr>
        <w:bCs/>
      </w:rPr>
      <w:t xml:space="preserve">, </w:t>
    </w:r>
    <w:r w:rsidR="00D42E4F">
      <w:rPr>
        <w:bCs/>
      </w:rPr>
      <w:t>Zhang</w:t>
    </w:r>
  </w:p>
  <w:p w14:paraId="7BC8F5B8" w14:textId="36B44AE9" w:rsidR="009529EB" w:rsidRDefault="00476CB6" w:rsidP="009529EB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3456C0" wp14:editId="3F1C3310">
              <wp:simplePos x="0" y="0"/>
              <wp:positionH relativeFrom="column">
                <wp:posOffset>634060</wp:posOffset>
              </wp:positionH>
              <wp:positionV relativeFrom="paragraph">
                <wp:posOffset>140970</wp:posOffset>
              </wp:positionV>
              <wp:extent cx="5916905" cy="0"/>
              <wp:effectExtent l="0" t="0" r="0" b="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690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183913" id="Straight Connector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95pt,11.1pt" to="515.8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" strokecolor="black [3200]" strokeweight="1.5pt">
              <v:stroke joinstyle="miter"/>
            </v:line>
          </w:pict>
        </mc:Fallback>
      </mc:AlternateContent>
    </w:r>
  </w:p>
  <w:p w14:paraId="203E323B" w14:textId="6BDA7480" w:rsidR="009529EB" w:rsidRDefault="009529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9A99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3EAD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CC91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568B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34DA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6C79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E4A4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F8A5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6020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E234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40304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9CB3474"/>
    <w:multiLevelType w:val="hybridMultilevel"/>
    <w:tmpl w:val="168E97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626B7"/>
    <w:multiLevelType w:val="multilevel"/>
    <w:tmpl w:val="168E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21031"/>
    <w:multiLevelType w:val="multilevel"/>
    <w:tmpl w:val="65DC4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79510BA"/>
    <w:multiLevelType w:val="multilevel"/>
    <w:tmpl w:val="168E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73919"/>
    <w:multiLevelType w:val="multilevel"/>
    <w:tmpl w:val="20467C4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59821A9"/>
    <w:multiLevelType w:val="multilevel"/>
    <w:tmpl w:val="A37652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47816D63"/>
    <w:multiLevelType w:val="multilevel"/>
    <w:tmpl w:val="FE6CFA1E"/>
    <w:lvl w:ilvl="0">
      <w:start w:val="1"/>
      <w:numFmt w:val="decimal"/>
      <w:lvlText w:val="%1   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73ADE"/>
    <w:multiLevelType w:val="multilevel"/>
    <w:tmpl w:val="65DC423C"/>
    <w:lvl w:ilvl="0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</w:lvl>
    <w:lvl w:ilvl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9" w15:restartNumberingAfterBreak="0">
    <w:nsid w:val="5263682B"/>
    <w:multiLevelType w:val="hybridMultilevel"/>
    <w:tmpl w:val="22022198"/>
    <w:lvl w:ilvl="0" w:tplc="C9E603E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CDC36E9"/>
    <w:multiLevelType w:val="multilevel"/>
    <w:tmpl w:val="41DAA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21" w15:restartNumberingAfterBreak="0">
    <w:nsid w:val="5E1D4DE8"/>
    <w:multiLevelType w:val="multilevel"/>
    <w:tmpl w:val="168E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210EC6"/>
    <w:multiLevelType w:val="multilevel"/>
    <w:tmpl w:val="0494F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565133B"/>
    <w:multiLevelType w:val="multilevel"/>
    <w:tmpl w:val="168E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E77CC"/>
    <w:multiLevelType w:val="multilevel"/>
    <w:tmpl w:val="168E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E7221"/>
    <w:multiLevelType w:val="multilevel"/>
    <w:tmpl w:val="168E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E32838"/>
    <w:multiLevelType w:val="multilevel"/>
    <w:tmpl w:val="65DC4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20"/>
  </w:num>
  <w:num w:numId="14">
    <w:abstractNumId w:val="17"/>
  </w:num>
  <w:num w:numId="15">
    <w:abstractNumId w:val="16"/>
  </w:num>
  <w:num w:numId="16">
    <w:abstractNumId w:val="11"/>
  </w:num>
  <w:num w:numId="17">
    <w:abstractNumId w:val="21"/>
  </w:num>
  <w:num w:numId="18">
    <w:abstractNumId w:val="24"/>
  </w:num>
  <w:num w:numId="19">
    <w:abstractNumId w:val="12"/>
  </w:num>
  <w:num w:numId="20">
    <w:abstractNumId w:val="14"/>
  </w:num>
  <w:num w:numId="21">
    <w:abstractNumId w:val="23"/>
  </w:num>
  <w:num w:numId="22">
    <w:abstractNumId w:val="25"/>
  </w:num>
  <w:num w:numId="23">
    <w:abstractNumId w:val="26"/>
  </w:num>
  <w:num w:numId="24">
    <w:abstractNumId w:val="18"/>
  </w:num>
  <w:num w:numId="25">
    <w:abstractNumId w:val="13"/>
  </w:num>
  <w:num w:numId="26">
    <w:abstractNumId w:val="19"/>
  </w:num>
  <w:num w:numId="27">
    <w:abstractNumId w:val="22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1NbewMDYzMLawNDBQ0lEKTi0uzszPAykwNKwFAIC9DA4tAAAA"/>
  </w:docVars>
  <w:rsids>
    <w:rsidRoot w:val="00D96E7E"/>
    <w:rsid w:val="00033900"/>
    <w:rsid w:val="00046530"/>
    <w:rsid w:val="00060324"/>
    <w:rsid w:val="00076323"/>
    <w:rsid w:val="00132ACD"/>
    <w:rsid w:val="001426CD"/>
    <w:rsid w:val="00144BE9"/>
    <w:rsid w:val="00153248"/>
    <w:rsid w:val="00160B18"/>
    <w:rsid w:val="001655C7"/>
    <w:rsid w:val="00166E0B"/>
    <w:rsid w:val="001C0A3F"/>
    <w:rsid w:val="001D4A41"/>
    <w:rsid w:val="001E3C3D"/>
    <w:rsid w:val="001F02DD"/>
    <w:rsid w:val="001F177A"/>
    <w:rsid w:val="002078A6"/>
    <w:rsid w:val="0022400C"/>
    <w:rsid w:val="00230F60"/>
    <w:rsid w:val="00240A39"/>
    <w:rsid w:val="00272AE5"/>
    <w:rsid w:val="00296A99"/>
    <w:rsid w:val="002A3151"/>
    <w:rsid w:val="002C2428"/>
    <w:rsid w:val="002D14AF"/>
    <w:rsid w:val="003120F1"/>
    <w:rsid w:val="00325307"/>
    <w:rsid w:val="003466AE"/>
    <w:rsid w:val="003660A5"/>
    <w:rsid w:val="00367324"/>
    <w:rsid w:val="00374ACD"/>
    <w:rsid w:val="003A0E33"/>
    <w:rsid w:val="003A7747"/>
    <w:rsid w:val="003A7980"/>
    <w:rsid w:val="003F2A78"/>
    <w:rsid w:val="003F34D2"/>
    <w:rsid w:val="003F5CD9"/>
    <w:rsid w:val="0040064B"/>
    <w:rsid w:val="0041156A"/>
    <w:rsid w:val="00414E82"/>
    <w:rsid w:val="00422899"/>
    <w:rsid w:val="004230AF"/>
    <w:rsid w:val="00424D8F"/>
    <w:rsid w:val="00431CE5"/>
    <w:rsid w:val="00436F8A"/>
    <w:rsid w:val="00457152"/>
    <w:rsid w:val="00470445"/>
    <w:rsid w:val="004721D0"/>
    <w:rsid w:val="00476CB6"/>
    <w:rsid w:val="0048447B"/>
    <w:rsid w:val="00484F1C"/>
    <w:rsid w:val="00485F4F"/>
    <w:rsid w:val="004968AB"/>
    <w:rsid w:val="00497F9C"/>
    <w:rsid w:val="004A3680"/>
    <w:rsid w:val="004A54D8"/>
    <w:rsid w:val="004C291D"/>
    <w:rsid w:val="004D5FDC"/>
    <w:rsid w:val="004F69A3"/>
    <w:rsid w:val="00523F5B"/>
    <w:rsid w:val="00531DA2"/>
    <w:rsid w:val="005709D6"/>
    <w:rsid w:val="0059491B"/>
    <w:rsid w:val="005A74A4"/>
    <w:rsid w:val="005B708F"/>
    <w:rsid w:val="00611669"/>
    <w:rsid w:val="0061702D"/>
    <w:rsid w:val="006229A5"/>
    <w:rsid w:val="006317F2"/>
    <w:rsid w:val="00646158"/>
    <w:rsid w:val="00685332"/>
    <w:rsid w:val="006861C5"/>
    <w:rsid w:val="006A4D59"/>
    <w:rsid w:val="006B3E55"/>
    <w:rsid w:val="006D364F"/>
    <w:rsid w:val="00701792"/>
    <w:rsid w:val="00705406"/>
    <w:rsid w:val="007C3F10"/>
    <w:rsid w:val="007D285F"/>
    <w:rsid w:val="007D65EE"/>
    <w:rsid w:val="007E284E"/>
    <w:rsid w:val="007E6814"/>
    <w:rsid w:val="007F0BB9"/>
    <w:rsid w:val="008035A9"/>
    <w:rsid w:val="00806D21"/>
    <w:rsid w:val="008155F7"/>
    <w:rsid w:val="008158FC"/>
    <w:rsid w:val="0084325B"/>
    <w:rsid w:val="008432AB"/>
    <w:rsid w:val="008435B4"/>
    <w:rsid w:val="00861FB4"/>
    <w:rsid w:val="00865AAD"/>
    <w:rsid w:val="0087067F"/>
    <w:rsid w:val="00891080"/>
    <w:rsid w:val="00896653"/>
    <w:rsid w:val="008C1FAA"/>
    <w:rsid w:val="008E03DB"/>
    <w:rsid w:val="00921F42"/>
    <w:rsid w:val="009513E5"/>
    <w:rsid w:val="009529EB"/>
    <w:rsid w:val="00955B33"/>
    <w:rsid w:val="00964A70"/>
    <w:rsid w:val="00974188"/>
    <w:rsid w:val="009C41E3"/>
    <w:rsid w:val="009E227C"/>
    <w:rsid w:val="009F20B8"/>
    <w:rsid w:val="00A43B1D"/>
    <w:rsid w:val="00A517D7"/>
    <w:rsid w:val="00A51BF9"/>
    <w:rsid w:val="00A52300"/>
    <w:rsid w:val="00A53E9C"/>
    <w:rsid w:val="00A6135F"/>
    <w:rsid w:val="00A6327D"/>
    <w:rsid w:val="00AE4B7B"/>
    <w:rsid w:val="00AE62CB"/>
    <w:rsid w:val="00B3539D"/>
    <w:rsid w:val="00B40161"/>
    <w:rsid w:val="00B43BFF"/>
    <w:rsid w:val="00B47AD3"/>
    <w:rsid w:val="00B75B7B"/>
    <w:rsid w:val="00B816B5"/>
    <w:rsid w:val="00B81E54"/>
    <w:rsid w:val="00B859C0"/>
    <w:rsid w:val="00B97E16"/>
    <w:rsid w:val="00BB1E27"/>
    <w:rsid w:val="00C354B4"/>
    <w:rsid w:val="00C971A7"/>
    <w:rsid w:val="00CC315B"/>
    <w:rsid w:val="00CD176A"/>
    <w:rsid w:val="00CE7308"/>
    <w:rsid w:val="00D2423B"/>
    <w:rsid w:val="00D27CBB"/>
    <w:rsid w:val="00D379BC"/>
    <w:rsid w:val="00D42E4F"/>
    <w:rsid w:val="00D66D9D"/>
    <w:rsid w:val="00D8191F"/>
    <w:rsid w:val="00D877D3"/>
    <w:rsid w:val="00D96E7E"/>
    <w:rsid w:val="00DA3D89"/>
    <w:rsid w:val="00DB1AEB"/>
    <w:rsid w:val="00DB7458"/>
    <w:rsid w:val="00DD6EFA"/>
    <w:rsid w:val="00DE4387"/>
    <w:rsid w:val="00E17062"/>
    <w:rsid w:val="00E60EBC"/>
    <w:rsid w:val="00E617E5"/>
    <w:rsid w:val="00E823D6"/>
    <w:rsid w:val="00EB178D"/>
    <w:rsid w:val="00F02447"/>
    <w:rsid w:val="00F25B8D"/>
    <w:rsid w:val="00F44DB3"/>
    <w:rsid w:val="00F50E83"/>
    <w:rsid w:val="00F6167C"/>
    <w:rsid w:val="00F64AD3"/>
    <w:rsid w:val="00F841EB"/>
    <w:rsid w:val="00F87330"/>
    <w:rsid w:val="00FB1BF2"/>
    <w:rsid w:val="00FB2471"/>
    <w:rsid w:val="00FE642C"/>
    <w:rsid w:val="00FF2C2A"/>
    <w:rsid w:val="00FF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35DD03"/>
  <w14:defaultImageDpi w14:val="330"/>
  <w15:chartTrackingRefBased/>
  <w15:docId w15:val="{FDA13F59-ABE5-43F5-B7F2-DAE4AFCE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Indent"/>
    <w:qFormat/>
    <w:rsid w:val="0084325B"/>
    <w:pPr>
      <w:suppressAutoHyphens/>
      <w:autoSpaceDE w:val="0"/>
      <w:jc w:val="both"/>
    </w:pPr>
    <w:rPr>
      <w:rFonts w:ascii="Times New Roman" w:eastAsia="Times New Roman" w:hAnsi="Times New Roman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DD6EFA"/>
    <w:pPr>
      <w:keepNext/>
      <w:numPr>
        <w:numId w:val="1"/>
      </w:numPr>
      <w:spacing w:before="180" w:after="80"/>
      <w:outlineLvl w:val="0"/>
    </w:pPr>
    <w:rPr>
      <w:caps/>
      <w:kern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DD6EFA"/>
    <w:pPr>
      <w:keepNext/>
      <w:numPr>
        <w:ilvl w:val="1"/>
        <w:numId w:val="1"/>
      </w:numPr>
      <w:spacing w:before="120" w:after="80"/>
      <w:outlineLvl w:val="1"/>
    </w:pPr>
    <w:rPr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DD6EFA"/>
    <w:pPr>
      <w:keepNext/>
      <w:numPr>
        <w:ilvl w:val="2"/>
        <w:numId w:val="1"/>
      </w:numPr>
      <w:spacing w:before="120" w:after="8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DD6EFA"/>
    <w:pPr>
      <w:keepNext/>
      <w:numPr>
        <w:ilvl w:val="3"/>
        <w:numId w:val="1"/>
      </w:numPr>
      <w:spacing w:before="120" w:after="8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DD6EF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D6EF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DD6EFA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DD6EFA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DD6EF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D96E7E"/>
    <w:pPr>
      <w:spacing w:after="240"/>
      <w:jc w:val="center"/>
    </w:pPr>
    <w:rPr>
      <w:b/>
      <w:kern w:val="32"/>
      <w:sz w:val="28"/>
      <w:szCs w:val="48"/>
    </w:rPr>
  </w:style>
  <w:style w:type="character" w:customStyle="1" w:styleId="TitleChar">
    <w:name w:val="Title Char"/>
    <w:link w:val="Title"/>
    <w:rsid w:val="00D96E7E"/>
    <w:rPr>
      <w:rFonts w:ascii="Times New Roman" w:eastAsia="Times New Roman" w:hAnsi="Times New Roman" w:cs="Times New Roman"/>
      <w:b/>
      <w:kern w:val="32"/>
      <w:sz w:val="28"/>
      <w:szCs w:val="48"/>
      <w:lang w:eastAsia="ar-SA"/>
    </w:rPr>
  </w:style>
  <w:style w:type="paragraph" w:customStyle="1" w:styleId="Authors">
    <w:name w:val="Authors"/>
    <w:basedOn w:val="Normal"/>
    <w:link w:val="AuthorsChar"/>
    <w:qFormat/>
    <w:rsid w:val="00D96E7E"/>
    <w:pPr>
      <w:jc w:val="center"/>
    </w:pPr>
    <w:rPr>
      <w:lang w:val="fr-FR"/>
    </w:rPr>
  </w:style>
  <w:style w:type="character" w:customStyle="1" w:styleId="AuthorsChar">
    <w:name w:val="Authors Char"/>
    <w:link w:val="Authors"/>
    <w:rsid w:val="00D96E7E"/>
    <w:rPr>
      <w:rFonts w:ascii="Times New Roman" w:eastAsia="Times New Roman" w:hAnsi="Times New Roman" w:cs="Times New Roman"/>
      <w:sz w:val="20"/>
      <w:szCs w:val="20"/>
      <w:lang w:val="fr-FR" w:eastAsia="ar-SA"/>
    </w:rPr>
  </w:style>
  <w:style w:type="character" w:customStyle="1" w:styleId="Heading1Char">
    <w:name w:val="Heading 1 Char"/>
    <w:link w:val="Heading1"/>
    <w:rsid w:val="00DD6EFA"/>
    <w:rPr>
      <w:caps/>
      <w:kern w:val="20"/>
      <w:lang w:val="en-US" w:eastAsia="ar-SA" w:bidi="ar-SA"/>
    </w:rPr>
  </w:style>
  <w:style w:type="paragraph" w:customStyle="1" w:styleId="KeyWords">
    <w:name w:val="Key Words"/>
    <w:basedOn w:val="Normal"/>
    <w:link w:val="KeyWordsChar"/>
    <w:qFormat/>
    <w:rsid w:val="00D96E7E"/>
    <w:pPr>
      <w:spacing w:before="240" w:after="240"/>
    </w:pPr>
  </w:style>
  <w:style w:type="character" w:customStyle="1" w:styleId="Heading2Char">
    <w:name w:val="Heading 2 Char"/>
    <w:link w:val="Heading2"/>
    <w:uiPriority w:val="9"/>
    <w:semiHidden/>
    <w:rsid w:val="00DD6EFA"/>
    <w:rPr>
      <w:bCs/>
      <w:i/>
      <w:iCs/>
      <w:szCs w:val="28"/>
      <w:lang w:val="en-US" w:eastAsia="ar-SA" w:bidi="ar-SA"/>
    </w:rPr>
  </w:style>
  <w:style w:type="character" w:customStyle="1" w:styleId="KeyWordsChar">
    <w:name w:val="Key Words Char"/>
    <w:link w:val="KeyWords"/>
    <w:rsid w:val="00D96E7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Indent">
    <w:name w:val="Normal Indent"/>
    <w:basedOn w:val="Normal"/>
    <w:uiPriority w:val="99"/>
    <w:unhideWhenUsed/>
    <w:qFormat/>
    <w:rsid w:val="0084325B"/>
    <w:pPr>
      <w:ind w:firstLine="170"/>
    </w:pPr>
  </w:style>
  <w:style w:type="paragraph" w:customStyle="1" w:styleId="Equation">
    <w:name w:val="Equation"/>
    <w:basedOn w:val="Normal"/>
    <w:next w:val="Normal"/>
    <w:rsid w:val="008155F7"/>
    <w:pPr>
      <w:tabs>
        <w:tab w:val="center" w:pos="2509"/>
        <w:tab w:val="right" w:pos="5018"/>
      </w:tabs>
      <w:spacing w:before="120" w:after="120"/>
    </w:pPr>
  </w:style>
  <w:style w:type="paragraph" w:styleId="ListBullet">
    <w:name w:val="List Bullet"/>
    <w:basedOn w:val="Normal"/>
    <w:autoRedefine/>
    <w:rsid w:val="00B3539D"/>
    <w:pPr>
      <w:numPr>
        <w:numId w:val="2"/>
      </w:numPr>
    </w:pPr>
  </w:style>
  <w:style w:type="paragraph" w:styleId="Caption">
    <w:name w:val="caption"/>
    <w:basedOn w:val="Normal"/>
    <w:next w:val="NormalIndent"/>
    <w:qFormat/>
    <w:rsid w:val="0087067F"/>
    <w:pPr>
      <w:spacing w:before="120" w:after="120"/>
      <w:jc w:val="center"/>
    </w:pPr>
    <w:rPr>
      <w:bCs/>
    </w:rPr>
  </w:style>
  <w:style w:type="paragraph" w:customStyle="1" w:styleId="Figure">
    <w:name w:val="Figure"/>
    <w:basedOn w:val="Normal"/>
    <w:next w:val="Caption"/>
    <w:qFormat/>
    <w:rsid w:val="00436F8A"/>
    <w:pPr>
      <w:jc w:val="center"/>
    </w:pPr>
  </w:style>
  <w:style w:type="paragraph" w:customStyle="1" w:styleId="References">
    <w:name w:val="References"/>
    <w:basedOn w:val="ListNumber"/>
    <w:rsid w:val="00153248"/>
    <w:pPr>
      <w:numPr>
        <w:numId w:val="26"/>
      </w:numPr>
    </w:pPr>
    <w:rPr>
      <w:sz w:val="16"/>
    </w:rPr>
  </w:style>
  <w:style w:type="table" w:styleId="TableGrid">
    <w:name w:val="Table Grid"/>
    <w:basedOn w:val="TableNormal"/>
    <w:rsid w:val="007D65EE"/>
    <w:pPr>
      <w:suppressAutoHyphens/>
      <w:autoSpaceDE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rsid w:val="00153248"/>
    <w:pPr>
      <w:numPr>
        <w:numId w:val="7"/>
      </w:numPr>
    </w:pPr>
  </w:style>
  <w:style w:type="character" w:styleId="Hyperlink">
    <w:name w:val="Hyperlink"/>
    <w:rsid w:val="006317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31D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DA2"/>
    <w:rPr>
      <w:rFonts w:ascii="Times New Roman" w:eastAsia="Times New Roman" w:hAnsi="Times New Roman"/>
      <w:lang w:val="en-US" w:eastAsia="ar-SA"/>
    </w:rPr>
  </w:style>
  <w:style w:type="paragraph" w:styleId="Footer">
    <w:name w:val="footer"/>
    <w:basedOn w:val="Normal"/>
    <w:link w:val="FooterChar"/>
    <w:uiPriority w:val="99"/>
    <w:rsid w:val="00531D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DA2"/>
    <w:rPr>
      <w:rFonts w:ascii="Times New Roman" w:eastAsia="Times New Roman" w:hAnsi="Times New Roman"/>
      <w:lang w:val="en-US" w:eastAsia="ar-SA"/>
    </w:rPr>
  </w:style>
  <w:style w:type="paragraph" w:customStyle="1" w:styleId="a">
    <w:name w:val="바탕글"/>
    <w:basedOn w:val="Normal"/>
    <w:rsid w:val="002D14AF"/>
    <w:pPr>
      <w:widowControl w:val="0"/>
      <w:suppressAutoHyphens w:val="0"/>
      <w:wordWrap w:val="0"/>
      <w:autoSpaceDN w:val="0"/>
      <w:snapToGrid w:val="0"/>
      <w:spacing w:line="384" w:lineRule="auto"/>
      <w:textAlignment w:val="baseline"/>
    </w:pPr>
    <w:rPr>
      <w:rFonts w:ascii="Gulim" w:eastAsia="Gulim" w:hAnsi="Gulim" w:cs="Gulim"/>
      <w:color w:val="000000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14AF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660A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2A31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3151"/>
  </w:style>
  <w:style w:type="character" w:customStyle="1" w:styleId="CommentTextChar">
    <w:name w:val="Comment Text Char"/>
    <w:basedOn w:val="DefaultParagraphFont"/>
    <w:link w:val="CommentText"/>
    <w:rsid w:val="002A3151"/>
    <w:rPr>
      <w:rFonts w:ascii="Times New Roman" w:eastAsia="Times New Roman" w:hAnsi="Times New Roman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2A31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3151"/>
    <w:rPr>
      <w:rFonts w:ascii="Times New Roman" w:eastAsia="Times New Roman" w:hAnsi="Times New Roman"/>
      <w:b/>
      <w:bCs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chart" Target="charts/chart1.xml"/><Relationship Id="rId3" Type="http://schemas.openxmlformats.org/officeDocument/2006/relationships/customXml" Target="../customXml/item3.xml"/><Relationship Id="rId21" Type="http://schemas.openxmlformats.org/officeDocument/2006/relationships/chart" Target="charts/chart4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chart" Target="charts/chart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SHMI\Reynolds%20number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MI\Reynolds%20numbe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G:\SHMI\Reynolds%20number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G:\SHMI\Reynolds%20number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995444444444441"/>
          <c:y val="4.5645679012345682E-2"/>
          <c:w val="0.75363814814814822"/>
          <c:h val="0.78396257716049389"/>
        </c:manualLayout>
      </c:layout>
      <c:scatterChart>
        <c:scatterStyle val="smoothMarker"/>
        <c:varyColors val="0"/>
        <c:ser>
          <c:idx val="1"/>
          <c:order val="0"/>
          <c:tx>
            <c:v>Full-Scale</c:v>
          </c:tx>
          <c:spPr>
            <a:ln w="9525">
              <a:solidFill>
                <a:schemeClr val="accent5">
                  <a:lumMod val="60000"/>
                  <a:lumOff val="40000"/>
                </a:schemeClr>
              </a:solidFill>
              <a:prstDash val="solid"/>
            </a:ln>
          </c:spPr>
          <c:marker>
            <c:symbol val="circle"/>
            <c:size val="5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</c:spPr>
          </c:marker>
          <c:xVal>
            <c:numRef>
              <c:f>Velocity!$B$2:$B$57</c:f>
              <c:numCache>
                <c:formatCode>General</c:formatCode>
                <c:ptCount val="56"/>
                <c:pt idx="0">
                  <c:v>0.47118927499999996</c:v>
                </c:pt>
                <c:pt idx="1">
                  <c:v>0.41149237999999999</c:v>
                </c:pt>
                <c:pt idx="2">
                  <c:v>0.41765036999999994</c:v>
                </c:pt>
                <c:pt idx="3">
                  <c:v>0.400016015</c:v>
                </c:pt>
                <c:pt idx="4">
                  <c:v>0.33032812</c:v>
                </c:pt>
                <c:pt idx="5">
                  <c:v>0.272968445</c:v>
                </c:pt>
                <c:pt idx="6">
                  <c:v>1.0223556</c:v>
                </c:pt>
                <c:pt idx="7">
                  <c:v>1.0764915500000001</c:v>
                </c:pt>
                <c:pt idx="8">
                  <c:v>1.1060435</c:v>
                </c:pt>
                <c:pt idx="9">
                  <c:v>1.1120328000000002</c:v>
                </c:pt>
                <c:pt idx="10">
                  <c:v>1.1103033</c:v>
                </c:pt>
                <c:pt idx="11">
                  <c:v>1.1093933</c:v>
                </c:pt>
              </c:numCache>
            </c:numRef>
          </c:xVal>
          <c:yVal>
            <c:numRef>
              <c:f>Velocity!$D$2:$D$57</c:f>
              <c:numCache>
                <c:formatCode>General</c:formatCode>
                <c:ptCount val="56"/>
                <c:pt idx="0">
                  <c:v>0.16666666666666666</c:v>
                </c:pt>
                <c:pt idx="1">
                  <c:v>0.33333333333333331</c:v>
                </c:pt>
                <c:pt idx="2">
                  <c:v>0.5</c:v>
                </c:pt>
                <c:pt idx="3">
                  <c:v>0.66666666666666663</c:v>
                </c:pt>
                <c:pt idx="4">
                  <c:v>0.83333333333333337</c:v>
                </c:pt>
                <c:pt idx="5">
                  <c:v>0.9996666666666667</c:v>
                </c:pt>
                <c:pt idx="6">
                  <c:v>1.0833333333333333</c:v>
                </c:pt>
                <c:pt idx="7">
                  <c:v>1.1666666666666667</c:v>
                </c:pt>
                <c:pt idx="8">
                  <c:v>1.25</c:v>
                </c:pt>
                <c:pt idx="9">
                  <c:v>1.3333333333333333</c:v>
                </c:pt>
                <c:pt idx="10">
                  <c:v>1.4166666666666667</c:v>
                </c:pt>
                <c:pt idx="11">
                  <c:v>1.5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DEA0-4162-9777-5F6BE1EFEE31}"/>
            </c:ext>
          </c:extLst>
        </c:ser>
        <c:ser>
          <c:idx val="0"/>
          <c:order val="1"/>
          <c:tx>
            <c:v>Modified sub-scale</c:v>
          </c:tx>
          <c:spPr>
            <a:ln w="9525">
              <a:solidFill>
                <a:schemeClr val="accent2">
                  <a:lumMod val="75000"/>
                </a:schemeClr>
              </a:solidFill>
            </a:ln>
          </c:spPr>
          <c:marker>
            <c:symbol val="diamond"/>
            <c:size val="5"/>
            <c:spPr>
              <a:noFill/>
              <a:ln w="9525">
                <a:solidFill>
                  <a:schemeClr val="accent2">
                    <a:lumMod val="75000"/>
                  </a:schemeClr>
                </a:solidFill>
              </a:ln>
              <a:effectLst/>
            </c:spPr>
          </c:marker>
          <c:xVal>
            <c:numRef>
              <c:f>Velocity!$E$2:$E$57</c:f>
              <c:numCache>
                <c:formatCode>0.00E+00</c:formatCode>
                <c:ptCount val="56"/>
                <c:pt idx="0">
                  <c:v>0.49223956445245953</c:v>
                </c:pt>
                <c:pt idx="1">
                  <c:v>0.36291278757910633</c:v>
                </c:pt>
                <c:pt idx="2">
                  <c:v>0.34331127864109062</c:v>
                </c:pt>
                <c:pt idx="3">
                  <c:v>0.32989929554374525</c:v>
                </c:pt>
                <c:pt idx="4">
                  <c:v>0.28564249926157159</c:v>
                </c:pt>
                <c:pt idx="5">
                  <c:v>0.25059967806292383</c:v>
                </c:pt>
                <c:pt idx="6">
                  <c:v>1.0327052980901332</c:v>
                </c:pt>
                <c:pt idx="7">
                  <c:v>1.1205445420486557</c:v>
                </c:pt>
                <c:pt idx="8">
                  <c:v>1.1469213057093586</c:v>
                </c:pt>
                <c:pt idx="9">
                  <c:v>1.154095972752412</c:v>
                </c:pt>
                <c:pt idx="10">
                  <c:v>1.159878404748339</c:v>
                </c:pt>
                <c:pt idx="11">
                  <c:v>1.1658886252585492</c:v>
                </c:pt>
              </c:numCache>
            </c:numRef>
          </c:xVal>
          <c:yVal>
            <c:numRef>
              <c:f>Velocity!$D$2:$D$57</c:f>
              <c:numCache>
                <c:formatCode>General</c:formatCode>
                <c:ptCount val="56"/>
                <c:pt idx="0">
                  <c:v>0.16666666666666666</c:v>
                </c:pt>
                <c:pt idx="1">
                  <c:v>0.33333333333333331</c:v>
                </c:pt>
                <c:pt idx="2">
                  <c:v>0.5</c:v>
                </c:pt>
                <c:pt idx="3">
                  <c:v>0.66666666666666663</c:v>
                </c:pt>
                <c:pt idx="4">
                  <c:v>0.83333333333333337</c:v>
                </c:pt>
                <c:pt idx="5">
                  <c:v>0.9996666666666667</c:v>
                </c:pt>
                <c:pt idx="6">
                  <c:v>1.0833333333333333</c:v>
                </c:pt>
                <c:pt idx="7">
                  <c:v>1.1666666666666667</c:v>
                </c:pt>
                <c:pt idx="8">
                  <c:v>1.25</c:v>
                </c:pt>
                <c:pt idx="9">
                  <c:v>1.3333333333333333</c:v>
                </c:pt>
                <c:pt idx="10">
                  <c:v>1.4166666666666667</c:v>
                </c:pt>
                <c:pt idx="11">
                  <c:v>1.5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DEA0-4162-9777-5F6BE1EFEE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82580623"/>
        <c:axId val="1382581039"/>
        <c:extLst/>
      </c:scatterChart>
      <c:valAx>
        <c:axId val="1382580623"/>
        <c:scaling>
          <c:orientation val="minMax"/>
          <c:max val="1.5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CA"/>
                  <a:t>Dimensionless velocity </a:t>
                </a:r>
              </a:p>
            </c:rich>
          </c:tx>
          <c:overlay val="0"/>
        </c:title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1382581039"/>
        <c:crosses val="autoZero"/>
        <c:crossBetween val="midCat"/>
        <c:majorUnit val="0.5"/>
      </c:valAx>
      <c:valAx>
        <c:axId val="1382581039"/>
        <c:scaling>
          <c:orientation val="minMax"/>
          <c:max val="2.5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CA"/>
                  <a:t>Dimensionless height</a:t>
                </a:r>
              </a:p>
            </c:rich>
          </c:tx>
          <c:layout>
            <c:manualLayout>
              <c:xMode val="edge"/>
              <c:yMode val="edge"/>
              <c:x val="0"/>
              <c:y val="0.25942903493847191"/>
            </c:manualLayout>
          </c:layout>
          <c:overlay val="0"/>
        </c:title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1382580623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24872830670761131"/>
          <c:y val="4.615993352589718E-2"/>
          <c:w val="0.61508949089746034"/>
          <c:h val="0.13381078621453726"/>
        </c:manualLayout>
      </c:layout>
      <c:overlay val="0"/>
    </c:legend>
    <c:plotVisOnly val="1"/>
    <c:dispBlanksAs val="gap"/>
    <c:showDLblsOverMax val="0"/>
    <c:extLst/>
  </c:chart>
  <c:spPr>
    <a:ln>
      <a:noFill/>
    </a:ln>
  </c:spPr>
  <c:txPr>
    <a:bodyPr/>
    <a:lstStyle/>
    <a:p>
      <a:pPr>
        <a:defRPr sz="1000" b="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525074074074075"/>
          <c:y val="3.2558641975308639E-2"/>
          <c:w val="0.73889740740740739"/>
          <c:h val="0.8061435185185184"/>
        </c:manualLayout>
      </c:layout>
      <c:scatterChart>
        <c:scatterStyle val="smoothMarker"/>
        <c:varyColors val="0"/>
        <c:ser>
          <c:idx val="0"/>
          <c:order val="0"/>
          <c:tx>
            <c:v>Full-Scale</c:v>
          </c:tx>
          <c:spPr>
            <a:ln w="9525" cap="rnd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marker>
            <c:symbol val="diamond"/>
            <c:size val="5"/>
            <c:spPr>
              <a:noFill/>
              <a:ln w="9525">
                <a:solidFill>
                  <a:schemeClr val="accent2">
                    <a:lumMod val="75000"/>
                  </a:schemeClr>
                </a:solidFill>
              </a:ln>
              <a:effectLst/>
            </c:spPr>
          </c:marker>
          <c:xVal>
            <c:numRef>
              <c:f>Velocity!$AB$2:$AB$20</c:f>
              <c:numCache>
                <c:formatCode>0.00E+00</c:formatCode>
                <c:ptCount val="19"/>
                <c:pt idx="0">
                  <c:v>0.40809572514008441</c:v>
                </c:pt>
                <c:pt idx="1">
                  <c:v>0.39281642114545234</c:v>
                </c:pt>
                <c:pt idx="2">
                  <c:v>0.39441884529347981</c:v>
                </c:pt>
                <c:pt idx="3">
                  <c:v>0.40523355876643874</c:v>
                </c:pt>
                <c:pt idx="4">
                  <c:v>0.40426752755745654</c:v>
                </c:pt>
                <c:pt idx="5">
                  <c:v>0.39923557629257134</c:v>
                </c:pt>
                <c:pt idx="6">
                  <c:v>0.45748841381604055</c:v>
                </c:pt>
                <c:pt idx="7">
                  <c:v>0.42964193205765544</c:v>
                </c:pt>
                <c:pt idx="8">
                  <c:v>0.40516178053850616</c:v>
                </c:pt>
                <c:pt idx="9">
                  <c:v>0.35082692821944961</c:v>
                </c:pt>
                <c:pt idx="10">
                  <c:v>0.31503668666446932</c:v>
                </c:pt>
                <c:pt idx="11">
                  <c:v>0.32426057034715405</c:v>
                </c:pt>
                <c:pt idx="12">
                  <c:v>0.33924729224945771</c:v>
                </c:pt>
                <c:pt idx="13">
                  <c:v>0.3280222573634396</c:v>
                </c:pt>
                <c:pt idx="14">
                  <c:v>0.48160242562148492</c:v>
                </c:pt>
                <c:pt idx="15">
                  <c:v>0.87151617102150625</c:v>
                </c:pt>
                <c:pt idx="16">
                  <c:v>1.2712588065110546</c:v>
                </c:pt>
                <c:pt idx="17">
                  <c:v>1.3173608282504226</c:v>
                </c:pt>
                <c:pt idx="18">
                  <c:v>1.2669487861761586</c:v>
                </c:pt>
              </c:numCache>
              <c:extLst xmlns:c15="http://schemas.microsoft.com/office/drawing/2012/chart"/>
            </c:numRef>
          </c:xVal>
          <c:yVal>
            <c:numRef>
              <c:f>Velocity!$AA$2:$AA$57</c:f>
              <c:numCache>
                <c:formatCode>General</c:formatCode>
                <c:ptCount val="56"/>
                <c:pt idx="0">
                  <c:v>0.16666666666666666</c:v>
                </c:pt>
                <c:pt idx="1">
                  <c:v>0.33333333333333331</c:v>
                </c:pt>
                <c:pt idx="2">
                  <c:v>0.5</c:v>
                </c:pt>
                <c:pt idx="3">
                  <c:v>0.66666666666666663</c:v>
                </c:pt>
                <c:pt idx="4">
                  <c:v>0.83333333333333337</c:v>
                </c:pt>
                <c:pt idx="5">
                  <c:v>0.9996666666666667</c:v>
                </c:pt>
                <c:pt idx="6">
                  <c:v>1.1666666666666667</c:v>
                </c:pt>
                <c:pt idx="7">
                  <c:v>1.25</c:v>
                </c:pt>
                <c:pt idx="8">
                  <c:v>1.3334999999999999</c:v>
                </c:pt>
                <c:pt idx="9">
                  <c:v>1.4166666666666667</c:v>
                </c:pt>
                <c:pt idx="10">
                  <c:v>1.5</c:v>
                </c:pt>
                <c:pt idx="11" formatCode="0.00E+00">
                  <c:v>1.5833333333333333</c:v>
                </c:pt>
                <c:pt idx="12" formatCode="0.00E+00">
                  <c:v>1.6668333333333332</c:v>
                </c:pt>
                <c:pt idx="13">
                  <c:v>1.8333333333333333</c:v>
                </c:pt>
                <c:pt idx="14">
                  <c:v>1.9166666666666667</c:v>
                </c:pt>
                <c:pt idx="15">
                  <c:v>2.0003333333333333</c:v>
                </c:pt>
                <c:pt idx="16">
                  <c:v>2.0833333333333335</c:v>
                </c:pt>
                <c:pt idx="17">
                  <c:v>2.1666666666666665</c:v>
                </c:pt>
                <c:pt idx="18">
                  <c:v>2.25</c:v>
                </c:pt>
              </c:numCache>
              <c:extLst xmlns:c15="http://schemas.microsoft.com/office/drawing/2012/chart"/>
            </c:numRef>
          </c:yVal>
          <c:smooth val="1"/>
          <c:extLst xmlns:c15="http://schemas.microsoft.com/office/drawing/2012/chart">
            <c:ext xmlns:c16="http://schemas.microsoft.com/office/drawing/2014/chart" uri="{C3380CC4-5D6E-409C-BE32-E72D297353CC}">
              <c16:uniqueId val="{00000000-8E8C-4B9E-A131-17CE5B729573}"/>
            </c:ext>
          </c:extLst>
        </c:ser>
        <c:ser>
          <c:idx val="1"/>
          <c:order val="1"/>
          <c:tx>
            <c:v>Modified sub-scale</c:v>
          </c:tx>
          <c:spPr>
            <a:ln w="9525" cap="rnd">
              <a:solidFill>
                <a:schemeClr val="accent5">
                  <a:lumMod val="60000"/>
                  <a:lumOff val="40000"/>
                </a:schemeClr>
              </a:solidFill>
              <a:prstDash val="solid"/>
              <a:round/>
            </a:ln>
            <a:effectLst/>
          </c:spPr>
          <c:marker>
            <c:symbol val="circle"/>
            <c:size val="5"/>
            <c:spPr>
              <a:solidFill>
                <a:schemeClr val="accent5">
                  <a:lumMod val="60000"/>
                  <a:lumOff val="40000"/>
                </a:schemeClr>
              </a:solidFill>
              <a:ln w="9525">
                <a:noFill/>
              </a:ln>
              <a:effectLst/>
            </c:spPr>
          </c:marker>
          <c:xVal>
            <c:numRef>
              <c:f>Velocity!$Z$2:$Z$20</c:f>
              <c:numCache>
                <c:formatCode>General</c:formatCode>
                <c:ptCount val="19"/>
                <c:pt idx="0">
                  <c:v>0.41849999999999998</c:v>
                </c:pt>
                <c:pt idx="1">
                  <c:v>0.39800000000000002</c:v>
                </c:pt>
                <c:pt idx="2">
                  <c:v>0.39750000000000002</c:v>
                </c:pt>
                <c:pt idx="3">
                  <c:v>0.39300000000000002</c:v>
                </c:pt>
                <c:pt idx="4">
                  <c:v>0.38</c:v>
                </c:pt>
                <c:pt idx="5">
                  <c:v>0.3795</c:v>
                </c:pt>
                <c:pt idx="6">
                  <c:v>0.39400000000000002</c:v>
                </c:pt>
                <c:pt idx="7">
                  <c:v>0.40800000000000003</c:v>
                </c:pt>
                <c:pt idx="8">
                  <c:v>0.35950000000000004</c:v>
                </c:pt>
                <c:pt idx="9">
                  <c:v>0.315</c:v>
                </c:pt>
                <c:pt idx="10">
                  <c:v>0.26400000000000001</c:v>
                </c:pt>
                <c:pt idx="11">
                  <c:v>0.255</c:v>
                </c:pt>
                <c:pt idx="12">
                  <c:v>0.252</c:v>
                </c:pt>
                <c:pt idx="13" formatCode="0.00E+00">
                  <c:v>0.39400000000000002</c:v>
                </c:pt>
                <c:pt idx="14">
                  <c:v>0.63500000000000001</c:v>
                </c:pt>
                <c:pt idx="15">
                  <c:v>1.2250000000000001</c:v>
                </c:pt>
                <c:pt idx="16">
                  <c:v>1.405</c:v>
                </c:pt>
                <c:pt idx="17">
                  <c:v>1.345</c:v>
                </c:pt>
                <c:pt idx="18">
                  <c:v>1.2749999999999999</c:v>
                </c:pt>
              </c:numCache>
            </c:numRef>
          </c:xVal>
          <c:yVal>
            <c:numRef>
              <c:f>Velocity!$AA$2:$AA$20</c:f>
              <c:numCache>
                <c:formatCode>General</c:formatCode>
                <c:ptCount val="19"/>
                <c:pt idx="0">
                  <c:v>0.16666666666666666</c:v>
                </c:pt>
                <c:pt idx="1">
                  <c:v>0.33333333333333331</c:v>
                </c:pt>
                <c:pt idx="2">
                  <c:v>0.5</c:v>
                </c:pt>
                <c:pt idx="3">
                  <c:v>0.66666666666666663</c:v>
                </c:pt>
                <c:pt idx="4">
                  <c:v>0.83333333333333337</c:v>
                </c:pt>
                <c:pt idx="5">
                  <c:v>0.9996666666666667</c:v>
                </c:pt>
                <c:pt idx="6">
                  <c:v>1.1666666666666667</c:v>
                </c:pt>
                <c:pt idx="7">
                  <c:v>1.25</c:v>
                </c:pt>
                <c:pt idx="8">
                  <c:v>1.3334999999999999</c:v>
                </c:pt>
                <c:pt idx="9">
                  <c:v>1.4166666666666667</c:v>
                </c:pt>
                <c:pt idx="10">
                  <c:v>1.5</c:v>
                </c:pt>
                <c:pt idx="11" formatCode="0.00E+00">
                  <c:v>1.5833333333333333</c:v>
                </c:pt>
                <c:pt idx="12" formatCode="0.00E+00">
                  <c:v>1.6668333333333332</c:v>
                </c:pt>
                <c:pt idx="13">
                  <c:v>1.8333333333333333</c:v>
                </c:pt>
                <c:pt idx="14">
                  <c:v>1.9166666666666667</c:v>
                </c:pt>
                <c:pt idx="15">
                  <c:v>2.0003333333333333</c:v>
                </c:pt>
                <c:pt idx="16">
                  <c:v>2.0833333333333335</c:v>
                </c:pt>
                <c:pt idx="17">
                  <c:v>2.1666666666666665</c:v>
                </c:pt>
                <c:pt idx="18">
                  <c:v>2.25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8E8C-4B9E-A131-17CE5B7295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81100207"/>
        <c:axId val="1381103535"/>
        <c:extLst/>
      </c:scatterChart>
      <c:valAx>
        <c:axId val="1381100207"/>
        <c:scaling>
          <c:orientation val="minMax"/>
          <c:max val="1.5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CA"/>
                  <a:t>Dimensionless velocity</a:t>
                </a:r>
              </a:p>
            </c:rich>
          </c:tx>
          <c:layout>
            <c:manualLayout>
              <c:xMode val="edge"/>
              <c:yMode val="edge"/>
              <c:x val="0.30289111111111117"/>
              <c:y val="0.9176851851851851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0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381103535"/>
        <c:crosses val="autoZero"/>
        <c:crossBetween val="midCat"/>
        <c:majorUnit val="0.5"/>
      </c:valAx>
      <c:valAx>
        <c:axId val="1381103535"/>
        <c:scaling>
          <c:orientation val="minMax"/>
          <c:max val="2.5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CA"/>
                  <a:t>Dimensionless height</a:t>
                </a:r>
              </a:p>
            </c:rich>
          </c:tx>
          <c:layout>
            <c:manualLayout>
              <c:xMode val="edge"/>
              <c:yMode val="edge"/>
              <c:x val="0"/>
              <c:y val="0.1821693672839506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381100207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37551863307530325"/>
          <c:y val="0.48834756682605007"/>
          <c:w val="0.59630573884298754"/>
          <c:h val="0.124009800889692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 b="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0274444444444445"/>
          <c:y val="2.2614912280701754E-2"/>
          <c:w val="0.73375555555555561"/>
          <c:h val="0.80515702160493829"/>
        </c:manualLayout>
      </c:layout>
      <c:scatterChart>
        <c:scatterStyle val="smoothMarker"/>
        <c:varyColors val="0"/>
        <c:ser>
          <c:idx val="3"/>
          <c:order val="0"/>
          <c:tx>
            <c:v>Full-Scale</c:v>
          </c:tx>
          <c:spPr>
            <a:ln w="9525">
              <a:solidFill>
                <a:schemeClr val="accent5">
                  <a:lumMod val="60000"/>
                  <a:lumOff val="40000"/>
                </a:schemeClr>
              </a:solidFill>
              <a:prstDash val="dash"/>
            </a:ln>
          </c:spPr>
          <c:marker>
            <c:symbol val="circle"/>
            <c:size val="5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</c:spPr>
          </c:marker>
          <c:xVal>
            <c:numRef>
              <c:f>Temperature!$E$36:$E$47</c:f>
              <c:numCache>
                <c:formatCode>0.00E+00</c:formatCode>
                <c:ptCount val="12"/>
                <c:pt idx="0">
                  <c:v>3.4340354137802793E-3</c:v>
                </c:pt>
                <c:pt idx="1">
                  <c:v>3.7888345216774005E-3</c:v>
                </c:pt>
                <c:pt idx="2">
                  <c:v>4.3365102895954865E-3</c:v>
                </c:pt>
                <c:pt idx="3">
                  <c:v>5.8605102895954901E-3</c:v>
                </c:pt>
                <c:pt idx="4">
                  <c:v>9.4437582536410596E-3</c:v>
                </c:pt>
                <c:pt idx="5">
                  <c:v>2.0469198965971703E-2</c:v>
                </c:pt>
                <c:pt idx="6">
                  <c:v>1.657610779576249E-2</c:v>
                </c:pt>
                <c:pt idx="7">
                  <c:v>1.4060382320143255E-2</c:v>
                </c:pt>
                <c:pt idx="8">
                  <c:v>1.3439057277058736E-2</c:v>
                </c:pt>
                <c:pt idx="9">
                  <c:v>1.3271910113878294E-2</c:v>
                </c:pt>
                <c:pt idx="10">
                  <c:v>1.3175732707059105E-2</c:v>
                </c:pt>
                <c:pt idx="11">
                  <c:v>1.3187114554117561E-2</c:v>
                </c:pt>
              </c:numCache>
            </c:numRef>
          </c:xVal>
          <c:yVal>
            <c:numRef>
              <c:f>Temperature!$D$36:$D$47</c:f>
              <c:numCache>
                <c:formatCode>General</c:formatCode>
                <c:ptCount val="12"/>
                <c:pt idx="0">
                  <c:v>1.5</c:v>
                </c:pt>
                <c:pt idx="1">
                  <c:v>1.4166666666666667</c:v>
                </c:pt>
                <c:pt idx="2">
                  <c:v>1.3333333333333333</c:v>
                </c:pt>
                <c:pt idx="3">
                  <c:v>1.25</c:v>
                </c:pt>
                <c:pt idx="4">
                  <c:v>1.1666666666666667</c:v>
                </c:pt>
                <c:pt idx="5">
                  <c:v>1.0833333333333333</c:v>
                </c:pt>
                <c:pt idx="6">
                  <c:v>1</c:v>
                </c:pt>
                <c:pt idx="7">
                  <c:v>0.83333333333333337</c:v>
                </c:pt>
                <c:pt idx="8">
                  <c:v>0.66666666666666663</c:v>
                </c:pt>
                <c:pt idx="9">
                  <c:v>0.5</c:v>
                </c:pt>
                <c:pt idx="10">
                  <c:v>0.33333333333333331</c:v>
                </c:pt>
                <c:pt idx="11">
                  <c:v>0.16666666666666666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10AC-47B3-9635-864DC66F8574}"/>
            </c:ext>
          </c:extLst>
        </c:ser>
        <c:ser>
          <c:idx val="2"/>
          <c:order val="1"/>
          <c:tx>
            <c:v>Modified sub-scale</c:v>
          </c:tx>
          <c:spPr>
            <a:ln w="9525">
              <a:solidFill>
                <a:schemeClr val="accent2">
                  <a:lumMod val="75000"/>
                </a:schemeClr>
              </a:solidFill>
              <a:prstDash val="dash"/>
            </a:ln>
          </c:spPr>
          <c:marker>
            <c:symbol val="diamond"/>
            <c:size val="5"/>
            <c:spPr>
              <a:noFill/>
              <a:ln>
                <a:solidFill>
                  <a:schemeClr val="accent2">
                    <a:lumMod val="75000"/>
                  </a:schemeClr>
                </a:solidFill>
              </a:ln>
            </c:spPr>
          </c:marker>
          <c:xVal>
            <c:numRef>
              <c:f>Temperature!$H$36:$H$47</c:f>
              <c:numCache>
                <c:formatCode>0.00E+00</c:formatCode>
                <c:ptCount val="12"/>
                <c:pt idx="0">
                  <c:v>4.9622578804124906E-3</c:v>
                </c:pt>
                <c:pt idx="1">
                  <c:v>5.2011791250697395E-3</c:v>
                </c:pt>
                <c:pt idx="2">
                  <c:v>5.635380892250642E-3</c:v>
                </c:pt>
                <c:pt idx="3">
                  <c:v>6.765764182264036E-3</c:v>
                </c:pt>
                <c:pt idx="4">
                  <c:v>1.0714532405129559E-2</c:v>
                </c:pt>
                <c:pt idx="5">
                  <c:v>2.5431248841518584E-2</c:v>
                </c:pt>
                <c:pt idx="6">
                  <c:v>1.6512788878930582E-2</c:v>
                </c:pt>
                <c:pt idx="7">
                  <c:v>1.4405966464509888E-2</c:v>
                </c:pt>
                <c:pt idx="8">
                  <c:v>1.3898150587509341E-2</c:v>
                </c:pt>
                <c:pt idx="9">
                  <c:v>1.3623796764695764E-2</c:v>
                </c:pt>
                <c:pt idx="10">
                  <c:v>1.3564100124075057E-2</c:v>
                </c:pt>
                <c:pt idx="11">
                  <c:v>1.3747077667027381E-2</c:v>
                </c:pt>
              </c:numCache>
            </c:numRef>
          </c:xVal>
          <c:yVal>
            <c:numRef>
              <c:f>Temperature!$G$36:$G$47</c:f>
              <c:numCache>
                <c:formatCode>General</c:formatCode>
                <c:ptCount val="12"/>
                <c:pt idx="0">
                  <c:v>1.5</c:v>
                </c:pt>
                <c:pt idx="1">
                  <c:v>1.4166666666666667</c:v>
                </c:pt>
                <c:pt idx="2">
                  <c:v>1.3333333333333333</c:v>
                </c:pt>
                <c:pt idx="3">
                  <c:v>1.25</c:v>
                </c:pt>
                <c:pt idx="4">
                  <c:v>1.1666666666666667</c:v>
                </c:pt>
                <c:pt idx="5">
                  <c:v>1.0833333333333333</c:v>
                </c:pt>
                <c:pt idx="6">
                  <c:v>1</c:v>
                </c:pt>
                <c:pt idx="7">
                  <c:v>0.83333333333333337</c:v>
                </c:pt>
                <c:pt idx="8">
                  <c:v>0.66666666666666663</c:v>
                </c:pt>
                <c:pt idx="9">
                  <c:v>0.5</c:v>
                </c:pt>
                <c:pt idx="10">
                  <c:v>0.33333333333333331</c:v>
                </c:pt>
                <c:pt idx="11">
                  <c:v>0.16666666666666666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10AC-47B3-9635-864DC66F85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98035184"/>
        <c:axId val="520214672"/>
        <c:extLst/>
      </c:scatterChart>
      <c:valAx>
        <c:axId val="498035184"/>
        <c:scaling>
          <c:orientation val="minMax"/>
          <c:max val="5.000000000000001E-2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CA"/>
                  <a:t>Dimensionless temperature</a:t>
                </a:r>
              </a:p>
            </c:rich>
          </c:tx>
          <c:layout>
            <c:manualLayout>
              <c:xMode val="edge"/>
              <c:yMode val="edge"/>
              <c:x val="0.24759555555555557"/>
              <c:y val="0.91768518518518516"/>
            </c:manualLayout>
          </c:layout>
          <c:overlay val="0"/>
        </c:title>
        <c:numFmt formatCode="General" sourceLinked="0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520214672"/>
        <c:crosses val="autoZero"/>
        <c:crossBetween val="midCat"/>
        <c:majorUnit val="1.0000000000000002E-2"/>
      </c:valAx>
      <c:valAx>
        <c:axId val="520214672"/>
        <c:scaling>
          <c:orientation val="minMax"/>
          <c:max val="2.5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CA"/>
                  <a:t>Dimensionless heght</a:t>
                </a:r>
              </a:p>
            </c:rich>
          </c:tx>
          <c:layout>
            <c:manualLayout>
              <c:xMode val="edge"/>
              <c:yMode val="edge"/>
              <c:x val="3.2307407407407415E-3"/>
              <c:y val="0.19004012345679017"/>
            </c:manualLayout>
          </c:layout>
          <c:overlay val="0"/>
        </c:title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498035184"/>
        <c:crosses val="autoZero"/>
        <c:crossBetween val="midCat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0.45926648987401203"/>
          <c:y val="6.8562937125874288E-2"/>
          <c:w val="0.52659257211043298"/>
          <c:h val="0.18215236430472861"/>
        </c:manualLayout>
      </c:layout>
      <c:overlay val="0"/>
    </c:legend>
    <c:plotVisOnly val="1"/>
    <c:dispBlanksAs val="gap"/>
    <c:showDLblsOverMax val="0"/>
    <c:extLst/>
  </c:chart>
  <c:spPr>
    <a:ln>
      <a:noFill/>
    </a:ln>
  </c:spPr>
  <c:txPr>
    <a:bodyPr/>
    <a:lstStyle/>
    <a:p>
      <a:pPr>
        <a:defRPr sz="1000" b="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833444444444445"/>
          <c:y val="2.2614912280701754E-2"/>
          <c:w val="0.73816555555555552"/>
          <c:h val="0.80025733024691359"/>
        </c:manualLayout>
      </c:layout>
      <c:scatterChart>
        <c:scatterStyle val="smoothMarker"/>
        <c:varyColors val="0"/>
        <c:ser>
          <c:idx val="7"/>
          <c:order val="0"/>
          <c:tx>
            <c:v>Full-Scale</c:v>
          </c:tx>
          <c:spPr>
            <a:ln w="9525">
              <a:solidFill>
                <a:schemeClr val="accent5">
                  <a:lumMod val="60000"/>
                  <a:lumOff val="40000"/>
                </a:schemeClr>
              </a:solidFill>
              <a:prstDash val="dash"/>
            </a:ln>
          </c:spPr>
          <c:marker>
            <c:symbol val="circle"/>
            <c:size val="5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solidFill>
                  <a:schemeClr val="accent5">
                    <a:lumMod val="60000"/>
                    <a:lumOff val="40000"/>
                  </a:schemeClr>
                </a:solidFill>
              </a:ln>
            </c:spPr>
          </c:marker>
          <c:xVal>
            <c:numRef>
              <c:f>Temperature!$Z$36:$Z$54</c:f>
              <c:numCache>
                <c:formatCode>0.00E+00</c:formatCode>
                <c:ptCount val="19"/>
                <c:pt idx="0">
                  <c:v>3.0423458250261482E-3</c:v>
                </c:pt>
                <c:pt idx="1">
                  <c:v>4.2018167809954937E-3</c:v>
                </c:pt>
                <c:pt idx="2">
                  <c:v>1.2732315885513488E-2</c:v>
                </c:pt>
                <c:pt idx="3">
                  <c:v>4.2380088737201393E-2</c:v>
                </c:pt>
                <c:pt idx="4">
                  <c:v>2.8357711316865521E-2</c:v>
                </c:pt>
                <c:pt idx="5">
                  <c:v>1.1407023451491903E-2</c:v>
                </c:pt>
                <c:pt idx="6">
                  <c:v>3.7974014800797829E-3</c:v>
                </c:pt>
                <c:pt idx="7">
                  <c:v>3.313531477038474E-3</c:v>
                </c:pt>
                <c:pt idx="8">
                  <c:v>2.9914577433853284E-3</c:v>
                </c:pt>
                <c:pt idx="9">
                  <c:v>2.6282552968607186E-3</c:v>
                </c:pt>
                <c:pt idx="10">
                  <c:v>2.3331473659311541E-3</c:v>
                </c:pt>
                <c:pt idx="11">
                  <c:v>2.1516444091508238E-3</c:v>
                </c:pt>
                <c:pt idx="12">
                  <c:v>1.6326518771331011E-3</c:v>
                </c:pt>
                <c:pt idx="13">
                  <c:v>1.3786409623897948E-3</c:v>
                </c:pt>
                <c:pt idx="14">
                  <c:v>1.400965194471665E-3</c:v>
                </c:pt>
                <c:pt idx="15">
                  <c:v>1.4328036697867962E-3</c:v>
                </c:pt>
                <c:pt idx="16">
                  <c:v>1.4644266211604078E-3</c:v>
                </c:pt>
                <c:pt idx="17">
                  <c:v>1.4956763761700264E-3</c:v>
                </c:pt>
                <c:pt idx="18">
                  <c:v>1.5296746189977491E-3</c:v>
                </c:pt>
              </c:numCache>
            </c:numRef>
          </c:xVal>
          <c:yVal>
            <c:numRef>
              <c:f>Temperature!$Y$36:$Y$54</c:f>
              <c:numCache>
                <c:formatCode>General</c:formatCode>
                <c:ptCount val="19"/>
                <c:pt idx="0">
                  <c:v>2.25</c:v>
                </c:pt>
                <c:pt idx="1">
                  <c:v>2.1666666666666665</c:v>
                </c:pt>
                <c:pt idx="2">
                  <c:v>2.0833333333333335</c:v>
                </c:pt>
                <c:pt idx="3">
                  <c:v>2</c:v>
                </c:pt>
                <c:pt idx="4">
                  <c:v>1.9166666666666667</c:v>
                </c:pt>
                <c:pt idx="5">
                  <c:v>1.8333333333333333</c:v>
                </c:pt>
                <c:pt idx="6">
                  <c:v>1.5833333333333333</c:v>
                </c:pt>
                <c:pt idx="7">
                  <c:v>1.5</c:v>
                </c:pt>
                <c:pt idx="8">
                  <c:v>1.4166666666666667</c:v>
                </c:pt>
                <c:pt idx="9">
                  <c:v>1.3333333333333333</c:v>
                </c:pt>
                <c:pt idx="10">
                  <c:v>1.25</c:v>
                </c:pt>
                <c:pt idx="11">
                  <c:v>1.1666666666666667</c:v>
                </c:pt>
                <c:pt idx="12">
                  <c:v>1.0833333333333333</c:v>
                </c:pt>
                <c:pt idx="13">
                  <c:v>1</c:v>
                </c:pt>
                <c:pt idx="14">
                  <c:v>0.83333333333333337</c:v>
                </c:pt>
                <c:pt idx="15">
                  <c:v>0.66666666666666663</c:v>
                </c:pt>
                <c:pt idx="16">
                  <c:v>0.5</c:v>
                </c:pt>
                <c:pt idx="17">
                  <c:v>0.33333333333333331</c:v>
                </c:pt>
                <c:pt idx="18">
                  <c:v>0.16666666666666666</c:v>
                </c:pt>
              </c:numCache>
            </c:numRef>
          </c:yVal>
          <c:smooth val="1"/>
          <c:extLst xmlns:c15="http://schemas.microsoft.com/office/drawing/2012/chart">
            <c:ext xmlns:c16="http://schemas.microsoft.com/office/drawing/2014/chart" uri="{C3380CC4-5D6E-409C-BE32-E72D297353CC}">
              <c16:uniqueId val="{00000000-971F-4EF0-B990-E47C982C0C17}"/>
            </c:ext>
          </c:extLst>
        </c:ser>
        <c:ser>
          <c:idx val="6"/>
          <c:order val="1"/>
          <c:tx>
            <c:v>Modified sub-scale</c:v>
          </c:tx>
          <c:spPr>
            <a:ln w="9525">
              <a:solidFill>
                <a:schemeClr val="accent2">
                  <a:lumMod val="75000"/>
                </a:schemeClr>
              </a:solidFill>
              <a:prstDash val="dash"/>
            </a:ln>
          </c:spPr>
          <c:marker>
            <c:symbol val="diamond"/>
            <c:size val="5"/>
            <c:spPr>
              <a:noFill/>
              <a:ln>
                <a:solidFill>
                  <a:schemeClr val="accent2">
                    <a:lumMod val="75000"/>
                  </a:schemeClr>
                </a:solidFill>
              </a:ln>
            </c:spPr>
          </c:marker>
          <c:xVal>
            <c:numRef>
              <c:f>Temperature!$AC$36:$AC$54</c:f>
              <c:numCache>
                <c:formatCode>0.00E+00</c:formatCode>
                <c:ptCount val="19"/>
                <c:pt idx="0">
                  <c:v>2.2439508201168253E-3</c:v>
                </c:pt>
                <c:pt idx="1">
                  <c:v>6.6191021381702339E-3</c:v>
                </c:pt>
                <c:pt idx="2">
                  <c:v>2.8450949248394593E-2</c:v>
                </c:pt>
                <c:pt idx="3">
                  <c:v>3.5477397982999072E-2</c:v>
                </c:pt>
                <c:pt idx="4">
                  <c:v>3.0335479967908533E-2</c:v>
                </c:pt>
                <c:pt idx="5">
                  <c:v>1.5211526314001812E-2</c:v>
                </c:pt>
                <c:pt idx="6">
                  <c:v>4.9991189757690509E-3</c:v>
                </c:pt>
                <c:pt idx="7">
                  <c:v>3.5682588649374341E-3</c:v>
                </c:pt>
                <c:pt idx="8">
                  <c:v>2.6484236049317241E-3</c:v>
                </c:pt>
                <c:pt idx="9">
                  <c:v>2.0461192748671463E-3</c:v>
                </c:pt>
                <c:pt idx="10">
                  <c:v>1.7286487386544063E-3</c:v>
                </c:pt>
                <c:pt idx="11">
                  <c:v>1.3648966965001418E-3</c:v>
                </c:pt>
                <c:pt idx="12">
                  <c:v>1.0413327459679717E-3</c:v>
                </c:pt>
                <c:pt idx="13">
                  <c:v>9.6706415108154724E-4</c:v>
                </c:pt>
                <c:pt idx="14">
                  <c:v>9.6649761619328604E-4</c:v>
                </c:pt>
                <c:pt idx="15">
                  <c:v>9.6653250613372508E-4</c:v>
                </c:pt>
                <c:pt idx="16">
                  <c:v>9.6391983741736964E-4</c:v>
                </c:pt>
                <c:pt idx="17">
                  <c:v>9.668101087030288E-4</c:v>
                </c:pt>
                <c:pt idx="18">
                  <c:v>9.744032690067163E-4</c:v>
                </c:pt>
              </c:numCache>
            </c:numRef>
          </c:xVal>
          <c:yVal>
            <c:numRef>
              <c:f>Temperature!$Y$36:$Y$54</c:f>
              <c:numCache>
                <c:formatCode>General</c:formatCode>
                <c:ptCount val="19"/>
                <c:pt idx="0">
                  <c:v>2.25</c:v>
                </c:pt>
                <c:pt idx="1">
                  <c:v>2.1666666666666665</c:v>
                </c:pt>
                <c:pt idx="2">
                  <c:v>2.0833333333333335</c:v>
                </c:pt>
                <c:pt idx="3">
                  <c:v>2</c:v>
                </c:pt>
                <c:pt idx="4">
                  <c:v>1.9166666666666667</c:v>
                </c:pt>
                <c:pt idx="5">
                  <c:v>1.8333333333333333</c:v>
                </c:pt>
                <c:pt idx="6">
                  <c:v>1.5833333333333333</c:v>
                </c:pt>
                <c:pt idx="7">
                  <c:v>1.5</c:v>
                </c:pt>
                <c:pt idx="8">
                  <c:v>1.4166666666666667</c:v>
                </c:pt>
                <c:pt idx="9">
                  <c:v>1.3333333333333333</c:v>
                </c:pt>
                <c:pt idx="10">
                  <c:v>1.25</c:v>
                </c:pt>
                <c:pt idx="11">
                  <c:v>1.1666666666666667</c:v>
                </c:pt>
                <c:pt idx="12">
                  <c:v>1.0833333333333333</c:v>
                </c:pt>
                <c:pt idx="13">
                  <c:v>1</c:v>
                </c:pt>
                <c:pt idx="14">
                  <c:v>0.83333333333333337</c:v>
                </c:pt>
                <c:pt idx="15">
                  <c:v>0.66666666666666663</c:v>
                </c:pt>
                <c:pt idx="16">
                  <c:v>0.5</c:v>
                </c:pt>
                <c:pt idx="17">
                  <c:v>0.33333333333333331</c:v>
                </c:pt>
                <c:pt idx="18">
                  <c:v>0.16666666666666666</c:v>
                </c:pt>
              </c:numCache>
            </c:numRef>
          </c:yVal>
          <c:smooth val="1"/>
          <c:extLst xmlns:c15="http://schemas.microsoft.com/office/drawing/2012/chart">
            <c:ext xmlns:c16="http://schemas.microsoft.com/office/drawing/2014/chart" uri="{C3380CC4-5D6E-409C-BE32-E72D297353CC}">
              <c16:uniqueId val="{00000001-971F-4EF0-B990-E47C982C0C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98035184"/>
        <c:axId val="520214672"/>
        <c:extLst/>
      </c:scatterChart>
      <c:valAx>
        <c:axId val="498035184"/>
        <c:scaling>
          <c:orientation val="minMax"/>
          <c:max val="5.000000000000001E-2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CA"/>
                  <a:t>Dimensionless temperature</a:t>
                </a:r>
              </a:p>
            </c:rich>
          </c:tx>
          <c:layout>
            <c:manualLayout>
              <c:xMode val="edge"/>
              <c:yMode val="edge"/>
              <c:x val="0.24257817212406566"/>
              <c:y val="0.93414814814814817"/>
            </c:manualLayout>
          </c:layout>
          <c:overlay val="0"/>
        </c:title>
        <c:numFmt formatCode="General" sourceLinked="0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520214672"/>
        <c:crosses val="autoZero"/>
        <c:crossBetween val="midCat"/>
        <c:majorUnit val="1.0000000000000002E-2"/>
      </c:valAx>
      <c:valAx>
        <c:axId val="520214672"/>
        <c:scaling>
          <c:orientation val="minMax"/>
          <c:max val="2.5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CA"/>
                  <a:t>Dimensionless heght</a:t>
                </a:r>
              </a:p>
            </c:rich>
          </c:tx>
          <c:layout>
            <c:manualLayout>
              <c:xMode val="edge"/>
              <c:yMode val="edge"/>
              <c:x val="3.2307407407407415E-3"/>
              <c:y val="0.19004012345679017"/>
            </c:manualLayout>
          </c:layout>
          <c:overlay val="0"/>
        </c:title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498035184"/>
        <c:crosses val="autoZero"/>
        <c:crossBetween val="midCat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0.36027992376512685"/>
          <c:y val="0.35812351624703248"/>
          <c:w val="0.61143820020376316"/>
          <c:h val="0.17199234398468796"/>
        </c:manualLayout>
      </c:layout>
      <c:overlay val="0"/>
    </c:legend>
    <c:plotVisOnly val="1"/>
    <c:dispBlanksAs val="gap"/>
    <c:showDLblsOverMax val="0"/>
    <c:extLst/>
  </c:chart>
  <c:spPr>
    <a:ln>
      <a:noFill/>
    </a:ln>
  </c:spPr>
  <c:txPr>
    <a:bodyPr/>
    <a:lstStyle/>
    <a:p>
      <a:pPr>
        <a:defRPr sz="1000" b="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0873AEC5A7F46956973A10F10E837" ma:contentTypeVersion="8" ma:contentTypeDescription="Create a new document." ma:contentTypeScope="" ma:versionID="c1eb6fc448b0e71907b186a0c37d8da8">
  <xsd:schema xmlns:xsd="http://www.w3.org/2001/XMLSchema" xmlns:xs="http://www.w3.org/2001/XMLSchema" xmlns:p="http://schemas.microsoft.com/office/2006/metadata/properties" xmlns:ns2="96792209-dca3-4728-a484-0cd3c20a6a39" targetNamespace="http://schemas.microsoft.com/office/2006/metadata/properties" ma:root="true" ma:fieldsID="5a702d351bfee4830d7842d91ee89176" ns2:_="">
    <xsd:import namespace="96792209-dca3-4728-a484-0cd3c20a6a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92209-dca3-4728-a484-0cd3c20a6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2E5253-4F64-4825-AC7E-F6F5CC34D4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E54BF6-EF2C-4B69-91BE-ECF3CCEFA5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58D561-514A-432B-AAD6-BA1C23C78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792209-dca3-4728-a484-0cd3c20a6a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C9B6E9-4EBE-4971-AF32-FA31BE71D3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1227</Words>
  <Characters>6998</Characters>
  <Application>Microsoft Office Word</Application>
  <DocSecurity>0</DocSecurity>
  <Lines>58</Lines>
  <Paragraphs>16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{logo} 11th Int conference on SHM – Addheader and fooer</vt:lpstr>
      <vt:lpstr>{logo} 11th Int conference on SHM – Addheader and fooer</vt:lpstr>
      <vt:lpstr>ABSTRACT: This is a sample file demonstrating the style for Eurodyn 2011 papers</vt:lpstr>
    </vt:vector>
  </TitlesOfParts>
  <Company>K.U.Leuven</Company>
  <LinksUpToDate>false</LinksUpToDate>
  <CharactersWithSpaces>8209</CharactersWithSpaces>
  <SharedDoc>false</SharedDoc>
  <HLinks>
    <vt:vector size="6" baseType="variant">
      <vt:variant>
        <vt:i4>8126573</vt:i4>
      </vt:variant>
      <vt:variant>
        <vt:i4>3</vt:i4>
      </vt:variant>
      <vt:variant>
        <vt:i4>0</vt:i4>
      </vt:variant>
      <vt:variant>
        <vt:i4>5</vt:i4>
      </vt:variant>
      <vt:variant>
        <vt:lpwstr>http://www.fe.up.pt/shmii10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{logo} 11th Int conference on SHM – Addheader and fooer</dc:title>
  <dc:subject/>
  <dc:creator>Mattias Schevenels</dc:creator>
  <cp:keywords/>
  <dc:description/>
  <cp:lastModifiedBy>Xin Zhang</cp:lastModifiedBy>
  <cp:revision>67</cp:revision>
  <cp:lastPrinted>2022-05-02T20:38:00Z</cp:lastPrinted>
  <dcterms:created xsi:type="dcterms:W3CDTF">2022-01-13T06:54:00Z</dcterms:created>
  <dcterms:modified xsi:type="dcterms:W3CDTF">2022-07-21T18:04:00Z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0x0101000B00873AEC5A7F46956973A10F10E837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Name 1_1">
    <vt:lpwstr>American Political Science Association</vt:lpwstr>
  </property>
  <property fmtid="{D5CDD505-2E9C-101B-9397-08002B2CF9AE}" pid="7" name="Mendeley Recent Style Id 2_1">
    <vt:lpwstr>http://www.zotero.org/styles/american-sociological-association</vt:lpwstr>
  </property>
  <property fmtid="{D5CDD505-2E9C-101B-9397-08002B2CF9AE}" pid="8" name="Mendeley Recent Style Name 2_1">
    <vt:lpwstr>American Sociological Association</vt:lpwstr>
  </property>
  <property fmtid="{D5CDD505-2E9C-101B-9397-08002B2CF9AE}" pid="9" name="Mendeley Recent Style Id 3_1">
    <vt:lpwstr>http://www.zotero.org/styles/building-and-environment</vt:lpwstr>
  </property>
  <property fmtid="{D5CDD505-2E9C-101B-9397-08002B2CF9AE}" pid="10" name="Mendeley Recent Style Name 3_1">
    <vt:lpwstr>Building and Environment</vt:lpwstr>
  </property>
  <property fmtid="{D5CDD505-2E9C-101B-9397-08002B2CF9AE}" pid="11" name="Mendeley Recent Style Id 4_1">
    <vt:lpwstr>http://www.zotero.org/styles/energy-and-buildings</vt:lpwstr>
  </property>
  <property fmtid="{D5CDD505-2E9C-101B-9397-08002B2CF9AE}" pid="12" name="Mendeley Recent Style Name 4_1">
    <vt:lpwstr>Energy &amp; Buildings</vt:lpwstr>
  </property>
  <property fmtid="{D5CDD505-2E9C-101B-9397-08002B2CF9AE}" pid="13" name="Mendeley Recent Style Id 5_1">
    <vt:lpwstr>http://www.zotero.org/styles/ieee</vt:lpwstr>
  </property>
  <property fmtid="{D5CDD505-2E9C-101B-9397-08002B2CF9AE}" pid="14" name="Mendeley Recent Style Name 5_1">
    <vt:lpwstr>IEEE</vt:lpwstr>
  </property>
  <property fmtid="{D5CDD505-2E9C-101B-9397-08002B2CF9AE}" pid="15" name="Mendeley Recent Style Id 6_1">
    <vt:lpwstr>http://www.zotero.org/styles/journal-of-cleaner-production</vt:lpwstr>
  </property>
  <property fmtid="{D5CDD505-2E9C-101B-9397-08002B2CF9AE}" pid="16" name="Mendeley Recent Style Name 6_1">
    <vt:lpwstr>Journal of Cleaner Production</vt:lpwstr>
  </property>
  <property fmtid="{D5CDD505-2E9C-101B-9397-08002B2CF9AE}" pid="17" name="Mendeley Recent Style Id 7_1">
    <vt:lpwstr>http://www.zotero.org/styles/modern-humanities-research-association</vt:lpwstr>
  </property>
  <property fmtid="{D5CDD505-2E9C-101B-9397-08002B2CF9AE}" pid="18" name="Mendeley Recent Style Name 7_1">
    <vt:lpwstr>Modern Humanities Research Association 3rd edition (note with bibliography)</vt:lpwstr>
  </property>
  <property fmtid="{D5CDD505-2E9C-101B-9397-08002B2CF9AE}" pid="19" name="Mendeley Recent Style Id 8_1">
    <vt:lpwstr>http://www.zotero.org/styles/modern-language-association</vt:lpwstr>
  </property>
  <property fmtid="{D5CDD505-2E9C-101B-9397-08002B2CF9AE}" pid="20" name="Mendeley Recent Style Name 8_1">
    <vt:lpwstr>Modern Language Association 8th edition</vt:lpwstr>
  </property>
  <property fmtid="{D5CDD505-2E9C-101B-9397-08002B2CF9AE}" pid="21" name="Mendeley Recent Style Id 9_1">
    <vt:lpwstr>http://www.zotero.org/styles/sustainable-cities-and-society</vt:lpwstr>
  </property>
  <property fmtid="{D5CDD505-2E9C-101B-9397-08002B2CF9AE}" pid="22" name="Mendeley Recent Style Name 9_1">
    <vt:lpwstr>Sustainable Cities and Society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20e0b52b-cf63-3f49-8a55-e74fe968c484</vt:lpwstr>
  </property>
  <property fmtid="{D5CDD505-2E9C-101B-9397-08002B2CF9AE}" pid="25" name="Mendeley Citation Style_1">
    <vt:lpwstr>http://www.zotero.org/styles/ieee</vt:lpwstr>
  </property>
</Properties>
</file>