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5EF9" w14:textId="77777777" w:rsidR="00215576" w:rsidRDefault="008B109E" w:rsidP="00C77EE1">
      <w:pPr>
        <w:pStyle w:val="Title"/>
        <w:jc w:val="center"/>
      </w:pPr>
      <w:r w:rsidRPr="008B109E">
        <w:t xml:space="preserve">The Donbas </w:t>
      </w:r>
      <w:r w:rsidR="00511B30">
        <w:t>“</w:t>
      </w:r>
      <w:r w:rsidR="00434407">
        <w:t>C</w:t>
      </w:r>
      <w:r w:rsidRPr="008B109E">
        <w:t xml:space="preserve">ivil </w:t>
      </w:r>
      <w:r w:rsidR="00434407">
        <w:t>W</w:t>
      </w:r>
      <w:r w:rsidRPr="008B109E">
        <w:t>ar</w:t>
      </w:r>
      <w:r w:rsidR="00511B30">
        <w:t>”</w:t>
      </w:r>
      <w:r w:rsidRPr="008B109E">
        <w:t>?</w:t>
      </w:r>
    </w:p>
    <w:p w14:paraId="38089A22" w14:textId="2E83051A" w:rsidR="00C77EE1" w:rsidRDefault="008B109E" w:rsidP="00C77EE1">
      <w:pPr>
        <w:pStyle w:val="Title"/>
        <w:jc w:val="center"/>
      </w:pPr>
      <w:r w:rsidRPr="008B109E">
        <w:t xml:space="preserve"> Problems of Identification of Main Actors in times of Hybrid War</w:t>
      </w:r>
      <w:r w:rsidR="006F44CD">
        <w:t>fare</w:t>
      </w:r>
    </w:p>
    <w:p w14:paraId="4805475A" w14:textId="77777777" w:rsidR="00215576" w:rsidRDefault="00215576" w:rsidP="00C77EE1">
      <w:pPr>
        <w:pStyle w:val="Title"/>
        <w:jc w:val="right"/>
        <w:rPr>
          <w:b w:val="0"/>
          <w:bCs/>
        </w:rPr>
      </w:pPr>
    </w:p>
    <w:p w14:paraId="3750737A" w14:textId="17B64F1A" w:rsidR="008D6DD3" w:rsidRPr="008D6DD3" w:rsidRDefault="008D6DD3" w:rsidP="00C77EE1">
      <w:pPr>
        <w:pStyle w:val="Title"/>
        <w:jc w:val="right"/>
        <w:rPr>
          <w:b w:val="0"/>
          <w:bCs/>
        </w:rPr>
      </w:pPr>
      <w:r w:rsidRPr="008D6DD3">
        <w:rPr>
          <w:b w:val="0"/>
          <w:bCs/>
        </w:rPr>
        <w:t>University of Tartu</w:t>
      </w:r>
    </w:p>
    <w:p w14:paraId="07280D90" w14:textId="0617C277" w:rsidR="008B109E" w:rsidRDefault="00C77EE1" w:rsidP="00C77EE1">
      <w:pPr>
        <w:pStyle w:val="Title"/>
        <w:jc w:val="right"/>
        <w:rPr>
          <w:b w:val="0"/>
          <w:bCs/>
        </w:rPr>
      </w:pPr>
      <w:r w:rsidRPr="008D6DD3">
        <w:rPr>
          <w:b w:val="0"/>
          <w:bCs/>
        </w:rPr>
        <w:t>Sanshiro</w:t>
      </w:r>
      <w:r w:rsidR="006F44CD">
        <w:rPr>
          <w:b w:val="0"/>
          <w:bCs/>
        </w:rPr>
        <w:t xml:space="preserve"> Hosaka</w:t>
      </w:r>
    </w:p>
    <w:p w14:paraId="5110838C" w14:textId="77777777" w:rsidR="000D1DA4" w:rsidRPr="000D1DA4" w:rsidRDefault="000D1DA4" w:rsidP="000D1DA4"/>
    <w:p w14:paraId="67DC8601" w14:textId="16828EE7" w:rsidR="00D631A2" w:rsidRDefault="007B209A" w:rsidP="000D1DA4">
      <w:pPr>
        <w:pStyle w:val="Newparagraph"/>
        <w:ind w:firstLine="0"/>
      </w:pPr>
      <w:r>
        <w:t>T</w:t>
      </w:r>
      <w:r w:rsidR="00FC5334" w:rsidRPr="00FC5334">
        <w:t xml:space="preserve">he current </w:t>
      </w:r>
      <w:r w:rsidR="00E40A33">
        <w:t xml:space="preserve">definitions of </w:t>
      </w:r>
      <w:r w:rsidR="00FC5334" w:rsidRPr="00FC5334">
        <w:t xml:space="preserve">civil war </w:t>
      </w:r>
      <w:r w:rsidR="00BA2807">
        <w:t xml:space="preserve">and intra-state war </w:t>
      </w:r>
      <w:r w:rsidR="00E40A33">
        <w:t>employed by</w:t>
      </w:r>
      <w:r w:rsidR="00BA2807">
        <w:t xml:space="preserve"> the major war typologies, such as </w:t>
      </w:r>
      <w:r w:rsidR="00313084" w:rsidRPr="00313084">
        <w:t xml:space="preserve">Correlates of War </w:t>
      </w:r>
      <w:r w:rsidR="00313084">
        <w:t>(</w:t>
      </w:r>
      <w:r w:rsidR="00BA2807">
        <w:t>COW</w:t>
      </w:r>
      <w:r w:rsidR="00313084">
        <w:t>)</w:t>
      </w:r>
      <w:r w:rsidR="00BA2807">
        <w:t xml:space="preserve"> and </w:t>
      </w:r>
      <w:r w:rsidR="00B77762">
        <w:t>Upsala Conflict Data Program (UCDP)</w:t>
      </w:r>
      <w:r w:rsidR="00E40A33">
        <w:t>,</w:t>
      </w:r>
      <w:r w:rsidR="00BA2807">
        <w:t xml:space="preserve"> </w:t>
      </w:r>
      <w:r w:rsidR="00FC5334" w:rsidRPr="00FC5334">
        <w:t>suffer from a flaw. As demonstrated dur</w:t>
      </w:r>
      <w:r w:rsidR="00812CF5">
        <w:t>ing</w:t>
      </w:r>
      <w:r w:rsidR="00FC5334" w:rsidRPr="00FC5334">
        <w:t xml:space="preserve"> the Donbas war, once an intervening state </w:t>
      </w:r>
      <w:r w:rsidR="008344EB">
        <w:t xml:space="preserve">recruits, </w:t>
      </w:r>
      <w:r w:rsidR="00FC5334" w:rsidRPr="00FC5334">
        <w:t>coopts</w:t>
      </w:r>
      <w:r w:rsidR="00586D2C">
        <w:t>,</w:t>
      </w:r>
      <w:r w:rsidR="00FC5334" w:rsidRPr="00FC5334">
        <w:t xml:space="preserve"> militarizes and installs </w:t>
      </w:r>
      <w:r w:rsidR="00586D2C">
        <w:t xml:space="preserve">local </w:t>
      </w:r>
      <w:r w:rsidR="008344EB">
        <w:t>collaborators</w:t>
      </w:r>
      <w:r w:rsidR="00586D2C">
        <w:t xml:space="preserve"> </w:t>
      </w:r>
      <w:r w:rsidR="008344EB">
        <w:t xml:space="preserve">as </w:t>
      </w:r>
      <w:r w:rsidR="00FC5334" w:rsidRPr="00FC5334">
        <w:t>“non-state actor</w:t>
      </w:r>
      <w:r w:rsidR="00313084">
        <w:t>s</w:t>
      </w:r>
      <w:r w:rsidR="00FC5334" w:rsidRPr="00FC5334">
        <w:t xml:space="preserve">” within an enemy state, a de-facto interstate war can be categorized as </w:t>
      </w:r>
      <w:r w:rsidR="00E05E14">
        <w:t>“</w:t>
      </w:r>
      <w:r w:rsidR="00FC5334" w:rsidRPr="00FC5334">
        <w:t>civil war</w:t>
      </w:r>
      <w:r w:rsidR="00E05E14">
        <w:t>”</w:t>
      </w:r>
      <w:r w:rsidR="00FC5334" w:rsidRPr="00FC5334">
        <w:t xml:space="preserve"> or </w:t>
      </w:r>
      <w:r w:rsidR="00E05E14">
        <w:t>“</w:t>
      </w:r>
      <w:r w:rsidR="00FC5334" w:rsidRPr="00FC5334">
        <w:t>internationalized civil war.</w:t>
      </w:r>
      <w:r w:rsidR="00E05E14">
        <w:t>”</w:t>
      </w:r>
      <w:r w:rsidR="00FC5334" w:rsidRPr="00FC5334">
        <w:t xml:space="preserve"> </w:t>
      </w:r>
      <w:r w:rsidR="00C21F72">
        <w:t>In the fog of plausible deniability and disinformation,</w:t>
      </w:r>
      <w:r w:rsidR="0096659A">
        <w:t xml:space="preserve"> i</w:t>
      </w:r>
      <w:r w:rsidR="00C21F72" w:rsidRPr="00C21F72">
        <w:t>dentifying “the primary combatant”</w:t>
      </w:r>
      <w:r w:rsidR="00461346">
        <w:t xml:space="preserve"> </w:t>
      </w:r>
      <w:r w:rsidR="00C21F72" w:rsidRPr="00C21F72">
        <w:t>lead</w:t>
      </w:r>
      <w:r w:rsidR="00461346">
        <w:t>ing</w:t>
      </w:r>
      <w:r w:rsidR="00C21F72" w:rsidRPr="00C21F72">
        <w:t xml:space="preserve"> </w:t>
      </w:r>
      <w:r w:rsidR="00461346">
        <w:t>“</w:t>
      </w:r>
      <w:r w:rsidR="00C21F72" w:rsidRPr="00C21F72">
        <w:t>a bulk of fighting</w:t>
      </w:r>
      <w:r w:rsidR="00461346">
        <w:t>”</w:t>
      </w:r>
      <w:r w:rsidR="00C222AD">
        <w:t xml:space="preserve"> on the battlefield, </w:t>
      </w:r>
      <w:r w:rsidR="0096659A">
        <w:t xml:space="preserve"> as proposed by the COW</w:t>
      </w:r>
      <w:r w:rsidR="00461346">
        <w:t>,</w:t>
      </w:r>
      <w:r w:rsidR="0096659A">
        <w:t xml:space="preserve"> is not </w:t>
      </w:r>
      <w:r w:rsidR="00EA1064">
        <w:t>methodologically</w:t>
      </w:r>
      <w:r w:rsidR="0096659A">
        <w:t xml:space="preserve"> easy for researchers.</w:t>
      </w:r>
      <w:r w:rsidR="00EC25D5">
        <w:t xml:space="preserve"> </w:t>
      </w:r>
      <w:r w:rsidR="008344EB">
        <w:t>To</w:t>
      </w:r>
      <w:r w:rsidR="00FC5334" w:rsidRPr="00FC5334">
        <w:t xml:space="preserve"> </w:t>
      </w:r>
      <w:r w:rsidR="00051DE8">
        <w:t xml:space="preserve">separate spurious </w:t>
      </w:r>
      <w:r w:rsidR="001D4F4C">
        <w:t xml:space="preserve">“separatists” and </w:t>
      </w:r>
      <w:r w:rsidR="00051DE8">
        <w:t>“non-state actors</w:t>
      </w:r>
      <w:r w:rsidR="00FC5334" w:rsidRPr="00FC5334">
        <w:t>,</w:t>
      </w:r>
      <w:r w:rsidR="00051DE8">
        <w:t>”</w:t>
      </w:r>
      <w:r w:rsidR="00FC5334" w:rsidRPr="00FC5334">
        <w:t xml:space="preserve"> </w:t>
      </w:r>
      <w:r w:rsidR="008344EB">
        <w:t xml:space="preserve">this paper </w:t>
      </w:r>
      <w:r w:rsidR="00616D98">
        <w:t>suggest</w:t>
      </w:r>
      <w:r w:rsidR="008344EB">
        <w:t xml:space="preserve"> that</w:t>
      </w:r>
      <w:r w:rsidR="00FC5334" w:rsidRPr="00FC5334">
        <w:t xml:space="preserve"> </w:t>
      </w:r>
      <w:r w:rsidR="005678BC">
        <w:t xml:space="preserve">scholars </w:t>
      </w:r>
      <w:proofErr w:type="gramStart"/>
      <w:r w:rsidR="005678BC">
        <w:t>look into</w:t>
      </w:r>
      <w:proofErr w:type="gramEnd"/>
      <w:r w:rsidR="00FC5334" w:rsidRPr="00FC5334">
        <w:t xml:space="preserve"> the issue of </w:t>
      </w:r>
      <w:r w:rsidR="00CC507A">
        <w:t xml:space="preserve">political </w:t>
      </w:r>
      <w:r w:rsidR="00FC5334" w:rsidRPr="00FC5334">
        <w:t xml:space="preserve">agency of </w:t>
      </w:r>
      <w:r w:rsidR="00A40C9B">
        <w:t xml:space="preserve">seemingly </w:t>
      </w:r>
      <w:r w:rsidR="00442F1F">
        <w:t>indigenous</w:t>
      </w:r>
      <w:r w:rsidR="00FC5334" w:rsidRPr="00FC5334">
        <w:t xml:space="preserve"> entities</w:t>
      </w:r>
      <w:r w:rsidR="005678BC">
        <w:t>, by asking h</w:t>
      </w:r>
      <w:r w:rsidR="00FC5334" w:rsidRPr="00FC5334">
        <w:t xml:space="preserve">ow </w:t>
      </w:r>
      <w:r w:rsidR="00CC507A">
        <w:t>and by whom they</w:t>
      </w:r>
      <w:r w:rsidR="00812CF5">
        <w:t xml:space="preserve"> </w:t>
      </w:r>
      <w:r w:rsidR="005678BC">
        <w:t xml:space="preserve">are </w:t>
      </w:r>
      <w:r w:rsidR="00FC5334" w:rsidRPr="00FC5334">
        <w:t>constitute</w:t>
      </w:r>
      <w:r w:rsidR="001D69EB">
        <w:t>d</w:t>
      </w:r>
      <w:r w:rsidR="00CF6178">
        <w:t>, and w</w:t>
      </w:r>
      <w:r w:rsidR="005678BC">
        <w:t>hether</w:t>
      </w:r>
      <w:r w:rsidR="00B44802">
        <w:t xml:space="preserve"> </w:t>
      </w:r>
      <w:r w:rsidR="00FC5334" w:rsidRPr="00FC5334">
        <w:t>the</w:t>
      </w:r>
      <w:r w:rsidR="00CF6178">
        <w:t xml:space="preserve">y are affiliated with </w:t>
      </w:r>
      <w:r w:rsidR="00442F1F">
        <w:t>local</w:t>
      </w:r>
      <w:r w:rsidR="00FC5334" w:rsidRPr="00FC5334">
        <w:t xml:space="preserve"> political</w:t>
      </w:r>
      <w:r w:rsidR="00CF6178">
        <w:t xml:space="preserve"> parties </w:t>
      </w:r>
      <w:r w:rsidR="001D4F4C">
        <w:t>and</w:t>
      </w:r>
      <w:r w:rsidR="00CF6178">
        <w:t xml:space="preserve"> movements</w:t>
      </w:r>
      <w:r w:rsidR="005678BC">
        <w:t>.</w:t>
      </w:r>
    </w:p>
    <w:p w14:paraId="6F85A741" w14:textId="5478E1B4" w:rsidR="003B7E25" w:rsidRDefault="0061706D" w:rsidP="003B7E25">
      <w:pPr>
        <w:pStyle w:val="Heading1"/>
      </w:pPr>
      <w:r>
        <w:t xml:space="preserve">Non-State Actors in </w:t>
      </w:r>
      <w:r w:rsidR="006D4366">
        <w:t xml:space="preserve">War Typologies  </w:t>
      </w:r>
    </w:p>
    <w:p w14:paraId="43DDF319" w14:textId="77777777" w:rsidR="000D1DA4" w:rsidRPr="008B109E" w:rsidRDefault="000D1DA4" w:rsidP="000D1DA4">
      <w:r w:rsidRPr="008B109E">
        <w:t xml:space="preserve">Since 2014 the Donbas war in eastern Ukraine has claimed over 13 thousand lives including civilians, with 1.5 million people internally displaced, becoming one of the largest wars in the post-WWII Europe as well as in the post-Soviet space. Nevertheless, there have been competing interpretations in academia on the nature of this war. Some scholars prefer describing it “civil war”, focusing on indigenous movements in the Donbas, while others see less internal process, characterizing it as a conflict artificially created and supported by Moscow. </w:t>
      </w:r>
      <w:r>
        <w:rPr>
          <w:rStyle w:val="FootnoteReference"/>
        </w:rPr>
        <w:footnoteReference w:id="1"/>
      </w:r>
      <w:r>
        <w:t xml:space="preserve"> </w:t>
      </w:r>
    </w:p>
    <w:p w14:paraId="4A348581" w14:textId="77777777" w:rsidR="003B6360" w:rsidRDefault="009B67C1" w:rsidP="00442539">
      <w:pPr>
        <w:pStyle w:val="Newparagraph"/>
      </w:pPr>
      <w:r w:rsidRPr="009B67C1">
        <w:lastRenderedPageBreak/>
        <w:t xml:space="preserve">The </w:t>
      </w:r>
      <w:r w:rsidR="001D69EB">
        <w:t xml:space="preserve">vast </w:t>
      </w:r>
      <w:r w:rsidRPr="009B67C1">
        <w:t xml:space="preserve">experience of the </w:t>
      </w:r>
      <w:bookmarkStart w:id="0" w:name="_Hlk77621732"/>
      <w:r w:rsidRPr="009B67C1">
        <w:t xml:space="preserve">Correlates of War project </w:t>
      </w:r>
      <w:bookmarkEnd w:id="0"/>
      <w:r w:rsidRPr="009B67C1">
        <w:t xml:space="preserve">(COW), the largest dataset covering wars over two centuries, shows that war phenomena do not always fall into a </w:t>
      </w:r>
      <w:r w:rsidR="009501E3">
        <w:t>single</w:t>
      </w:r>
      <w:r w:rsidRPr="009B67C1">
        <w:t xml:space="preserve"> typology:</w:t>
      </w:r>
      <w:r w:rsidR="00B76D4B">
        <w:t xml:space="preserve"> some</w:t>
      </w:r>
      <w:r w:rsidR="005D741B">
        <w:t xml:space="preserve"> wars may</w:t>
      </w:r>
      <w:r w:rsidR="00806D83">
        <w:t xml:space="preserve"> seem to </w:t>
      </w:r>
      <w:r w:rsidR="005D741B">
        <w:t xml:space="preserve">have traits of both </w:t>
      </w:r>
      <w:r w:rsidRPr="009B67C1">
        <w:t xml:space="preserve">"civil war" </w:t>
      </w:r>
      <w:r w:rsidR="005D741B">
        <w:t xml:space="preserve">and </w:t>
      </w:r>
      <w:r w:rsidRPr="009B67C1">
        <w:t xml:space="preserve"> "interstate war" typologies. To cope with this </w:t>
      </w:r>
      <w:r w:rsidR="00806D83">
        <w:t>problem</w:t>
      </w:r>
      <w:r w:rsidRPr="009B67C1">
        <w:t>, the COW puts a</w:t>
      </w:r>
      <w:r w:rsidR="00461346">
        <w:t xml:space="preserve">n </w:t>
      </w:r>
      <w:r w:rsidRPr="009B67C1">
        <w:t>emphasis on</w:t>
      </w:r>
      <w:r w:rsidR="00461346">
        <w:t xml:space="preserve"> identifying</w:t>
      </w:r>
      <w:r w:rsidRPr="009B67C1">
        <w:t xml:space="preserve"> the </w:t>
      </w:r>
      <w:r w:rsidR="00461346">
        <w:t>“</w:t>
      </w:r>
      <w:r w:rsidRPr="009B67C1">
        <w:t>primary combatant,</w:t>
      </w:r>
      <w:r w:rsidR="00461346">
        <w:t>”</w:t>
      </w:r>
      <w:r w:rsidRPr="009B67C1">
        <w:t xml:space="preserve"> who leads “the bulk of the fighting” among the participants, causing the greatest number of battle deaths to the enemy. </w:t>
      </w:r>
      <w:r w:rsidR="00E30B24">
        <w:t>U</w:t>
      </w:r>
      <w:r w:rsidR="00E30B24" w:rsidRPr="009B67C1">
        <w:t>sing two separate verifiable sources</w:t>
      </w:r>
      <w:r w:rsidR="00D24FB4">
        <w:t>,</w:t>
      </w:r>
      <w:r w:rsidR="00E30B24" w:rsidRPr="009B67C1">
        <w:t xml:space="preserve"> a volunteer OSINT group </w:t>
      </w:r>
      <w:proofErr w:type="spellStart"/>
      <w:r w:rsidR="00E30B24" w:rsidRPr="009B67C1">
        <w:t>InformNapalm’s</w:t>
      </w:r>
      <w:proofErr w:type="spellEnd"/>
      <w:r w:rsidR="00E30B24" w:rsidRPr="009B67C1">
        <w:t xml:space="preserve"> data collection on Russian military personnel identified in Ukraine, and a</w:t>
      </w:r>
      <w:r w:rsidR="00D24FB4">
        <w:t>nother</w:t>
      </w:r>
      <w:r w:rsidR="00E30B24" w:rsidRPr="009B67C1">
        <w:t xml:space="preserve"> volunteer project “Book of Memory of the Fallen for Ukraine” on the Ukrainian soldiers died during the war</w:t>
      </w:r>
      <w:r w:rsidR="00E30B24">
        <w:t xml:space="preserve">, </w:t>
      </w:r>
      <w:r w:rsidR="002149E6">
        <w:t xml:space="preserve">Hosaka (2021) </w:t>
      </w:r>
      <w:r w:rsidR="00534691">
        <w:t>demonstrates</w:t>
      </w:r>
      <w:r w:rsidR="00442539">
        <w:t xml:space="preserve"> a</w:t>
      </w:r>
      <w:r w:rsidR="00534691">
        <w:t xml:space="preserve"> </w:t>
      </w:r>
      <w:r w:rsidR="00442539">
        <w:t>positive correlation between the losses of the Ukrainian side and the activeness of Russian military units in the Donbas</w:t>
      </w:r>
      <w:r w:rsidR="003B6360">
        <w:t>. A</w:t>
      </w:r>
      <w:r w:rsidR="002149E6" w:rsidRPr="008B109E">
        <w:t>t least in Summer 2014, the bulk of fighting was taken over by Russia’s regular Armed Forces</w:t>
      </w:r>
      <w:r w:rsidR="003B6360">
        <w:t xml:space="preserve">, the observation </w:t>
      </w:r>
      <w:r w:rsidR="002149E6" w:rsidRPr="008B109E">
        <w:t>render</w:t>
      </w:r>
      <w:r w:rsidR="00442539">
        <w:t>s</w:t>
      </w:r>
      <w:r w:rsidR="002149E6" w:rsidRPr="008B109E">
        <w:t xml:space="preserve"> the war interstate according to the COW’s typology. </w:t>
      </w:r>
    </w:p>
    <w:p w14:paraId="5FE6BD1A" w14:textId="1DB5351A" w:rsidR="00BE19F2" w:rsidRDefault="002149E6" w:rsidP="00BE19F2">
      <w:pPr>
        <w:pStyle w:val="Newparagraph"/>
      </w:pPr>
      <w:r w:rsidRPr="008B109E">
        <w:t xml:space="preserve">This, however, </w:t>
      </w:r>
      <w:r w:rsidR="00F53338">
        <w:t xml:space="preserve"> </w:t>
      </w:r>
      <w:r w:rsidR="00645FC0">
        <w:t>does not mean</w:t>
      </w:r>
      <w:r w:rsidRPr="008B109E">
        <w:t xml:space="preserve"> that an initial </w:t>
      </w:r>
      <w:r w:rsidR="001367FB">
        <w:t>“</w:t>
      </w:r>
      <w:r w:rsidRPr="008B109E">
        <w:t>civil war</w:t>
      </w:r>
      <w:r w:rsidR="001367FB">
        <w:t>”</w:t>
      </w:r>
      <w:r w:rsidRPr="008B109E">
        <w:t xml:space="preserve"> between Ukraine </w:t>
      </w:r>
      <w:r w:rsidR="001367FB">
        <w:t xml:space="preserve">on one side </w:t>
      </w:r>
      <w:r w:rsidRPr="008B109E">
        <w:t xml:space="preserve">and </w:t>
      </w:r>
      <w:r w:rsidR="00687067">
        <w:t>the so-called “Donetsk People’s Republic” (DPR) and “Lugansk People’s Republic” (LPR)</w:t>
      </w:r>
      <w:r w:rsidRPr="008B109E">
        <w:t xml:space="preserve"> </w:t>
      </w:r>
      <w:r w:rsidR="001367FB">
        <w:t xml:space="preserve">on the other </w:t>
      </w:r>
      <w:r w:rsidRPr="008B109E">
        <w:t>later transformed into the Russia-Ukraine interstate war</w:t>
      </w:r>
      <w:r w:rsidR="007E7EA8">
        <w:t>.</w:t>
      </w:r>
      <w:r w:rsidR="00520DC9">
        <w:rPr>
          <w:rStyle w:val="FootnoteReference"/>
        </w:rPr>
        <w:footnoteReference w:id="2"/>
      </w:r>
      <w:r w:rsidR="007E7EA8">
        <w:t xml:space="preserve"> Hosaka</w:t>
      </w:r>
      <w:r w:rsidR="00843108" w:rsidRPr="009B67C1">
        <w:t xml:space="preserve"> </w:t>
      </w:r>
      <w:r w:rsidR="001367FB">
        <w:t xml:space="preserve">(2021) </w:t>
      </w:r>
      <w:r w:rsidR="00843108" w:rsidRPr="009B67C1">
        <w:t>notes the problem of spurious “non-state actors,”  argu</w:t>
      </w:r>
      <w:r w:rsidR="00843108">
        <w:t>ing</w:t>
      </w:r>
      <w:r w:rsidR="00843108" w:rsidRPr="009B67C1">
        <w:t xml:space="preserve"> </w:t>
      </w:r>
      <w:r w:rsidR="00843108">
        <w:t xml:space="preserve">for </w:t>
      </w:r>
      <w:r w:rsidR="00843108" w:rsidRPr="009B67C1">
        <w:t xml:space="preserve">the necessity for thorough examination of </w:t>
      </w:r>
      <w:r w:rsidR="00610590">
        <w:t xml:space="preserve">origin </w:t>
      </w:r>
      <w:r w:rsidR="00843108" w:rsidRPr="009B67C1">
        <w:t>of local actors in the wars claiming to be "civil wars</w:t>
      </w:r>
      <w:r w:rsidR="00843108">
        <w:t>.</w:t>
      </w:r>
      <w:r w:rsidR="00843108" w:rsidRPr="009B67C1">
        <w:t xml:space="preserve">" </w:t>
      </w:r>
      <w:r w:rsidR="00271CF6">
        <w:t>T</w:t>
      </w:r>
      <w:r w:rsidR="002E5967" w:rsidRPr="002E5967">
        <w:t xml:space="preserve">he COW’s typology allows various non-state actors fighting over local issues to be recognized as parties to civil wars. </w:t>
      </w:r>
      <w:r w:rsidR="00DC00C0">
        <w:rPr>
          <w:rStyle w:val="FootnoteReference"/>
        </w:rPr>
        <w:footnoteReference w:id="3"/>
      </w:r>
      <w:r w:rsidR="00C62EB4">
        <w:t xml:space="preserve"> </w:t>
      </w:r>
      <w:r w:rsidR="00BE19F2">
        <w:t xml:space="preserve">The main </w:t>
      </w:r>
      <w:r w:rsidR="00BE19F2">
        <w:lastRenderedPageBreak/>
        <w:t xml:space="preserve">empirical problem is that the </w:t>
      </w:r>
      <w:r w:rsidR="00371259">
        <w:t>so-called</w:t>
      </w:r>
      <w:r w:rsidR="00BE19F2">
        <w:t xml:space="preserve"> hybrid warfare</w:t>
      </w:r>
      <w:r w:rsidR="00371259">
        <w:t>, which obfuscates</w:t>
      </w:r>
      <w:r w:rsidR="006B24BC">
        <w:t xml:space="preserve"> the participants as well as the boundary between peace and war,</w:t>
      </w:r>
      <w:r w:rsidR="00371259">
        <w:t xml:space="preserve"> </w:t>
      </w:r>
      <w:r w:rsidR="00BE19F2">
        <w:t xml:space="preserve">makes it hard for researchers to characterize the nature of local actors, and its relationship with </w:t>
      </w:r>
      <w:r w:rsidR="001F5D86">
        <w:t>a</w:t>
      </w:r>
      <w:r w:rsidR="00BE19F2">
        <w:t xml:space="preserve"> third country</w:t>
      </w:r>
      <w:r w:rsidR="001F5D86">
        <w:t xml:space="preserve"> externally supporting or controlling them</w:t>
      </w:r>
      <w:r w:rsidR="00BE19F2">
        <w:t xml:space="preserve">. COW </w:t>
      </w:r>
      <w:r w:rsidR="00BE19F2" w:rsidRPr="00EB3FBE">
        <w:t xml:space="preserve">Intra-State War Data (v5.1) </w:t>
      </w:r>
      <w:r w:rsidR="004E2987">
        <w:t>updated in 2020 reflects this</w:t>
      </w:r>
      <w:r w:rsidR="00BE19F2">
        <w:t xml:space="preserve"> </w:t>
      </w:r>
      <w:r w:rsidR="00192E88">
        <w:t>confusing</w:t>
      </w:r>
      <w:r w:rsidR="00BE19F2">
        <w:t>, positioning  "Donbas War of 2014-present" as "Civil war over local issues," in which  "Ukraine and Russia" (Side A) are fighting with "Separatists" (Side B) (COW 2020).</w:t>
      </w:r>
      <w:r w:rsidR="00BE19F2">
        <w:rPr>
          <w:rStyle w:val="FootnoteReference"/>
        </w:rPr>
        <w:footnoteReference w:id="4"/>
      </w:r>
    </w:p>
    <w:p w14:paraId="62D71926" w14:textId="13256C37" w:rsidR="00F55234" w:rsidRDefault="0074453D" w:rsidP="00985F32">
      <w:pPr>
        <w:pStyle w:val="Newparagraph"/>
      </w:pPr>
      <w:r>
        <w:t>Similarly, a</w:t>
      </w:r>
      <w:r w:rsidR="00B77762">
        <w:t xml:space="preserve"> dataset of Upsala Conflict Data Program (UCDP) defines a series of events in Eastern Ukraine as three different “internationalized intrastate conflicts” between the Government of Ukraine and “DPR”(2014-</w:t>
      </w:r>
      <w:r w:rsidR="00EF3453">
        <w:t>present</w:t>
      </w:r>
      <w:r w:rsidR="00B77762">
        <w:t>), “LPR”(2014-</w:t>
      </w:r>
      <w:r w:rsidR="00EF3453">
        <w:t>present</w:t>
      </w:r>
      <w:r w:rsidR="00B77762">
        <w:t>), and “</w:t>
      </w:r>
      <w:r w:rsidR="00B77762" w:rsidRPr="008B1250">
        <w:t>United Armed Forces of Novorossiya</w:t>
      </w:r>
      <w:r w:rsidR="00B77762">
        <w:t>”(2014-15) respectively, with Russia playing the role of “</w:t>
      </w:r>
      <w:r w:rsidR="00B77762" w:rsidRPr="00E12A92">
        <w:t>secondary warring party</w:t>
      </w:r>
      <w:r w:rsidR="00B77762">
        <w:t>”</w:t>
      </w:r>
      <w:r w:rsidR="00B77762" w:rsidRPr="00E12A92">
        <w:t xml:space="preserve"> </w:t>
      </w:r>
      <w:r w:rsidR="00B77762">
        <w:t>only supporting these local rebel formations  (UCDP 2021). In some descriptive data, the  UCDP d</w:t>
      </w:r>
      <w:r w:rsidR="00EF3453">
        <w:t xml:space="preserve">oes </w:t>
      </w:r>
      <w:r w:rsidR="00B77762">
        <w:t>not view Russia as a party of the conflict and project</w:t>
      </w:r>
      <w:r w:rsidR="00450ADD">
        <w:t xml:space="preserve"> the</w:t>
      </w:r>
      <w:r w:rsidR="00B77762">
        <w:t xml:space="preserve"> DPR</w:t>
      </w:r>
      <w:r w:rsidR="00450ADD">
        <w:t>/</w:t>
      </w:r>
      <w:r w:rsidR="00B77762">
        <w:t>LPR as if independent actors that only receive support from Russia – entailing criticism from the Ukrainian expert community (</w:t>
      </w:r>
      <w:r w:rsidR="00B77762" w:rsidRPr="00173500">
        <w:t>Brik 2021</w:t>
      </w:r>
      <w:r w:rsidR="00B77762">
        <w:t xml:space="preserve">, 209-214). </w:t>
      </w:r>
      <w:r w:rsidR="00F6466C">
        <w:t xml:space="preserve"> </w:t>
      </w:r>
      <w:r w:rsidR="00EB2F13">
        <w:t>In this regard</w:t>
      </w:r>
      <w:r w:rsidR="00F6466C">
        <w:t xml:space="preserve">, </w:t>
      </w:r>
      <w:r w:rsidR="000A2610">
        <w:t>Hauter (2019) brings to attention the difference of third-party intervention and third-party delegation</w:t>
      </w:r>
      <w:r w:rsidR="00F6466C">
        <w:t>. D</w:t>
      </w:r>
      <w:r w:rsidR="008E05A8">
        <w:t xml:space="preserve">eveloping the arguments </w:t>
      </w:r>
      <w:r w:rsidR="00F6466C">
        <w:t>by</w:t>
      </w:r>
      <w:r w:rsidR="008E05A8">
        <w:t xml:space="preserve"> Idean </w:t>
      </w:r>
      <w:proofErr w:type="spellStart"/>
      <w:r w:rsidR="008E05A8">
        <w:t>Salehyan</w:t>
      </w:r>
      <w:proofErr w:type="spellEnd"/>
      <w:r w:rsidR="008E05A8">
        <w:t xml:space="preserve"> and the Nicaragua Judgement of the ICJ</w:t>
      </w:r>
      <w:r w:rsidR="00F6466C">
        <w:t xml:space="preserve">, </w:t>
      </w:r>
      <w:r w:rsidR="008E05A8">
        <w:t xml:space="preserve"> </w:t>
      </w:r>
      <w:r w:rsidR="000A2610">
        <w:t xml:space="preserve">Hauter </w:t>
      </w:r>
      <w:r w:rsidR="00F6466C">
        <w:t xml:space="preserve">introduces </w:t>
      </w:r>
      <w:r w:rsidR="000A2610">
        <w:t>“delegated intrastate conflict”</w:t>
      </w:r>
      <w:r w:rsidR="00F6466C">
        <w:t xml:space="preserve"> --</w:t>
      </w:r>
      <w:r w:rsidR="000A2610">
        <w:t xml:space="preserve"> as a </w:t>
      </w:r>
      <w:r w:rsidR="002A6CB1">
        <w:t xml:space="preserve">new </w:t>
      </w:r>
      <w:r w:rsidR="000A2610">
        <w:t>category</w:t>
      </w:r>
      <w:r w:rsidR="002A6CB1">
        <w:t xml:space="preserve"> in the UCDP coding</w:t>
      </w:r>
      <w:r w:rsidR="000A2610">
        <w:t xml:space="preserve"> to describe the war in eastern Ukraine</w:t>
      </w:r>
      <w:r w:rsidR="00F3271A">
        <w:t xml:space="preserve">, arguing that </w:t>
      </w:r>
      <w:r w:rsidR="000A2610">
        <w:t xml:space="preserve"> “separatist militias are not an autonomous rebel force but, in fact, an organ of the Russian state, waging a delegated war on the Kremlin’s behalf”(Hauter 2019, 100). </w:t>
      </w:r>
    </w:p>
    <w:p w14:paraId="41156CFF" w14:textId="4148DF5D" w:rsidR="00160DDD" w:rsidRDefault="00985F32" w:rsidP="00F6466C">
      <w:pPr>
        <w:pStyle w:val="Newparagraph"/>
      </w:pPr>
      <w:r w:rsidRPr="00382639">
        <w:t xml:space="preserve">In conflicts, in which military, political and informational capabilities and restraints are distributed asymmetrically among participants, certain “causers” predict the escalation better than other actors (Hosaka 2019b), </w:t>
      </w:r>
      <w:r w:rsidR="00561F11">
        <w:t xml:space="preserve"> thus</w:t>
      </w:r>
      <w:r w:rsidRPr="00382639">
        <w:t xml:space="preserve"> manipulat</w:t>
      </w:r>
      <w:r w:rsidR="00561F11">
        <w:t>ing</w:t>
      </w:r>
      <w:r w:rsidRPr="00382639">
        <w:t xml:space="preserve"> and obfuscat</w:t>
      </w:r>
      <w:r w:rsidR="00561F11">
        <w:t>ing</w:t>
      </w:r>
      <w:r w:rsidRPr="00382639">
        <w:t xml:space="preserve"> the very “causes” of the conflict </w:t>
      </w:r>
      <w:r w:rsidR="00191E6F">
        <w:t>observers</w:t>
      </w:r>
      <w:r w:rsidRPr="00382639">
        <w:t xml:space="preserve"> are investigating. Thus, identifying genuine political actors hiding behind the spurious non-state actors, such as the DPR/LPR, has been another empirical challenge for scholars, often requiring the perspectives </w:t>
      </w:r>
      <w:r w:rsidR="008D4ED6">
        <w:t>for</w:t>
      </w:r>
      <w:r w:rsidRPr="00382639">
        <w:t xml:space="preserve"> covert intelligence operation (</w:t>
      </w:r>
      <w:r w:rsidR="0049515C">
        <w:t xml:space="preserve">Hosaka 2018; </w:t>
      </w:r>
      <w:r w:rsidRPr="00382639">
        <w:t>Hosaka 2019</w:t>
      </w:r>
      <w:r w:rsidR="0049515C">
        <w:t>c</w:t>
      </w:r>
      <w:r w:rsidRPr="00382639">
        <w:t xml:space="preserve">; </w:t>
      </w:r>
      <w:proofErr w:type="spellStart"/>
      <w:r w:rsidRPr="00382639">
        <w:t>Shandra&amp;Seely</w:t>
      </w:r>
      <w:proofErr w:type="spellEnd"/>
      <w:r w:rsidRPr="00382639">
        <w:t xml:space="preserve"> 2019).</w:t>
      </w:r>
      <w:r w:rsidRPr="0074406A">
        <w:t xml:space="preserve"> </w:t>
      </w:r>
    </w:p>
    <w:p w14:paraId="1A7AE5CB" w14:textId="17C4CD1B" w:rsidR="008B109E" w:rsidRPr="008B109E" w:rsidRDefault="008B109E" w:rsidP="00C360BC">
      <w:pPr>
        <w:pStyle w:val="Heading1"/>
      </w:pPr>
      <w:r w:rsidRPr="008B109E">
        <w:lastRenderedPageBreak/>
        <w:t xml:space="preserve">Data availability </w:t>
      </w:r>
      <w:r w:rsidR="00C6049D">
        <w:t>and Limitation of Scholarly Characterization of Conflicts</w:t>
      </w:r>
    </w:p>
    <w:p w14:paraId="3ECFABD9" w14:textId="54AE0678" w:rsidR="00E711EC" w:rsidRDefault="004C74BB" w:rsidP="00BD4D91">
      <w:r>
        <w:t>As noted earlier, an important</w:t>
      </w:r>
      <w:r w:rsidR="00D92DA2">
        <w:t xml:space="preserve"> </w:t>
      </w:r>
      <w:r w:rsidR="00354521">
        <w:t>instrument of the</w:t>
      </w:r>
      <w:r w:rsidR="00D92DA2">
        <w:t xml:space="preserve"> COW </w:t>
      </w:r>
      <w:r>
        <w:t xml:space="preserve">classification is </w:t>
      </w:r>
      <w:r w:rsidR="00D92DA2">
        <w:t>to</w:t>
      </w:r>
      <w:r w:rsidR="00354521">
        <w:t xml:space="preserve"> </w:t>
      </w:r>
      <w:r w:rsidR="00D92DA2" w:rsidRPr="00D92DA2">
        <w:t>identify the “primary combatant</w:t>
      </w:r>
      <w:r>
        <w:t>”</w:t>
      </w:r>
      <w:r w:rsidRPr="004C74BB">
        <w:t xml:space="preserve"> lead</w:t>
      </w:r>
      <w:r>
        <w:t>ing</w:t>
      </w:r>
      <w:r w:rsidRPr="004C74BB">
        <w:t xml:space="preserve"> “the bulk of the fighting”</w:t>
      </w:r>
      <w:r w:rsidR="00C901DC">
        <w:t xml:space="preserve"> among multiple participants including non-state entities</w:t>
      </w:r>
      <w:r>
        <w:t xml:space="preserve">. However, </w:t>
      </w:r>
      <w:r w:rsidR="00C901DC">
        <w:t>as Sa</w:t>
      </w:r>
      <w:r w:rsidR="00CF2E67">
        <w:t>r</w:t>
      </w:r>
      <w:r w:rsidR="00C901DC">
        <w:t>kees (</w:t>
      </w:r>
      <w:r w:rsidR="00CF2E67">
        <w:t>2010a, 19-20)</w:t>
      </w:r>
      <w:r w:rsidR="000B2CD4">
        <w:t xml:space="preserve"> </w:t>
      </w:r>
      <w:r w:rsidR="00C901DC">
        <w:t xml:space="preserve">admits, </w:t>
      </w:r>
      <w:r w:rsidR="00C901DC" w:rsidRPr="00C901DC">
        <w:t>the determinatio</w:t>
      </w:r>
      <w:r w:rsidR="00EE1A44">
        <w:t>n of</w:t>
      </w:r>
      <w:r w:rsidR="00C901DC" w:rsidRPr="00C901DC">
        <w:t xml:space="preserve"> which party was causing the greatest number of battle-deaths</w:t>
      </w:r>
      <w:r w:rsidR="00C901DC">
        <w:t xml:space="preserve"> to the other side</w:t>
      </w:r>
      <w:r w:rsidR="000B2CD4">
        <w:t xml:space="preserve"> is more difficult than the </w:t>
      </w:r>
      <w:r w:rsidR="00EE1A44">
        <w:t>simple</w:t>
      </w:r>
      <w:r w:rsidR="000B2CD4">
        <w:t xml:space="preserve"> </w:t>
      </w:r>
      <w:r w:rsidR="00A96BD5">
        <w:t xml:space="preserve"> </w:t>
      </w:r>
      <w:r w:rsidR="000B2CD4">
        <w:t>count</w:t>
      </w:r>
      <w:r w:rsidR="00A96BD5">
        <w:t xml:space="preserve"> of casualties</w:t>
      </w:r>
      <w:r w:rsidR="000B2CD4">
        <w:t>.</w:t>
      </w:r>
      <w:r w:rsidR="00C901DC">
        <w:t xml:space="preserve"> </w:t>
      </w:r>
    </w:p>
    <w:p w14:paraId="31C5A02F" w14:textId="37660538" w:rsidR="00AE0199" w:rsidRDefault="00446960" w:rsidP="007838EF">
      <w:pPr>
        <w:pStyle w:val="Newparagraph"/>
      </w:pPr>
      <w:r>
        <w:t>T</w:t>
      </w:r>
      <w:r w:rsidR="004C74BB">
        <w:t>he</w:t>
      </w:r>
      <w:r w:rsidR="008B109E" w:rsidRPr="008B109E">
        <w:t xml:space="preserve"> problem </w:t>
      </w:r>
      <w:r>
        <w:t xml:space="preserve">researchers face </w:t>
      </w:r>
      <w:r w:rsidR="008B109E" w:rsidRPr="008B109E">
        <w:t>is the availability of</w:t>
      </w:r>
      <w:r w:rsidR="000F6FD6">
        <w:t xml:space="preserve"> </w:t>
      </w:r>
      <w:r w:rsidR="0074453D">
        <w:t>reliable</w:t>
      </w:r>
      <w:r w:rsidR="00C42C2A" w:rsidRPr="00C42C2A">
        <w:t xml:space="preserve"> information </w:t>
      </w:r>
      <w:r w:rsidR="00C901DC">
        <w:t>on</w:t>
      </w:r>
      <w:r w:rsidR="00C42C2A" w:rsidRPr="00C42C2A">
        <w:t xml:space="preserve"> </w:t>
      </w:r>
      <w:r w:rsidR="00C14150">
        <w:t xml:space="preserve">active </w:t>
      </w:r>
      <w:r w:rsidR="00C42C2A" w:rsidRPr="00C42C2A">
        <w:t>combat contingent and equipment</w:t>
      </w:r>
      <w:r w:rsidR="000F6FD6">
        <w:t xml:space="preserve"> inflicting great loss to the enemy</w:t>
      </w:r>
      <w:r w:rsidR="00C42C2A" w:rsidRPr="00C42C2A">
        <w:t>.</w:t>
      </w:r>
      <w:r w:rsidR="00BD4D91">
        <w:t xml:space="preserve"> </w:t>
      </w:r>
      <w:r w:rsidR="003D3C11">
        <w:t>I</w:t>
      </w:r>
      <w:r w:rsidR="000E5705" w:rsidRPr="008B109E">
        <w:t xml:space="preserve">t is more likely that intervening states make all possible efforts to </w:t>
      </w:r>
      <w:r w:rsidR="008A12F6">
        <w:t>deny</w:t>
      </w:r>
      <w:r w:rsidR="000E5705" w:rsidRPr="008B109E">
        <w:t xml:space="preserve"> or obscure their direct participation in the war to avoid their legal and other responsibilities</w:t>
      </w:r>
      <w:r w:rsidR="000E5705">
        <w:t>.</w:t>
      </w:r>
      <w:r w:rsidR="000E5705" w:rsidRPr="008B109E">
        <w:t xml:space="preserve"> </w:t>
      </w:r>
      <w:r w:rsidR="007838EF" w:rsidRPr="007838EF">
        <w:t xml:space="preserve">Secrecy of operations of external interference make it difficult to establish the nature of the relationships between rebels and the third country (Hauter 2019, 92).  </w:t>
      </w:r>
      <w:r w:rsidR="000E5705" w:rsidRPr="00C028F8">
        <w:t xml:space="preserve">For example, Russia not only denied its participation in the Donbas war, but also presented the invasion in August 2014 as attacks prepared by the </w:t>
      </w:r>
      <w:r w:rsidR="00687067">
        <w:t>DPR</w:t>
      </w:r>
      <w:r w:rsidR="000E5705" w:rsidRPr="00C028F8">
        <w:t xml:space="preserve">. Moscow made </w:t>
      </w:r>
      <w:r w:rsidR="00687067">
        <w:t>DPR</w:t>
      </w:r>
      <w:r w:rsidR="000E5705" w:rsidRPr="00C028F8">
        <w:t xml:space="preserve"> “Prime-Minister,” </w:t>
      </w:r>
      <w:r w:rsidR="000E5705">
        <w:t>A</w:t>
      </w:r>
      <w:r w:rsidR="000E5705" w:rsidRPr="00C028F8">
        <w:t xml:space="preserve">leksandr Zakharchenko mention the reorganization of the </w:t>
      </w:r>
      <w:r w:rsidR="00687067">
        <w:t>DPR</w:t>
      </w:r>
      <w:r w:rsidR="000E5705" w:rsidRPr="00C028F8">
        <w:t xml:space="preserve"> “militia” into “a regular army” prior to the</w:t>
      </w:r>
      <w:r w:rsidR="0092352A">
        <w:t xml:space="preserve"> Russian </w:t>
      </w:r>
      <w:r w:rsidR="000E5705" w:rsidRPr="00C028F8">
        <w:t>invasion. Moreover, Zakharchenko announce</w:t>
      </w:r>
      <w:r w:rsidR="0092352A">
        <w:t>d</w:t>
      </w:r>
      <w:r w:rsidR="000E5705" w:rsidRPr="00C028F8">
        <w:t xml:space="preserve"> the start of </w:t>
      </w:r>
      <w:r w:rsidR="00687067">
        <w:t>DPR</w:t>
      </w:r>
      <w:r w:rsidR="000E5705" w:rsidRPr="00C028F8">
        <w:t xml:space="preserve"> counteroffensives while Moscow deployed regular Russian troops to the Donbas (Hosaka 2019b, 340-341).</w:t>
      </w:r>
      <w:r w:rsidR="000E5705">
        <w:t xml:space="preserve">  </w:t>
      </w:r>
      <w:r w:rsidR="00AE0199">
        <w:t>Also,</w:t>
      </w:r>
      <w:r w:rsidR="004426D9">
        <w:t xml:space="preserve"> o</w:t>
      </w:r>
      <w:r w:rsidR="009766CB">
        <w:t>f</w:t>
      </w:r>
      <w:r w:rsidR="00487727" w:rsidRPr="00487727">
        <w:t xml:space="preserve">ficial </w:t>
      </w:r>
      <w:r w:rsidR="00DD560F">
        <w:t xml:space="preserve">pronouncements and </w:t>
      </w:r>
      <w:r w:rsidR="00AE0199">
        <w:t xml:space="preserve">fatalities </w:t>
      </w:r>
      <w:r w:rsidR="00487727" w:rsidRPr="00487727">
        <w:t xml:space="preserve">figures </w:t>
      </w:r>
      <w:r w:rsidR="009766CB">
        <w:t xml:space="preserve">are not </w:t>
      </w:r>
      <w:r w:rsidR="004E0FDE">
        <w:t xml:space="preserve">much </w:t>
      </w:r>
      <w:r w:rsidR="00C5628E">
        <w:t>helpful, or at least require corroboration with other data</w:t>
      </w:r>
      <w:r w:rsidR="004426D9">
        <w:t>, because</w:t>
      </w:r>
      <w:r w:rsidR="00C42C2A">
        <w:t xml:space="preserve"> s</w:t>
      </w:r>
      <w:r w:rsidR="00487727" w:rsidRPr="00487727">
        <w:t>tates may either minimize their own battle losses to protect themselves from criticism for failures, or, on the contrary, inflate the figure to garner international sympathy (Sarkees 2010a, 16).</w:t>
      </w:r>
    </w:p>
    <w:p w14:paraId="40C5EDEE" w14:textId="78AF24D6" w:rsidR="008B109E" w:rsidRDefault="003C2223" w:rsidP="003C2223">
      <w:pPr>
        <w:pStyle w:val="Newparagraph"/>
      </w:pPr>
      <w:r>
        <w:t xml:space="preserve">A possible solution is </w:t>
      </w:r>
      <w:r w:rsidR="004E0FDE">
        <w:t xml:space="preserve">to </w:t>
      </w:r>
      <w:r w:rsidR="007838EF">
        <w:t>utilize</w:t>
      </w:r>
      <w:r w:rsidR="00FB31F2">
        <w:t xml:space="preserve"> </w:t>
      </w:r>
      <w:r w:rsidR="00FB39CC">
        <w:t>open-source</w:t>
      </w:r>
      <w:r w:rsidR="003C2047">
        <w:t xml:space="preserve"> intelligence (</w:t>
      </w:r>
      <w:r w:rsidR="005B3753">
        <w:t>OSINT</w:t>
      </w:r>
      <w:r w:rsidR="003C2047">
        <w:t>)</w:t>
      </w:r>
      <w:r w:rsidR="005B3753">
        <w:t xml:space="preserve"> analysis as a basis for</w:t>
      </w:r>
      <w:r w:rsidR="00C95511">
        <w:t xml:space="preserve"> tracing </w:t>
      </w:r>
      <w:r w:rsidR="003C2047">
        <w:t>and establishing a</w:t>
      </w:r>
      <w:r w:rsidR="000A486D">
        <w:t>n</w:t>
      </w:r>
      <w:r w:rsidR="003C2047">
        <w:t xml:space="preserve"> array of </w:t>
      </w:r>
      <w:r w:rsidR="00C95511">
        <w:t>basic facts</w:t>
      </w:r>
      <w:r w:rsidR="003C2047">
        <w:t xml:space="preserve"> </w:t>
      </w:r>
      <w:r w:rsidR="006F2955">
        <w:t>(</w:t>
      </w:r>
      <w:r w:rsidR="002A4BEA">
        <w:t xml:space="preserve">Hosaka 2021; </w:t>
      </w:r>
      <w:r w:rsidR="00E642E1">
        <w:t>Hauter 2021</w:t>
      </w:r>
      <w:r w:rsidR="0070723E">
        <w:t>a</w:t>
      </w:r>
      <w:r w:rsidR="006F2955">
        <w:t>).</w:t>
      </w:r>
      <w:r w:rsidR="00C42C2A">
        <w:t xml:space="preserve"> </w:t>
      </w:r>
      <w:r w:rsidR="008B109E" w:rsidRPr="008B109E">
        <w:t xml:space="preserve">In case of the </w:t>
      </w:r>
      <w:r w:rsidR="00D822A4">
        <w:t>w</w:t>
      </w:r>
      <w:r w:rsidR="008B109E" w:rsidRPr="008B109E">
        <w:t xml:space="preserve">ar in Eastern Ukraine,  </w:t>
      </w:r>
      <w:r w:rsidR="00187852">
        <w:t xml:space="preserve">non-governmental </w:t>
      </w:r>
      <w:r w:rsidR="00074B56">
        <w:t>initiatives</w:t>
      </w:r>
      <w:r w:rsidR="008D0358">
        <w:t xml:space="preserve"> such as </w:t>
      </w:r>
      <w:proofErr w:type="spellStart"/>
      <w:r w:rsidR="008D0358">
        <w:t>Info</w:t>
      </w:r>
      <w:r w:rsidR="00C100AE">
        <w:t>rm</w:t>
      </w:r>
      <w:r w:rsidR="008D0358">
        <w:t>Naplam</w:t>
      </w:r>
      <w:proofErr w:type="spellEnd"/>
      <w:r w:rsidR="0035026D">
        <w:t xml:space="preserve">, </w:t>
      </w:r>
      <w:r w:rsidR="00D003DB" w:rsidRPr="00D003DB">
        <w:t>Forensic Architecture Ilovaisk Project</w:t>
      </w:r>
      <w:r w:rsidR="00D003DB">
        <w:t>,</w:t>
      </w:r>
      <w:r w:rsidR="00B46F0D" w:rsidRPr="00B46F0D">
        <w:t xml:space="preserve"> “Book of Memory of the Fallen for Ukraine”</w:t>
      </w:r>
      <w:r w:rsidR="00D003DB" w:rsidRPr="00D003DB">
        <w:t xml:space="preserve"> </w:t>
      </w:r>
      <w:r w:rsidR="0096481F">
        <w:t>offer</w:t>
      </w:r>
      <w:r w:rsidR="008B109E" w:rsidRPr="008B109E">
        <w:t xml:space="preserve"> </w:t>
      </w:r>
      <w:r w:rsidR="00895051">
        <w:t>unique</w:t>
      </w:r>
      <w:r w:rsidR="0096481F">
        <w:t xml:space="preserve"> insights </w:t>
      </w:r>
      <w:r w:rsidR="00895051">
        <w:t>into</w:t>
      </w:r>
      <w:r w:rsidR="0071267D">
        <w:t xml:space="preserve"> the conflict </w:t>
      </w:r>
      <w:r w:rsidR="00FC31D2">
        <w:t>by</w:t>
      </w:r>
      <w:r w:rsidR="00510985">
        <w:t xml:space="preserve"> analy</w:t>
      </w:r>
      <w:r w:rsidR="00FC31D2">
        <w:t>zing</w:t>
      </w:r>
      <w:r w:rsidR="00510985">
        <w:t xml:space="preserve"> </w:t>
      </w:r>
      <w:r w:rsidR="00D003DB">
        <w:t xml:space="preserve">a great </w:t>
      </w:r>
      <w:r w:rsidR="00176A04">
        <w:t xml:space="preserve">deal </w:t>
      </w:r>
      <w:r w:rsidR="00D003DB">
        <w:t xml:space="preserve">of </w:t>
      </w:r>
      <w:r w:rsidR="00237904">
        <w:t>photo</w:t>
      </w:r>
      <w:r w:rsidR="00C100AE">
        <w:t>s</w:t>
      </w:r>
      <w:r w:rsidR="00237904">
        <w:t xml:space="preserve"> and video</w:t>
      </w:r>
      <w:r w:rsidR="00895051">
        <w:t xml:space="preserve"> materials</w:t>
      </w:r>
      <w:r w:rsidR="00237904">
        <w:t xml:space="preserve"> </w:t>
      </w:r>
      <w:r w:rsidR="006216FE">
        <w:t xml:space="preserve">uploaded </w:t>
      </w:r>
      <w:r w:rsidR="00895051">
        <w:t xml:space="preserve">by the Russian soldiers and </w:t>
      </w:r>
      <w:proofErr w:type="gramStart"/>
      <w:r w:rsidR="00895051">
        <w:t>local residents</w:t>
      </w:r>
      <w:proofErr w:type="gramEnd"/>
      <w:r w:rsidR="00895051">
        <w:t xml:space="preserve"> </w:t>
      </w:r>
      <w:r w:rsidR="006216FE">
        <w:t>on the internet</w:t>
      </w:r>
      <w:r w:rsidR="001611F9">
        <w:t xml:space="preserve">. These datasets </w:t>
      </w:r>
      <w:r w:rsidR="00804E1A">
        <w:t xml:space="preserve">are </w:t>
      </w:r>
      <w:r w:rsidR="001611F9">
        <w:t>useful for researchers</w:t>
      </w:r>
      <w:r w:rsidR="00D822A4">
        <w:t xml:space="preserve"> to</w:t>
      </w:r>
      <w:r w:rsidR="00187852">
        <w:t xml:space="preserve"> </w:t>
      </w:r>
      <w:r w:rsidR="0088416E">
        <w:t>estimate</w:t>
      </w:r>
      <w:r w:rsidR="00F00B5E">
        <w:t xml:space="preserve"> the </w:t>
      </w:r>
      <w:r w:rsidR="00895051">
        <w:t xml:space="preserve">actual scale of </w:t>
      </w:r>
      <w:r w:rsidR="00F00B5E">
        <w:t>Russian Armed Forces</w:t>
      </w:r>
      <w:r w:rsidR="0088416E">
        <w:t xml:space="preserve"> </w:t>
      </w:r>
      <w:r w:rsidR="004E0FDE">
        <w:t xml:space="preserve">units </w:t>
      </w:r>
      <w:r w:rsidR="00AF23E7">
        <w:t xml:space="preserve">participating in the military operations </w:t>
      </w:r>
      <w:r w:rsidR="0088416E">
        <w:t>in Ukraine</w:t>
      </w:r>
      <w:r w:rsidR="00F00B5E">
        <w:t>, time and location</w:t>
      </w:r>
      <w:r w:rsidR="002B0BB8">
        <w:t>s of their activities</w:t>
      </w:r>
      <w:r w:rsidR="00D170D9">
        <w:t xml:space="preserve">, </w:t>
      </w:r>
      <w:r w:rsidR="000C201F">
        <w:t>connect</w:t>
      </w:r>
      <w:r w:rsidR="00145335">
        <w:t>ing</w:t>
      </w:r>
      <w:r w:rsidR="000C201F">
        <w:t xml:space="preserve"> them with </w:t>
      </w:r>
      <w:r w:rsidR="00D170D9">
        <w:t xml:space="preserve">the </w:t>
      </w:r>
      <w:r w:rsidR="00187852">
        <w:t>loss of Ukrainian combatants</w:t>
      </w:r>
      <w:r w:rsidR="008B109E" w:rsidRPr="008B109E">
        <w:t xml:space="preserve">. </w:t>
      </w:r>
      <w:r w:rsidR="002B0BB8">
        <w:t>However,</w:t>
      </w:r>
      <w:r w:rsidR="00C11CFE">
        <w:t xml:space="preserve"> </w:t>
      </w:r>
      <w:r w:rsidR="004359C2">
        <w:t>this kind of</w:t>
      </w:r>
      <w:r w:rsidR="003C34BF">
        <w:t xml:space="preserve"> quality OSCINT analysis</w:t>
      </w:r>
      <w:r w:rsidR="004359C2">
        <w:t xml:space="preserve"> </w:t>
      </w:r>
      <w:r w:rsidR="008B109E" w:rsidRPr="008B109E">
        <w:t xml:space="preserve">is not always </w:t>
      </w:r>
      <w:r w:rsidR="00C11CFE">
        <w:t xml:space="preserve">available </w:t>
      </w:r>
      <w:r w:rsidR="008B109E" w:rsidRPr="008B109E">
        <w:t xml:space="preserve">in other </w:t>
      </w:r>
      <w:r w:rsidR="00145335">
        <w:t xml:space="preserve">similar </w:t>
      </w:r>
      <w:r w:rsidR="008B109E" w:rsidRPr="008B109E">
        <w:t>conflicts</w:t>
      </w:r>
      <w:r w:rsidR="00327D41">
        <w:t xml:space="preserve">. </w:t>
      </w:r>
      <w:r w:rsidR="00FC31D2">
        <w:t>In the absence of such data, t</w:t>
      </w:r>
      <w:r w:rsidR="00327D41">
        <w:t xml:space="preserve">he shift of attention </w:t>
      </w:r>
      <w:r w:rsidR="0032581E">
        <w:t xml:space="preserve">from the combat field </w:t>
      </w:r>
      <w:r w:rsidR="00327D41">
        <w:t xml:space="preserve">to political agency of non-state actors may </w:t>
      </w:r>
      <w:r w:rsidR="00BC3BF8">
        <w:t xml:space="preserve">facilitate the sound </w:t>
      </w:r>
      <w:r w:rsidR="001F711C">
        <w:t xml:space="preserve">judgement </w:t>
      </w:r>
      <w:r w:rsidR="00BC3BF8">
        <w:t xml:space="preserve">of </w:t>
      </w:r>
      <w:r w:rsidR="001F711C">
        <w:t>the main actors in the conflict</w:t>
      </w:r>
      <w:r w:rsidR="00327D41">
        <w:t xml:space="preserve">. </w:t>
      </w:r>
      <w:r w:rsidR="008B109E" w:rsidRPr="008B109E">
        <w:t xml:space="preserve"> </w:t>
      </w:r>
      <w:r w:rsidR="009672DF" w:rsidRPr="009672DF">
        <w:t xml:space="preserve">   </w:t>
      </w:r>
    </w:p>
    <w:p w14:paraId="1DA2D8BC" w14:textId="7679547A" w:rsidR="008B109E" w:rsidRPr="008B109E" w:rsidRDefault="001629CF" w:rsidP="008B109E">
      <w:pPr>
        <w:pStyle w:val="Heading1"/>
      </w:pPr>
      <w:r>
        <w:lastRenderedPageBreak/>
        <w:t>Political Agency of</w:t>
      </w:r>
      <w:r w:rsidR="008B109E">
        <w:t xml:space="preserve"> </w:t>
      </w:r>
      <w:r w:rsidR="00C974E9">
        <w:t>“</w:t>
      </w:r>
      <w:r w:rsidR="008B109E">
        <w:t>Non-State Actors</w:t>
      </w:r>
      <w:r w:rsidR="00C974E9">
        <w:t>”</w:t>
      </w:r>
    </w:p>
    <w:p w14:paraId="1A618F46" w14:textId="573E1BA4" w:rsidR="002E14B5" w:rsidRDefault="00DB6E05" w:rsidP="002E14B5">
      <w:r>
        <w:t xml:space="preserve">Cunningham, Gleditsch, and </w:t>
      </w:r>
      <w:proofErr w:type="spellStart"/>
      <w:r>
        <w:t>Salehyan</w:t>
      </w:r>
      <w:proofErr w:type="spellEnd"/>
      <w:r>
        <w:t xml:space="preserve"> (2013)</w:t>
      </w:r>
      <w:r w:rsidR="00973E93">
        <w:t xml:space="preserve">, </w:t>
      </w:r>
      <w:r w:rsidR="00667DC3">
        <w:t>introducing the Non-State Actors in Armed Conflict Dataset</w:t>
      </w:r>
      <w:r w:rsidR="00083629">
        <w:t xml:space="preserve"> to the UCDP Dyadic Dataset</w:t>
      </w:r>
      <w:r w:rsidR="00667DC3">
        <w:t xml:space="preserve">, </w:t>
      </w:r>
      <w:r>
        <w:t xml:space="preserve">propose a series of variables characterizing </w:t>
      </w:r>
      <w:r w:rsidR="008D5922">
        <w:t xml:space="preserve">and differentiating </w:t>
      </w:r>
      <w:r>
        <w:t>th</w:t>
      </w:r>
      <w:r w:rsidR="00866BBE">
        <w:t>e</w:t>
      </w:r>
      <w:r>
        <w:t xml:space="preserve"> nature </w:t>
      </w:r>
      <w:r w:rsidR="00866BBE">
        <w:t xml:space="preserve">of </w:t>
      </w:r>
      <w:r w:rsidR="0004790C">
        <w:t>non-state actors</w:t>
      </w:r>
      <w:r w:rsidR="00F96E9F">
        <w:t>,</w:t>
      </w:r>
      <w:r w:rsidR="00D155B3">
        <w:t xml:space="preserve"> e.g.</w:t>
      </w:r>
      <w:r w:rsidR="00F96E9F">
        <w:t>,</w:t>
      </w:r>
      <w:r w:rsidR="00D155B3">
        <w:t xml:space="preserve"> affiliation with political organizations, </w:t>
      </w:r>
      <w:r w:rsidR="00133F1D">
        <w:t xml:space="preserve">the </w:t>
      </w:r>
      <w:r w:rsidR="00D155B3">
        <w:t>number of troops, mobilization capacity, arms procurement, command structure, type and degree of external assistance etc.</w:t>
      </w:r>
      <w:r w:rsidR="001629CF">
        <w:t xml:space="preserve"> </w:t>
      </w:r>
      <w:r w:rsidR="00176503">
        <w:t>However</w:t>
      </w:r>
      <w:r w:rsidR="00CF0F9C">
        <w:t>, it</w:t>
      </w:r>
      <w:r w:rsidR="00A818CB">
        <w:t xml:space="preserve"> is reasonable to assume that </w:t>
      </w:r>
      <w:r w:rsidR="00FC5D9D">
        <w:t>non-</w:t>
      </w:r>
      <w:r w:rsidR="00873122">
        <w:t xml:space="preserve">state </w:t>
      </w:r>
      <w:r w:rsidR="00FC5D9D">
        <w:t>actors are not willing to</w:t>
      </w:r>
      <w:r w:rsidR="00A6026D">
        <w:t xml:space="preserve"> disclose </w:t>
      </w:r>
      <w:r w:rsidR="00AF2BDB">
        <w:t>military</w:t>
      </w:r>
      <w:r w:rsidR="00133F1D">
        <w:t xml:space="preserve">-related </w:t>
      </w:r>
      <w:r w:rsidR="00A6026D">
        <w:t xml:space="preserve">information that might </w:t>
      </w:r>
      <w:r w:rsidR="00D155B3">
        <w:t xml:space="preserve">lead to </w:t>
      </w:r>
      <w:r w:rsidR="00011ECE">
        <w:t xml:space="preserve">the </w:t>
      </w:r>
      <w:r w:rsidR="00D155B3">
        <w:t>expos</w:t>
      </w:r>
      <w:r w:rsidR="00D16A26">
        <w:t>ure of</w:t>
      </w:r>
      <w:r w:rsidR="00D155B3">
        <w:t xml:space="preserve"> their </w:t>
      </w:r>
      <w:r w:rsidR="00AF2BDB">
        <w:t>combat</w:t>
      </w:r>
      <w:r w:rsidR="00FA68B0">
        <w:t xml:space="preserve"> </w:t>
      </w:r>
      <w:r w:rsidR="00D623C1">
        <w:t xml:space="preserve">capabilities and </w:t>
      </w:r>
      <w:r w:rsidR="00C37592">
        <w:t>vulnerabilities</w:t>
      </w:r>
      <w:r w:rsidR="00C549A4">
        <w:t>.</w:t>
      </w:r>
      <w:r w:rsidR="00FA68B0">
        <w:t xml:space="preserve"> </w:t>
      </w:r>
      <w:r w:rsidR="00CF0F9C">
        <w:t xml:space="preserve">On the other, since </w:t>
      </w:r>
      <w:r w:rsidR="00C549A4">
        <w:t>non-state actors</w:t>
      </w:r>
      <w:r w:rsidR="00FA68B0">
        <w:t xml:space="preserve"> are fighting </w:t>
      </w:r>
      <w:r w:rsidR="00CF0F9C">
        <w:t>to achieve</w:t>
      </w:r>
      <w:r w:rsidR="00FA68B0">
        <w:t xml:space="preserve"> certain political </w:t>
      </w:r>
      <w:r w:rsidR="00133F1D">
        <w:t>goals</w:t>
      </w:r>
      <w:r w:rsidR="007C3541">
        <w:t>,</w:t>
      </w:r>
      <w:r w:rsidR="00CF0F9C">
        <w:t xml:space="preserve"> </w:t>
      </w:r>
      <w:r w:rsidR="007C3541">
        <w:t xml:space="preserve">they </w:t>
      </w:r>
      <w:r w:rsidR="00011ECE">
        <w:t xml:space="preserve">try to </w:t>
      </w:r>
      <w:r w:rsidR="00961293">
        <w:t>legitimize their resistance in the eyes of</w:t>
      </w:r>
      <w:r w:rsidR="00A752D1">
        <w:t xml:space="preserve"> domestic and international </w:t>
      </w:r>
      <w:r w:rsidR="00AC0788">
        <w:t>audiences</w:t>
      </w:r>
      <w:r w:rsidR="00A752D1">
        <w:t>.</w:t>
      </w:r>
      <w:r w:rsidR="00B14AF3">
        <w:t xml:space="preserve"> </w:t>
      </w:r>
      <w:r w:rsidR="0051771C">
        <w:t>“</w:t>
      </w:r>
      <w:r w:rsidR="00045EB2">
        <w:t>R</w:t>
      </w:r>
      <w:r w:rsidR="00873122">
        <w:t>ebels</w:t>
      </w:r>
      <w:r w:rsidR="0051771C">
        <w:t>”</w:t>
      </w:r>
      <w:r w:rsidR="006B27CF">
        <w:t xml:space="preserve"> </w:t>
      </w:r>
      <w:r w:rsidR="00873122">
        <w:t xml:space="preserve">fight for </w:t>
      </w:r>
      <w:r w:rsidR="0090328C">
        <w:t>political causes</w:t>
      </w:r>
      <w:r w:rsidR="006B27CF">
        <w:t>,</w:t>
      </w:r>
      <w:r w:rsidR="006C02E1">
        <w:t xml:space="preserve"> rights,</w:t>
      </w:r>
      <w:r w:rsidR="006B27CF">
        <w:t xml:space="preserve"> </w:t>
      </w:r>
      <w:r w:rsidR="00A66AD7">
        <w:t>independence, and s</w:t>
      </w:r>
      <w:r w:rsidR="006B27CF">
        <w:t xml:space="preserve">o do </w:t>
      </w:r>
      <w:r w:rsidR="00C37592">
        <w:t>“</w:t>
      </w:r>
      <w:r w:rsidR="006B27CF">
        <w:t>separatists</w:t>
      </w:r>
      <w:r w:rsidR="00C37592">
        <w:t>”</w:t>
      </w:r>
      <w:r w:rsidR="00B94955">
        <w:t xml:space="preserve"> who</w:t>
      </w:r>
      <w:r w:rsidR="006B27CF">
        <w:t xml:space="preserve"> have</w:t>
      </w:r>
      <w:r w:rsidR="00B94955">
        <w:t xml:space="preserve"> </w:t>
      </w:r>
      <w:r w:rsidR="008F3E50">
        <w:t xml:space="preserve">ideological, political and economic </w:t>
      </w:r>
      <w:r w:rsidR="00DF5F47">
        <w:t xml:space="preserve">claims for a </w:t>
      </w:r>
      <w:r w:rsidR="008F3E50">
        <w:t>certain territory</w:t>
      </w:r>
      <w:r w:rsidR="00045EB2">
        <w:t xml:space="preserve"> (</w:t>
      </w:r>
      <w:r w:rsidR="00045EB2" w:rsidRPr="00045EB2">
        <w:t>Tsybulenko &amp;  Francis 2018, 129)</w:t>
      </w:r>
      <w:r w:rsidR="0051771C">
        <w:t>.</w:t>
      </w:r>
      <w:r w:rsidR="008F3E50">
        <w:t xml:space="preserve"> </w:t>
      </w:r>
      <w:r w:rsidR="00160020">
        <w:t>S</w:t>
      </w:r>
      <w:r w:rsidR="00F85DEA">
        <w:t>eparatist movements are more linked to political claims</w:t>
      </w:r>
      <w:r w:rsidR="0030581F">
        <w:t>, which was trigge</w:t>
      </w:r>
      <w:r w:rsidR="00166B0B">
        <w:t>re</w:t>
      </w:r>
      <w:r w:rsidR="0030581F">
        <w:t xml:space="preserve">d by discrimination of </w:t>
      </w:r>
      <w:r w:rsidR="004B22E3">
        <w:t>ethnic group</w:t>
      </w:r>
      <w:r w:rsidR="00401D35">
        <w:t>s</w:t>
      </w:r>
      <w:r w:rsidR="004B22E3">
        <w:t xml:space="preserve"> and formation of active </w:t>
      </w:r>
      <w:r w:rsidR="00341829">
        <w:t>ethnic elite</w:t>
      </w:r>
      <w:r w:rsidR="00160020">
        <w:t xml:space="preserve"> (</w:t>
      </w:r>
      <w:proofErr w:type="spellStart"/>
      <w:r w:rsidR="00160020" w:rsidRPr="00160020">
        <w:t>Matsiyevsky</w:t>
      </w:r>
      <w:proofErr w:type="spellEnd"/>
      <w:r w:rsidR="00160020" w:rsidRPr="00160020">
        <w:t xml:space="preserve"> 2021, 169-170)</w:t>
      </w:r>
      <w:r w:rsidR="00160020">
        <w:t xml:space="preserve">. </w:t>
      </w:r>
      <w:r w:rsidR="00D623C1">
        <w:t>Thus, a</w:t>
      </w:r>
      <w:r w:rsidR="007A2126">
        <w:t>mong the variables</w:t>
      </w:r>
      <w:r w:rsidR="00A752D1">
        <w:t xml:space="preserve"> </w:t>
      </w:r>
      <w:r w:rsidR="00CB2767">
        <w:t>listed</w:t>
      </w:r>
      <w:r w:rsidR="00A752D1">
        <w:t xml:space="preserve"> </w:t>
      </w:r>
      <w:r w:rsidR="005C148F">
        <w:t>above</w:t>
      </w:r>
      <w:r w:rsidR="005E36ED">
        <w:t xml:space="preserve">, </w:t>
      </w:r>
      <w:r w:rsidR="009C674F">
        <w:t>it is</w:t>
      </w:r>
      <w:r w:rsidR="00531CBD">
        <w:t xml:space="preserve"> </w:t>
      </w:r>
      <w:r w:rsidR="009C674F">
        <w:t xml:space="preserve">relatively easy to </w:t>
      </w:r>
      <w:r w:rsidR="00531CBD">
        <w:t xml:space="preserve">find </w:t>
      </w:r>
      <w:r w:rsidR="005E36ED">
        <w:t xml:space="preserve">political </w:t>
      </w:r>
      <w:r w:rsidR="004D29F7">
        <w:t xml:space="preserve">claims </w:t>
      </w:r>
      <w:r w:rsidR="00AC0788">
        <w:t xml:space="preserve">of </w:t>
      </w:r>
      <w:r w:rsidR="00531CBD">
        <w:t>rebels</w:t>
      </w:r>
      <w:r w:rsidR="004D29F7">
        <w:t>,</w:t>
      </w:r>
      <w:r w:rsidR="002D7B17">
        <w:t xml:space="preserve"> whic</w:t>
      </w:r>
      <w:r w:rsidR="00AB56FE">
        <w:t>h</w:t>
      </w:r>
      <w:r w:rsidR="00A978B2">
        <w:t xml:space="preserve"> are based on their</w:t>
      </w:r>
      <w:r w:rsidR="00531CBD">
        <w:t xml:space="preserve"> political wings</w:t>
      </w:r>
      <w:r w:rsidR="00A66752">
        <w:t xml:space="preserve"> </w:t>
      </w:r>
      <w:r w:rsidR="00A978B2">
        <w:t xml:space="preserve">and </w:t>
      </w:r>
      <w:r w:rsidR="002E14B5">
        <w:t xml:space="preserve">aimed at </w:t>
      </w:r>
      <w:r w:rsidR="002D7B17">
        <w:t>rectify</w:t>
      </w:r>
      <w:r w:rsidR="002E14B5">
        <w:t>ing</w:t>
      </w:r>
      <w:r w:rsidR="004D29F7">
        <w:t xml:space="preserve"> </w:t>
      </w:r>
      <w:r w:rsidR="000E0DFF">
        <w:t xml:space="preserve">the </w:t>
      </w:r>
      <w:r w:rsidR="007D70EF">
        <w:t>systematic</w:t>
      </w:r>
      <w:r w:rsidR="000E0DFF">
        <w:t xml:space="preserve"> </w:t>
      </w:r>
      <w:r w:rsidR="000701DD">
        <w:t xml:space="preserve">discrimination </w:t>
      </w:r>
      <w:r w:rsidR="002D7B17">
        <w:t xml:space="preserve">of </w:t>
      </w:r>
      <w:r w:rsidR="000E0DFF">
        <w:t xml:space="preserve">their </w:t>
      </w:r>
      <w:r w:rsidR="002D7B17">
        <w:t>collective rights</w:t>
      </w:r>
      <w:r w:rsidR="006314F4">
        <w:t xml:space="preserve">. </w:t>
      </w:r>
      <w:r w:rsidR="00C50FB8">
        <w:t>An</w:t>
      </w:r>
      <w:r w:rsidR="00CE6665">
        <w:t xml:space="preserve"> illustration </w:t>
      </w:r>
      <w:r w:rsidR="007E4BCB">
        <w:t xml:space="preserve">of such a relationship </w:t>
      </w:r>
      <w:r w:rsidR="00C50FB8">
        <w:t xml:space="preserve">is </w:t>
      </w:r>
      <w:r w:rsidR="005918FA">
        <w:t>a close</w:t>
      </w:r>
      <w:r w:rsidR="00C50FB8">
        <w:t xml:space="preserve"> </w:t>
      </w:r>
      <w:r w:rsidR="00087780">
        <w:t>association</w:t>
      </w:r>
      <w:r w:rsidR="00C50FB8">
        <w:t xml:space="preserve"> between</w:t>
      </w:r>
      <w:r w:rsidR="00191EC9">
        <w:t xml:space="preserve"> the Irish Republican Army</w:t>
      </w:r>
      <w:r w:rsidR="005918FA">
        <w:t xml:space="preserve"> and Sinn Fein</w:t>
      </w:r>
      <w:r w:rsidR="00401D35">
        <w:t xml:space="preserve"> party</w:t>
      </w:r>
      <w:r w:rsidR="007E4BCB">
        <w:t xml:space="preserve"> (</w:t>
      </w:r>
      <w:r w:rsidR="007E4BCB" w:rsidRPr="007E4BCB">
        <w:t xml:space="preserve">Cunningham, Gleditsch &amp; </w:t>
      </w:r>
      <w:proofErr w:type="spellStart"/>
      <w:r w:rsidR="007E4BCB" w:rsidRPr="007E4BCB">
        <w:t>Salehyan</w:t>
      </w:r>
      <w:proofErr w:type="spellEnd"/>
      <w:r w:rsidR="007E4BCB" w:rsidRPr="007E4BCB">
        <w:t xml:space="preserve"> 2013)</w:t>
      </w:r>
      <w:r w:rsidR="007E4BCB">
        <w:t>.</w:t>
      </w:r>
      <w:r w:rsidR="005918FA">
        <w:t xml:space="preserve"> </w:t>
      </w:r>
    </w:p>
    <w:p w14:paraId="3DEE5026" w14:textId="18521854" w:rsidR="008B109E" w:rsidRDefault="00B827CD" w:rsidP="00FA7238">
      <w:pPr>
        <w:pStyle w:val="Newparagraph"/>
      </w:pPr>
      <w:r>
        <w:t>In case of Ukraine, it is worth examining</w:t>
      </w:r>
      <w:r w:rsidR="00F53F6C">
        <w:t xml:space="preserve"> </w:t>
      </w:r>
      <w:r w:rsidR="00725B95" w:rsidRPr="00D60408">
        <w:t xml:space="preserve">the </w:t>
      </w:r>
      <w:r w:rsidR="00F53F6C">
        <w:t xml:space="preserve">affiliated political organizations and </w:t>
      </w:r>
      <w:r w:rsidR="005072A8">
        <w:t xml:space="preserve">the </w:t>
      </w:r>
      <w:r w:rsidR="00F53F6C">
        <w:t xml:space="preserve">endogeneity of </w:t>
      </w:r>
      <w:r w:rsidR="00725B95" w:rsidRPr="00D60408">
        <w:t>Donbas “separatists</w:t>
      </w:r>
      <w:r w:rsidR="00F53F6C">
        <w:t>.</w:t>
      </w:r>
      <w:r w:rsidR="00725B95" w:rsidRPr="00D60408">
        <w:t xml:space="preserve">” </w:t>
      </w:r>
      <w:r w:rsidR="00CE6665" w:rsidRPr="00CE6665">
        <w:t xml:space="preserve">As investigations show, what makes the Donbas “civil war” different from other civil wars is that the DPR/LPR, often seen as non-state actors, are in fact artificial, </w:t>
      </w:r>
      <w:r w:rsidR="00CE6665" w:rsidRPr="00CE6665">
        <w:rPr>
          <w:i/>
          <w:iCs/>
        </w:rPr>
        <w:t>state-run</w:t>
      </w:r>
      <w:r w:rsidR="00CE6665" w:rsidRPr="00CE6665">
        <w:t xml:space="preserve"> entities. </w:t>
      </w:r>
      <w:r w:rsidR="00CE6665">
        <w:t>F</w:t>
      </w:r>
      <w:r w:rsidR="00725B95" w:rsidRPr="00D60408">
        <w:t xml:space="preserve">rom the beginning, the “governments” and “parliaments” of the </w:t>
      </w:r>
      <w:r w:rsidR="00687067">
        <w:t>DPR</w:t>
      </w:r>
      <w:r w:rsidR="00CE6665">
        <w:t>/</w:t>
      </w:r>
      <w:r w:rsidR="00687067">
        <w:t>LPR</w:t>
      </w:r>
      <w:r w:rsidR="00725B95" w:rsidRPr="00D60408">
        <w:t xml:space="preserve"> had few experienced </w:t>
      </w:r>
      <w:r w:rsidR="00CE6665">
        <w:t xml:space="preserve">local </w:t>
      </w:r>
      <w:r w:rsidR="00725B95" w:rsidRPr="00D60408">
        <w:t xml:space="preserve">politicians except </w:t>
      </w:r>
      <w:r w:rsidR="00D579B7">
        <w:t>a few</w:t>
      </w:r>
      <w:r w:rsidR="00DF0208">
        <w:t xml:space="preserve"> communists (</w:t>
      </w:r>
      <w:proofErr w:type="spellStart"/>
      <w:r w:rsidR="00DF0208">
        <w:t>Matsuzato</w:t>
      </w:r>
      <w:proofErr w:type="spellEnd"/>
      <w:r w:rsidR="00DF0208">
        <w:t xml:space="preserve"> </w:t>
      </w:r>
      <w:r w:rsidR="007B3AC8">
        <w:t xml:space="preserve">2017, </w:t>
      </w:r>
      <w:r w:rsidR="00602954">
        <w:t>190-191</w:t>
      </w:r>
      <w:r w:rsidR="00DF0208">
        <w:t>)</w:t>
      </w:r>
      <w:r w:rsidR="00725B95" w:rsidRPr="00D60408">
        <w:t>.</w:t>
      </w:r>
      <w:r w:rsidR="00602954">
        <w:rPr>
          <w:rStyle w:val="FootnoteReference"/>
        </w:rPr>
        <w:footnoteReference w:id="5"/>
      </w:r>
      <w:r w:rsidR="00725B95" w:rsidRPr="00D60408">
        <w:t xml:space="preserve"> Most </w:t>
      </w:r>
      <w:r w:rsidR="005072A8">
        <w:t xml:space="preserve">of </w:t>
      </w:r>
      <w:r w:rsidR="005F1536">
        <w:t>indigenous</w:t>
      </w:r>
      <w:r w:rsidR="005072A8">
        <w:t xml:space="preserve"> </w:t>
      </w:r>
      <w:r w:rsidR="00725B95" w:rsidRPr="00D60408">
        <w:t>politicians, including former Party of Regions deputies</w:t>
      </w:r>
      <w:r w:rsidR="00FF156F">
        <w:t xml:space="preserve"> </w:t>
      </w:r>
      <w:r w:rsidR="00CE6665">
        <w:t>–</w:t>
      </w:r>
      <w:r w:rsidR="00725B95" w:rsidRPr="00D60408">
        <w:t xml:space="preserve"> </w:t>
      </w:r>
      <w:r w:rsidR="00CE6665">
        <w:t xml:space="preserve">contrary to the stereotype that they were “pro-Russians,” most of them were </w:t>
      </w:r>
      <w:r w:rsidR="00E13F84">
        <w:t>“deadly afraid of any presence of Russia” (Hosaka 2019c, 757)</w:t>
      </w:r>
      <w:r w:rsidR="005F1536">
        <w:t xml:space="preserve"> </w:t>
      </w:r>
      <w:r w:rsidR="00FF156F">
        <w:t>--</w:t>
      </w:r>
      <w:r w:rsidR="00D9695D">
        <w:t xml:space="preserve">  </w:t>
      </w:r>
      <w:r w:rsidR="00725B95" w:rsidRPr="00D60408">
        <w:t xml:space="preserve">left the occupied region </w:t>
      </w:r>
      <w:r w:rsidR="00B46D9C">
        <w:t xml:space="preserve">after the </w:t>
      </w:r>
      <w:r w:rsidR="00CE6665">
        <w:t>escalation</w:t>
      </w:r>
      <w:r w:rsidR="00B46D9C">
        <w:t xml:space="preserve"> of the conflict, </w:t>
      </w:r>
      <w:r w:rsidR="00CE6665">
        <w:t>having chosen</w:t>
      </w:r>
      <w:r w:rsidR="00725B95" w:rsidRPr="00D60408">
        <w:t xml:space="preserve"> to work in </w:t>
      </w:r>
      <w:r w:rsidR="00CE6665">
        <w:t xml:space="preserve">the Ukraine </w:t>
      </w:r>
      <w:r w:rsidR="00725B95" w:rsidRPr="00D60408">
        <w:t>government-controlled areas</w:t>
      </w:r>
      <w:r w:rsidR="00D9695D">
        <w:t xml:space="preserve">, </w:t>
      </w:r>
      <w:r w:rsidR="003352D9">
        <w:t>while</w:t>
      </w:r>
      <w:r w:rsidR="00AD7BB4">
        <w:t xml:space="preserve"> </w:t>
      </w:r>
      <w:r w:rsidR="000A1848">
        <w:t xml:space="preserve">those who appeared </w:t>
      </w:r>
      <w:r w:rsidR="000A1848">
        <w:lastRenderedPageBreak/>
        <w:t>as leaders</w:t>
      </w:r>
      <w:r w:rsidR="00CE6665">
        <w:t xml:space="preserve"> of the rebellion</w:t>
      </w:r>
      <w:r w:rsidR="00FC03AD">
        <w:t>, including</w:t>
      </w:r>
      <w:r w:rsidR="002412FA">
        <w:t xml:space="preserve"> those sent by</w:t>
      </w:r>
      <w:r w:rsidR="00FC03AD">
        <w:t xml:space="preserve"> Russia such as Aleksandr Borodai and </w:t>
      </w:r>
      <w:r w:rsidR="00C15F06">
        <w:t xml:space="preserve">Igor </w:t>
      </w:r>
      <w:r w:rsidR="00FC03AD">
        <w:t>Gi</w:t>
      </w:r>
      <w:r w:rsidR="00C15F06">
        <w:t>r</w:t>
      </w:r>
      <w:r w:rsidR="00FC03AD">
        <w:t xml:space="preserve">kin, </w:t>
      </w:r>
      <w:r w:rsidR="000A1848">
        <w:t xml:space="preserve">had almost no track record of </w:t>
      </w:r>
      <w:r w:rsidR="00CE6665">
        <w:t xml:space="preserve">public </w:t>
      </w:r>
      <w:r w:rsidR="000A1848">
        <w:t>politics</w:t>
      </w:r>
      <w:r w:rsidR="00B92810">
        <w:t>, using violence and threats as a primary means to solve political issues</w:t>
      </w:r>
      <w:r w:rsidR="000A1848">
        <w:t xml:space="preserve"> (</w:t>
      </w:r>
      <w:r w:rsidR="00725B95" w:rsidRPr="00D60408">
        <w:t>Mitrokhin 2015, 221-222)</w:t>
      </w:r>
      <w:r w:rsidR="00D01BBF">
        <w:t xml:space="preserve">. </w:t>
      </w:r>
      <w:r w:rsidR="00B647FD">
        <w:t xml:space="preserve"> </w:t>
      </w:r>
      <w:r w:rsidR="00D01BBF">
        <w:t>S</w:t>
      </w:r>
      <w:r w:rsidR="00B647FD">
        <w:t xml:space="preserve">ome of </w:t>
      </w:r>
      <w:r w:rsidR="00D100A2">
        <w:t>“</w:t>
      </w:r>
      <w:r w:rsidR="00D01BBF">
        <w:t>local leaders,</w:t>
      </w:r>
      <w:r w:rsidR="00D100A2">
        <w:t>”</w:t>
      </w:r>
      <w:r w:rsidR="00D01BBF">
        <w:t xml:space="preserve"> such as </w:t>
      </w:r>
      <w:r w:rsidR="00D100A2" w:rsidRPr="00D100A2">
        <w:t xml:space="preserve">“people’s governor” Pavel </w:t>
      </w:r>
      <w:proofErr w:type="spellStart"/>
      <w:r w:rsidR="00D100A2" w:rsidRPr="00D100A2">
        <w:t>Gubarev</w:t>
      </w:r>
      <w:proofErr w:type="spellEnd"/>
      <w:r w:rsidR="00B647FD">
        <w:t xml:space="preserve"> were trained by </w:t>
      </w:r>
      <w:r w:rsidR="00FA12AD">
        <w:t xml:space="preserve">“Coordinator of Donbas” Konstantin </w:t>
      </w:r>
      <w:proofErr w:type="spellStart"/>
      <w:r w:rsidR="00FA12AD">
        <w:t>Goloskokov</w:t>
      </w:r>
      <w:proofErr w:type="spellEnd"/>
      <w:r w:rsidR="00FA12AD">
        <w:t>, alleged GRU officer,</w:t>
      </w:r>
      <w:r w:rsidR="008222D3">
        <w:t xml:space="preserve"> </w:t>
      </w:r>
      <w:r w:rsidR="00D100A2">
        <w:t xml:space="preserve">and </w:t>
      </w:r>
      <w:r w:rsidR="002412FA">
        <w:t>their “uprising</w:t>
      </w:r>
      <w:r w:rsidR="002D233E">
        <w:t>s</w:t>
      </w:r>
      <w:r w:rsidR="002412FA">
        <w:t xml:space="preserve">“ were </w:t>
      </w:r>
      <w:r w:rsidR="008222D3">
        <w:t>orchestrated</w:t>
      </w:r>
      <w:r w:rsidR="002412FA">
        <w:t xml:space="preserve"> by Sergei </w:t>
      </w:r>
      <w:proofErr w:type="spellStart"/>
      <w:r w:rsidR="002412FA">
        <w:t>Glazyev</w:t>
      </w:r>
      <w:proofErr w:type="spellEnd"/>
      <w:r w:rsidR="008222D3">
        <w:t xml:space="preserve">, Russian curator in charge of Ukraine </w:t>
      </w:r>
      <w:r w:rsidR="00B647FD">
        <w:t>(</w:t>
      </w:r>
      <w:r w:rsidR="00D01BBF">
        <w:t xml:space="preserve">Hosaka 2019c, </w:t>
      </w:r>
      <w:r w:rsidR="00AD36E1">
        <w:t>755-75</w:t>
      </w:r>
      <w:r w:rsidR="00FA506C">
        <w:t>8</w:t>
      </w:r>
      <w:r w:rsidR="00B647FD">
        <w:t>)</w:t>
      </w:r>
      <w:r w:rsidR="00725B95" w:rsidRPr="00D60408">
        <w:t>.</w:t>
      </w:r>
      <w:r w:rsidR="00F35922">
        <w:t xml:space="preserve"> </w:t>
      </w:r>
      <w:r w:rsidR="00C455AA">
        <w:t xml:space="preserve">The </w:t>
      </w:r>
      <w:r w:rsidR="00F35922">
        <w:t xml:space="preserve">Kremlin </w:t>
      </w:r>
      <w:r w:rsidR="00025A0F">
        <w:t>considered and decided on</w:t>
      </w:r>
      <w:r w:rsidR="009648D9">
        <w:t xml:space="preserve"> the candidacy</w:t>
      </w:r>
      <w:r w:rsidR="00F35922">
        <w:t xml:space="preserve"> of </w:t>
      </w:r>
      <w:r w:rsidR="0061570A">
        <w:t>Alexander Zakharchenko</w:t>
      </w:r>
      <w:r w:rsidR="00F35922">
        <w:t xml:space="preserve">, a </w:t>
      </w:r>
      <w:r w:rsidR="0032723C">
        <w:t xml:space="preserve">Donetsk </w:t>
      </w:r>
      <w:r w:rsidR="00F35922">
        <w:t>local</w:t>
      </w:r>
      <w:r w:rsidR="009648D9">
        <w:t xml:space="preserve">, </w:t>
      </w:r>
      <w:r w:rsidR="00AF64B2">
        <w:t xml:space="preserve">known </w:t>
      </w:r>
      <w:r w:rsidR="00B9430B">
        <w:t>to have engaged in</w:t>
      </w:r>
      <w:r w:rsidR="00AF64B2">
        <w:t xml:space="preserve"> </w:t>
      </w:r>
      <w:r w:rsidR="00B9430B">
        <w:t>“smuggling of</w:t>
      </w:r>
      <w:r w:rsidR="00B9430B" w:rsidRPr="00B9430B">
        <w:t xml:space="preserve"> goods on the border of the Luhansk region and the Russian Federation</w:t>
      </w:r>
      <w:r w:rsidR="00B9430B">
        <w:t>”</w:t>
      </w:r>
      <w:r w:rsidR="00AE2521">
        <w:rPr>
          <w:lang w:eastAsia="ja-JP"/>
        </w:rPr>
        <w:t xml:space="preserve"> (see his CV circulated in the Kremlin </w:t>
      </w:r>
      <w:r w:rsidR="001C328A">
        <w:rPr>
          <w:lang w:eastAsia="ja-JP"/>
        </w:rPr>
        <w:t>in July</w:t>
      </w:r>
      <w:r w:rsidR="00EB03B8">
        <w:rPr>
          <w:lang w:eastAsia="ja-JP"/>
        </w:rPr>
        <w:t xml:space="preserve"> 2014</w:t>
      </w:r>
      <w:r w:rsidR="00B9430B">
        <w:rPr>
          <w:lang w:eastAsia="ja-JP"/>
        </w:rPr>
        <w:t>)</w:t>
      </w:r>
      <w:r w:rsidR="001C328A">
        <w:rPr>
          <w:lang w:eastAsia="ja-JP"/>
        </w:rPr>
        <w:t xml:space="preserve"> </w:t>
      </w:r>
      <w:r w:rsidR="009648D9">
        <w:t>to</w:t>
      </w:r>
      <w:r w:rsidR="0032723C">
        <w:t xml:space="preserve"> the position of</w:t>
      </w:r>
      <w:r w:rsidR="00EB03B8">
        <w:t xml:space="preserve"> “prime minister of DPR” </w:t>
      </w:r>
      <w:r w:rsidR="00DD42D4">
        <w:t>to succeed</w:t>
      </w:r>
      <w:r w:rsidR="0032723C">
        <w:t xml:space="preserve"> </w:t>
      </w:r>
      <w:r w:rsidR="005367E7">
        <w:t xml:space="preserve">the </w:t>
      </w:r>
      <w:r w:rsidR="00C455AA">
        <w:t xml:space="preserve">Russian political technologist </w:t>
      </w:r>
      <w:r w:rsidR="0032723C">
        <w:t>Borodai</w:t>
      </w:r>
      <w:r w:rsidR="00474EE8">
        <w:t>,</w:t>
      </w:r>
      <w:r w:rsidR="0032723C">
        <w:t xml:space="preserve"> </w:t>
      </w:r>
      <w:r w:rsidR="00DD42D4">
        <w:t xml:space="preserve">who </w:t>
      </w:r>
      <w:r w:rsidR="00025A0F">
        <w:t xml:space="preserve">left </w:t>
      </w:r>
      <w:r w:rsidR="00CE6665">
        <w:t>Donetsk</w:t>
      </w:r>
      <w:r w:rsidR="00025A0F">
        <w:t xml:space="preserve"> </w:t>
      </w:r>
      <w:r w:rsidR="0032723C">
        <w:t>in August</w:t>
      </w:r>
      <w:r w:rsidR="00EB03B8">
        <w:t xml:space="preserve"> 2014.</w:t>
      </w:r>
      <w:r w:rsidR="00661267">
        <w:rPr>
          <w:rStyle w:val="FootnoteReference"/>
        </w:rPr>
        <w:footnoteReference w:id="6"/>
      </w:r>
      <w:r w:rsidR="0032723C">
        <w:t xml:space="preserve"> </w:t>
      </w:r>
      <w:r w:rsidR="00F35922">
        <w:t xml:space="preserve"> </w:t>
      </w:r>
      <w:r w:rsidR="00896DAB" w:rsidRPr="00552907">
        <w:t>The creators of these “rebels” sit back in armchairs in the capital of the neighboring state, giving detailed instructions to the hired “separatist” leaders (JIT 2019). The Kremlin not only controls human, financial, and media resources in the “People’s Republics,” but goes as far as helping them invent “separatist” ideologies and myths and writing political declarations for them (Hosaka 2019c).</w:t>
      </w:r>
      <w:r w:rsidR="0071318E">
        <w:t xml:space="preserve"> </w:t>
      </w:r>
      <w:r w:rsidR="00B561D0" w:rsidRPr="00FA7238">
        <w:t xml:space="preserve">As argued by </w:t>
      </w:r>
      <w:r w:rsidR="007F7E4A" w:rsidRPr="00FA7238">
        <w:t>Tsybulenko &amp;  Francis (2018</w:t>
      </w:r>
      <w:r w:rsidR="00135B21" w:rsidRPr="00FA7238">
        <w:t>, 131-132</w:t>
      </w:r>
      <w:r w:rsidR="007F7E4A" w:rsidRPr="00FA7238">
        <w:t>)</w:t>
      </w:r>
      <w:r w:rsidR="00B561D0" w:rsidRPr="00FA7238">
        <w:t>,</w:t>
      </w:r>
      <w:r w:rsidR="007F7E4A" w:rsidRPr="00FA7238">
        <w:t xml:space="preserve"> </w:t>
      </w:r>
      <w:proofErr w:type="gramStart"/>
      <w:r w:rsidR="007F7E4A" w:rsidRPr="00FA7238">
        <w:t>in light of</w:t>
      </w:r>
      <w:proofErr w:type="gramEnd"/>
      <w:r w:rsidR="007F7E4A" w:rsidRPr="00FA7238">
        <w:t xml:space="preserve"> international law</w:t>
      </w:r>
      <w:r w:rsidR="003C016B">
        <w:t>,</w:t>
      </w:r>
      <w:r w:rsidR="007F7E4A" w:rsidRPr="00FA7238">
        <w:t xml:space="preserve"> Russia exe</w:t>
      </w:r>
      <w:r w:rsidR="001637F7" w:rsidRPr="00FA7238">
        <w:t>r</w:t>
      </w:r>
      <w:r w:rsidR="007F7E4A" w:rsidRPr="00FA7238">
        <w:t xml:space="preserve">cises </w:t>
      </w:r>
      <w:r w:rsidR="001637F7" w:rsidRPr="00FA7238">
        <w:t>effective</w:t>
      </w:r>
      <w:r w:rsidR="00271CF6">
        <w:t>,</w:t>
      </w:r>
      <w:r w:rsidR="001637F7" w:rsidRPr="00FA7238">
        <w:t xml:space="preserve"> overall control over local collaborators, therefore </w:t>
      </w:r>
      <w:r w:rsidR="00AE41BF" w:rsidRPr="00FA7238">
        <w:t xml:space="preserve">the conflict should not be classified non-international armed conflict. </w:t>
      </w:r>
      <w:r w:rsidR="00271CF6">
        <w:t>G</w:t>
      </w:r>
      <w:r w:rsidR="008E3819" w:rsidRPr="00FA7238">
        <w:t xml:space="preserve">iving </w:t>
      </w:r>
      <w:r w:rsidR="003361F7" w:rsidRPr="00FA7238">
        <w:t xml:space="preserve">Russian collaborators in Eastern Ukraine </w:t>
      </w:r>
      <w:r w:rsidR="008E3819" w:rsidRPr="00FA7238">
        <w:t xml:space="preserve">alternative definitions such </w:t>
      </w:r>
      <w:r w:rsidR="003361F7" w:rsidRPr="00FA7238">
        <w:t>as “rebels” and “separatists”</w:t>
      </w:r>
      <w:r w:rsidR="00C234EE" w:rsidRPr="00FA7238">
        <w:t xml:space="preserve"> </w:t>
      </w:r>
      <w:r w:rsidR="003361F7" w:rsidRPr="00FA7238">
        <w:t>leads to the Russia-created narrative on “civil war</w:t>
      </w:r>
      <w:r w:rsidR="00271CF6">
        <w:t>.</w:t>
      </w:r>
      <w:r w:rsidR="003361F7" w:rsidRPr="00FA7238">
        <w:t>”</w:t>
      </w:r>
      <w:r w:rsidR="007F7E4A">
        <w:t xml:space="preserve"> </w:t>
      </w:r>
    </w:p>
    <w:p w14:paraId="157BB622" w14:textId="17667EC6" w:rsidR="00CD5D5B" w:rsidRDefault="00ED2AE7" w:rsidP="00833967">
      <w:pPr>
        <w:pStyle w:val="Heading1"/>
      </w:pPr>
      <w:r>
        <w:t xml:space="preserve">Group Coherence and Discrimination </w:t>
      </w:r>
    </w:p>
    <w:p w14:paraId="7C49B39D" w14:textId="41F80EDB" w:rsidR="005013D3" w:rsidRDefault="005E134E" w:rsidP="00913B51">
      <w:pPr>
        <w:pStyle w:val="Newparagraph"/>
        <w:ind w:firstLine="0"/>
      </w:pPr>
      <w:r>
        <w:t xml:space="preserve">For </w:t>
      </w:r>
      <w:r w:rsidR="009840E7">
        <w:t>further</w:t>
      </w:r>
      <w:r w:rsidR="006434DE">
        <w:t xml:space="preserve"> examination of agency of </w:t>
      </w:r>
      <w:r w:rsidR="00913B51">
        <w:t xml:space="preserve">the </w:t>
      </w:r>
      <w:r w:rsidR="006434DE">
        <w:t xml:space="preserve">“non-state actors” </w:t>
      </w:r>
      <w:r w:rsidR="00913B51">
        <w:t xml:space="preserve">in Donbas </w:t>
      </w:r>
      <w:r w:rsidR="006434DE">
        <w:t>we may</w:t>
      </w:r>
      <w:r>
        <w:t xml:space="preserve"> </w:t>
      </w:r>
      <w:r w:rsidR="006434DE">
        <w:t>refer to discussions by s</w:t>
      </w:r>
      <w:r>
        <w:t>cholars</w:t>
      </w:r>
      <w:r w:rsidR="006434DE">
        <w:t xml:space="preserve"> on ethnic conflicts</w:t>
      </w:r>
      <w:r w:rsidR="00A02EED">
        <w:t>, who</w:t>
      </w:r>
      <w:r w:rsidR="00EF50AB">
        <w:t xml:space="preserve"> </w:t>
      </w:r>
      <w:r w:rsidR="00C6587C">
        <w:t>see</w:t>
      </w:r>
      <w:r w:rsidR="008579BF">
        <w:t xml:space="preserve">  </w:t>
      </w:r>
      <w:r w:rsidR="00880AC7">
        <w:t xml:space="preserve">group </w:t>
      </w:r>
      <w:r w:rsidR="008579BF">
        <w:t>coherence</w:t>
      </w:r>
      <w:r w:rsidR="00AB2E1B">
        <w:t xml:space="preserve"> </w:t>
      </w:r>
      <w:r w:rsidR="008579BF">
        <w:t xml:space="preserve">and </w:t>
      </w:r>
      <w:r w:rsidR="00D816C9">
        <w:t xml:space="preserve">discrimination </w:t>
      </w:r>
      <w:r w:rsidR="00C6587C">
        <w:t xml:space="preserve">against </w:t>
      </w:r>
      <w:r w:rsidR="006D3C02">
        <w:t>minority</w:t>
      </w:r>
      <w:r w:rsidR="00C6587C">
        <w:t xml:space="preserve"> group</w:t>
      </w:r>
      <w:r w:rsidR="006D3C02">
        <w:t>s</w:t>
      </w:r>
      <w:r w:rsidR="00C6587C">
        <w:t xml:space="preserve"> </w:t>
      </w:r>
      <w:r w:rsidR="00D816C9">
        <w:t xml:space="preserve">as </w:t>
      </w:r>
      <w:r w:rsidR="00312250">
        <w:t xml:space="preserve">main </w:t>
      </w:r>
      <w:r w:rsidR="00D816C9">
        <w:t xml:space="preserve">factors </w:t>
      </w:r>
      <w:r w:rsidR="00C6587C">
        <w:t>contributing</w:t>
      </w:r>
      <w:r w:rsidR="00EF50AB">
        <w:t xml:space="preserve"> to ethn</w:t>
      </w:r>
      <w:r w:rsidR="00312250">
        <w:t>o</w:t>
      </w:r>
      <w:r w:rsidR="00051661">
        <w:t xml:space="preserve">political </w:t>
      </w:r>
      <w:r w:rsidR="00EF50AB">
        <w:rPr>
          <w:rFonts w:hint="eastAsia"/>
          <w:lang w:eastAsia="ja-JP"/>
        </w:rPr>
        <w:t>mobilization</w:t>
      </w:r>
      <w:r w:rsidR="00312250">
        <w:rPr>
          <w:lang w:eastAsia="ja-JP"/>
        </w:rPr>
        <w:t xml:space="preserve"> </w:t>
      </w:r>
      <w:r w:rsidR="00EF50AB" w:rsidRPr="00EF50AB">
        <w:t>(</w:t>
      </w:r>
      <w:r w:rsidR="00DB35FA" w:rsidRPr="00DB35FA">
        <w:t>Gurr &amp; Harff 19</w:t>
      </w:r>
      <w:r w:rsidR="00D816C9">
        <w:t xml:space="preserve">94, </w:t>
      </w:r>
      <w:r w:rsidR="00EF50AB" w:rsidRPr="00EF50AB">
        <w:t>83).</w:t>
      </w:r>
      <w:r w:rsidR="00586DAC">
        <w:rPr>
          <w:rStyle w:val="FootnoteReference"/>
        </w:rPr>
        <w:footnoteReference w:id="7"/>
      </w:r>
      <w:r w:rsidR="00EF50AB" w:rsidRPr="00EF50AB">
        <w:t xml:space="preserve"> </w:t>
      </w:r>
    </w:p>
    <w:p w14:paraId="1C39A071" w14:textId="6A41FDF8" w:rsidR="00407AE7" w:rsidRPr="00EC36ED" w:rsidRDefault="00AB2E1B" w:rsidP="00C768D0">
      <w:pPr>
        <w:pStyle w:val="Newparagraph"/>
      </w:pPr>
      <w:r>
        <w:t>When it comes to ethnic coherence in Ukraine, a</w:t>
      </w:r>
      <w:r w:rsidR="00407AE7">
        <w:t xml:space="preserve"> vague notion of “Russian</w:t>
      </w:r>
      <w:r w:rsidR="00312250">
        <w:t>s</w:t>
      </w:r>
      <w:r w:rsidR="00407AE7">
        <w:t xml:space="preserve">” or “Russia-speaking population” used by scholars (and </w:t>
      </w:r>
      <w:r w:rsidR="00312250">
        <w:t xml:space="preserve">the </w:t>
      </w:r>
      <w:r w:rsidR="00407AE7">
        <w:t xml:space="preserve">Russian </w:t>
      </w:r>
      <w:r>
        <w:t>government propaganda</w:t>
      </w:r>
      <w:r w:rsidR="00407AE7">
        <w:t xml:space="preserve">) is problematic </w:t>
      </w:r>
      <w:r w:rsidR="00F4795E">
        <w:t xml:space="preserve"> when researchers try to </w:t>
      </w:r>
      <w:r w:rsidR="00407AE7">
        <w:t>identify</w:t>
      </w:r>
      <w:r w:rsidR="00F4795E">
        <w:t xml:space="preserve"> </w:t>
      </w:r>
      <w:r w:rsidR="00831FF5">
        <w:t>agencies</w:t>
      </w:r>
      <w:r w:rsidR="00407AE7">
        <w:t xml:space="preserve"> in conflict (Brik 2021, 202). </w:t>
      </w:r>
      <w:r w:rsidR="00EC6338">
        <w:t xml:space="preserve">Ethnicity </w:t>
      </w:r>
      <w:r w:rsidR="00777F56">
        <w:t xml:space="preserve">was </w:t>
      </w:r>
      <w:r w:rsidR="00EC6338">
        <w:t xml:space="preserve">not a </w:t>
      </w:r>
      <w:r w:rsidR="00777F56">
        <w:t>useful</w:t>
      </w:r>
      <w:r w:rsidR="00EC6338">
        <w:t xml:space="preserve"> </w:t>
      </w:r>
      <w:r w:rsidR="00EC6338">
        <w:lastRenderedPageBreak/>
        <w:t>category to explain the political scene of post-Soviet Ukraine (Kulyk 2001)</w:t>
      </w:r>
      <w:r w:rsidR="00777F56">
        <w:t>. In</w:t>
      </w:r>
      <w:r w:rsidR="004B42C2">
        <w:t xml:space="preserve"> </w:t>
      </w:r>
      <w:r w:rsidR="00777F56">
        <w:t>Donbas</w:t>
      </w:r>
      <w:r w:rsidR="004B42C2">
        <w:t>,</w:t>
      </w:r>
      <w:r w:rsidR="00777F56">
        <w:t xml:space="preserve"> </w:t>
      </w:r>
      <w:r w:rsidR="00EA6544">
        <w:t>self-identified ethnicity</w:t>
      </w:r>
      <w:r w:rsidR="004B42C2">
        <w:t xml:space="preserve"> </w:t>
      </w:r>
      <w:r w:rsidR="004C7ECD">
        <w:t>was</w:t>
      </w:r>
      <w:r w:rsidR="004B42C2">
        <w:t xml:space="preserve"> </w:t>
      </w:r>
      <w:r w:rsidR="00CB3E3D">
        <w:t>not a determining factor</w:t>
      </w:r>
      <w:r w:rsidR="004B42C2">
        <w:t xml:space="preserve"> in explaining individuals’ geopolitical orientatio</w:t>
      </w:r>
      <w:r w:rsidR="00CB3E3D">
        <w:t>n</w:t>
      </w:r>
      <w:r w:rsidR="00831FF5">
        <w:t>.</w:t>
      </w:r>
      <w:r w:rsidR="00CB3E3D">
        <w:t xml:space="preserve"> </w:t>
      </w:r>
      <w:r w:rsidR="00831FF5">
        <w:t xml:space="preserve">For example, </w:t>
      </w:r>
      <w:r w:rsidR="004B42C2">
        <w:t xml:space="preserve">in </w:t>
      </w:r>
      <w:r w:rsidR="00CB3E3D">
        <w:t xml:space="preserve">the </w:t>
      </w:r>
      <w:r w:rsidR="004B42C2">
        <w:t xml:space="preserve">2013 survey in Luhansk, </w:t>
      </w:r>
      <w:r w:rsidR="00312250">
        <w:t xml:space="preserve">contrary to common wisdom, </w:t>
      </w:r>
      <w:r w:rsidR="004B42C2">
        <w:t xml:space="preserve">respondents </w:t>
      </w:r>
      <w:r w:rsidR="004B42C2" w:rsidRPr="004B42C2">
        <w:t>who s</w:t>
      </w:r>
      <w:r w:rsidR="004B42C2">
        <w:t>aw</w:t>
      </w:r>
      <w:r w:rsidR="004B42C2" w:rsidRPr="004B42C2">
        <w:t xml:space="preserve"> themselves as both Ukrainian and Russian </w:t>
      </w:r>
      <w:r w:rsidR="004B42C2">
        <w:t>were</w:t>
      </w:r>
      <w:r w:rsidR="004B42C2" w:rsidRPr="004B42C2">
        <w:t xml:space="preserve"> more West-</w:t>
      </w:r>
      <w:r w:rsidR="00571D6F">
        <w:t>oriented</w:t>
      </w:r>
      <w:r w:rsidR="004B42C2" w:rsidRPr="004B42C2">
        <w:t xml:space="preserve"> than th</w:t>
      </w:r>
      <w:r w:rsidR="00571D6F">
        <w:t>ose identifying themselves as</w:t>
      </w:r>
      <w:r w:rsidR="004B42C2" w:rsidRPr="004B42C2">
        <w:t xml:space="preserve"> </w:t>
      </w:r>
      <w:r w:rsidR="009025C3">
        <w:t xml:space="preserve">only </w:t>
      </w:r>
      <w:r w:rsidR="004B42C2" w:rsidRPr="004B42C2">
        <w:t xml:space="preserve">Ukrainian </w:t>
      </w:r>
      <w:r w:rsidR="00407AE7">
        <w:t>(Gentile 2015)</w:t>
      </w:r>
      <w:r w:rsidR="00CB3E3D">
        <w:t xml:space="preserve">. </w:t>
      </w:r>
      <w:r w:rsidR="006F502E" w:rsidRPr="006F502E">
        <w:t xml:space="preserve">Correlation between ethnicities and historical memories </w:t>
      </w:r>
      <w:r w:rsidR="00312250">
        <w:t>is</w:t>
      </w:r>
      <w:r w:rsidR="006F502E" w:rsidRPr="006F502E">
        <w:t xml:space="preserve"> observed but</w:t>
      </w:r>
      <w:r w:rsidR="009025C3">
        <w:t xml:space="preserve"> very</w:t>
      </w:r>
      <w:r w:rsidR="006F502E" w:rsidRPr="006F502E">
        <w:t xml:space="preserve"> weak</w:t>
      </w:r>
      <w:r w:rsidR="006F502E">
        <w:t xml:space="preserve"> in Ukraine</w:t>
      </w:r>
      <w:r w:rsidR="00EE12A0">
        <w:t xml:space="preserve">; </w:t>
      </w:r>
      <w:r w:rsidR="00C768D0">
        <w:t xml:space="preserve">there was about 20% of </w:t>
      </w:r>
      <w:r w:rsidR="00312250">
        <w:t xml:space="preserve">ethnic </w:t>
      </w:r>
      <w:r w:rsidR="00C768D0">
        <w:t>Ukrainian</w:t>
      </w:r>
      <w:r w:rsidR="00312250">
        <w:t>s</w:t>
      </w:r>
      <w:r w:rsidR="00C768D0">
        <w:t xml:space="preserve"> </w:t>
      </w:r>
      <w:r w:rsidR="009D6D19">
        <w:t>gravitate towards</w:t>
      </w:r>
      <w:r w:rsidR="00C768D0">
        <w:t xml:space="preserve"> Soviet–Russian</w:t>
      </w:r>
      <w:r w:rsidR="009D6D19">
        <w:t xml:space="preserve"> historical memories, while</w:t>
      </w:r>
      <w:r w:rsidR="00C768D0">
        <w:t xml:space="preserve"> more than 30% of Russians</w:t>
      </w:r>
      <w:r w:rsidR="009025C3">
        <w:t xml:space="preserve"> living in Ukraine</w:t>
      </w:r>
      <w:r w:rsidR="00C768D0">
        <w:t xml:space="preserve"> </w:t>
      </w:r>
      <w:r w:rsidR="009D6D19">
        <w:t xml:space="preserve">embrace </w:t>
      </w:r>
      <w:r w:rsidR="00C768D0">
        <w:t xml:space="preserve">Ukrainian </w:t>
      </w:r>
      <w:r w:rsidR="009D6D19">
        <w:t xml:space="preserve">historical </w:t>
      </w:r>
      <w:r w:rsidR="00C768D0">
        <w:t>narratives</w:t>
      </w:r>
      <w:r w:rsidR="006F502E">
        <w:t xml:space="preserve"> (Hosaka 201</w:t>
      </w:r>
      <w:r w:rsidR="00EE12A0">
        <w:t>9</w:t>
      </w:r>
      <w:r w:rsidR="0049515C">
        <w:t>a</w:t>
      </w:r>
      <w:r w:rsidR="006F502E">
        <w:t>)</w:t>
      </w:r>
      <w:r w:rsidR="00EE12A0">
        <w:t>.</w:t>
      </w:r>
      <w:r w:rsidR="009D6D19">
        <w:t xml:space="preserve"> </w:t>
      </w:r>
      <w:r w:rsidR="00407AE7">
        <w:t>P</w:t>
      </w:r>
      <w:r w:rsidR="00407AE7" w:rsidRPr="00FC6582">
        <w:t>olitical and cultural identities in Ukraine</w:t>
      </w:r>
      <w:r w:rsidR="00407AE7">
        <w:t xml:space="preserve"> are not the so-called East-West divide</w:t>
      </w:r>
      <w:r w:rsidR="00B04F26">
        <w:t>;</w:t>
      </w:r>
      <w:r w:rsidR="009025C3">
        <w:t xml:space="preserve"> they are</w:t>
      </w:r>
      <w:r w:rsidR="00407AE7">
        <w:t xml:space="preserve"> </w:t>
      </w:r>
      <w:r w:rsidR="00B04F26">
        <w:t>flexible</w:t>
      </w:r>
      <w:r w:rsidR="00407AE7">
        <w:t xml:space="preserve"> and movable (Kuzyk 2019).</w:t>
      </w:r>
    </w:p>
    <w:p w14:paraId="641CCDAD" w14:textId="514493C0" w:rsidR="00063A69" w:rsidRDefault="004A15BA" w:rsidP="007117A0">
      <w:pPr>
        <w:pStyle w:val="Newparagraph"/>
      </w:pPr>
      <w:r>
        <w:t>U</w:t>
      </w:r>
      <w:r w:rsidR="00985285">
        <w:t>nlike</w:t>
      </w:r>
      <w:r w:rsidR="005E37E4">
        <w:t xml:space="preserve"> group </w:t>
      </w:r>
      <w:r w:rsidR="007E0DB9">
        <w:t>identities</w:t>
      </w:r>
      <w:r w:rsidR="00AC759B">
        <w:t>, which</w:t>
      </w:r>
      <w:r w:rsidR="005E37E4">
        <w:t xml:space="preserve"> are</w:t>
      </w:r>
      <w:r w:rsidR="00D816C9">
        <w:t xml:space="preserve"> </w:t>
      </w:r>
      <w:r w:rsidR="00312250">
        <w:t>often</w:t>
      </w:r>
      <w:r w:rsidR="005E37E4">
        <w:t xml:space="preserve"> </w:t>
      </w:r>
      <w:r w:rsidR="00985285">
        <w:t>subjective</w:t>
      </w:r>
      <w:r w:rsidR="00D816C9">
        <w:t xml:space="preserve"> or blurred</w:t>
      </w:r>
      <w:r w:rsidR="00C571A3">
        <w:t>,</w:t>
      </w:r>
      <w:r w:rsidR="007117A0">
        <w:t xml:space="preserve"> </w:t>
      </w:r>
      <w:r w:rsidR="00B05BD4">
        <w:t xml:space="preserve">indicators of </w:t>
      </w:r>
      <w:r w:rsidR="00312E0C">
        <w:t xml:space="preserve">political and economic </w:t>
      </w:r>
      <w:r w:rsidR="00B05BD4">
        <w:t>discrimination are largely observable</w:t>
      </w:r>
      <w:r w:rsidR="00B400C9">
        <w:t xml:space="preserve"> </w:t>
      </w:r>
      <w:r w:rsidR="00D816C9">
        <w:t xml:space="preserve">for researchers </w:t>
      </w:r>
      <w:r w:rsidR="00B400C9">
        <w:t xml:space="preserve">(Gurr </w:t>
      </w:r>
      <w:r w:rsidR="00BC519E">
        <w:t xml:space="preserve">&amp; Harff 1994, </w:t>
      </w:r>
      <w:r w:rsidR="00EC3119">
        <w:t>93</w:t>
      </w:r>
      <w:r w:rsidR="00131158">
        <w:t>)</w:t>
      </w:r>
      <w:r w:rsidR="00063A69">
        <w:t>:</w:t>
      </w:r>
      <w:r w:rsidR="00312250">
        <w:rPr>
          <w:rStyle w:val="FootnoteReference"/>
        </w:rPr>
        <w:footnoteReference w:id="8"/>
      </w:r>
    </w:p>
    <w:p w14:paraId="1C99FFCE" w14:textId="7FB9A8DF" w:rsidR="00ED5605" w:rsidRDefault="00ED5605" w:rsidP="00421BC3">
      <w:pPr>
        <w:pStyle w:val="Newparagraph"/>
        <w:numPr>
          <w:ilvl w:val="0"/>
          <w:numId w:val="3"/>
        </w:numPr>
      </w:pPr>
      <w:r>
        <w:t>Public policies that restrict the economic activities or roles of group</w:t>
      </w:r>
      <w:r w:rsidR="0046602C">
        <w:t xml:space="preserve"> </w:t>
      </w:r>
      <w:proofErr w:type="gramStart"/>
      <w:r>
        <w:t>members</w:t>
      </w:r>
      <w:r w:rsidR="00330727">
        <w:t>;</w:t>
      </w:r>
      <w:proofErr w:type="gramEnd"/>
      <w:r>
        <w:t xml:space="preserve"> </w:t>
      </w:r>
    </w:p>
    <w:p w14:paraId="0F8E51B1" w14:textId="1CB2CE20" w:rsidR="00330727" w:rsidRDefault="0046602C" w:rsidP="00421BC3">
      <w:pPr>
        <w:pStyle w:val="Newparagraph"/>
        <w:numPr>
          <w:ilvl w:val="0"/>
          <w:numId w:val="3"/>
        </w:numPr>
      </w:pPr>
      <w:r>
        <w:t>Low income, poor housing, and high infant mortality rates compared with other groups</w:t>
      </w:r>
      <w:r w:rsidR="00330727">
        <w:t xml:space="preserve"> </w:t>
      </w:r>
      <w:r>
        <w:t xml:space="preserve">in the </w:t>
      </w:r>
      <w:proofErr w:type="gramStart"/>
      <w:r>
        <w:t>society</w:t>
      </w:r>
      <w:r w:rsidR="00330727">
        <w:t>;</w:t>
      </w:r>
      <w:proofErr w:type="gramEnd"/>
    </w:p>
    <w:p w14:paraId="49F51A65" w14:textId="129A6969" w:rsidR="00ED5605" w:rsidRDefault="00330727" w:rsidP="00421BC3">
      <w:pPr>
        <w:pStyle w:val="Newparagraph"/>
        <w:numPr>
          <w:ilvl w:val="0"/>
          <w:numId w:val="3"/>
        </w:numPr>
      </w:pPr>
      <w:r w:rsidRPr="00330727">
        <w:t xml:space="preserve">Limited group access to education, especially higher </w:t>
      </w:r>
      <w:proofErr w:type="gramStart"/>
      <w:r w:rsidRPr="00330727">
        <w:t>education</w:t>
      </w:r>
      <w:r>
        <w:t>;</w:t>
      </w:r>
      <w:proofErr w:type="gramEnd"/>
    </w:p>
    <w:p w14:paraId="08375EFF" w14:textId="0C21899F" w:rsidR="00ED5605" w:rsidRDefault="00ED5605" w:rsidP="00421BC3">
      <w:pPr>
        <w:pStyle w:val="Newparagraph"/>
        <w:numPr>
          <w:ilvl w:val="0"/>
          <w:numId w:val="3"/>
        </w:numPr>
      </w:pPr>
      <w:r>
        <w:t>Proportionally few group members in commercial, managerial, or</w:t>
      </w:r>
      <w:r w:rsidR="00330727">
        <w:t xml:space="preserve"> </w:t>
      </w:r>
      <w:r>
        <w:t xml:space="preserve">professional </w:t>
      </w:r>
      <w:proofErr w:type="gramStart"/>
      <w:r>
        <w:t>positions</w:t>
      </w:r>
      <w:r w:rsidR="00421BC3">
        <w:t>;</w:t>
      </w:r>
      <w:proofErr w:type="gramEnd"/>
      <w:r>
        <w:t xml:space="preserve"> </w:t>
      </w:r>
    </w:p>
    <w:p w14:paraId="41CAE283" w14:textId="7DA95932" w:rsidR="00ED5605" w:rsidRDefault="00ED5605" w:rsidP="00421BC3">
      <w:pPr>
        <w:pStyle w:val="Newparagraph"/>
        <w:numPr>
          <w:ilvl w:val="0"/>
          <w:numId w:val="3"/>
        </w:numPr>
      </w:pPr>
      <w:r>
        <w:t>Public policies that limit the group’s participation in politics and</w:t>
      </w:r>
      <w:r w:rsidR="00421BC3">
        <w:t xml:space="preserve"> </w:t>
      </w:r>
      <w:r>
        <w:t xml:space="preserve">access to political </w:t>
      </w:r>
      <w:proofErr w:type="gramStart"/>
      <w:r>
        <w:t>office</w:t>
      </w:r>
      <w:r w:rsidR="00421BC3">
        <w:t>;</w:t>
      </w:r>
      <w:proofErr w:type="gramEnd"/>
      <w:r>
        <w:t xml:space="preserve"> </w:t>
      </w:r>
    </w:p>
    <w:p w14:paraId="79043726" w14:textId="64CFDB75" w:rsidR="00421BC3" w:rsidRDefault="00ED5605" w:rsidP="00421BC3">
      <w:pPr>
        <w:pStyle w:val="Newparagraph"/>
        <w:numPr>
          <w:ilvl w:val="0"/>
          <w:numId w:val="3"/>
        </w:numPr>
      </w:pPr>
      <w:r>
        <w:t>Low participation in politics compared with other groups in the</w:t>
      </w:r>
      <w:r w:rsidR="00421BC3">
        <w:t xml:space="preserve"> </w:t>
      </w:r>
      <w:proofErr w:type="gramStart"/>
      <w:r>
        <w:t>society</w:t>
      </w:r>
      <w:r w:rsidR="00421BC3">
        <w:t>;</w:t>
      </w:r>
      <w:proofErr w:type="gramEnd"/>
    </w:p>
    <w:p w14:paraId="00B5E4C5" w14:textId="621D4D0F" w:rsidR="00E168C0" w:rsidRDefault="00ED5605" w:rsidP="00421BC3">
      <w:pPr>
        <w:pStyle w:val="Newparagraph"/>
        <w:numPr>
          <w:ilvl w:val="0"/>
          <w:numId w:val="3"/>
        </w:numPr>
      </w:pPr>
      <w:r>
        <w:t>Proportionally few group members in elective offices, civil service,</w:t>
      </w:r>
      <w:r w:rsidR="00421BC3">
        <w:t xml:space="preserve"> </w:t>
      </w:r>
      <w:r>
        <w:t>or higher-ranking police and military positions</w:t>
      </w:r>
      <w:r w:rsidR="00421BC3">
        <w:t>.</w:t>
      </w:r>
      <w:r>
        <w:cr/>
      </w:r>
    </w:p>
    <w:p w14:paraId="2A37ED9E" w14:textId="40842468" w:rsidR="00232B0B" w:rsidRDefault="007B79E7" w:rsidP="00A45278">
      <w:pPr>
        <w:pStyle w:val="Newparagraph"/>
      </w:pPr>
      <w:r>
        <w:lastRenderedPageBreak/>
        <w:t>Despite</w:t>
      </w:r>
      <w:r w:rsidR="00CE42C0">
        <w:t xml:space="preserve"> historical, linguistic, and economic differences</w:t>
      </w:r>
      <w:r w:rsidR="004B5B18">
        <w:t xml:space="preserve"> </w:t>
      </w:r>
      <w:r w:rsidR="00CE42C0">
        <w:t xml:space="preserve">between the </w:t>
      </w:r>
      <w:r w:rsidR="004B5B18">
        <w:t>D</w:t>
      </w:r>
      <w:r w:rsidR="00CE42C0">
        <w:t xml:space="preserve">onbas </w:t>
      </w:r>
      <w:r w:rsidR="004B5B18">
        <w:t xml:space="preserve">region </w:t>
      </w:r>
      <w:r w:rsidR="00CE42C0">
        <w:t>and the rest of Ukraine, the region has not been</w:t>
      </w:r>
      <w:r w:rsidR="00E3305D">
        <w:t xml:space="preserve"> </w:t>
      </w:r>
      <w:r w:rsidR="00CE42C0">
        <w:t>systematic</w:t>
      </w:r>
      <w:r w:rsidR="00E3305D">
        <w:t>ally subjected to any types of</w:t>
      </w:r>
      <w:r w:rsidR="00CE42C0">
        <w:t xml:space="preserve"> political discrimination or limitations</w:t>
      </w:r>
      <w:r w:rsidR="00443EC6">
        <w:t xml:space="preserve"> </w:t>
      </w:r>
      <w:r w:rsidR="00E3305D">
        <w:t>listed above</w:t>
      </w:r>
      <w:r w:rsidR="00CE42C0">
        <w:t xml:space="preserve">. </w:t>
      </w:r>
      <w:r w:rsidR="00D034CE">
        <w:t xml:space="preserve">In the 1991 </w:t>
      </w:r>
      <w:r w:rsidR="0052349F">
        <w:t>referendu</w:t>
      </w:r>
      <w:r w:rsidR="001A58FC">
        <w:t>m</w:t>
      </w:r>
      <w:r w:rsidR="0052349F">
        <w:t xml:space="preserve">, </w:t>
      </w:r>
      <w:r w:rsidR="00D034CE" w:rsidRPr="00D034CE">
        <w:t>83.9% and 83.86%</w:t>
      </w:r>
      <w:r w:rsidR="001A58FC" w:rsidRPr="001A58FC">
        <w:t xml:space="preserve"> </w:t>
      </w:r>
      <w:r w:rsidR="001A58FC">
        <w:t>of voters in</w:t>
      </w:r>
      <w:r w:rsidR="001A58FC" w:rsidRPr="001A58FC">
        <w:t xml:space="preserve"> Donetsk and Luhansk Oblasts</w:t>
      </w:r>
      <w:r w:rsidR="00D034CE" w:rsidRPr="00D034CE">
        <w:t>, respectively</w:t>
      </w:r>
      <w:r w:rsidR="001A58FC">
        <w:t xml:space="preserve">, supported Ukraine’s independence. </w:t>
      </w:r>
      <w:r w:rsidR="00232B0B">
        <w:t>In terms of political representation</w:t>
      </w:r>
      <w:r w:rsidR="001A58FC">
        <w:t xml:space="preserve">, </w:t>
      </w:r>
      <w:r w:rsidR="00232B0B">
        <w:t xml:space="preserve"> </w:t>
      </w:r>
      <w:r w:rsidR="007E2E3A">
        <w:t>Donetsk favorite presidential candidates won four electoral campaigns</w:t>
      </w:r>
      <w:r w:rsidR="001D584A">
        <w:t xml:space="preserve"> (17 years in power of the 22 peaceful years)</w:t>
      </w:r>
      <w:r w:rsidR="007E2E3A">
        <w:t>,</w:t>
      </w:r>
      <w:r w:rsidR="005F7719">
        <w:t xml:space="preserve"> </w:t>
      </w:r>
      <w:r w:rsidR="007E2E3A">
        <w:t xml:space="preserve"> Luhansk </w:t>
      </w:r>
      <w:r w:rsidR="005F7719">
        <w:t xml:space="preserve">favorites </w:t>
      </w:r>
      <w:r w:rsidR="007E2E3A">
        <w:t>– three campaigns</w:t>
      </w:r>
      <w:r w:rsidR="001D584A">
        <w:t xml:space="preserve"> (12 years).</w:t>
      </w:r>
      <w:r w:rsidR="00EA6886">
        <w:t xml:space="preserve"> </w:t>
      </w:r>
      <w:r w:rsidR="00357468">
        <w:t xml:space="preserve">Donbas voters </w:t>
      </w:r>
      <w:r w:rsidR="00444DAD">
        <w:t>preferred</w:t>
      </w:r>
      <w:r w:rsidR="00357468">
        <w:t xml:space="preserve"> the nation-wide political parties </w:t>
      </w:r>
      <w:r w:rsidR="00444DAD">
        <w:t>established in Kyiv to local parties</w:t>
      </w:r>
      <w:r w:rsidR="00955405">
        <w:t xml:space="preserve">, and deputies elected from the region </w:t>
      </w:r>
      <w:r w:rsidR="00FE78EA">
        <w:t>fully represented in the</w:t>
      </w:r>
      <w:r w:rsidR="00EA6886">
        <w:t xml:space="preserve"> </w:t>
      </w:r>
      <w:r w:rsidR="00FE78EA">
        <w:t xml:space="preserve">Ukrainian parliament. Any political forces supported by the voters of two </w:t>
      </w:r>
      <w:r w:rsidR="00EF7211">
        <w:t xml:space="preserve">oblasts did not </w:t>
      </w:r>
      <w:r w:rsidR="007D14AE">
        <w:t xml:space="preserve">support separatism nor unification with Russia </w:t>
      </w:r>
      <w:r w:rsidR="00232B0B">
        <w:t>(</w:t>
      </w:r>
      <w:r w:rsidR="00232B0B" w:rsidRPr="00232B0B">
        <w:t>Balaban et al. 2017</w:t>
      </w:r>
      <w:r w:rsidR="00232B0B">
        <w:t>, 25</w:t>
      </w:r>
      <w:r w:rsidR="009E7BF8">
        <w:t>-26</w:t>
      </w:r>
      <w:r w:rsidR="00232B0B">
        <w:t>)</w:t>
      </w:r>
    </w:p>
    <w:p w14:paraId="40D2F659" w14:textId="583D17EB" w:rsidR="006C2BE0" w:rsidRDefault="004961A5" w:rsidP="00A45278">
      <w:pPr>
        <w:pStyle w:val="Newparagraph"/>
      </w:pPr>
      <w:r>
        <w:t xml:space="preserve">Not only institutionally but also subjectively </w:t>
      </w:r>
      <w:r w:rsidR="00507707" w:rsidRPr="00507707">
        <w:t>there were few manifestations of discrimination against Russians or Russia-speakers in Ukraine.</w:t>
      </w:r>
      <w:r w:rsidR="00507707">
        <w:t xml:space="preserve"> </w:t>
      </w:r>
      <w:r w:rsidR="00C52E17">
        <w:t xml:space="preserve">According to </w:t>
      </w:r>
      <w:r w:rsidR="00086AEA">
        <w:t xml:space="preserve">the </w:t>
      </w:r>
      <w:r w:rsidR="0059606A">
        <w:t>opinion pol</w:t>
      </w:r>
      <w:r w:rsidR="00D73FC5">
        <w:t>l</w:t>
      </w:r>
      <w:r w:rsidR="0059606A">
        <w:t xml:space="preserve"> conducted by </w:t>
      </w:r>
      <w:r w:rsidR="00086AEA">
        <w:t xml:space="preserve">Kyiv International Institute of </w:t>
      </w:r>
      <w:r w:rsidR="00D73FC5">
        <w:t xml:space="preserve">Sociology </w:t>
      </w:r>
      <w:r w:rsidR="0059606A">
        <w:t xml:space="preserve">in </w:t>
      </w:r>
      <w:r w:rsidR="00D73FC5">
        <w:t xml:space="preserve">December </w:t>
      </w:r>
      <w:r w:rsidR="0059606A">
        <w:t>2014,</w:t>
      </w:r>
      <w:r w:rsidR="00706870">
        <w:t xml:space="preserve"> </w:t>
      </w:r>
      <w:r w:rsidR="00EF23A7">
        <w:t>only 4.4% of residents of Southern and Eastern oblast feared di</w:t>
      </w:r>
      <w:r w:rsidR="009E7CC3">
        <w:t>scr</w:t>
      </w:r>
      <w:r w:rsidR="00D73FC5">
        <w:t>i</w:t>
      </w:r>
      <w:r w:rsidR="009E7CC3">
        <w:t>mination based on language and ethnicity.</w:t>
      </w:r>
      <w:r w:rsidR="0059606A">
        <w:t xml:space="preserve"> </w:t>
      </w:r>
      <w:r w:rsidR="00D73FC5">
        <w:t>Another similar survey by the</w:t>
      </w:r>
      <w:r w:rsidR="009E7CC3" w:rsidRPr="009E7CC3">
        <w:t xml:space="preserve"> International Republican Institute</w:t>
      </w:r>
      <w:r w:rsidR="00D73FC5">
        <w:t xml:space="preserve"> </w:t>
      </w:r>
      <w:r w:rsidR="000320FE">
        <w:t>from</w:t>
      </w:r>
      <w:r w:rsidR="00D73FC5">
        <w:t xml:space="preserve"> </w:t>
      </w:r>
      <w:r w:rsidR="000320FE">
        <w:t>March 2014</w:t>
      </w:r>
      <w:r w:rsidR="00DC02B4">
        <w:t xml:space="preserve"> and British NGO showed  the similar results</w:t>
      </w:r>
      <w:r w:rsidR="00626318">
        <w:t xml:space="preserve"> </w:t>
      </w:r>
      <w:r w:rsidR="000320FE">
        <w:t xml:space="preserve"> </w:t>
      </w:r>
      <w:r w:rsidR="00815C29">
        <w:t>(</w:t>
      </w:r>
      <w:proofErr w:type="spellStart"/>
      <w:r w:rsidR="00815C29">
        <w:t>Mats</w:t>
      </w:r>
      <w:r w:rsidR="004903E3">
        <w:t>iyevsky</w:t>
      </w:r>
      <w:proofErr w:type="spellEnd"/>
      <w:r w:rsidR="004903E3">
        <w:t xml:space="preserve"> 2021, 169-170).</w:t>
      </w:r>
      <w:r w:rsidR="001701EB">
        <w:t xml:space="preserve"> </w:t>
      </w:r>
      <w:r w:rsidR="006C2BE0">
        <w:t>For the people in the Donbas, language was not a main concern for political mobilization; in the 2005 survey in Donetsk, only 2.2 % of the respondents who voted for Viktor Yanukovych mentioned the status of Russian language as a main motivation of their electoral choice  (</w:t>
      </w:r>
      <w:proofErr w:type="spellStart"/>
      <w:r w:rsidR="006C2BE0" w:rsidRPr="00634359">
        <w:t>Osipian</w:t>
      </w:r>
      <w:proofErr w:type="spellEnd"/>
      <w:r w:rsidR="006C2BE0" w:rsidRPr="00634359">
        <w:t xml:space="preserve"> &amp; </w:t>
      </w:r>
      <w:proofErr w:type="spellStart"/>
      <w:r w:rsidR="006C2BE0" w:rsidRPr="00634359">
        <w:t>Osipian</w:t>
      </w:r>
      <w:proofErr w:type="spellEnd"/>
      <w:r w:rsidR="006C2BE0" w:rsidRPr="00634359">
        <w:t xml:space="preserve"> 2012</w:t>
      </w:r>
      <w:r w:rsidR="006C2BE0">
        <w:t>, 265)</w:t>
      </w:r>
      <w:r w:rsidR="006C2BE0" w:rsidRPr="00634359">
        <w:t>.</w:t>
      </w:r>
      <w:r w:rsidR="002A698B" w:rsidRPr="002A698B">
        <w:t xml:space="preserve"> The state language status of the Ukrainian language did not drive out the Russian language, with the predominance of the latter in the media and cultural consumption (Kulyk 2013).  </w:t>
      </w:r>
      <w:r w:rsidR="002F417A">
        <w:t>Then, why</w:t>
      </w:r>
      <w:r w:rsidR="000D08B4">
        <w:t xml:space="preserve"> are </w:t>
      </w:r>
      <w:r w:rsidR="002F417A">
        <w:t xml:space="preserve">scholars </w:t>
      </w:r>
      <w:r w:rsidR="00EC2B64">
        <w:t>susceptive</w:t>
      </w:r>
      <w:r w:rsidR="000D08B4">
        <w:t xml:space="preserve"> to narratives on the Donbas se</w:t>
      </w:r>
      <w:r w:rsidR="002F417A">
        <w:t xml:space="preserve">paratism? </w:t>
      </w:r>
    </w:p>
    <w:p w14:paraId="0CF4CBB6" w14:textId="23E1E1FF" w:rsidR="00522191" w:rsidRDefault="00522191" w:rsidP="00522191">
      <w:pPr>
        <w:pStyle w:val="Heading1"/>
      </w:pPr>
      <w:r>
        <w:t xml:space="preserve">Theoretical Models </w:t>
      </w:r>
      <w:r w:rsidR="0029029C">
        <w:t>Useful</w:t>
      </w:r>
      <w:r>
        <w:t>?</w:t>
      </w:r>
    </w:p>
    <w:p w14:paraId="2637B00E" w14:textId="55282F70" w:rsidR="00522191" w:rsidRDefault="00522191" w:rsidP="00522191">
      <w:r>
        <w:t xml:space="preserve">Scholars tend to apply familiar theoretical models to explain the war in Ukraine </w:t>
      </w:r>
      <w:r w:rsidR="00851811">
        <w:t xml:space="preserve">and are </w:t>
      </w:r>
      <w:r>
        <w:t xml:space="preserve">less concerned about whether these fit the </w:t>
      </w:r>
      <w:r w:rsidR="0029029C">
        <w:t xml:space="preserve">actual </w:t>
      </w:r>
      <w:r>
        <w:t>data</w:t>
      </w:r>
      <w:r w:rsidR="003E3D4F">
        <w:t xml:space="preserve"> </w:t>
      </w:r>
      <w:r>
        <w:t>(Brik 2021, 201-202).</w:t>
      </w:r>
      <w:r w:rsidR="00100C0E">
        <w:t xml:space="preserve"> </w:t>
      </w:r>
      <w:r w:rsidR="00687067">
        <w:t xml:space="preserve">Notably, </w:t>
      </w:r>
      <w:r w:rsidR="00A122F5">
        <w:t xml:space="preserve">Kulyk </w:t>
      </w:r>
      <w:r w:rsidR="001C1D36">
        <w:t xml:space="preserve">(2001) </w:t>
      </w:r>
      <w:r w:rsidR="00A122F5">
        <w:t xml:space="preserve">warned the danger of </w:t>
      </w:r>
      <w:r w:rsidR="001C1D36">
        <w:t>applying</w:t>
      </w:r>
      <w:r w:rsidR="00A122F5">
        <w:t xml:space="preserve"> </w:t>
      </w:r>
      <w:r w:rsidR="001C1D36" w:rsidRPr="001C1D36">
        <w:t>Brubaker</w:t>
      </w:r>
      <w:r w:rsidR="00F01B47">
        <w:t xml:space="preserve"> (1996)</w:t>
      </w:r>
      <w:r w:rsidR="001C1D36" w:rsidRPr="001C1D36">
        <w:t xml:space="preserve">’s </w:t>
      </w:r>
      <w:r w:rsidR="007A72AE">
        <w:t xml:space="preserve">triadic </w:t>
      </w:r>
      <w:r w:rsidR="0001069C">
        <w:t xml:space="preserve">nexus </w:t>
      </w:r>
      <w:r w:rsidR="001C1D36" w:rsidRPr="001C1D36">
        <w:t xml:space="preserve">framework </w:t>
      </w:r>
      <w:r w:rsidR="001C1D36">
        <w:t xml:space="preserve">to post-Soviet Ukraine </w:t>
      </w:r>
      <w:r w:rsidR="001C1D36" w:rsidRPr="001C1D36">
        <w:t xml:space="preserve">– </w:t>
      </w:r>
      <w:r w:rsidR="008C6919">
        <w:t xml:space="preserve">simplified understanding </w:t>
      </w:r>
      <w:r w:rsidR="005A5F4D">
        <w:t xml:space="preserve">of </w:t>
      </w:r>
      <w:r w:rsidR="00DE3670">
        <w:t xml:space="preserve">Ukraine as </w:t>
      </w:r>
      <w:r w:rsidR="001C1D36" w:rsidRPr="001C1D36">
        <w:t>a nationalizing state</w:t>
      </w:r>
      <w:r w:rsidR="00DE3670">
        <w:t xml:space="preserve">, Russians in Ukraine as a national minority and Russia as </w:t>
      </w:r>
      <w:r w:rsidR="0000747B">
        <w:t>the external</w:t>
      </w:r>
      <w:r w:rsidR="00DE3670">
        <w:t xml:space="preserve"> home</w:t>
      </w:r>
      <w:r w:rsidR="0000747B">
        <w:t>land</w:t>
      </w:r>
      <w:r w:rsidR="00F54CA0">
        <w:t xml:space="preserve">. </w:t>
      </w:r>
      <w:r w:rsidR="00E11DCF">
        <w:t xml:space="preserve">Although Brubaker was aware of </w:t>
      </w:r>
      <w:r w:rsidR="009A636F">
        <w:t xml:space="preserve">specifics of Ukraine, i.e., </w:t>
      </w:r>
      <w:r w:rsidR="00887438">
        <w:t xml:space="preserve">the emerging </w:t>
      </w:r>
      <w:r w:rsidR="00262CBA">
        <w:t>civic</w:t>
      </w:r>
      <w:r w:rsidR="00887438">
        <w:t xml:space="preserve"> nature </w:t>
      </w:r>
      <w:r w:rsidR="005033A9">
        <w:t xml:space="preserve">of “Russians in Ukraine,” </w:t>
      </w:r>
      <w:r w:rsidR="0012386B">
        <w:t xml:space="preserve">a not clearly bounded group </w:t>
      </w:r>
      <w:r w:rsidR="005033A9">
        <w:t xml:space="preserve">who speak Russian but feel </w:t>
      </w:r>
      <w:r w:rsidR="0012386B">
        <w:t xml:space="preserve">rather </w:t>
      </w:r>
      <w:r w:rsidR="005033A9">
        <w:t>affilia</w:t>
      </w:r>
      <w:r w:rsidR="000D2739">
        <w:t>t</w:t>
      </w:r>
      <w:r w:rsidR="00262CBA">
        <w:t>ed</w:t>
      </w:r>
      <w:r w:rsidR="000D2739">
        <w:t xml:space="preserve"> with the</w:t>
      </w:r>
      <w:r w:rsidR="00BB588B">
        <w:t xml:space="preserve"> political</w:t>
      </w:r>
      <w:r w:rsidR="000D2739">
        <w:t xml:space="preserve"> Ukrainian nation</w:t>
      </w:r>
      <w:r w:rsidR="0012386B">
        <w:t xml:space="preserve">. </w:t>
      </w:r>
      <w:r w:rsidR="000D14D1">
        <w:t>This understanding brought him to foresight:</w:t>
      </w:r>
      <w:r w:rsidR="00BB588B">
        <w:t xml:space="preserve"> “</w:t>
      </w:r>
      <w:r w:rsidR="00262CBA" w:rsidRPr="00262CBA">
        <w:t xml:space="preserve">Were this prevailing self-understanding of Russians in Ukraine, there would be no Russian </w:t>
      </w:r>
      <w:r w:rsidR="00BB588B">
        <w:t>‘</w:t>
      </w:r>
      <w:r w:rsidR="00262CBA" w:rsidRPr="00262CBA">
        <w:t>national minority</w:t>
      </w:r>
      <w:r w:rsidR="00BB588B">
        <w:t>’”</w:t>
      </w:r>
      <w:r w:rsidR="00262CBA" w:rsidRPr="00262CBA">
        <w:t xml:space="preserve"> (</w:t>
      </w:r>
      <w:r w:rsidR="00BB588B">
        <w:t xml:space="preserve">Brubaker 1996, </w:t>
      </w:r>
      <w:r w:rsidR="00262CBA" w:rsidRPr="00262CBA">
        <w:t xml:space="preserve">61). </w:t>
      </w:r>
      <w:r w:rsidR="00B46119">
        <w:t>Nevertheless, n</w:t>
      </w:r>
      <w:r w:rsidR="00942098">
        <w:t xml:space="preserve">ot </w:t>
      </w:r>
      <w:r w:rsidR="00942098">
        <w:lastRenderedPageBreak/>
        <w:t>a few</w:t>
      </w:r>
      <w:r w:rsidR="00100C0E">
        <w:t xml:space="preserve"> scholars </w:t>
      </w:r>
      <w:r w:rsidR="0029029C">
        <w:t xml:space="preserve">are primed to </w:t>
      </w:r>
      <w:r w:rsidR="00100C0E">
        <w:t>s</w:t>
      </w:r>
      <w:r w:rsidR="00E532F8">
        <w:t>ee</w:t>
      </w:r>
      <w:r w:rsidR="00942098">
        <w:t xml:space="preserve"> </w:t>
      </w:r>
      <w:r w:rsidR="00AA7C30">
        <w:t>“</w:t>
      </w:r>
      <w:r w:rsidR="002D3768">
        <w:t>Russian</w:t>
      </w:r>
      <w:r w:rsidR="00AA7C30">
        <w:t>s” or “Russian-speaking” p</w:t>
      </w:r>
      <w:r w:rsidR="00687067">
        <w:t>eople</w:t>
      </w:r>
      <w:r w:rsidR="00B46119">
        <w:t xml:space="preserve"> </w:t>
      </w:r>
      <w:r w:rsidR="002D3768">
        <w:t xml:space="preserve">as </w:t>
      </w:r>
      <w:r w:rsidR="00E532F8">
        <w:t>the</w:t>
      </w:r>
      <w:r w:rsidR="00942098">
        <w:t xml:space="preserve"> main </w:t>
      </w:r>
      <w:r w:rsidR="00AA7C30">
        <w:t>actor</w:t>
      </w:r>
      <w:r w:rsidR="002D3768">
        <w:t xml:space="preserve"> </w:t>
      </w:r>
      <w:r w:rsidR="00687067">
        <w:t>consolidating</w:t>
      </w:r>
      <w:r w:rsidR="00983136">
        <w:t xml:space="preserve"> around their collective identity and </w:t>
      </w:r>
      <w:r w:rsidR="003F55C6">
        <w:t>struggling fo</w:t>
      </w:r>
      <w:r w:rsidR="00983136">
        <w:t>r</w:t>
      </w:r>
      <w:r w:rsidR="00205AB9">
        <w:t xml:space="preserve"> </w:t>
      </w:r>
      <w:r w:rsidR="00687067">
        <w:t xml:space="preserve">their </w:t>
      </w:r>
      <w:r w:rsidR="003F55C6">
        <w:t xml:space="preserve">own political agenda </w:t>
      </w:r>
      <w:r w:rsidR="00942098">
        <w:t xml:space="preserve">in the </w:t>
      </w:r>
      <w:r w:rsidR="00B46119">
        <w:t>events</w:t>
      </w:r>
      <w:r w:rsidR="00942098">
        <w:t xml:space="preserve"> in</w:t>
      </w:r>
      <w:r w:rsidR="00B46119">
        <w:t xml:space="preserve"> eastern</w:t>
      </w:r>
      <w:r w:rsidR="00942098">
        <w:t xml:space="preserve"> Ukraine,</w:t>
      </w:r>
      <w:r w:rsidR="00AA7C30">
        <w:t xml:space="preserve"> simplif</w:t>
      </w:r>
      <w:r w:rsidR="00796233">
        <w:t xml:space="preserve">ying the </w:t>
      </w:r>
      <w:r w:rsidR="00EC227D">
        <w:t xml:space="preserve">triadic nexus </w:t>
      </w:r>
      <w:r w:rsidR="00B50756">
        <w:t xml:space="preserve">without </w:t>
      </w:r>
      <w:r w:rsidR="0071029D">
        <w:t>due</w:t>
      </w:r>
      <w:r w:rsidR="00B50756">
        <w:t xml:space="preserve"> account </w:t>
      </w:r>
      <w:r w:rsidR="0071029D">
        <w:t xml:space="preserve">of </w:t>
      </w:r>
      <w:r w:rsidR="00B50756">
        <w:t xml:space="preserve">complicated </w:t>
      </w:r>
      <w:r w:rsidR="00687067">
        <w:t>political</w:t>
      </w:r>
      <w:r w:rsidR="007E30E9">
        <w:t xml:space="preserve"> </w:t>
      </w:r>
      <w:r w:rsidR="00B50756">
        <w:t>realitie</w:t>
      </w:r>
      <w:r w:rsidR="0071029D">
        <w:t xml:space="preserve">s </w:t>
      </w:r>
      <w:r w:rsidR="007E30E9">
        <w:t>and elastic ethnic</w:t>
      </w:r>
      <w:r w:rsidR="00687067">
        <w:t xml:space="preserve"> and linguistic</w:t>
      </w:r>
      <w:r w:rsidR="007E30E9">
        <w:t xml:space="preserve"> identities </w:t>
      </w:r>
      <w:r w:rsidR="0071029D">
        <w:t>in Ukraine</w:t>
      </w:r>
      <w:r w:rsidR="00B46119">
        <w:t xml:space="preserve"> </w:t>
      </w:r>
      <w:r w:rsidR="0071029D">
        <w:t>(e.g.,</w:t>
      </w:r>
      <w:r w:rsidR="00687067">
        <w:t xml:space="preserve"> see</w:t>
      </w:r>
      <w:r w:rsidR="0071029D">
        <w:t xml:space="preserve"> </w:t>
      </w:r>
      <w:r w:rsidR="0071029D" w:rsidRPr="0071029D">
        <w:t>Clem</w:t>
      </w:r>
      <w:r w:rsidR="0071029D">
        <w:t xml:space="preserve"> </w:t>
      </w:r>
      <w:r w:rsidR="0071029D" w:rsidRPr="0071029D">
        <w:t>2014</w:t>
      </w:r>
      <w:r w:rsidR="0071029D">
        <w:t>; Harris 2020).</w:t>
      </w:r>
      <w:r w:rsidR="00137FDE">
        <w:t xml:space="preserve"> </w:t>
      </w:r>
    </w:p>
    <w:p w14:paraId="5A77937C" w14:textId="5249E13E" w:rsidR="00796233" w:rsidRDefault="00D1309E" w:rsidP="00687067">
      <w:pPr>
        <w:pStyle w:val="Newparagraph"/>
      </w:pPr>
      <w:r>
        <w:t xml:space="preserve">Neither </w:t>
      </w:r>
      <w:r w:rsidR="005A7C66">
        <w:t>is much successful the a</w:t>
      </w:r>
      <w:r w:rsidR="00181912">
        <w:t>utomatic application of</w:t>
      </w:r>
      <w:r w:rsidR="00C70760">
        <w:t xml:space="preserve"> a</w:t>
      </w:r>
      <w:r w:rsidR="00181912">
        <w:t xml:space="preserve"> model in the field </w:t>
      </w:r>
      <w:r w:rsidR="00E5628A">
        <w:t xml:space="preserve">of </w:t>
      </w:r>
      <w:r w:rsidR="00181912">
        <w:t>c</w:t>
      </w:r>
      <w:r w:rsidR="00A61A92">
        <w:t>onflict studies</w:t>
      </w:r>
      <w:r w:rsidR="00181912">
        <w:t xml:space="preserve"> </w:t>
      </w:r>
      <w:r>
        <w:t>--</w:t>
      </w:r>
      <w:r w:rsidR="00181912">
        <w:t xml:space="preserve"> </w:t>
      </w:r>
      <w:r>
        <w:t>violence and escalation spirals – to the Donbas war</w:t>
      </w:r>
      <w:r w:rsidR="005A7C66">
        <w:t xml:space="preserve">. </w:t>
      </w:r>
      <w:proofErr w:type="spellStart"/>
      <w:r w:rsidR="00F651AC">
        <w:t>Schneckener</w:t>
      </w:r>
      <w:proofErr w:type="spellEnd"/>
      <w:r w:rsidR="00F651AC">
        <w:t xml:space="preserve"> (2021</w:t>
      </w:r>
      <w:r w:rsidR="00004BC2">
        <w:t>, 27</w:t>
      </w:r>
      <w:r w:rsidR="00F651AC">
        <w:t>) argues</w:t>
      </w:r>
      <w:r w:rsidR="009A119A">
        <w:t>, based on the theory of conflict sociology</w:t>
      </w:r>
      <w:r w:rsidR="00B742A0">
        <w:t>,</w:t>
      </w:r>
      <w:r w:rsidR="009A119A">
        <w:t xml:space="preserve"> </w:t>
      </w:r>
      <w:r w:rsidR="00F651AC">
        <w:t>that</w:t>
      </w:r>
      <w:r w:rsidR="00D47E93">
        <w:t xml:space="preserve"> the DPR and LPR </w:t>
      </w:r>
      <w:r w:rsidR="00F36115">
        <w:t>emerged</w:t>
      </w:r>
      <w:r w:rsidR="00851C3D">
        <w:t xml:space="preserve"> </w:t>
      </w:r>
      <w:proofErr w:type="gramStart"/>
      <w:r w:rsidR="009A119A">
        <w:t>a</w:t>
      </w:r>
      <w:r w:rsidR="00851C3D">
        <w:t>s a</w:t>
      </w:r>
      <w:r w:rsidR="009A119A">
        <w:t xml:space="preserve"> result of</w:t>
      </w:r>
      <w:proofErr w:type="gramEnd"/>
      <w:r w:rsidR="009A119A">
        <w:t xml:space="preserve"> </w:t>
      </w:r>
      <w:r w:rsidR="00851C3D">
        <w:t xml:space="preserve">social formations and patterns through the </w:t>
      </w:r>
      <w:r w:rsidR="009A119A">
        <w:t xml:space="preserve">mutual escalation of violence by </w:t>
      </w:r>
      <w:r w:rsidR="00F36115">
        <w:t xml:space="preserve">antagonizing </w:t>
      </w:r>
      <w:r w:rsidR="009A119A">
        <w:t xml:space="preserve">domestic actors </w:t>
      </w:r>
      <w:r w:rsidR="00004BC2">
        <w:t xml:space="preserve">– </w:t>
      </w:r>
      <w:r w:rsidR="00B92539">
        <w:t>an</w:t>
      </w:r>
      <w:r w:rsidR="00004BC2">
        <w:t xml:space="preserve"> observation</w:t>
      </w:r>
      <w:r w:rsidR="00B742A0">
        <w:t xml:space="preserve"> apparently </w:t>
      </w:r>
      <w:r w:rsidR="00B92539">
        <w:t xml:space="preserve">inconsistent with a great amount of </w:t>
      </w:r>
      <w:r w:rsidR="00EF606C">
        <w:t xml:space="preserve">empirical </w:t>
      </w:r>
      <w:r w:rsidR="00B92539">
        <w:t xml:space="preserve">evidence that </w:t>
      </w:r>
      <w:r w:rsidR="00A31BC3">
        <w:t xml:space="preserve">shows </w:t>
      </w:r>
      <w:r w:rsidR="00CE6665">
        <w:t xml:space="preserve">Russia’s </w:t>
      </w:r>
      <w:r w:rsidR="00A31BC3">
        <w:t xml:space="preserve">direct control of these “non-state actors” (Hosaka 2019c; </w:t>
      </w:r>
      <w:r w:rsidR="00587676">
        <w:t>JIT 2019)</w:t>
      </w:r>
      <w:r w:rsidR="00910F89">
        <w:t xml:space="preserve">. Although </w:t>
      </w:r>
      <w:proofErr w:type="spellStart"/>
      <w:r w:rsidR="00CE6665" w:rsidRPr="00CE6665">
        <w:t>Schneckener</w:t>
      </w:r>
      <w:proofErr w:type="spellEnd"/>
      <w:r w:rsidR="00CE6665" w:rsidRPr="00CE6665">
        <w:t xml:space="preserve"> </w:t>
      </w:r>
      <w:r w:rsidR="00910F89">
        <w:t xml:space="preserve">recognizes </w:t>
      </w:r>
      <w:r w:rsidR="00656661">
        <w:t xml:space="preserve">the intervention by </w:t>
      </w:r>
      <w:r w:rsidR="00910F89">
        <w:t xml:space="preserve">Russian </w:t>
      </w:r>
      <w:r w:rsidR="00656661">
        <w:t xml:space="preserve">armed forces </w:t>
      </w:r>
      <w:r w:rsidR="001F383D">
        <w:t>at some point during the conflict escalation process</w:t>
      </w:r>
      <w:r w:rsidR="00EC72F6">
        <w:t xml:space="preserve">, </w:t>
      </w:r>
      <w:r w:rsidR="00160579">
        <w:t>he</w:t>
      </w:r>
      <w:r w:rsidR="00EC72F6">
        <w:t xml:space="preserve"> d</w:t>
      </w:r>
      <w:r w:rsidR="001F383D">
        <w:t>oes</w:t>
      </w:r>
      <w:r w:rsidR="00EC72F6">
        <w:t xml:space="preserve"> not notice earlier involvement and incitement by Russia of what he </w:t>
      </w:r>
      <w:r w:rsidR="00557AED">
        <w:t>sees as</w:t>
      </w:r>
      <w:r w:rsidR="00EC72F6">
        <w:t xml:space="preserve"> a </w:t>
      </w:r>
      <w:r w:rsidR="00160579">
        <w:t>“</w:t>
      </w:r>
      <w:r w:rsidR="00EC72F6">
        <w:t>civil war”</w:t>
      </w:r>
      <w:r w:rsidR="00160579">
        <w:t>.</w:t>
      </w:r>
      <w:r w:rsidR="00EC72F6">
        <w:t xml:space="preserve"> </w:t>
      </w:r>
      <w:r w:rsidR="009A119A">
        <w:t xml:space="preserve">  </w:t>
      </w:r>
      <w:r>
        <w:t xml:space="preserve"> </w:t>
      </w:r>
    </w:p>
    <w:p w14:paraId="61848464" w14:textId="5F03AB1D" w:rsidR="00CD61A3" w:rsidRDefault="00196AC2" w:rsidP="00687067">
      <w:pPr>
        <w:pStyle w:val="Newparagraph"/>
      </w:pPr>
      <w:proofErr w:type="gramStart"/>
      <w:r>
        <w:t>A number of</w:t>
      </w:r>
      <w:proofErr w:type="gramEnd"/>
      <w:r>
        <w:t xml:space="preserve"> </w:t>
      </w:r>
      <w:r w:rsidR="00110666">
        <w:t xml:space="preserve">scholarly </w:t>
      </w:r>
      <w:r>
        <w:t>works on t</w:t>
      </w:r>
      <w:r w:rsidR="00CD61A3">
        <w:t>he war in Eastern Ukraine s</w:t>
      </w:r>
      <w:r w:rsidR="00110666">
        <w:t>uggest</w:t>
      </w:r>
      <w:r w:rsidR="00CD61A3">
        <w:t xml:space="preserve"> that</w:t>
      </w:r>
      <w:r>
        <w:t xml:space="preserve"> it is not </w:t>
      </w:r>
      <w:r w:rsidR="008C5565">
        <w:t>only the</w:t>
      </w:r>
      <w:r>
        <w:t xml:space="preserve"> Russian propaganda </w:t>
      </w:r>
      <w:r w:rsidR="008C5565">
        <w:t xml:space="preserve">and disinformation </w:t>
      </w:r>
      <w:r>
        <w:t xml:space="preserve">that </w:t>
      </w:r>
      <w:r w:rsidR="00B33BB9">
        <w:t>created</w:t>
      </w:r>
      <w:r w:rsidR="008C5565">
        <w:t xml:space="preserve"> the image of</w:t>
      </w:r>
      <w:r w:rsidR="00B33BB9">
        <w:t xml:space="preserve"> ”</w:t>
      </w:r>
      <w:r w:rsidR="008C5565">
        <w:t>Donbas separatism</w:t>
      </w:r>
      <w:r w:rsidR="007C12A2">
        <w:t>,</w:t>
      </w:r>
      <w:r w:rsidR="00B33BB9">
        <w:t>”</w:t>
      </w:r>
      <w:r w:rsidR="008C5565">
        <w:t xml:space="preserve"> but </w:t>
      </w:r>
      <w:r w:rsidR="00110666">
        <w:t xml:space="preserve">also  </w:t>
      </w:r>
      <w:r w:rsidR="004370C7">
        <w:t xml:space="preserve"> </w:t>
      </w:r>
      <w:r w:rsidR="00762136">
        <w:t>scholar</w:t>
      </w:r>
      <w:r w:rsidR="00565C52">
        <w:t>-specific</w:t>
      </w:r>
      <w:r w:rsidR="00762136">
        <w:t xml:space="preserve"> </w:t>
      </w:r>
      <w:r w:rsidR="008A1FCC">
        <w:t>epistemological approach</w:t>
      </w:r>
      <w:r w:rsidR="004370C7">
        <w:t>es</w:t>
      </w:r>
      <w:r w:rsidR="008A1FCC">
        <w:t xml:space="preserve"> </w:t>
      </w:r>
      <w:r w:rsidR="00CB642F">
        <w:t>and</w:t>
      </w:r>
      <w:r w:rsidR="008A1FCC">
        <w:t xml:space="preserve"> </w:t>
      </w:r>
      <w:r w:rsidR="004370C7">
        <w:t xml:space="preserve">awkward </w:t>
      </w:r>
      <w:r w:rsidR="00762136">
        <w:t xml:space="preserve">application </w:t>
      </w:r>
      <w:r w:rsidR="004370C7">
        <w:t xml:space="preserve">of </w:t>
      </w:r>
      <w:r w:rsidR="00160604">
        <w:t>simplified</w:t>
      </w:r>
      <w:r w:rsidR="007C12A2">
        <w:t xml:space="preserve"> </w:t>
      </w:r>
      <w:r w:rsidR="00762136">
        <w:t>models to</w:t>
      </w:r>
      <w:r w:rsidR="00CB642F">
        <w:t xml:space="preserve"> </w:t>
      </w:r>
      <w:r w:rsidR="00231B58">
        <w:t>contemporary</w:t>
      </w:r>
      <w:r w:rsidR="007C12A2">
        <w:t xml:space="preserve"> realities in Ukraine</w:t>
      </w:r>
      <w:r w:rsidR="00DF0488">
        <w:t xml:space="preserve"> and their disregard of </w:t>
      </w:r>
      <w:r w:rsidR="00160604">
        <w:t>Russia</w:t>
      </w:r>
      <w:r w:rsidR="00DF0488">
        <w:t>n covert</w:t>
      </w:r>
      <w:r w:rsidR="00160604">
        <w:t xml:space="preserve"> influence operations</w:t>
      </w:r>
      <w:r w:rsidR="00CB642F">
        <w:t xml:space="preserve">. </w:t>
      </w:r>
      <w:r w:rsidR="00920F30">
        <w:t>An</w:t>
      </w:r>
      <w:r w:rsidR="003C33D5">
        <w:t xml:space="preserve"> </w:t>
      </w:r>
      <w:r w:rsidR="00920F30">
        <w:t>effective</w:t>
      </w:r>
      <w:r w:rsidR="003C33D5">
        <w:t xml:space="preserve"> way to separate</w:t>
      </w:r>
      <w:r w:rsidR="00294FE1">
        <w:t xml:space="preserve"> </w:t>
      </w:r>
      <w:r w:rsidR="003C33D5">
        <w:t>fake “non-state actors” is</w:t>
      </w:r>
      <w:r w:rsidR="00920F30">
        <w:t xml:space="preserve"> to </w:t>
      </w:r>
      <w:r w:rsidR="00294FE1">
        <w:t xml:space="preserve">examine </w:t>
      </w:r>
      <w:r w:rsidR="00920F30">
        <w:t xml:space="preserve"> </w:t>
      </w:r>
      <w:r w:rsidR="00294FE1">
        <w:t>political</w:t>
      </w:r>
      <w:r w:rsidR="00C62F62">
        <w:t xml:space="preserve"> agency of </w:t>
      </w:r>
      <w:r w:rsidR="003C33D5">
        <w:t>the</w:t>
      </w:r>
      <w:r w:rsidR="00920F30">
        <w:t>se</w:t>
      </w:r>
      <w:r w:rsidR="003C33D5">
        <w:t xml:space="preserve"> </w:t>
      </w:r>
      <w:r w:rsidR="00B33BB9">
        <w:t xml:space="preserve">self-proclaiming </w:t>
      </w:r>
      <w:r w:rsidR="003C33D5">
        <w:t>“local entities”</w:t>
      </w:r>
      <w:r w:rsidR="00565C52">
        <w:t xml:space="preserve">. </w:t>
      </w:r>
      <w:r w:rsidR="00EB0093">
        <w:t>In addition to the literature review in the academic field, c</w:t>
      </w:r>
      <w:r w:rsidR="005D2626">
        <w:t>onducting</w:t>
      </w:r>
      <w:r w:rsidR="00EB0093">
        <w:t xml:space="preserve"> </w:t>
      </w:r>
      <w:r w:rsidR="008E6203">
        <w:t>OSINT analysis</w:t>
      </w:r>
      <w:r w:rsidR="00565C52">
        <w:t xml:space="preserve"> </w:t>
      </w:r>
      <w:r w:rsidR="00EB0093">
        <w:t xml:space="preserve">may </w:t>
      </w:r>
      <w:r w:rsidR="00565C52">
        <w:t xml:space="preserve">help researchers </w:t>
      </w:r>
      <w:r w:rsidR="00EB0093">
        <w:t xml:space="preserve">to deal </w:t>
      </w:r>
      <w:r w:rsidR="00565C52">
        <w:t>with this</w:t>
      </w:r>
      <w:r w:rsidR="00EB0093">
        <w:t xml:space="preserve"> new challenge</w:t>
      </w:r>
      <w:r w:rsidR="00565C52">
        <w:t>.</w:t>
      </w:r>
      <w:r w:rsidR="008E6203">
        <w:t xml:space="preserve"> </w:t>
      </w:r>
      <w:r w:rsidR="00920F30">
        <w:t xml:space="preserve"> </w:t>
      </w:r>
      <w:r w:rsidR="003C33D5">
        <w:t xml:space="preserve"> </w:t>
      </w:r>
      <w:r w:rsidR="008C5565">
        <w:t xml:space="preserve"> </w:t>
      </w:r>
      <w:r>
        <w:t xml:space="preserve"> </w:t>
      </w:r>
    </w:p>
    <w:p w14:paraId="1287F5C5" w14:textId="3DAE2AF4" w:rsidR="00C136DE" w:rsidRDefault="00C136DE" w:rsidP="00C136DE">
      <w:pPr>
        <w:pStyle w:val="Heading1"/>
      </w:pPr>
      <w:r>
        <w:t>References</w:t>
      </w:r>
    </w:p>
    <w:p w14:paraId="1D4A8A55" w14:textId="4F34A2B9" w:rsidR="0013530D" w:rsidRDefault="0013530D" w:rsidP="0013530D">
      <w:pPr>
        <w:pStyle w:val="Reference"/>
      </w:pPr>
      <w:bookmarkStart w:id="1" w:name="_Hlk75828659"/>
      <w:r w:rsidRPr="0013530D">
        <w:t>Balaban M</w:t>
      </w:r>
      <w:r w:rsidR="003F4259">
        <w:t>.</w:t>
      </w:r>
      <w:r w:rsidRPr="0013530D">
        <w:t xml:space="preserve"> et al</w:t>
      </w:r>
      <w:r>
        <w:t>.</w:t>
      </w:r>
      <w:r w:rsidRPr="0013530D">
        <w:t xml:space="preserve"> 2017 </w:t>
      </w:r>
      <w:bookmarkEnd w:id="1"/>
      <w:r w:rsidRPr="0013530D">
        <w:rPr>
          <w:i/>
          <w:iCs/>
        </w:rPr>
        <w:t>Donbas in Flames: Guide to the Conflict Zone.</w:t>
      </w:r>
      <w:r w:rsidRPr="0013530D">
        <w:t xml:space="preserve"> </w:t>
      </w:r>
      <w:hyperlink r:id="rId8" w:history="1">
        <w:r w:rsidR="00232B0B" w:rsidRPr="00D36A3E">
          <w:rPr>
            <w:rStyle w:val="Hyperlink"/>
          </w:rPr>
          <w:t>https://prometheus.ngo/wp-content/uploads/2017/04/Donbas_v_Ogni_ENG_web_1-4.pdf</w:t>
        </w:r>
      </w:hyperlink>
      <w:r w:rsidR="00232B0B">
        <w:t xml:space="preserve"> </w:t>
      </w:r>
    </w:p>
    <w:p w14:paraId="31536062" w14:textId="407E8EA4" w:rsidR="008D5A63" w:rsidRDefault="008D5A63" w:rsidP="00DA6AD5">
      <w:pPr>
        <w:pStyle w:val="Reference"/>
      </w:pPr>
      <w:r>
        <w:t>Brik</w:t>
      </w:r>
      <w:r w:rsidRPr="008D5A63">
        <w:t xml:space="preserve">, </w:t>
      </w:r>
      <w:proofErr w:type="spellStart"/>
      <w:r>
        <w:t>Tymofii</w:t>
      </w:r>
      <w:proofErr w:type="spellEnd"/>
      <w:r w:rsidRPr="008D5A63">
        <w:t>. 2021. "</w:t>
      </w:r>
      <w:r w:rsidR="00DA6AD5">
        <w:t>The Donbas and Social Science: Terra Incognita?”</w:t>
      </w:r>
      <w:r w:rsidRPr="008D5A63">
        <w:t xml:space="preserve"> in Hauter, J. ed., </w:t>
      </w:r>
      <w:r w:rsidRPr="008D5A63">
        <w:rPr>
          <w:i/>
          <w:iCs/>
        </w:rPr>
        <w:t>Civil War? Interstate War? Hybrid War? Dimensions and Interpretations of the Donbas Conflict in 2014-2020</w:t>
      </w:r>
      <w:r w:rsidRPr="008D5A63">
        <w:t xml:space="preserve"> (Soviet and Post-Soviet Politics and Society),</w:t>
      </w:r>
      <w:r w:rsidRPr="008D5A63">
        <w:rPr>
          <w:i/>
          <w:iCs/>
        </w:rPr>
        <w:t> </w:t>
      </w:r>
      <w:r w:rsidRPr="008D5A63">
        <w:t>Stuttgart: ibidem-Verlag.</w:t>
      </w:r>
    </w:p>
    <w:p w14:paraId="348BAC55" w14:textId="031F7ABF" w:rsidR="00840700" w:rsidRDefault="00840700" w:rsidP="00840700">
      <w:pPr>
        <w:pStyle w:val="Reference"/>
      </w:pPr>
      <w:r w:rsidRPr="00840700">
        <w:t xml:space="preserve">Brubaker, Rogers. </w:t>
      </w:r>
      <w:r>
        <w:t xml:space="preserve">1996. </w:t>
      </w:r>
      <w:r w:rsidRPr="004C1AB0">
        <w:rPr>
          <w:i/>
          <w:iCs/>
        </w:rPr>
        <w:t>Nationalism reframed: Nationhood and the national question in the new Europe.</w:t>
      </w:r>
      <w:r w:rsidRPr="00840700">
        <w:t xml:space="preserve"> Cambridge University Press. </w:t>
      </w:r>
    </w:p>
    <w:p w14:paraId="69B4ABC1" w14:textId="0B5FBC05" w:rsidR="004C1AB0" w:rsidRPr="004C1AB0" w:rsidRDefault="004C1AB0" w:rsidP="0071029D">
      <w:pPr>
        <w:pStyle w:val="Reference"/>
      </w:pPr>
      <w:r w:rsidRPr="004C1AB0">
        <w:t>Clem, Ralph S.</w:t>
      </w:r>
      <w:r>
        <w:t xml:space="preserve"> 2014.</w:t>
      </w:r>
      <w:r w:rsidRPr="004C1AB0">
        <w:t xml:space="preserve"> "Dynamics of the Ukrainian state-territory nexus." </w:t>
      </w:r>
      <w:r w:rsidRPr="004C1AB0">
        <w:rPr>
          <w:i/>
          <w:iCs/>
        </w:rPr>
        <w:t>Eurasian Geography and Economics</w:t>
      </w:r>
      <w:r w:rsidRPr="004C1AB0">
        <w:t> 55</w:t>
      </w:r>
      <w:r>
        <w:t xml:space="preserve"> (</w:t>
      </w:r>
      <w:r w:rsidRPr="004C1AB0">
        <w:t>3).</w:t>
      </w:r>
    </w:p>
    <w:p w14:paraId="046F5BD6" w14:textId="4964A145" w:rsidR="003C66C9" w:rsidRDefault="003C66C9" w:rsidP="003C66C9">
      <w:pPr>
        <w:pStyle w:val="Bibliography"/>
      </w:pPr>
      <w:r>
        <w:lastRenderedPageBreak/>
        <w:t>COW 2020. “</w:t>
      </w:r>
      <w:r w:rsidRPr="003C66C9">
        <w:t>Intra-State War Data (v5.1)</w:t>
      </w:r>
      <w:r>
        <w:t xml:space="preserve">,” </w:t>
      </w:r>
      <w:hyperlink r:id="rId9" w:history="1">
        <w:r w:rsidR="0002044A" w:rsidRPr="00A12A55">
          <w:rPr>
            <w:rStyle w:val="Hyperlink"/>
          </w:rPr>
          <w:t>https://correlatesofwar.org/data-sets/COW-war</w:t>
        </w:r>
      </w:hyperlink>
      <w:r w:rsidR="0002044A">
        <w:t xml:space="preserve"> </w:t>
      </w:r>
    </w:p>
    <w:p w14:paraId="0AFFC9CC" w14:textId="314501BD" w:rsidR="00CD0052" w:rsidRPr="00CD0052" w:rsidRDefault="00CD0052" w:rsidP="00CD0052">
      <w:pPr>
        <w:pStyle w:val="Reference"/>
      </w:pPr>
      <w:r w:rsidRPr="00CD0052">
        <w:t>Gentile, Michael</w:t>
      </w:r>
      <w:r>
        <w:t>. 2015</w:t>
      </w:r>
      <w:r w:rsidRPr="00CD0052">
        <w:t xml:space="preserve"> "West oriented in the East-oriented Donbas: a political stratigraphy of geopolitical identity in Luhansk, Ukraine</w:t>
      </w:r>
      <w:r>
        <w:t>.</w:t>
      </w:r>
      <w:r w:rsidRPr="00CD0052">
        <w:t xml:space="preserve">" </w:t>
      </w:r>
      <w:r w:rsidRPr="00CD0052">
        <w:rPr>
          <w:i/>
          <w:iCs/>
        </w:rPr>
        <w:t>Post-Soviet Affairs</w:t>
      </w:r>
      <w:r w:rsidRPr="00CD0052">
        <w:t xml:space="preserve"> 31</w:t>
      </w:r>
      <w:r>
        <w:t xml:space="preserve"> (</w:t>
      </w:r>
      <w:r w:rsidRPr="00CD0052">
        <w:t>3).</w:t>
      </w:r>
    </w:p>
    <w:p w14:paraId="0358D073" w14:textId="3E02DFDA" w:rsidR="005562E3" w:rsidRDefault="005562E3" w:rsidP="00233265">
      <w:pPr>
        <w:pStyle w:val="Reference"/>
      </w:pPr>
      <w:r>
        <w:t xml:space="preserve">Gurr, </w:t>
      </w:r>
      <w:r w:rsidRPr="005562E3">
        <w:t xml:space="preserve">Ted Robert </w:t>
      </w:r>
      <w:r>
        <w:t>&amp;</w:t>
      </w:r>
      <w:r w:rsidRPr="005562E3">
        <w:t xml:space="preserve"> Barbara Harff</w:t>
      </w:r>
      <w:r>
        <w:t>. 1994.</w:t>
      </w:r>
      <w:r w:rsidRPr="005562E3">
        <w:t xml:space="preserve"> </w:t>
      </w:r>
      <w:r w:rsidRPr="005562E3">
        <w:rPr>
          <w:i/>
          <w:iCs/>
        </w:rPr>
        <w:t>Ethnic Conflict in World Politics</w:t>
      </w:r>
      <w:r w:rsidRPr="005562E3">
        <w:t>.</w:t>
      </w:r>
      <w:r w:rsidR="00BF717A">
        <w:t xml:space="preserve"> New York: </w:t>
      </w:r>
      <w:r w:rsidR="00BF717A" w:rsidRPr="00BF717A">
        <w:t>Avalon Publishing</w:t>
      </w:r>
      <w:r w:rsidR="00BF717A">
        <w:t>.</w:t>
      </w:r>
    </w:p>
    <w:p w14:paraId="0F527634" w14:textId="58BC1336" w:rsidR="00806224" w:rsidRPr="00806224" w:rsidRDefault="00806224" w:rsidP="00806224">
      <w:pPr>
        <w:pStyle w:val="Reference"/>
      </w:pPr>
      <w:r w:rsidRPr="00806224">
        <w:t xml:space="preserve">Harris, Erika. </w:t>
      </w:r>
      <w:r>
        <w:t xml:space="preserve">2020. </w:t>
      </w:r>
      <w:r w:rsidRPr="00806224">
        <w:t xml:space="preserve">"What is the Role of Nationalism and Ethnicity in the Russia–Ukraine </w:t>
      </w:r>
      <w:proofErr w:type="gramStart"/>
      <w:r w:rsidRPr="00806224">
        <w:t>Crisis?.</w:t>
      </w:r>
      <w:proofErr w:type="gramEnd"/>
      <w:r w:rsidRPr="00806224">
        <w:t>" </w:t>
      </w:r>
      <w:r w:rsidRPr="00806224">
        <w:rPr>
          <w:i/>
          <w:iCs/>
        </w:rPr>
        <w:t>Europe-Asia Studies</w:t>
      </w:r>
      <w:r w:rsidRPr="00806224">
        <w:t> 72</w:t>
      </w:r>
      <w:r>
        <w:t xml:space="preserve"> (</w:t>
      </w:r>
      <w:r w:rsidRPr="00806224">
        <w:t>4).</w:t>
      </w:r>
    </w:p>
    <w:p w14:paraId="6694895A" w14:textId="44152862" w:rsidR="00B16C87" w:rsidRPr="00B16C87" w:rsidRDefault="00B16C87" w:rsidP="00B16C87">
      <w:pPr>
        <w:pStyle w:val="Reference"/>
      </w:pPr>
      <w:r w:rsidRPr="00B16C87">
        <w:t xml:space="preserve">Hauter, Jakob. </w:t>
      </w:r>
      <w:r>
        <w:t xml:space="preserve">2019. </w:t>
      </w:r>
      <w:r w:rsidRPr="00B16C87">
        <w:t>"Delegated Interstate War: Introducing an Addition to Armed Conflict Typologies." </w:t>
      </w:r>
      <w:r w:rsidRPr="00B16C87">
        <w:rPr>
          <w:i/>
          <w:iCs/>
        </w:rPr>
        <w:t>Journal of Strategic Security</w:t>
      </w:r>
      <w:r w:rsidRPr="00B16C87">
        <w:t> 12</w:t>
      </w:r>
      <w:r>
        <w:t xml:space="preserve"> (</w:t>
      </w:r>
      <w:r w:rsidRPr="00B16C87">
        <w:t>4): 5.</w:t>
      </w:r>
    </w:p>
    <w:p w14:paraId="163C8E34" w14:textId="181487F4" w:rsidR="00E11435" w:rsidRDefault="00E11435" w:rsidP="00E11435">
      <w:pPr>
        <w:pStyle w:val="Reference"/>
      </w:pPr>
      <w:r w:rsidRPr="00E11435">
        <w:t>Hauter, Jakob. 2021</w:t>
      </w:r>
      <w:r w:rsidR="00422C39">
        <w:t>a</w:t>
      </w:r>
      <w:r w:rsidRPr="00E11435">
        <w:t>. "How the War Began: Conceptualizing Conflict Escalation in Ukraine’s Donbas." </w:t>
      </w:r>
      <w:r w:rsidRPr="00E11435">
        <w:rPr>
          <w:i/>
          <w:iCs/>
        </w:rPr>
        <w:t>The Soviet and Post-Soviet Review</w:t>
      </w:r>
      <w:r w:rsidRPr="00E11435">
        <w:t> 48: 135–163.</w:t>
      </w:r>
    </w:p>
    <w:p w14:paraId="43C7EBA4" w14:textId="2D868950" w:rsidR="00422C39" w:rsidRPr="00422C39" w:rsidRDefault="00422C39" w:rsidP="005815E9">
      <w:pPr>
        <w:pStyle w:val="Reference"/>
      </w:pPr>
      <w:r>
        <w:t>Hauter, Jakob</w:t>
      </w:r>
      <w:r w:rsidR="005815E9">
        <w:t>.</w:t>
      </w:r>
      <w:r>
        <w:t xml:space="preserve"> 2021b</w:t>
      </w:r>
      <w:r w:rsidR="005815E9">
        <w:t xml:space="preserve">. “Conclusion: Making Sence of Multicausality,” in </w:t>
      </w:r>
      <w:r w:rsidRPr="00422C39">
        <w:t xml:space="preserve">Hauter, J. ed., </w:t>
      </w:r>
      <w:r w:rsidRPr="00422C39">
        <w:rPr>
          <w:i/>
          <w:iCs/>
        </w:rPr>
        <w:t>Civil War? Interstate War? Hybrid War? Dimensions and Interpretations of the Donbas Conflict in 2014-2020</w:t>
      </w:r>
      <w:r w:rsidRPr="00422C39">
        <w:t xml:space="preserve"> (Soviet and Post-Soviet Politics and Society),</w:t>
      </w:r>
      <w:r w:rsidRPr="00422C39">
        <w:rPr>
          <w:i/>
          <w:iCs/>
        </w:rPr>
        <w:t> </w:t>
      </w:r>
      <w:r w:rsidRPr="00422C39">
        <w:t>Stuttgart: ibidem-Verlag.</w:t>
      </w:r>
    </w:p>
    <w:p w14:paraId="6787DB5B" w14:textId="6CAF6B5D" w:rsidR="00233265" w:rsidRPr="00233265" w:rsidRDefault="00233265" w:rsidP="00233265">
      <w:pPr>
        <w:pStyle w:val="Reference"/>
      </w:pPr>
      <w:r w:rsidRPr="00233265">
        <w:t xml:space="preserve">Hosaka, Sanshiro. 2018. “The Kremlin's Active Measures Failed in 2013: That’s When Russia Remembered its Last Resort—Crimea.” </w:t>
      </w:r>
      <w:proofErr w:type="spellStart"/>
      <w:r w:rsidRPr="00233265">
        <w:rPr>
          <w:i/>
        </w:rPr>
        <w:t>Demokratizatsiya</w:t>
      </w:r>
      <w:proofErr w:type="spellEnd"/>
      <w:r w:rsidRPr="00233265">
        <w:rPr>
          <w:i/>
        </w:rPr>
        <w:t xml:space="preserve"> </w:t>
      </w:r>
      <w:r w:rsidRPr="00233265">
        <w:t>26 (3): 321-364.</w:t>
      </w:r>
    </w:p>
    <w:p w14:paraId="4D360980" w14:textId="77777777" w:rsidR="00233265" w:rsidRPr="00233265" w:rsidRDefault="00233265" w:rsidP="00233265">
      <w:pPr>
        <w:pStyle w:val="Reference"/>
        <w:rPr>
          <w:i/>
        </w:rPr>
      </w:pPr>
      <w:r w:rsidRPr="00233265">
        <w:t>Hosaka, Sanshiro. 2019a. “Hybrid Historical Memories in Post-Euromaidan Ukraine.”</w:t>
      </w:r>
      <w:r w:rsidRPr="00233265">
        <w:rPr>
          <w:i/>
        </w:rPr>
        <w:t xml:space="preserve"> Europe-Asia Studies </w:t>
      </w:r>
      <w:r w:rsidRPr="00233265">
        <w:rPr>
          <w:iCs/>
        </w:rPr>
        <w:t>71(4):</w:t>
      </w:r>
      <w:r w:rsidRPr="00233265">
        <w:t xml:space="preserve"> </w:t>
      </w:r>
      <w:r w:rsidRPr="00233265">
        <w:rPr>
          <w:iCs/>
        </w:rPr>
        <w:t>551-578</w:t>
      </w:r>
      <w:r w:rsidRPr="00233265">
        <w:rPr>
          <w:i/>
        </w:rPr>
        <w:t>.﻿</w:t>
      </w:r>
    </w:p>
    <w:p w14:paraId="2D1742C7" w14:textId="77777777" w:rsidR="00233265" w:rsidRPr="00233265" w:rsidRDefault="00233265" w:rsidP="00233265">
      <w:pPr>
        <w:pStyle w:val="Reference"/>
        <w:rPr>
          <w:i/>
          <w:iCs/>
        </w:rPr>
      </w:pPr>
      <w:r w:rsidRPr="00233265">
        <w:t xml:space="preserve">Hosaka, Sanshiro. 2019b. “Putin the ‘Peacemaker’? -- Russian Reflexive Control during the 2014 August Invasion of Ukraine.” </w:t>
      </w:r>
      <w:r w:rsidRPr="00233265">
        <w:rPr>
          <w:i/>
          <w:iCs/>
        </w:rPr>
        <w:t>The Journal of Slavic Military Studies</w:t>
      </w:r>
      <w:r w:rsidRPr="00233265">
        <w:t xml:space="preserve"> 32(3):324-346.</w:t>
      </w:r>
    </w:p>
    <w:p w14:paraId="70698682" w14:textId="77777777" w:rsidR="00233265" w:rsidRPr="00233265" w:rsidRDefault="00233265" w:rsidP="00233265">
      <w:pPr>
        <w:pStyle w:val="Reference"/>
      </w:pPr>
      <w:r w:rsidRPr="00233265">
        <w:t xml:space="preserve">Hosaka, Sanshiro. 2019c. “Welcome to Surkov’s Theater: Russian  Political Technology in the Donbas War.” </w:t>
      </w:r>
      <w:r w:rsidRPr="00233265">
        <w:rPr>
          <w:i/>
          <w:iCs/>
        </w:rPr>
        <w:t>Nationalities Papers</w:t>
      </w:r>
      <w:r w:rsidRPr="00233265">
        <w:t xml:space="preserve"> 47(5):750-773.</w:t>
      </w:r>
    </w:p>
    <w:p w14:paraId="6DBA89B5" w14:textId="08940EE2" w:rsidR="00233265" w:rsidRDefault="00233265" w:rsidP="00233265">
      <w:pPr>
        <w:pStyle w:val="Reference"/>
      </w:pPr>
      <w:r w:rsidRPr="00233265">
        <w:t xml:space="preserve">Hosaka, Sanshiro. </w:t>
      </w:r>
      <w:r w:rsidRPr="00233265">
        <w:rPr>
          <w:rFonts w:hint="eastAsia"/>
        </w:rPr>
        <w:t>2</w:t>
      </w:r>
      <w:r w:rsidRPr="00233265">
        <w:t xml:space="preserve">021. “Enough with Donbas ‘Civil War’ Narratives? Identifying the Main Combatant Leading ‘the Bulk of the Fighting’” in Hauter, J. ed., </w:t>
      </w:r>
      <w:r w:rsidRPr="00233265">
        <w:rPr>
          <w:i/>
          <w:iCs/>
        </w:rPr>
        <w:t>Civil War? Interstate War? Hybrid War? Dimensions and Interpretations of the Donbas Conflict in 2014-2020</w:t>
      </w:r>
      <w:r w:rsidRPr="00233265">
        <w:t xml:space="preserve"> (Soviet and Post-Soviet Politics and Society),</w:t>
      </w:r>
      <w:r w:rsidRPr="00233265">
        <w:rPr>
          <w:i/>
          <w:iCs/>
        </w:rPr>
        <w:t> </w:t>
      </w:r>
      <w:r w:rsidRPr="00233265">
        <w:t>Stuttgart: ibidem-Verlag.</w:t>
      </w:r>
    </w:p>
    <w:p w14:paraId="609428BA" w14:textId="67B8BD8E" w:rsidR="002F5A39" w:rsidRPr="002F5A39" w:rsidRDefault="002F5A39" w:rsidP="00543348">
      <w:pPr>
        <w:pStyle w:val="Reference"/>
      </w:pPr>
      <w:r w:rsidRPr="002F5A39">
        <w:t>JIT. 2019. “MH17 Witness Appeal November 2019.” Joint Investigation</w:t>
      </w:r>
      <w:r>
        <w:t xml:space="preserve"> </w:t>
      </w:r>
      <w:r w:rsidRPr="002F5A39">
        <w:t xml:space="preserve">Committee. </w:t>
      </w:r>
      <w:hyperlink r:id="rId10" w:history="1">
        <w:r w:rsidR="00543348" w:rsidRPr="00A12A55">
          <w:rPr>
            <w:rStyle w:val="Hyperlink"/>
          </w:rPr>
          <w:t>https://www.politie.nl/en/themes/flight-mh17/witness-appeal-crash-mh17.html</w:t>
        </w:r>
      </w:hyperlink>
      <w:r w:rsidR="00543348">
        <w:t xml:space="preserve"> </w:t>
      </w:r>
    </w:p>
    <w:p w14:paraId="2971098F" w14:textId="0B512301" w:rsidR="001870BC" w:rsidRPr="001870BC" w:rsidRDefault="00146061" w:rsidP="001870BC">
      <w:pPr>
        <w:pStyle w:val="Reference"/>
      </w:pPr>
      <w:r w:rsidRPr="001870BC">
        <w:t>Kulyk, Volodymyr. 2001. “The Politics of Ethnicity in Post-Soviet Ukraine: Beyond Brubaker.”</w:t>
      </w:r>
      <w:r w:rsidR="001870BC">
        <w:t xml:space="preserve"> </w:t>
      </w:r>
      <w:r w:rsidRPr="001870BC">
        <w:rPr>
          <w:i/>
          <w:iCs/>
        </w:rPr>
        <w:t>Journal of Ukrainian Studies</w:t>
      </w:r>
      <w:r w:rsidRPr="001870BC">
        <w:t xml:space="preserve"> 26 (1-2).</w:t>
      </w:r>
    </w:p>
    <w:p w14:paraId="7128BC9C" w14:textId="188CC467" w:rsidR="0037449A" w:rsidRPr="0037449A" w:rsidRDefault="0037449A" w:rsidP="0037449A">
      <w:pPr>
        <w:pStyle w:val="Reference"/>
      </w:pPr>
      <w:r w:rsidRPr="0037449A">
        <w:t xml:space="preserve">Kulyk, Volodymyr. </w:t>
      </w:r>
      <w:r>
        <w:t xml:space="preserve">2013. </w:t>
      </w:r>
      <w:r w:rsidRPr="0037449A">
        <w:t>"Language policy in the Ukrainian media: Authorities, producers and consumers." </w:t>
      </w:r>
      <w:r w:rsidRPr="0037449A">
        <w:rPr>
          <w:i/>
          <w:iCs/>
        </w:rPr>
        <w:t>Europe-Asia Studies</w:t>
      </w:r>
      <w:r w:rsidRPr="0037449A">
        <w:t> 65</w:t>
      </w:r>
      <w:r>
        <w:t xml:space="preserve"> (</w:t>
      </w:r>
      <w:r w:rsidRPr="0037449A">
        <w:t>7).</w:t>
      </w:r>
    </w:p>
    <w:p w14:paraId="3B61118A" w14:textId="75653D66" w:rsidR="005F5FD5" w:rsidRPr="005F5FD5" w:rsidRDefault="005F5FD5" w:rsidP="005F5FD5">
      <w:pPr>
        <w:pStyle w:val="Reference"/>
      </w:pPr>
      <w:r w:rsidRPr="005F5FD5">
        <w:lastRenderedPageBreak/>
        <w:t xml:space="preserve">Kuzyk, Petro. </w:t>
      </w:r>
      <w:r>
        <w:t xml:space="preserve">2019. </w:t>
      </w:r>
      <w:r w:rsidRPr="005F5FD5">
        <w:t>"Ukraine’s national integration before and after 2014. Shifting ‘East–West’</w:t>
      </w:r>
      <w:r>
        <w:t xml:space="preserve"> </w:t>
      </w:r>
      <w:r w:rsidRPr="005F5FD5">
        <w:t>polarization line and strengthening political community." </w:t>
      </w:r>
      <w:r w:rsidRPr="005F5FD5">
        <w:rPr>
          <w:i/>
          <w:iCs/>
        </w:rPr>
        <w:t>Eurasian Geography and Economics</w:t>
      </w:r>
      <w:r w:rsidRPr="005F5FD5">
        <w:t> 60</w:t>
      </w:r>
      <w:r>
        <w:t xml:space="preserve"> (</w:t>
      </w:r>
      <w:r w:rsidRPr="005F5FD5">
        <w:t>6).</w:t>
      </w:r>
    </w:p>
    <w:p w14:paraId="130F569E" w14:textId="560D52B1" w:rsidR="00827846" w:rsidRDefault="00827846" w:rsidP="00827846">
      <w:pPr>
        <w:pStyle w:val="Reference"/>
      </w:pPr>
      <w:proofErr w:type="spellStart"/>
      <w:r w:rsidRPr="00827846">
        <w:t>Matsiyevsky</w:t>
      </w:r>
      <w:proofErr w:type="spellEnd"/>
      <w:r w:rsidRPr="00827846">
        <w:t xml:space="preserve">, Yuriy. 2021. "Internal Conflict or Hidden Aggression" in Hauter, J. ed., </w:t>
      </w:r>
      <w:r w:rsidRPr="00827846">
        <w:rPr>
          <w:i/>
          <w:iCs/>
        </w:rPr>
        <w:t>Civil War? Interstate War? Hybrid War? Dimensions and Interpretations of the Donbas Conflict in 2014-2020</w:t>
      </w:r>
      <w:r w:rsidRPr="00827846">
        <w:t xml:space="preserve"> (Soviet and Post-Soviet Politics and Society),</w:t>
      </w:r>
      <w:r w:rsidRPr="00827846">
        <w:rPr>
          <w:i/>
          <w:iCs/>
        </w:rPr>
        <w:t> </w:t>
      </w:r>
      <w:r w:rsidRPr="00827846">
        <w:t>Stuttgart: ibidem-Verlag.</w:t>
      </w:r>
    </w:p>
    <w:p w14:paraId="582A4364" w14:textId="4096C7DD" w:rsidR="007B3AC8" w:rsidRPr="007B3AC8" w:rsidRDefault="007B3AC8" w:rsidP="007B3AC8">
      <w:pPr>
        <w:pStyle w:val="Reference"/>
      </w:pPr>
      <w:proofErr w:type="spellStart"/>
      <w:r w:rsidRPr="007B3AC8">
        <w:t>Matsuzato</w:t>
      </w:r>
      <w:proofErr w:type="spellEnd"/>
      <w:r w:rsidRPr="007B3AC8">
        <w:t xml:space="preserve">, </w:t>
      </w:r>
      <w:proofErr w:type="spellStart"/>
      <w:r w:rsidRPr="007B3AC8">
        <w:t>Kimitaka</w:t>
      </w:r>
      <w:proofErr w:type="spellEnd"/>
      <w:r w:rsidRPr="007B3AC8">
        <w:t xml:space="preserve">. 2017. “The Donbass War: Outbreak and Deadlock.” </w:t>
      </w:r>
      <w:proofErr w:type="spellStart"/>
      <w:r w:rsidRPr="007B3AC8">
        <w:rPr>
          <w:i/>
          <w:iCs/>
        </w:rPr>
        <w:t>Demokratizatsiya</w:t>
      </w:r>
      <w:proofErr w:type="spellEnd"/>
      <w:r w:rsidRPr="007B3AC8">
        <w:rPr>
          <w:i/>
          <w:iCs/>
        </w:rPr>
        <w:t xml:space="preserve"> </w:t>
      </w:r>
      <w:r w:rsidRPr="007B3AC8">
        <w:t>25(2).</w:t>
      </w:r>
    </w:p>
    <w:p w14:paraId="49AA0B99" w14:textId="419F2849" w:rsidR="00827846" w:rsidRDefault="00827846" w:rsidP="00827846">
      <w:pPr>
        <w:pStyle w:val="Reference"/>
      </w:pPr>
      <w:proofErr w:type="spellStart"/>
      <w:r w:rsidRPr="00827846">
        <w:t>Merezhko</w:t>
      </w:r>
      <w:proofErr w:type="spellEnd"/>
      <w:r w:rsidRPr="00827846">
        <w:t>, Oleksandr. 2018. "International Legal Aspects of Russia’s War Against Ukraine in Eastern Ukraine</w:t>
      </w:r>
      <w:r w:rsidR="00942811">
        <w:t>,</w:t>
      </w:r>
      <w:r w:rsidRPr="00827846">
        <w:t>" in </w:t>
      </w:r>
      <w:proofErr w:type="spellStart"/>
      <w:r w:rsidRPr="00827846">
        <w:t>Sayapin</w:t>
      </w:r>
      <w:proofErr w:type="spellEnd"/>
      <w:r w:rsidRPr="00827846">
        <w:t>, Sergey &amp; Evhen Tsybulenko, eds., </w:t>
      </w:r>
      <w:r w:rsidRPr="00827846">
        <w:rPr>
          <w:i/>
          <w:iCs/>
        </w:rPr>
        <w:t>The use of force against Ukraine and International Law: Jus Ad Bellum, Jus In Bello, Jus Post Bellum</w:t>
      </w:r>
      <w:r w:rsidRPr="00827846">
        <w:t>. The Hague: T.M.C. ASSER PRESS.</w:t>
      </w:r>
    </w:p>
    <w:p w14:paraId="19714486" w14:textId="0875B1DA" w:rsidR="00034111" w:rsidRDefault="00034111" w:rsidP="00AD7BB4">
      <w:pPr>
        <w:pStyle w:val="Reference"/>
      </w:pPr>
      <w:r w:rsidRPr="00034111">
        <w:t>Mitrokhin, Nikolay.</w:t>
      </w:r>
      <w:r>
        <w:t xml:space="preserve"> 2015.</w:t>
      </w:r>
      <w:r w:rsidRPr="00034111">
        <w:t xml:space="preserve"> </w:t>
      </w:r>
      <w:r>
        <w:t>“</w:t>
      </w:r>
      <w:r w:rsidRPr="00034111">
        <w:t xml:space="preserve">Infiltration, instruction, invasion: Russia’s war in the Donbass." </w:t>
      </w:r>
      <w:r w:rsidRPr="00AD7BB4">
        <w:rPr>
          <w:i/>
          <w:iCs/>
        </w:rPr>
        <w:t xml:space="preserve">Journal of Soviet and Post-Soviet Politics and Society </w:t>
      </w:r>
      <w:r w:rsidRPr="00034111">
        <w:t>1</w:t>
      </w:r>
      <w:r>
        <w:t xml:space="preserve"> (</w:t>
      </w:r>
      <w:r w:rsidRPr="00034111">
        <w:t>1</w:t>
      </w:r>
      <w:r w:rsidR="00AD7BB4">
        <w:t xml:space="preserve">). </w:t>
      </w:r>
    </w:p>
    <w:p w14:paraId="2634A23B" w14:textId="311B2EA7" w:rsidR="00D26839" w:rsidRDefault="00D26839" w:rsidP="00942811">
      <w:pPr>
        <w:pStyle w:val="Reference"/>
      </w:pPr>
      <w:proofErr w:type="spellStart"/>
      <w:r w:rsidRPr="00D26839">
        <w:t>Osipian</w:t>
      </w:r>
      <w:proofErr w:type="spellEnd"/>
      <w:r w:rsidRPr="00D26839">
        <w:t xml:space="preserve">, Ararat L. </w:t>
      </w:r>
      <w:r>
        <w:t>&amp;</w:t>
      </w:r>
      <w:r w:rsidRPr="00D26839">
        <w:t xml:space="preserve"> </w:t>
      </w:r>
      <w:proofErr w:type="spellStart"/>
      <w:r w:rsidRPr="00D26839">
        <w:t>Osipian</w:t>
      </w:r>
      <w:proofErr w:type="spellEnd"/>
      <w:r w:rsidRPr="00D26839">
        <w:t>, Alexandr L.</w:t>
      </w:r>
      <w:r>
        <w:t xml:space="preserve"> 2012. </w:t>
      </w:r>
      <w:r w:rsidRPr="00D26839">
        <w:t>“Regional Diversity and Divided Memories in Ukraine: Contested Past as Electoral Resource, 2004–2010,”</w:t>
      </w:r>
      <w:r w:rsidRPr="00D26839">
        <w:rPr>
          <w:i/>
          <w:iCs/>
        </w:rPr>
        <w:t xml:space="preserve"> East European Politics &amp; Societies</w:t>
      </w:r>
      <w:r w:rsidRPr="00D26839">
        <w:t xml:space="preserve"> 26</w:t>
      </w:r>
      <w:r w:rsidR="00942811">
        <w:t xml:space="preserve"> (</w:t>
      </w:r>
      <w:r w:rsidRPr="00D26839">
        <w:t>3)</w:t>
      </w:r>
      <w:r w:rsidR="00942811">
        <w:t>.</w:t>
      </w:r>
    </w:p>
    <w:p w14:paraId="7AD99215" w14:textId="70ACC7CA" w:rsidR="001053EF" w:rsidRDefault="001053EF" w:rsidP="002B5DB6">
      <w:pPr>
        <w:pStyle w:val="Reference"/>
      </w:pPr>
      <w:r w:rsidRPr="001053EF">
        <w:t>Sarkees, Meredith Reid. 2010a. “The COW Typology of War: Defining and</w:t>
      </w:r>
      <w:r>
        <w:t xml:space="preserve"> </w:t>
      </w:r>
      <w:r w:rsidRPr="001053EF">
        <w:t xml:space="preserve">Categorizing Wars (Version 4 of the Data).” </w:t>
      </w:r>
      <w:hyperlink r:id="rId11" w:history="1">
        <w:r w:rsidRPr="001053EF">
          <w:rPr>
            <w:rStyle w:val="Hyperlink"/>
          </w:rPr>
          <w:t>https://correlatesofwar.org/data-sets/COW-war/the-cow-typology-of-war-definingand-categorizing-wars/@@download/file/COW%20Website%20-</w:t>
        </w:r>
        <w:r w:rsidRPr="009B3E63">
          <w:rPr>
            <w:rStyle w:val="Hyperlink"/>
          </w:rPr>
          <w:t>%20Typology%20of%20war.pdf</w:t>
        </w:r>
      </w:hyperlink>
      <w:r>
        <w:t xml:space="preserve"> </w:t>
      </w:r>
    </w:p>
    <w:p w14:paraId="39F91D97" w14:textId="395351A7" w:rsidR="001053EF" w:rsidRPr="001053EF" w:rsidRDefault="002B5DB6" w:rsidP="002B5DB6">
      <w:pPr>
        <w:pStyle w:val="Reference"/>
      </w:pPr>
      <w:r w:rsidRPr="002B5DB6">
        <w:t>Sarkees, Meredith Reid. 2010b. “Codebook for the Intra-State Wars v.4.0.</w:t>
      </w:r>
      <w:r>
        <w:t xml:space="preserve"> </w:t>
      </w:r>
      <w:r w:rsidRPr="002B5DB6">
        <w:t>Definitions and Variables.”</w:t>
      </w:r>
      <w:r>
        <w:t xml:space="preserve"> </w:t>
      </w:r>
      <w:hyperlink r:id="rId12" w:history="1">
        <w:r w:rsidRPr="002B5DB6">
          <w:rPr>
            <w:rStyle w:val="Hyperlink"/>
          </w:rPr>
          <w:t>http://www.correlatesofwar.org/datasets/</w:t>
        </w:r>
        <w:r w:rsidRPr="009B3E63">
          <w:rPr>
            <w:rStyle w:val="Hyperlink"/>
          </w:rPr>
          <w:t>COW-war/intra-state-war-data-codebook/at_download/file</w:t>
        </w:r>
      </w:hyperlink>
      <w:r>
        <w:t xml:space="preserve"> </w:t>
      </w:r>
    </w:p>
    <w:p w14:paraId="47E9752B" w14:textId="77777777" w:rsidR="004E6F6C" w:rsidRDefault="004E6F6C" w:rsidP="004E6F6C">
      <w:pPr>
        <w:pStyle w:val="Reference"/>
      </w:pPr>
      <w:r w:rsidRPr="00006C7B">
        <w:t>Shandra</w:t>
      </w:r>
      <w:r>
        <w:t>, Alya</w:t>
      </w:r>
      <w:r w:rsidRPr="00006C7B">
        <w:t xml:space="preserve"> </w:t>
      </w:r>
      <w:r>
        <w:t>&amp;</w:t>
      </w:r>
      <w:r w:rsidRPr="00006C7B">
        <w:t xml:space="preserve"> Robert Seely</w:t>
      </w:r>
      <w:r>
        <w:t>. 2019.</w:t>
      </w:r>
      <w:r w:rsidRPr="00006C7B">
        <w:t xml:space="preserve"> </w:t>
      </w:r>
      <w:r w:rsidRPr="00B32FBE">
        <w:rPr>
          <w:i/>
          <w:iCs/>
        </w:rPr>
        <w:t xml:space="preserve">The Surkov Leaks: The Inner Workings of Russia’s Hybrid War in Ukraine. </w:t>
      </w:r>
      <w:r w:rsidRPr="005D085A">
        <w:t>RUSI Occasional Paper</w:t>
      </w:r>
      <w:r>
        <w:t>.</w:t>
      </w:r>
    </w:p>
    <w:p w14:paraId="5DB2B9D1" w14:textId="3A7D85F5" w:rsidR="00C136DE" w:rsidRDefault="00C136DE" w:rsidP="00C136DE">
      <w:pPr>
        <w:pStyle w:val="Reference"/>
      </w:pPr>
      <w:r w:rsidRPr="00307BC2">
        <w:t xml:space="preserve">Tsybulenko, Evhen &amp; </w:t>
      </w:r>
      <w:proofErr w:type="spellStart"/>
      <w:r w:rsidRPr="00307BC2">
        <w:t>J’moul</w:t>
      </w:r>
      <w:proofErr w:type="spellEnd"/>
      <w:r w:rsidRPr="00307BC2">
        <w:t xml:space="preserve"> A. Francis. 2018. "Chapter 6 Separatists or Russian Troops and Local Collaborators? Russian Aggression in Ukraine: The Problem of Definitions," in </w:t>
      </w:r>
      <w:proofErr w:type="spellStart"/>
      <w:r w:rsidRPr="00307BC2">
        <w:t>Sayapin</w:t>
      </w:r>
      <w:proofErr w:type="spellEnd"/>
      <w:r w:rsidRPr="00307BC2">
        <w:t>, Sergey &amp; Evhen Tsybulenko, eds., </w:t>
      </w:r>
      <w:r w:rsidRPr="00307BC2">
        <w:rPr>
          <w:i/>
          <w:iCs/>
        </w:rPr>
        <w:t>The use of force against Ukraine and International Law: Jus Ad Bellum, Jus In Bello, Jus Post Bellum</w:t>
      </w:r>
      <w:r w:rsidRPr="00C8519E">
        <w:t>.</w:t>
      </w:r>
      <w:r w:rsidR="00C8519E" w:rsidRPr="00C8519E">
        <w:t xml:space="preserve"> </w:t>
      </w:r>
      <w:r w:rsidR="00827846">
        <w:t>The Hague</w:t>
      </w:r>
      <w:r w:rsidR="00C8519E" w:rsidRPr="00C8519E">
        <w:t>: T.M.C. ASSER PRESS.</w:t>
      </w:r>
    </w:p>
    <w:p w14:paraId="7C88C9B6" w14:textId="2B323449" w:rsidR="000F0FAD" w:rsidRPr="000F0FAD" w:rsidRDefault="00C71254" w:rsidP="000F0FAD">
      <w:pPr>
        <w:pStyle w:val="Bibliography"/>
      </w:pPr>
      <w:r>
        <w:t>UCDP 2021.  “</w:t>
      </w:r>
      <w:r w:rsidR="00B76AE9" w:rsidRPr="00B76AE9">
        <w:t>UCDP/PRIO Armed Conflict Dataset version 21.1</w:t>
      </w:r>
      <w:r>
        <w:t xml:space="preserve">,” </w:t>
      </w:r>
      <w:hyperlink r:id="rId13" w:anchor="armedconflict" w:history="1">
        <w:r w:rsidRPr="00A12A55">
          <w:rPr>
            <w:rStyle w:val="Hyperlink"/>
          </w:rPr>
          <w:t>https://ucdp.uu.se/downloads/index.html#armedconflict</w:t>
        </w:r>
      </w:hyperlink>
      <w:r>
        <w:t xml:space="preserve"> </w:t>
      </w:r>
    </w:p>
    <w:p w14:paraId="0AF33460" w14:textId="335409A0" w:rsidR="00C136DE" w:rsidRDefault="00B554A6" w:rsidP="00B554A6">
      <w:pPr>
        <w:pStyle w:val="Heading1"/>
      </w:pPr>
      <w:r>
        <w:lastRenderedPageBreak/>
        <w:t>Figures</w:t>
      </w:r>
    </w:p>
    <w:p w14:paraId="57FAB5F8" w14:textId="77777777" w:rsidR="005F531E" w:rsidRDefault="005F531E" w:rsidP="005F531E">
      <w:pPr>
        <w:pStyle w:val="Newparagraph"/>
        <w:ind w:firstLine="0"/>
      </w:pPr>
    </w:p>
    <w:p w14:paraId="4823C874" w14:textId="5D8ABB7A" w:rsidR="005F531E" w:rsidRPr="00A570EB" w:rsidRDefault="005F531E" w:rsidP="003926C2">
      <w:pPr>
        <w:pStyle w:val="Newparagraph"/>
        <w:ind w:firstLine="0"/>
        <w:jc w:val="center"/>
        <w:rPr>
          <w:b/>
        </w:rPr>
      </w:pPr>
      <w:r w:rsidRPr="00A570EB">
        <w:rPr>
          <w:b/>
        </w:rPr>
        <w:t>Table</w:t>
      </w:r>
      <w:r w:rsidRPr="00A570EB">
        <w:rPr>
          <w:rFonts w:hint="eastAsia"/>
          <w:b/>
        </w:rPr>
        <w:t xml:space="preserve"> </w:t>
      </w:r>
      <w:r w:rsidRPr="00A570EB">
        <w:rPr>
          <w:b/>
        </w:rPr>
        <w:t>1. The COW ’s Initial and Revised Typologies of War</w:t>
      </w:r>
    </w:p>
    <w:tbl>
      <w:tblPr>
        <w:tblStyle w:val="TableGrid"/>
        <w:tblW w:w="8725" w:type="dxa"/>
        <w:tblCellMar>
          <w:right w:w="28" w:type="dxa"/>
        </w:tblCellMar>
        <w:tblLook w:val="04A0" w:firstRow="1" w:lastRow="0" w:firstColumn="1" w:lastColumn="0" w:noHBand="0" w:noVBand="1"/>
      </w:tblPr>
      <w:tblGrid>
        <w:gridCol w:w="4315"/>
        <w:gridCol w:w="4410"/>
      </w:tblGrid>
      <w:tr w:rsidR="005F531E" w:rsidRPr="00A570EB" w14:paraId="50BA85CC" w14:textId="77777777" w:rsidTr="00ED6DB3">
        <w:trPr>
          <w:trHeight w:val="224"/>
        </w:trPr>
        <w:tc>
          <w:tcPr>
            <w:tcW w:w="4315" w:type="dxa"/>
          </w:tcPr>
          <w:p w14:paraId="1FCDF06C" w14:textId="77777777" w:rsidR="005F531E" w:rsidRPr="00A570EB" w:rsidRDefault="005F531E" w:rsidP="00ED6DB3">
            <w:pPr>
              <w:pStyle w:val="Newparagraph"/>
            </w:pPr>
            <w:r w:rsidRPr="00A570EB">
              <w:t xml:space="preserve">Initial Typology </w:t>
            </w:r>
          </w:p>
        </w:tc>
        <w:tc>
          <w:tcPr>
            <w:tcW w:w="4410" w:type="dxa"/>
          </w:tcPr>
          <w:p w14:paraId="3A8D1063" w14:textId="77777777" w:rsidR="005F531E" w:rsidRPr="00A570EB" w:rsidRDefault="005F531E" w:rsidP="00ED6DB3">
            <w:pPr>
              <w:pStyle w:val="Newparagraph"/>
            </w:pPr>
            <w:r w:rsidRPr="00A570EB">
              <w:t>Revised and Expanded Typology</w:t>
            </w:r>
          </w:p>
        </w:tc>
      </w:tr>
      <w:tr w:rsidR="005F531E" w:rsidRPr="00A570EB" w14:paraId="23E575EF" w14:textId="77777777" w:rsidTr="00ED6DB3">
        <w:trPr>
          <w:trHeight w:val="3025"/>
        </w:trPr>
        <w:tc>
          <w:tcPr>
            <w:tcW w:w="4315" w:type="dxa"/>
          </w:tcPr>
          <w:p w14:paraId="1EABC92A" w14:textId="77777777" w:rsidR="005F531E" w:rsidRPr="00A570EB" w:rsidRDefault="005F531E" w:rsidP="00ED6DB3">
            <w:pPr>
              <w:pStyle w:val="Newparagraph"/>
              <w:numPr>
                <w:ilvl w:val="0"/>
                <w:numId w:val="6"/>
              </w:numPr>
            </w:pPr>
            <w:r w:rsidRPr="00A570EB">
              <w:t>International wars</w:t>
            </w:r>
          </w:p>
          <w:p w14:paraId="3F5112DF" w14:textId="77777777" w:rsidR="005F531E" w:rsidRPr="00A570EB" w:rsidRDefault="005F531E" w:rsidP="00ED6DB3">
            <w:pPr>
              <w:pStyle w:val="Newparagraph"/>
              <w:numPr>
                <w:ilvl w:val="1"/>
                <w:numId w:val="6"/>
              </w:numPr>
            </w:pPr>
            <w:r w:rsidRPr="00A570EB">
              <w:t>Interstate wars</w:t>
            </w:r>
          </w:p>
          <w:p w14:paraId="244DBAD9" w14:textId="77777777" w:rsidR="005F531E" w:rsidRPr="00A570EB" w:rsidRDefault="005F531E" w:rsidP="00ED6DB3">
            <w:pPr>
              <w:pStyle w:val="Newparagraph"/>
              <w:numPr>
                <w:ilvl w:val="1"/>
                <w:numId w:val="6"/>
              </w:numPr>
            </w:pPr>
            <w:proofErr w:type="spellStart"/>
            <w:r w:rsidRPr="00A570EB">
              <w:t>Extrasystemic</w:t>
            </w:r>
            <w:proofErr w:type="spellEnd"/>
            <w:r w:rsidRPr="00A570EB">
              <w:t xml:space="preserve"> wars</w:t>
            </w:r>
          </w:p>
          <w:p w14:paraId="5505D565" w14:textId="77777777" w:rsidR="005F531E" w:rsidRPr="00A570EB" w:rsidRDefault="005F531E" w:rsidP="00ED6DB3">
            <w:pPr>
              <w:pStyle w:val="Newparagraph"/>
              <w:numPr>
                <w:ilvl w:val="2"/>
                <w:numId w:val="6"/>
              </w:numPr>
            </w:pPr>
            <w:r w:rsidRPr="00A570EB">
              <w:t>Colonial</w:t>
            </w:r>
          </w:p>
          <w:p w14:paraId="5BD8773B" w14:textId="77777777" w:rsidR="005F531E" w:rsidRPr="00A570EB" w:rsidRDefault="005F531E" w:rsidP="00ED6DB3">
            <w:pPr>
              <w:pStyle w:val="Newparagraph"/>
              <w:numPr>
                <w:ilvl w:val="2"/>
                <w:numId w:val="6"/>
              </w:numPr>
            </w:pPr>
            <w:r w:rsidRPr="00A570EB">
              <w:t>Imperial</w:t>
            </w:r>
          </w:p>
          <w:p w14:paraId="1A62EFB9" w14:textId="77777777" w:rsidR="005F531E" w:rsidRPr="00A570EB" w:rsidRDefault="005F531E" w:rsidP="00ED6DB3">
            <w:pPr>
              <w:pStyle w:val="Newparagraph"/>
              <w:numPr>
                <w:ilvl w:val="0"/>
                <w:numId w:val="6"/>
              </w:numPr>
            </w:pPr>
            <w:r w:rsidRPr="00A570EB">
              <w:t>Civil wars</w:t>
            </w:r>
          </w:p>
        </w:tc>
        <w:tc>
          <w:tcPr>
            <w:tcW w:w="4410" w:type="dxa"/>
          </w:tcPr>
          <w:p w14:paraId="60934527" w14:textId="77777777" w:rsidR="005F531E" w:rsidRPr="00A570EB" w:rsidRDefault="005F531E" w:rsidP="00ED6DB3">
            <w:pPr>
              <w:pStyle w:val="Newparagraph"/>
              <w:numPr>
                <w:ilvl w:val="0"/>
                <w:numId w:val="7"/>
              </w:numPr>
            </w:pPr>
            <w:r w:rsidRPr="00A570EB">
              <w:t>Interstate wars (type 1)</w:t>
            </w:r>
          </w:p>
          <w:p w14:paraId="0CD0C4CF" w14:textId="77777777" w:rsidR="005F531E" w:rsidRPr="00A570EB" w:rsidRDefault="005F531E" w:rsidP="00ED6DB3">
            <w:pPr>
              <w:pStyle w:val="Newparagraph"/>
              <w:numPr>
                <w:ilvl w:val="0"/>
                <w:numId w:val="7"/>
              </w:numPr>
            </w:pPr>
            <w:proofErr w:type="spellStart"/>
            <w:r w:rsidRPr="00A570EB">
              <w:t>Extrastate</w:t>
            </w:r>
            <w:proofErr w:type="spellEnd"/>
            <w:r w:rsidRPr="00A570EB">
              <w:t xml:space="preserve"> wars</w:t>
            </w:r>
          </w:p>
          <w:p w14:paraId="401AF24B" w14:textId="77777777" w:rsidR="005F531E" w:rsidRPr="00A570EB" w:rsidRDefault="005F531E" w:rsidP="00ED6DB3">
            <w:pPr>
              <w:pStyle w:val="Newparagraph"/>
              <w:numPr>
                <w:ilvl w:val="1"/>
                <w:numId w:val="7"/>
              </w:numPr>
            </w:pPr>
            <w:r w:rsidRPr="00A570EB">
              <w:t>Colonial – conflict with colony (type 2)</w:t>
            </w:r>
          </w:p>
          <w:p w14:paraId="64CE10D1" w14:textId="77777777" w:rsidR="005F531E" w:rsidRPr="00A570EB" w:rsidRDefault="005F531E" w:rsidP="00ED6DB3">
            <w:pPr>
              <w:pStyle w:val="Newparagraph"/>
              <w:numPr>
                <w:ilvl w:val="1"/>
                <w:numId w:val="7"/>
              </w:numPr>
            </w:pPr>
            <w:r w:rsidRPr="00A570EB">
              <w:t>Imperial – state vs. nonstate (type 3)</w:t>
            </w:r>
          </w:p>
          <w:p w14:paraId="50681F81" w14:textId="77777777" w:rsidR="005F531E" w:rsidRPr="00A570EB" w:rsidRDefault="005F531E" w:rsidP="00ED6DB3">
            <w:pPr>
              <w:pStyle w:val="Newparagraph"/>
              <w:numPr>
                <w:ilvl w:val="0"/>
                <w:numId w:val="7"/>
              </w:numPr>
            </w:pPr>
            <w:r w:rsidRPr="00A570EB">
              <w:t>Intrastate wars</w:t>
            </w:r>
          </w:p>
          <w:p w14:paraId="458D8230" w14:textId="77777777" w:rsidR="005F531E" w:rsidRPr="00A570EB" w:rsidRDefault="005F531E" w:rsidP="00ED6DB3">
            <w:pPr>
              <w:pStyle w:val="Newparagraph"/>
              <w:numPr>
                <w:ilvl w:val="1"/>
                <w:numId w:val="7"/>
              </w:numPr>
            </w:pPr>
            <w:r w:rsidRPr="00A570EB">
              <w:t>Civil wars</w:t>
            </w:r>
          </w:p>
          <w:p w14:paraId="60C83B9C" w14:textId="77777777" w:rsidR="005F531E" w:rsidRPr="00A570EB" w:rsidRDefault="005F531E" w:rsidP="00ED6DB3">
            <w:pPr>
              <w:pStyle w:val="Newparagraph"/>
              <w:numPr>
                <w:ilvl w:val="2"/>
                <w:numId w:val="7"/>
              </w:numPr>
            </w:pPr>
            <w:r w:rsidRPr="00A570EB">
              <w:t>for central control (type 4)</w:t>
            </w:r>
          </w:p>
          <w:p w14:paraId="7CA3B725" w14:textId="77777777" w:rsidR="005F531E" w:rsidRPr="00A570EB" w:rsidRDefault="005F531E" w:rsidP="00ED6DB3">
            <w:pPr>
              <w:pStyle w:val="Newparagraph"/>
              <w:numPr>
                <w:ilvl w:val="2"/>
                <w:numId w:val="7"/>
              </w:numPr>
            </w:pPr>
            <w:r w:rsidRPr="00A570EB">
              <w:t>over local issues (type 5)</w:t>
            </w:r>
          </w:p>
          <w:p w14:paraId="2FB600BA" w14:textId="77777777" w:rsidR="005F531E" w:rsidRPr="00A570EB" w:rsidRDefault="005F531E" w:rsidP="00ED6DB3">
            <w:pPr>
              <w:pStyle w:val="Newparagraph"/>
              <w:numPr>
                <w:ilvl w:val="1"/>
                <w:numId w:val="7"/>
              </w:numPr>
            </w:pPr>
            <w:r w:rsidRPr="00A570EB">
              <w:t>Regional internal (type 6)</w:t>
            </w:r>
          </w:p>
          <w:p w14:paraId="7446A3D4" w14:textId="77777777" w:rsidR="005F531E" w:rsidRPr="00A570EB" w:rsidRDefault="005F531E" w:rsidP="00ED6DB3">
            <w:pPr>
              <w:pStyle w:val="Newparagraph"/>
              <w:numPr>
                <w:ilvl w:val="1"/>
                <w:numId w:val="7"/>
              </w:numPr>
            </w:pPr>
            <w:r w:rsidRPr="00A570EB">
              <w:t>Intercommunal (type 7)</w:t>
            </w:r>
          </w:p>
          <w:p w14:paraId="5507E810" w14:textId="77777777" w:rsidR="005F531E" w:rsidRPr="00A570EB" w:rsidRDefault="005F531E" w:rsidP="00ED6DB3">
            <w:pPr>
              <w:pStyle w:val="Newparagraph"/>
              <w:numPr>
                <w:ilvl w:val="0"/>
                <w:numId w:val="7"/>
              </w:numPr>
            </w:pPr>
            <w:r w:rsidRPr="00A570EB">
              <w:t>Non-state wars</w:t>
            </w:r>
          </w:p>
          <w:p w14:paraId="2B5E84F5" w14:textId="77777777" w:rsidR="005F531E" w:rsidRPr="00A570EB" w:rsidRDefault="005F531E" w:rsidP="00ED6DB3">
            <w:pPr>
              <w:pStyle w:val="Newparagraph"/>
              <w:numPr>
                <w:ilvl w:val="1"/>
                <w:numId w:val="7"/>
              </w:numPr>
            </w:pPr>
            <w:r w:rsidRPr="00A570EB">
              <w:t>In non-state territory (type 8)</w:t>
            </w:r>
          </w:p>
          <w:p w14:paraId="641F67FE" w14:textId="77777777" w:rsidR="005F531E" w:rsidRPr="00A570EB" w:rsidRDefault="005F531E" w:rsidP="00ED6DB3">
            <w:pPr>
              <w:pStyle w:val="Newparagraph"/>
              <w:numPr>
                <w:ilvl w:val="1"/>
                <w:numId w:val="7"/>
              </w:numPr>
            </w:pPr>
            <w:r w:rsidRPr="00A570EB">
              <w:t>Across state borders (type 9)</w:t>
            </w:r>
          </w:p>
        </w:tc>
      </w:tr>
    </w:tbl>
    <w:p w14:paraId="34EA1290" w14:textId="19253994" w:rsidR="005F531E" w:rsidRDefault="005F531E" w:rsidP="005F531E">
      <w:pPr>
        <w:pStyle w:val="Newparagraph"/>
      </w:pPr>
      <w:r w:rsidRPr="00A570EB">
        <w:t>Source: Adapted from Sarkees (2010a, 10).</w:t>
      </w:r>
    </w:p>
    <w:p w14:paraId="6837D69B" w14:textId="77777777" w:rsidR="000E0299" w:rsidRDefault="000E0299" w:rsidP="005F531E">
      <w:pPr>
        <w:pStyle w:val="Newparagraph"/>
        <w:ind w:firstLine="0"/>
        <w:rPr>
          <w:b/>
        </w:rPr>
      </w:pPr>
      <w:r>
        <w:rPr>
          <w:b/>
        </w:rPr>
        <w:br w:type="page"/>
      </w:r>
    </w:p>
    <w:p w14:paraId="12D6F5C2" w14:textId="0D7BB2E5" w:rsidR="005F531E" w:rsidRPr="005F531E" w:rsidRDefault="005F531E" w:rsidP="003926C2">
      <w:pPr>
        <w:pStyle w:val="Newparagraph"/>
        <w:ind w:firstLine="0"/>
        <w:jc w:val="center"/>
        <w:rPr>
          <w:b/>
        </w:rPr>
      </w:pPr>
      <w:r w:rsidRPr="005F531E">
        <w:rPr>
          <w:b/>
        </w:rPr>
        <w:lastRenderedPageBreak/>
        <w:t>Table</w:t>
      </w:r>
      <w:r w:rsidRPr="005F531E">
        <w:rPr>
          <w:rFonts w:hint="eastAsia"/>
          <w:b/>
        </w:rPr>
        <w:t xml:space="preserve"> </w:t>
      </w:r>
      <w:r w:rsidRPr="005F531E">
        <w:rPr>
          <w:b/>
        </w:rPr>
        <w:t>2. The Donbas War Against the Criteria of the Revised COW Typology</w:t>
      </w:r>
    </w:p>
    <w:tbl>
      <w:tblPr>
        <w:tblStyle w:val="GridTable1Light"/>
        <w:tblW w:w="9270" w:type="dxa"/>
        <w:tblInd w:w="-5" w:type="dxa"/>
        <w:tblLook w:val="04A0" w:firstRow="1" w:lastRow="0" w:firstColumn="1" w:lastColumn="0" w:noHBand="0" w:noVBand="1"/>
      </w:tblPr>
      <w:tblGrid>
        <w:gridCol w:w="1896"/>
        <w:gridCol w:w="3144"/>
        <w:gridCol w:w="4230"/>
      </w:tblGrid>
      <w:tr w:rsidR="005F531E" w:rsidRPr="005F531E" w14:paraId="3155F81B" w14:textId="77777777" w:rsidTr="000E0299">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896" w:type="dxa"/>
          </w:tcPr>
          <w:p w14:paraId="751DF1FE" w14:textId="77777777" w:rsidR="005F531E" w:rsidRPr="005F531E" w:rsidRDefault="005F531E" w:rsidP="00ED6DB3">
            <w:pPr>
              <w:pStyle w:val="Newparagraph"/>
            </w:pPr>
            <w:r w:rsidRPr="005F531E">
              <w:t>Categories</w:t>
            </w:r>
          </w:p>
        </w:tc>
        <w:tc>
          <w:tcPr>
            <w:tcW w:w="3144" w:type="dxa"/>
          </w:tcPr>
          <w:p w14:paraId="18D985E0" w14:textId="77777777" w:rsidR="005F531E" w:rsidRPr="005F531E" w:rsidRDefault="005F531E" w:rsidP="00ED6DB3">
            <w:pPr>
              <w:pStyle w:val="Newparagraph"/>
              <w:cnfStyle w:val="100000000000" w:firstRow="1" w:lastRow="0" w:firstColumn="0" w:lastColumn="0" w:oddVBand="0" w:evenVBand="0" w:oddHBand="0" w:evenHBand="0" w:firstRowFirstColumn="0" w:firstRowLastColumn="0" w:lastRowFirstColumn="0" w:lastRowLastColumn="0"/>
            </w:pPr>
            <w:r w:rsidRPr="005F531E">
              <w:t>Key Criteria</w:t>
            </w:r>
          </w:p>
        </w:tc>
        <w:tc>
          <w:tcPr>
            <w:tcW w:w="4230" w:type="dxa"/>
          </w:tcPr>
          <w:p w14:paraId="6BF1ABBA" w14:textId="0537421E" w:rsidR="005F531E" w:rsidRPr="005F531E" w:rsidRDefault="005F531E" w:rsidP="005F531E">
            <w:pPr>
              <w:pStyle w:val="Newparagraph"/>
              <w:ind w:firstLine="0"/>
              <w:cnfStyle w:val="100000000000" w:firstRow="1" w:lastRow="0" w:firstColumn="0" w:lastColumn="0" w:oddVBand="0" w:evenVBand="0" w:oddHBand="0" w:evenHBand="0" w:firstRowFirstColumn="0" w:firstRowLastColumn="0" w:lastRowFirstColumn="0" w:lastRowLastColumn="0"/>
            </w:pPr>
            <w:r w:rsidRPr="005F531E">
              <w:t xml:space="preserve">Hypothetical </w:t>
            </w:r>
            <w:r w:rsidR="000E0299">
              <w:t>C</w:t>
            </w:r>
            <w:r w:rsidRPr="005F531E">
              <w:t xml:space="preserve">onditions in the Donbas War </w:t>
            </w:r>
          </w:p>
        </w:tc>
      </w:tr>
      <w:tr w:rsidR="005F531E" w:rsidRPr="005F531E" w14:paraId="47AD81A6" w14:textId="77777777" w:rsidTr="000E0299">
        <w:trPr>
          <w:trHeight w:val="872"/>
        </w:trPr>
        <w:tc>
          <w:tcPr>
            <w:cnfStyle w:val="001000000000" w:firstRow="0" w:lastRow="0" w:firstColumn="1" w:lastColumn="0" w:oddVBand="0" w:evenVBand="0" w:oddHBand="0" w:evenHBand="0" w:firstRowFirstColumn="0" w:firstRowLastColumn="0" w:lastRowFirstColumn="0" w:lastRowLastColumn="0"/>
            <w:tcW w:w="1896" w:type="dxa"/>
          </w:tcPr>
          <w:p w14:paraId="4A1BEF43" w14:textId="77777777" w:rsidR="005F531E" w:rsidRPr="005F531E" w:rsidRDefault="005F531E" w:rsidP="005F531E">
            <w:pPr>
              <w:pStyle w:val="Newparagraph"/>
              <w:ind w:firstLine="0"/>
            </w:pPr>
            <w:r w:rsidRPr="005F531E">
              <w:t>1)</w:t>
            </w:r>
          </w:p>
          <w:p w14:paraId="2CB6B3CF" w14:textId="77777777" w:rsidR="005F531E" w:rsidRPr="005F531E" w:rsidRDefault="005F531E" w:rsidP="005F531E">
            <w:pPr>
              <w:pStyle w:val="Newparagraph"/>
              <w:ind w:firstLine="0"/>
            </w:pPr>
            <w:r w:rsidRPr="005F531E">
              <w:t>Interstate war</w:t>
            </w:r>
          </w:p>
        </w:tc>
        <w:tc>
          <w:tcPr>
            <w:tcW w:w="3144" w:type="dxa"/>
          </w:tcPr>
          <w:p w14:paraId="781CD733" w14:textId="77777777" w:rsidR="005F531E" w:rsidRPr="005F531E" w:rsidRDefault="005F531E" w:rsidP="000E0299">
            <w:pPr>
              <w:pStyle w:val="Newparagraph"/>
              <w:ind w:firstLine="0"/>
              <w:cnfStyle w:val="000000000000" w:firstRow="0" w:lastRow="0" w:firstColumn="0" w:lastColumn="0" w:oddVBand="0" w:evenVBand="0" w:oddHBand="0" w:evenHBand="0" w:firstRowFirstColumn="0" w:firstRowLastColumn="0" w:lastRowFirstColumn="0" w:lastRowLastColumn="0"/>
            </w:pPr>
            <w:r w:rsidRPr="005F531E">
              <w:t xml:space="preserve">Wars between/among states, and sustained combat involving regular armed forces on both sides and 1,000 battle-related fatalities among </w:t>
            </w:r>
            <w:proofErr w:type="gramStart"/>
            <w:r w:rsidRPr="005F531E">
              <w:t>all of</w:t>
            </w:r>
            <w:proofErr w:type="gramEnd"/>
            <w:r w:rsidRPr="005F531E">
              <w:t xml:space="preserve"> the states involved. </w:t>
            </w:r>
            <w:r w:rsidRPr="005F531E">
              <w:rPr>
                <w:vertAlign w:val="superscript"/>
              </w:rPr>
              <w:footnoteReference w:id="9"/>
            </w:r>
            <w:r w:rsidRPr="005F531E">
              <w:t xml:space="preserve">  </w:t>
            </w:r>
          </w:p>
        </w:tc>
        <w:tc>
          <w:tcPr>
            <w:tcW w:w="4230" w:type="dxa"/>
          </w:tcPr>
          <w:p w14:paraId="0578B8EA" w14:textId="77777777" w:rsidR="005F531E" w:rsidRPr="005F531E" w:rsidRDefault="005F531E" w:rsidP="000E0299">
            <w:pPr>
              <w:pStyle w:val="Newparagraph"/>
              <w:ind w:firstLine="0"/>
              <w:cnfStyle w:val="000000000000" w:firstRow="0" w:lastRow="0" w:firstColumn="0" w:lastColumn="0" w:oddVBand="0" w:evenVBand="0" w:oddHBand="0" w:evenHBand="0" w:firstRowFirstColumn="0" w:firstRowLastColumn="0" w:lastRowFirstColumn="0" w:lastRowLastColumn="0"/>
            </w:pPr>
            <w:r w:rsidRPr="005F531E">
              <w:t xml:space="preserve">Fighting takes place between the regular Armed Forces of Russia and Ukraine. </w:t>
            </w:r>
            <w:r w:rsidRPr="005F531E">
              <w:rPr>
                <w:vertAlign w:val="superscript"/>
              </w:rPr>
              <w:footnoteReference w:id="10"/>
            </w:r>
          </w:p>
          <w:p w14:paraId="035AA661" w14:textId="77777777" w:rsidR="005F531E" w:rsidRPr="005F531E" w:rsidRDefault="005F531E" w:rsidP="00ED6DB3">
            <w:pPr>
              <w:pStyle w:val="Newparagraph"/>
              <w:cnfStyle w:val="000000000000" w:firstRow="0" w:lastRow="0" w:firstColumn="0" w:lastColumn="0" w:oddVBand="0" w:evenVBand="0" w:oddHBand="0" w:evenHBand="0" w:firstRowFirstColumn="0" w:firstRowLastColumn="0" w:lastRowFirstColumn="0" w:lastRowLastColumn="0"/>
            </w:pPr>
            <w:r w:rsidRPr="005F531E">
              <w:t xml:space="preserve"> </w:t>
            </w:r>
          </w:p>
        </w:tc>
      </w:tr>
      <w:tr w:rsidR="005F531E" w:rsidRPr="005F531E" w14:paraId="31F024BF" w14:textId="77777777" w:rsidTr="000E0299">
        <w:tc>
          <w:tcPr>
            <w:cnfStyle w:val="001000000000" w:firstRow="0" w:lastRow="0" w:firstColumn="1" w:lastColumn="0" w:oddVBand="0" w:evenVBand="0" w:oddHBand="0" w:evenHBand="0" w:firstRowFirstColumn="0" w:firstRowLastColumn="0" w:lastRowFirstColumn="0" w:lastRowLastColumn="0"/>
            <w:tcW w:w="1896" w:type="dxa"/>
          </w:tcPr>
          <w:p w14:paraId="66538FCC" w14:textId="77777777" w:rsidR="005F531E" w:rsidRPr="005F531E" w:rsidRDefault="005F531E" w:rsidP="005F531E">
            <w:pPr>
              <w:pStyle w:val="Newparagraph"/>
              <w:ind w:firstLine="0"/>
            </w:pPr>
            <w:r w:rsidRPr="005F531E">
              <w:t xml:space="preserve">3) </w:t>
            </w:r>
          </w:p>
          <w:p w14:paraId="2EC084CA" w14:textId="77777777" w:rsidR="005F531E" w:rsidRPr="005F531E" w:rsidRDefault="005F531E" w:rsidP="005F531E">
            <w:pPr>
              <w:pStyle w:val="Newparagraph"/>
              <w:ind w:firstLine="0"/>
            </w:pPr>
            <w:r w:rsidRPr="005F531E">
              <w:t>Intrastate war</w:t>
            </w:r>
          </w:p>
        </w:tc>
        <w:tc>
          <w:tcPr>
            <w:tcW w:w="3144" w:type="dxa"/>
          </w:tcPr>
          <w:p w14:paraId="2AB300A4" w14:textId="77777777" w:rsidR="005F531E" w:rsidRPr="005F531E" w:rsidRDefault="005F531E" w:rsidP="000E0299">
            <w:pPr>
              <w:pStyle w:val="Newparagraph"/>
              <w:ind w:firstLine="0"/>
              <w:cnfStyle w:val="000000000000" w:firstRow="0" w:lastRow="0" w:firstColumn="0" w:lastColumn="0" w:oddVBand="0" w:evenVBand="0" w:oddHBand="0" w:evenHBand="0" w:firstRowFirstColumn="0" w:firstRowLastColumn="0" w:lastRowFirstColumn="0" w:lastRowLastColumn="0"/>
            </w:pPr>
            <w:r w:rsidRPr="005F531E">
              <w:t xml:space="preserve">Wars within the recognized territory of a state </w:t>
            </w:r>
          </w:p>
        </w:tc>
        <w:tc>
          <w:tcPr>
            <w:tcW w:w="4230" w:type="dxa"/>
          </w:tcPr>
          <w:p w14:paraId="302C6374" w14:textId="77777777" w:rsidR="005F531E" w:rsidRPr="005F531E" w:rsidRDefault="005F531E" w:rsidP="000E0299">
            <w:pPr>
              <w:pStyle w:val="Newparagraph"/>
              <w:ind w:firstLine="0"/>
              <w:cnfStyle w:val="000000000000" w:firstRow="0" w:lastRow="0" w:firstColumn="0" w:lastColumn="0" w:oddVBand="0" w:evenVBand="0" w:oddHBand="0" w:evenHBand="0" w:firstRowFirstColumn="0" w:firstRowLastColumn="0" w:lastRowFirstColumn="0" w:lastRowLastColumn="0"/>
            </w:pPr>
            <w:r w:rsidRPr="005F531E">
              <w:t>Fighting takes place within the boundaries of Ukraine.</w:t>
            </w:r>
          </w:p>
        </w:tc>
      </w:tr>
      <w:tr w:rsidR="005F531E" w:rsidRPr="005F531E" w14:paraId="13D61A04" w14:textId="77777777" w:rsidTr="000E0299">
        <w:trPr>
          <w:trHeight w:val="712"/>
        </w:trPr>
        <w:tc>
          <w:tcPr>
            <w:cnfStyle w:val="001000000000" w:firstRow="0" w:lastRow="0" w:firstColumn="1" w:lastColumn="0" w:oddVBand="0" w:evenVBand="0" w:oddHBand="0" w:evenHBand="0" w:firstRowFirstColumn="0" w:firstRowLastColumn="0" w:lastRowFirstColumn="0" w:lastRowLastColumn="0"/>
            <w:tcW w:w="1896" w:type="dxa"/>
          </w:tcPr>
          <w:p w14:paraId="64BE716D" w14:textId="77777777" w:rsidR="005F531E" w:rsidRPr="005F531E" w:rsidRDefault="005F531E" w:rsidP="005F531E">
            <w:pPr>
              <w:pStyle w:val="Newparagraph"/>
              <w:ind w:firstLine="0"/>
            </w:pPr>
            <w:r w:rsidRPr="005F531E">
              <w:t xml:space="preserve">3) a) </w:t>
            </w:r>
          </w:p>
          <w:p w14:paraId="79124BB8" w14:textId="77777777" w:rsidR="005F531E" w:rsidRPr="005F531E" w:rsidRDefault="005F531E" w:rsidP="005F531E">
            <w:pPr>
              <w:pStyle w:val="Newparagraph"/>
              <w:ind w:firstLine="0"/>
            </w:pPr>
            <w:r w:rsidRPr="005F531E">
              <w:t>Civil war:</w:t>
            </w:r>
          </w:p>
        </w:tc>
        <w:tc>
          <w:tcPr>
            <w:tcW w:w="3144" w:type="dxa"/>
          </w:tcPr>
          <w:p w14:paraId="037112A9" w14:textId="7CE07BBF" w:rsidR="005F531E" w:rsidRPr="005F531E" w:rsidRDefault="005F531E" w:rsidP="003926D9">
            <w:pPr>
              <w:pStyle w:val="Newparagraph"/>
              <w:ind w:firstLine="0"/>
              <w:cnfStyle w:val="000000000000" w:firstRow="0" w:lastRow="0" w:firstColumn="0" w:lastColumn="0" w:oddVBand="0" w:evenVBand="0" w:oddHBand="0" w:evenHBand="0" w:firstRowFirstColumn="0" w:firstRowLastColumn="0" w:lastRowFirstColumn="0" w:lastRowLastColumn="0"/>
            </w:pPr>
            <w:r w:rsidRPr="005F531E">
              <w:t>Wars between a national government and a non-state entity</w:t>
            </w:r>
          </w:p>
          <w:p w14:paraId="23E592E5" w14:textId="77777777" w:rsidR="005F531E" w:rsidRPr="005F531E" w:rsidRDefault="005F531E" w:rsidP="00ED6DB3">
            <w:pPr>
              <w:pStyle w:val="Newparagraph"/>
              <w:cnfStyle w:val="000000000000" w:firstRow="0" w:lastRow="0" w:firstColumn="0" w:lastColumn="0" w:oddVBand="0" w:evenVBand="0" w:oddHBand="0" w:evenHBand="0" w:firstRowFirstColumn="0" w:firstRowLastColumn="0" w:lastRowFirstColumn="0" w:lastRowLastColumn="0"/>
            </w:pPr>
            <w:r w:rsidRPr="005F531E">
              <w:t xml:space="preserve"> </w:t>
            </w:r>
          </w:p>
        </w:tc>
        <w:tc>
          <w:tcPr>
            <w:tcW w:w="4230" w:type="dxa"/>
          </w:tcPr>
          <w:p w14:paraId="39412931" w14:textId="601D617D" w:rsidR="005F531E" w:rsidRPr="005F531E" w:rsidRDefault="005F531E" w:rsidP="000E0299">
            <w:pPr>
              <w:pStyle w:val="Newparagraph"/>
              <w:ind w:firstLine="0"/>
              <w:cnfStyle w:val="000000000000" w:firstRow="0" w:lastRow="0" w:firstColumn="0" w:lastColumn="0" w:oddVBand="0" w:evenVBand="0" w:oddHBand="0" w:evenHBand="0" w:firstRowFirstColumn="0" w:firstRowLastColumn="0" w:lastRowFirstColumn="0" w:lastRowLastColumn="0"/>
            </w:pPr>
            <w:r w:rsidRPr="005F531E">
              <w:t xml:space="preserve">Fighting takes place between Ukrainian Government Forces on one side and the </w:t>
            </w:r>
            <w:r w:rsidR="00687067">
              <w:t>DPR</w:t>
            </w:r>
            <w:r w:rsidRPr="005F531E">
              <w:t>/</w:t>
            </w:r>
            <w:r w:rsidR="00687067">
              <w:t>LPR</w:t>
            </w:r>
            <w:r w:rsidRPr="005F531E">
              <w:t xml:space="preserve"> on the other. The latter is, at least prima facie, non-state actors.</w:t>
            </w:r>
          </w:p>
        </w:tc>
      </w:tr>
      <w:tr w:rsidR="005F531E" w:rsidRPr="005F531E" w14:paraId="25FEA245" w14:textId="77777777" w:rsidTr="000E0299">
        <w:tc>
          <w:tcPr>
            <w:cnfStyle w:val="001000000000" w:firstRow="0" w:lastRow="0" w:firstColumn="1" w:lastColumn="0" w:oddVBand="0" w:evenVBand="0" w:oddHBand="0" w:evenHBand="0" w:firstRowFirstColumn="0" w:firstRowLastColumn="0" w:lastRowFirstColumn="0" w:lastRowLastColumn="0"/>
            <w:tcW w:w="1896" w:type="dxa"/>
          </w:tcPr>
          <w:p w14:paraId="17B0BD6F" w14:textId="77777777" w:rsidR="005F531E" w:rsidRPr="005F531E" w:rsidRDefault="005F531E" w:rsidP="00ED6DB3">
            <w:pPr>
              <w:pStyle w:val="Newparagraph"/>
            </w:pPr>
            <w:r w:rsidRPr="005F531E">
              <w:t xml:space="preserve"> internationalized </w:t>
            </w:r>
          </w:p>
        </w:tc>
        <w:tc>
          <w:tcPr>
            <w:tcW w:w="3144" w:type="dxa"/>
          </w:tcPr>
          <w:p w14:paraId="726004B7" w14:textId="77777777" w:rsidR="005F531E" w:rsidRPr="005F531E" w:rsidRDefault="005F531E" w:rsidP="000E0299">
            <w:pPr>
              <w:pStyle w:val="Newparagraph"/>
              <w:ind w:firstLine="0"/>
              <w:cnfStyle w:val="000000000000" w:firstRow="0" w:lastRow="0" w:firstColumn="0" w:lastColumn="0" w:oddVBand="0" w:evenVBand="0" w:oddHBand="0" w:evenHBand="0" w:firstRowFirstColumn="0" w:firstRowLastColumn="0" w:lastRowFirstColumn="0" w:lastRowLastColumn="0"/>
            </w:pPr>
            <w:r w:rsidRPr="005F531E">
              <w:t>Other states intervene.</w:t>
            </w:r>
            <w:r w:rsidRPr="005F531E">
              <w:rPr>
                <w:vertAlign w:val="superscript"/>
              </w:rPr>
              <w:footnoteReference w:id="11"/>
            </w:r>
            <w:r w:rsidRPr="005F531E">
              <w:t xml:space="preserve"> The initial combatants continue doing the bulk of the fighting.</w:t>
            </w:r>
            <w:r w:rsidRPr="005F531E">
              <w:rPr>
                <w:vertAlign w:val="superscript"/>
              </w:rPr>
              <w:footnoteReference w:id="12"/>
            </w:r>
            <w:r w:rsidRPr="005F531E">
              <w:t xml:space="preserve"> </w:t>
            </w:r>
          </w:p>
        </w:tc>
        <w:tc>
          <w:tcPr>
            <w:tcW w:w="4230" w:type="dxa"/>
          </w:tcPr>
          <w:p w14:paraId="68A1E5ED" w14:textId="5094946B" w:rsidR="005F531E" w:rsidRPr="005F531E" w:rsidRDefault="005F531E" w:rsidP="000E0299">
            <w:pPr>
              <w:pStyle w:val="Newparagraph"/>
              <w:ind w:firstLine="0"/>
              <w:cnfStyle w:val="000000000000" w:firstRow="0" w:lastRow="0" w:firstColumn="0" w:lastColumn="0" w:oddVBand="0" w:evenVBand="0" w:oddHBand="0" w:evenHBand="0" w:firstRowFirstColumn="0" w:firstRowLastColumn="0" w:lastRowFirstColumn="0" w:lastRowLastColumn="0"/>
            </w:pPr>
            <w:r w:rsidRPr="005F531E">
              <w:t xml:space="preserve">The Russian Armed Forces join the battle between the Ukraine Forces and the </w:t>
            </w:r>
            <w:r w:rsidR="00687067">
              <w:t>DPR</w:t>
            </w:r>
            <w:r w:rsidRPr="005F531E">
              <w:t>/</w:t>
            </w:r>
            <w:r w:rsidR="00687067">
              <w:t>LPR</w:t>
            </w:r>
            <w:r w:rsidRPr="005F531E">
              <w:t xml:space="preserve">, while the </w:t>
            </w:r>
            <w:r w:rsidR="00687067">
              <w:t>DPR</w:t>
            </w:r>
            <w:r w:rsidRPr="005F531E">
              <w:t>/</w:t>
            </w:r>
            <w:r w:rsidR="00687067">
              <w:t>LPR</w:t>
            </w:r>
            <w:r w:rsidRPr="005F531E">
              <w:t xml:space="preserve"> continue to do the bulk of the fighting.</w:t>
            </w:r>
          </w:p>
        </w:tc>
      </w:tr>
      <w:tr w:rsidR="005F531E" w:rsidRPr="005F531E" w14:paraId="092DF70F" w14:textId="77777777" w:rsidTr="000E0299">
        <w:tc>
          <w:tcPr>
            <w:cnfStyle w:val="001000000000" w:firstRow="0" w:lastRow="0" w:firstColumn="1" w:lastColumn="0" w:oddVBand="0" w:evenVBand="0" w:oddHBand="0" w:evenHBand="0" w:firstRowFirstColumn="0" w:firstRowLastColumn="0" w:lastRowFirstColumn="0" w:lastRowLastColumn="0"/>
            <w:tcW w:w="1896" w:type="dxa"/>
          </w:tcPr>
          <w:p w14:paraId="34A3FD7F" w14:textId="77777777" w:rsidR="005F531E" w:rsidRPr="005F531E" w:rsidRDefault="005F531E" w:rsidP="00ED6DB3">
            <w:pPr>
              <w:pStyle w:val="Newparagraph"/>
            </w:pPr>
          </w:p>
          <w:p w14:paraId="1240AF1B" w14:textId="77777777" w:rsidR="005F531E" w:rsidRPr="005F531E" w:rsidRDefault="005F531E" w:rsidP="005F531E">
            <w:pPr>
              <w:pStyle w:val="Newparagraph"/>
              <w:ind w:firstLine="0"/>
            </w:pPr>
            <w:r w:rsidRPr="005F531E">
              <w:t>recategorized into 1) Interstate war</w:t>
            </w:r>
          </w:p>
        </w:tc>
        <w:tc>
          <w:tcPr>
            <w:tcW w:w="3144" w:type="dxa"/>
          </w:tcPr>
          <w:p w14:paraId="568A5A9A" w14:textId="77777777" w:rsidR="005F531E" w:rsidRPr="005F531E" w:rsidRDefault="005F531E" w:rsidP="000E0299">
            <w:pPr>
              <w:pStyle w:val="Newparagraph"/>
              <w:ind w:firstLine="0"/>
              <w:cnfStyle w:val="000000000000" w:firstRow="0" w:lastRow="0" w:firstColumn="0" w:lastColumn="0" w:oddVBand="0" w:evenVBand="0" w:oddHBand="0" w:evenHBand="0" w:firstRowFirstColumn="0" w:firstRowLastColumn="0" w:lastRowFirstColumn="0" w:lastRowLastColumn="0"/>
            </w:pPr>
            <w:r w:rsidRPr="005F531E">
              <w:t xml:space="preserve">Other states intervene. A state intervener takes over the bulk of the fighting from one of the original war participants. </w:t>
            </w:r>
          </w:p>
        </w:tc>
        <w:tc>
          <w:tcPr>
            <w:tcW w:w="4230" w:type="dxa"/>
          </w:tcPr>
          <w:p w14:paraId="14C29DD7" w14:textId="2331D152" w:rsidR="005F531E" w:rsidRPr="005F531E" w:rsidRDefault="005F531E" w:rsidP="000E0299">
            <w:pPr>
              <w:pStyle w:val="Newparagraph"/>
              <w:ind w:firstLine="0"/>
              <w:cnfStyle w:val="000000000000" w:firstRow="0" w:lastRow="0" w:firstColumn="0" w:lastColumn="0" w:oddVBand="0" w:evenVBand="0" w:oddHBand="0" w:evenHBand="0" w:firstRowFirstColumn="0" w:firstRowLastColumn="0" w:lastRowFirstColumn="0" w:lastRowLastColumn="0"/>
            </w:pPr>
            <w:r w:rsidRPr="005F531E">
              <w:t xml:space="preserve">The Russian Armed Forces join the battle between the Ukraine Forces and the </w:t>
            </w:r>
            <w:r w:rsidR="00687067">
              <w:t>DPR</w:t>
            </w:r>
            <w:r w:rsidRPr="005F531E">
              <w:t>/</w:t>
            </w:r>
            <w:r w:rsidR="00687067">
              <w:t>LPR</w:t>
            </w:r>
            <w:r w:rsidRPr="005F531E">
              <w:t xml:space="preserve">, taking over the bulk of the fighting from the </w:t>
            </w:r>
            <w:r w:rsidR="00687067">
              <w:t>DPR</w:t>
            </w:r>
            <w:r w:rsidRPr="005F531E">
              <w:t>/</w:t>
            </w:r>
            <w:r w:rsidR="00687067">
              <w:t>LPR</w:t>
            </w:r>
            <w:r w:rsidRPr="005F531E">
              <w:t>.</w:t>
            </w:r>
          </w:p>
        </w:tc>
      </w:tr>
    </w:tbl>
    <w:p w14:paraId="436BA588" w14:textId="0F87AC3A" w:rsidR="005F531E" w:rsidRPr="005F531E" w:rsidRDefault="005F531E" w:rsidP="005F531E">
      <w:pPr>
        <w:pStyle w:val="Newparagraph"/>
      </w:pPr>
      <w:r w:rsidRPr="005F531E">
        <w:t>Source: The author</w:t>
      </w:r>
      <w:r w:rsidR="00DE4C26">
        <w:t>.</w:t>
      </w:r>
      <w:r w:rsidRPr="005F531E">
        <w:t xml:space="preserve"> </w:t>
      </w:r>
    </w:p>
    <w:p w14:paraId="05EA0A2E" w14:textId="77777777" w:rsidR="005F531E" w:rsidRDefault="005F531E" w:rsidP="005F531E">
      <w:pPr>
        <w:pStyle w:val="Newparagraph"/>
        <w:ind w:firstLine="0"/>
      </w:pPr>
    </w:p>
    <w:sectPr w:rsidR="005F531E" w:rsidSect="001C5909">
      <w:headerReference w:type="default" r:id="rId14"/>
      <w:footerReference w:type="default" r:id="rId15"/>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8E218" w14:textId="77777777" w:rsidR="008F725D" w:rsidRDefault="008F725D" w:rsidP="008B109E">
      <w:pPr>
        <w:spacing w:line="240" w:lineRule="auto"/>
      </w:pPr>
      <w:r>
        <w:separator/>
      </w:r>
    </w:p>
  </w:endnote>
  <w:endnote w:type="continuationSeparator" w:id="0">
    <w:p w14:paraId="6CBCD2F8" w14:textId="77777777" w:rsidR="008F725D" w:rsidRDefault="008F725D" w:rsidP="008B1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690544"/>
      <w:docPartObj>
        <w:docPartGallery w:val="Page Numbers (Bottom of Page)"/>
        <w:docPartUnique/>
      </w:docPartObj>
    </w:sdtPr>
    <w:sdtEndPr>
      <w:rPr>
        <w:noProof/>
      </w:rPr>
    </w:sdtEndPr>
    <w:sdtContent>
      <w:p w14:paraId="5EF6849E" w14:textId="6E9D425F" w:rsidR="00D919C7" w:rsidRDefault="00D919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08C286" w14:textId="77777777" w:rsidR="00D919C7" w:rsidRDefault="00D91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184C" w14:textId="77777777" w:rsidR="008F725D" w:rsidRDefault="008F725D" w:rsidP="008B109E">
      <w:pPr>
        <w:spacing w:line="240" w:lineRule="auto"/>
      </w:pPr>
      <w:r>
        <w:separator/>
      </w:r>
    </w:p>
  </w:footnote>
  <w:footnote w:type="continuationSeparator" w:id="0">
    <w:p w14:paraId="4C820C61" w14:textId="77777777" w:rsidR="008F725D" w:rsidRDefault="008F725D" w:rsidP="008B109E">
      <w:pPr>
        <w:spacing w:line="240" w:lineRule="auto"/>
      </w:pPr>
      <w:r>
        <w:continuationSeparator/>
      </w:r>
    </w:p>
  </w:footnote>
  <w:footnote w:id="1">
    <w:p w14:paraId="34C3EB16" w14:textId="113050AE" w:rsidR="000D1DA4" w:rsidRPr="00CA5D41" w:rsidRDefault="000D1DA4" w:rsidP="009C30D1">
      <w:pPr>
        <w:pStyle w:val="FootnoteText"/>
        <w:jc w:val="both"/>
      </w:pPr>
      <w:r>
        <w:rPr>
          <w:rStyle w:val="FootnoteReference"/>
        </w:rPr>
        <w:footnoteRef/>
      </w:r>
      <w:r>
        <w:t xml:space="preserve"> </w:t>
      </w:r>
      <w:r w:rsidRPr="00B44802">
        <w:t>For the most recent collection of works and an attempt to bridge the gap between two different views on this war - civil war or interstate war, see Hauter 2021b and his edited volume.</w:t>
      </w:r>
      <w:r>
        <w:t xml:space="preserve"> Also, a</w:t>
      </w:r>
      <w:r w:rsidRPr="00CA5D41">
        <w:t>lthough there is a view that annexation of Ukraine’s Crimea and the war in Eastern Ukraine can constitute a single international armed conflict (</w:t>
      </w:r>
      <w:proofErr w:type="spellStart"/>
      <w:r w:rsidRPr="00CA5D41">
        <w:t>Merezhko</w:t>
      </w:r>
      <w:proofErr w:type="spellEnd"/>
      <w:r w:rsidRPr="00CA5D41">
        <w:t xml:space="preserve"> 2018, 114), in this </w:t>
      </w:r>
      <w:r>
        <w:t>paper</w:t>
      </w:r>
      <w:r w:rsidRPr="00CA5D41">
        <w:t xml:space="preserve"> I focus on the</w:t>
      </w:r>
      <w:r>
        <w:t xml:space="preserve"> more controversial part of this conflict in the interpretation of scholars – the war in Eastern Ukraine</w:t>
      </w:r>
      <w:r w:rsidR="00D46F56">
        <w:t>, or the Donbas war.</w:t>
      </w:r>
      <w:r w:rsidRPr="00CA5D41">
        <w:t xml:space="preserve"> </w:t>
      </w:r>
    </w:p>
  </w:footnote>
  <w:footnote w:id="2">
    <w:p w14:paraId="4BC2E5FC" w14:textId="4095322F" w:rsidR="00520DC9" w:rsidRPr="00520DC9" w:rsidRDefault="00520DC9" w:rsidP="00520DC9">
      <w:pPr>
        <w:pStyle w:val="FootnoteText"/>
        <w:jc w:val="both"/>
      </w:pPr>
      <w:r>
        <w:rPr>
          <w:rStyle w:val="FootnoteReference"/>
        </w:rPr>
        <w:footnoteRef/>
      </w:r>
      <w:r>
        <w:t xml:space="preserve"> </w:t>
      </w:r>
      <w:r w:rsidRPr="00520DC9">
        <w:t xml:space="preserve">Hauter (2021, 160) </w:t>
      </w:r>
      <w:r>
        <w:t xml:space="preserve">also </w:t>
      </w:r>
      <w:r w:rsidRPr="00520DC9">
        <w:t>argues that Russia played the determining role by introducing its regular armed forces in August 2014, while leaving open for discussion “whether Russia’s role as the primary conflict driver was limited to this final episode of the war’s escalation sequence”.</w:t>
      </w:r>
    </w:p>
  </w:footnote>
  <w:footnote w:id="3">
    <w:p w14:paraId="60A176D2" w14:textId="560E45EE" w:rsidR="00DC00C0" w:rsidRDefault="00DC00C0" w:rsidP="009C30D1">
      <w:pPr>
        <w:pStyle w:val="FootnoteText"/>
        <w:jc w:val="both"/>
      </w:pPr>
      <w:r>
        <w:rPr>
          <w:rStyle w:val="FootnoteReference"/>
        </w:rPr>
        <w:footnoteRef/>
      </w:r>
      <w:r>
        <w:t xml:space="preserve"> </w:t>
      </w:r>
      <w:r w:rsidRPr="00DC00C0">
        <w:t>According to the revised COW typology, wars that are not fought between members of the international system and take place predominantly within the recognized territory of a state fall under the newly established category of “intrastate wars.” They are further subdivided into “civil wars,” “regional internal wars,” and “intercommunal wars,” depending on the type of the combatants. Civil wars can be initiated “for control of the central government” or “over local issues” (Sarkees 2010b, 2), and fought between the national government as one side and a non-state actor as the other. Non state actor includes “regional geopolitical units” and  “nonterritorial entities” which are “nonstate armed groups” with no defined territorial base (Sarkees 2010b, 3</w:t>
      </w:r>
      <w:r w:rsidR="00481F62">
        <w:t xml:space="preserve">; see also Table 1 </w:t>
      </w:r>
      <w:r w:rsidR="005E4426">
        <w:t>in this</w:t>
      </w:r>
      <w:r w:rsidR="00481F62">
        <w:t xml:space="preserve"> </w:t>
      </w:r>
      <w:r w:rsidR="005E4426">
        <w:t>paper</w:t>
      </w:r>
      <w:r w:rsidRPr="00DC00C0">
        <w:t>). Since the Donbas war seems to have taken place between Ukraine government and the D</w:t>
      </w:r>
      <w:r w:rsidR="00687067">
        <w:t>PR</w:t>
      </w:r>
      <w:r w:rsidRPr="00DC00C0">
        <w:t xml:space="preserve"> and L</w:t>
      </w:r>
      <w:r w:rsidR="00687067">
        <w:t>P</w:t>
      </w:r>
      <w:r w:rsidRPr="00DC00C0">
        <w:t>R, which are, prima facie, non-state entities, within the boundaries of Ukraine over what seems to be the issue of secession of these non-state entities, th</w:t>
      </w:r>
      <w:r w:rsidR="00371259">
        <w:t>e war may be</w:t>
      </w:r>
      <w:r w:rsidRPr="00DC00C0">
        <w:t xml:space="preserve"> categorize into “civil war”</w:t>
      </w:r>
      <w:r>
        <w:t xml:space="preserve"> (Hosaka 2021</w:t>
      </w:r>
      <w:r w:rsidR="00B25B8E">
        <w:t>; see also Table 2 in t</w:t>
      </w:r>
      <w:r w:rsidR="00481F62">
        <w:t>his</w:t>
      </w:r>
      <w:r w:rsidR="00B25B8E">
        <w:t xml:space="preserve"> paper</w:t>
      </w:r>
      <w:r>
        <w:t>)</w:t>
      </w:r>
      <w:r w:rsidRPr="00DC00C0">
        <w:t>.</w:t>
      </w:r>
    </w:p>
  </w:footnote>
  <w:footnote w:id="4">
    <w:p w14:paraId="18D540AE" w14:textId="77777777" w:rsidR="00BE19F2" w:rsidRPr="00BB78DB" w:rsidRDefault="00BE19F2" w:rsidP="009C30D1">
      <w:pPr>
        <w:pStyle w:val="FootnoteText"/>
        <w:jc w:val="both"/>
      </w:pPr>
      <w:r>
        <w:rPr>
          <w:rStyle w:val="FootnoteReference"/>
        </w:rPr>
        <w:footnoteRef/>
      </w:r>
      <w:r>
        <w:t xml:space="preserve"> COW has not updated “</w:t>
      </w:r>
      <w:r w:rsidRPr="00BB78DB">
        <w:t>Inter-State War data set</w:t>
      </w:r>
      <w:r>
        <w:t>,” thus leaving the classification of the war in Eastern Ukraine pending.</w:t>
      </w:r>
    </w:p>
  </w:footnote>
  <w:footnote w:id="5">
    <w:p w14:paraId="7DEB8E36" w14:textId="36A3FA90" w:rsidR="00602954" w:rsidRPr="00602954" w:rsidRDefault="00602954" w:rsidP="009C30D1">
      <w:pPr>
        <w:pStyle w:val="FootnoteText"/>
        <w:jc w:val="both"/>
      </w:pPr>
      <w:r>
        <w:rPr>
          <w:rStyle w:val="FootnoteReference"/>
        </w:rPr>
        <w:footnoteRef/>
      </w:r>
      <w:r>
        <w:t xml:space="preserve"> in Donetsk, as </w:t>
      </w:r>
      <w:proofErr w:type="spellStart"/>
      <w:r>
        <w:t>Matsuzato</w:t>
      </w:r>
      <w:proofErr w:type="spellEnd"/>
      <w:r>
        <w:t xml:space="preserve"> describes, even under the ultimatum of the so-called “coordinating council” supposedly convened by protesters after the arrest of </w:t>
      </w:r>
      <w:proofErr w:type="spellStart"/>
      <w:r>
        <w:t>Gubarev</w:t>
      </w:r>
      <w:proofErr w:type="spellEnd"/>
      <w:r>
        <w:t>, most of the Donetsk oblast council deputies</w:t>
      </w:r>
      <w:r w:rsidR="00F55A0B">
        <w:t xml:space="preserve">, except three communists, </w:t>
      </w:r>
      <w:r>
        <w:t>did not appear in the session on April 7 to adopt a resolution requesting the federalization of Ukraine (Hosaka 2019</w:t>
      </w:r>
      <w:r w:rsidR="00F55A0B">
        <w:t>c</w:t>
      </w:r>
      <w:r>
        <w:t xml:space="preserve">, </w:t>
      </w:r>
      <w:r w:rsidR="0017061A">
        <w:t>757</w:t>
      </w:r>
      <w:r>
        <w:t>)</w:t>
      </w:r>
      <w:r w:rsidR="0017061A">
        <w:t>.</w:t>
      </w:r>
    </w:p>
  </w:footnote>
  <w:footnote w:id="6">
    <w:p w14:paraId="21BB8B45" w14:textId="3902EA91" w:rsidR="00661267" w:rsidRPr="00066413" w:rsidRDefault="00661267" w:rsidP="009C30D1">
      <w:pPr>
        <w:pStyle w:val="FootnoteText"/>
        <w:jc w:val="both"/>
      </w:pPr>
      <w:r>
        <w:rPr>
          <w:rStyle w:val="FootnoteReference"/>
        </w:rPr>
        <w:footnoteRef/>
      </w:r>
      <w:r>
        <w:t xml:space="preserve"> </w:t>
      </w:r>
      <w:r w:rsidR="00FB1B27" w:rsidRPr="00FB1B27">
        <w:t>kurika@mail.ru</w:t>
      </w:r>
      <w:r w:rsidR="00E609F5" w:rsidRPr="00E609F5">
        <w:t xml:space="preserve">, e-mail to </w:t>
      </w:r>
      <w:r w:rsidR="00C86144" w:rsidRPr="00C86144">
        <w:t>boris.ra@mail.ru, b_ra@mail.ru</w:t>
      </w:r>
      <w:r w:rsidR="00E609F5" w:rsidRPr="00E609F5">
        <w:t xml:space="preserve">, </w:t>
      </w:r>
      <w:r w:rsidR="003A1146">
        <w:t>“</w:t>
      </w:r>
      <w:proofErr w:type="spellStart"/>
      <w:r w:rsidR="003A1146" w:rsidRPr="003A1146">
        <w:t>zakharchenko</w:t>
      </w:r>
      <w:proofErr w:type="spellEnd"/>
      <w:r w:rsidR="00E609F5" w:rsidRPr="00E609F5">
        <w:t>,</w:t>
      </w:r>
      <w:r w:rsidR="003A1146">
        <w:t>”</w:t>
      </w:r>
      <w:r w:rsidR="00E609F5" w:rsidRPr="00E609F5">
        <w:t xml:space="preserve"> 2014-07-</w:t>
      </w:r>
      <w:r w:rsidR="00F637BB">
        <w:t>29</w:t>
      </w:r>
      <w:r w:rsidR="00E609F5" w:rsidRPr="00E609F5">
        <w:t>,</w:t>
      </w:r>
      <w:r w:rsidR="00F637BB">
        <w:t xml:space="preserve"> </w:t>
      </w:r>
      <w:r w:rsidR="00F637BB" w:rsidRPr="00F637BB">
        <w:t>21:45:17 +0400</w:t>
      </w:r>
      <w:r w:rsidR="003931BF">
        <w:rPr>
          <w:rFonts w:hint="eastAsia"/>
        </w:rPr>
        <w:t xml:space="preserve"> </w:t>
      </w:r>
      <w:r w:rsidR="003931BF">
        <w:t xml:space="preserve"> </w:t>
      </w:r>
      <w:hyperlink r:id="rId1" w:history="1">
        <w:r w:rsidR="00066413" w:rsidRPr="009B3E63">
          <w:rPr>
            <w:rStyle w:val="Hyperlink"/>
          </w:rPr>
          <w:t>https://ordilo.org/damp-e-mail-boris-ramail-ru-yakyi-nalezhyt-b-rapoportu-p/</w:t>
        </w:r>
      </w:hyperlink>
      <w:r w:rsidR="00066413" w:rsidRPr="00066413">
        <w:t xml:space="preserve"> </w:t>
      </w:r>
    </w:p>
  </w:footnote>
  <w:footnote w:id="7">
    <w:p w14:paraId="788C4B45" w14:textId="034D91CF" w:rsidR="00586DAC" w:rsidRPr="00586DAC" w:rsidRDefault="00586DAC" w:rsidP="009C30D1">
      <w:pPr>
        <w:pStyle w:val="FootnoteText"/>
        <w:jc w:val="both"/>
      </w:pPr>
      <w:r>
        <w:rPr>
          <w:rStyle w:val="FootnoteReference"/>
        </w:rPr>
        <w:footnoteRef/>
      </w:r>
      <w:r>
        <w:t xml:space="preserve"> Factors</w:t>
      </w:r>
      <w:r w:rsidRPr="00586DAC">
        <w:t xml:space="preserve"> that trigger open conflicts with the government </w:t>
      </w:r>
      <w:r>
        <w:t>may be</w:t>
      </w:r>
      <w:r w:rsidRPr="00586DAC">
        <w:t xml:space="preserve"> ethnopolitical leadership and cohesion, political environment, use of violence by governments,  external support (Gurr &amp; Harff 1994, 8</w:t>
      </w:r>
      <w:r w:rsidR="00D816C9">
        <w:t>4</w:t>
      </w:r>
      <w:r w:rsidRPr="00586DAC">
        <w:t>-92</w:t>
      </w:r>
      <w:r w:rsidR="00D816C9">
        <w:t>).</w:t>
      </w:r>
    </w:p>
  </w:footnote>
  <w:footnote w:id="8">
    <w:p w14:paraId="0A7D4776" w14:textId="109DE303" w:rsidR="00312250" w:rsidRPr="00312250" w:rsidRDefault="00312250" w:rsidP="009C30D1">
      <w:pPr>
        <w:pStyle w:val="FootnoteText"/>
        <w:jc w:val="both"/>
      </w:pPr>
      <w:r>
        <w:rPr>
          <w:rStyle w:val="FootnoteReference"/>
        </w:rPr>
        <w:footnoteRef/>
      </w:r>
      <w:r>
        <w:t xml:space="preserve"> </w:t>
      </w:r>
      <w:r w:rsidRPr="00312250">
        <w:t>We can also recall similar criteria used by the old COW typology to judge whether a territory is integrated or part of the metropole (Sarkees 2010a, 6):</w:t>
      </w:r>
      <w:r>
        <w:t xml:space="preserve"> </w:t>
      </w:r>
      <w:r w:rsidRPr="00312250">
        <w:t>there were no constitutional provisions denying the population the right to participate in the government</w:t>
      </w:r>
      <w:r>
        <w:t xml:space="preserve">; </w:t>
      </w:r>
      <w:r w:rsidRPr="00312250">
        <w:t>there were no restrictive provisions based on ethnicity, race, or religion; and</w:t>
      </w:r>
      <w:r>
        <w:t xml:space="preserve"> </w:t>
      </w:r>
      <w:r w:rsidRPr="00312250">
        <w:t>a national capital or a district under the direct administrative control of a federal government were considered to be integrated regardless of the manner in which they were governed.</w:t>
      </w:r>
    </w:p>
  </w:footnote>
  <w:footnote w:id="9">
    <w:p w14:paraId="4C1CB285" w14:textId="705EA78C" w:rsidR="005F531E" w:rsidRDefault="005F531E" w:rsidP="009C30D1">
      <w:pPr>
        <w:pStyle w:val="FootnoteText"/>
        <w:jc w:val="both"/>
      </w:pPr>
      <w:r>
        <w:rPr>
          <w:rStyle w:val="FootnoteReference"/>
        </w:rPr>
        <w:footnoteRef/>
      </w:r>
      <w:r>
        <w:t xml:space="preserve"> </w:t>
      </w:r>
      <w:r>
        <w:rPr>
          <w:rFonts w:hint="eastAsia"/>
        </w:rPr>
        <w:t xml:space="preserve"> </w:t>
      </w:r>
      <w:r w:rsidRPr="00EA3FF1">
        <w:t xml:space="preserve">Any state qualified as a war participant either </w:t>
      </w:r>
      <w:r w:rsidRPr="006B3A60">
        <w:t>by committing over 1000 troops to the conflict or by suffering 100 battle-deaths</w:t>
      </w:r>
      <w:r>
        <w:t xml:space="preserve">. </w:t>
      </w:r>
    </w:p>
  </w:footnote>
  <w:footnote w:id="10">
    <w:p w14:paraId="03F96EDD" w14:textId="6FFAA65D" w:rsidR="005F531E" w:rsidRPr="007F05A2" w:rsidRDefault="005F531E" w:rsidP="009C30D1">
      <w:pPr>
        <w:pStyle w:val="FootnoteText"/>
        <w:jc w:val="both"/>
      </w:pPr>
      <w:r>
        <w:rPr>
          <w:rStyle w:val="FootnoteReference"/>
        </w:rPr>
        <w:footnoteRef/>
      </w:r>
      <w:r>
        <w:t xml:space="preserve">  Russia denies the participation of its regular armed forces in the war. Information on the number of Russian troops  and their fatalities is unavailable.</w:t>
      </w:r>
    </w:p>
  </w:footnote>
  <w:footnote w:id="11">
    <w:p w14:paraId="131EBFE6" w14:textId="339E0096" w:rsidR="005F531E" w:rsidRPr="00060573" w:rsidRDefault="005F531E" w:rsidP="009C30D1">
      <w:pPr>
        <w:pStyle w:val="FootnoteText"/>
        <w:jc w:val="both"/>
      </w:pPr>
      <w:r>
        <w:rPr>
          <w:rStyle w:val="FootnoteReference"/>
        </w:rPr>
        <w:footnoteRef/>
      </w:r>
      <w:r>
        <w:t xml:space="preserve"> </w:t>
      </w:r>
      <w:r w:rsidR="003926D9">
        <w:t xml:space="preserve"> </w:t>
      </w:r>
      <w:r>
        <w:t>E</w:t>
      </w:r>
      <w:r w:rsidRPr="00FB43C5">
        <w:t>ither by committing over 1000 troops to the conflict or by suffering 100 battle-deaths.</w:t>
      </w:r>
    </w:p>
  </w:footnote>
  <w:footnote w:id="12">
    <w:p w14:paraId="1DB48318" w14:textId="5FA39303" w:rsidR="005F531E" w:rsidRPr="00060573" w:rsidRDefault="005F531E" w:rsidP="009C30D1">
      <w:pPr>
        <w:pStyle w:val="FootnoteText"/>
        <w:jc w:val="both"/>
      </w:pPr>
      <w:r>
        <w:rPr>
          <w:rStyle w:val="FootnoteReference"/>
        </w:rPr>
        <w:footnoteRef/>
      </w:r>
      <w:r>
        <w:t xml:space="preserve"> </w:t>
      </w:r>
      <w:r w:rsidR="003926D9">
        <w:t xml:space="preserve"> </w:t>
      </w:r>
      <w:r w:rsidRPr="0073240F">
        <w:t>The bulk of the fighting is defined in terms of which combatant is causing the greatest number of deaths among the opposition.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8B2A" w14:textId="30AA378A" w:rsidR="00C442D4" w:rsidRDefault="00C442D4">
    <w:pPr>
      <w:pStyle w:val="Header"/>
    </w:pPr>
    <w:r>
      <w:t xml:space="preserve">Working Paper for </w:t>
    </w:r>
    <w:r w:rsidR="00F56F3E" w:rsidRPr="00F56F3E">
      <w:t>ICCEES</w:t>
    </w:r>
    <w:r w:rsidR="00F56F3E">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7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D36336"/>
    <w:multiLevelType w:val="hybridMultilevel"/>
    <w:tmpl w:val="55E8F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837BC"/>
    <w:multiLevelType w:val="hybridMultilevel"/>
    <w:tmpl w:val="24842A7C"/>
    <w:lvl w:ilvl="0" w:tplc="C7220DBC">
      <w:numFmt w:val="bullet"/>
      <w:lvlText w:val="•"/>
      <w:lvlJc w:val="left"/>
      <w:pPr>
        <w:ind w:left="792" w:hanging="360"/>
      </w:pPr>
      <w:rPr>
        <w:rFonts w:ascii="Calibri" w:eastAsiaTheme="minorEastAsia"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0697163"/>
    <w:multiLevelType w:val="hybridMultilevel"/>
    <w:tmpl w:val="673A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155AA"/>
    <w:multiLevelType w:val="hybridMultilevel"/>
    <w:tmpl w:val="5C0EDA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697450A9"/>
    <w:multiLevelType w:val="hybridMultilevel"/>
    <w:tmpl w:val="5DA6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076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NzQ3NTYxNDEytDBV0lEKTi0uzszPAykwrwUA+XpkIiwAAAA="/>
  </w:docVars>
  <w:rsids>
    <w:rsidRoot w:val="008B109E"/>
    <w:rsid w:val="00000B8B"/>
    <w:rsid w:val="0000115D"/>
    <w:rsid w:val="00001626"/>
    <w:rsid w:val="00004BC2"/>
    <w:rsid w:val="0000747B"/>
    <w:rsid w:val="0001069C"/>
    <w:rsid w:val="00011ECE"/>
    <w:rsid w:val="00016CF1"/>
    <w:rsid w:val="0001752F"/>
    <w:rsid w:val="00017CD3"/>
    <w:rsid w:val="00017CF5"/>
    <w:rsid w:val="0002044A"/>
    <w:rsid w:val="00022398"/>
    <w:rsid w:val="00025A0F"/>
    <w:rsid w:val="000320FE"/>
    <w:rsid w:val="00033191"/>
    <w:rsid w:val="00034111"/>
    <w:rsid w:val="00035C6D"/>
    <w:rsid w:val="000446CA"/>
    <w:rsid w:val="000453F3"/>
    <w:rsid w:val="00045EB2"/>
    <w:rsid w:val="0004790C"/>
    <w:rsid w:val="00051661"/>
    <w:rsid w:val="00051DE8"/>
    <w:rsid w:val="0006312E"/>
    <w:rsid w:val="00063A69"/>
    <w:rsid w:val="0006635F"/>
    <w:rsid w:val="00066413"/>
    <w:rsid w:val="00066DA4"/>
    <w:rsid w:val="000701DD"/>
    <w:rsid w:val="00074B56"/>
    <w:rsid w:val="00077241"/>
    <w:rsid w:val="00080B0D"/>
    <w:rsid w:val="0008160D"/>
    <w:rsid w:val="00083629"/>
    <w:rsid w:val="00086AEA"/>
    <w:rsid w:val="00087780"/>
    <w:rsid w:val="000936AC"/>
    <w:rsid w:val="000954D3"/>
    <w:rsid w:val="00096A0D"/>
    <w:rsid w:val="00097EDA"/>
    <w:rsid w:val="000A00C2"/>
    <w:rsid w:val="000A0D7A"/>
    <w:rsid w:val="000A1848"/>
    <w:rsid w:val="000A2610"/>
    <w:rsid w:val="000A486D"/>
    <w:rsid w:val="000A7D70"/>
    <w:rsid w:val="000B0F13"/>
    <w:rsid w:val="000B26BA"/>
    <w:rsid w:val="000B2CD4"/>
    <w:rsid w:val="000B5A84"/>
    <w:rsid w:val="000C201F"/>
    <w:rsid w:val="000C5053"/>
    <w:rsid w:val="000D08B4"/>
    <w:rsid w:val="000D14D1"/>
    <w:rsid w:val="000D1DA4"/>
    <w:rsid w:val="000D2739"/>
    <w:rsid w:val="000E0299"/>
    <w:rsid w:val="000E0DFF"/>
    <w:rsid w:val="000E5705"/>
    <w:rsid w:val="000F0DEB"/>
    <w:rsid w:val="000F0FA2"/>
    <w:rsid w:val="000F0FAD"/>
    <w:rsid w:val="000F3940"/>
    <w:rsid w:val="000F50A0"/>
    <w:rsid w:val="000F6FD6"/>
    <w:rsid w:val="00100C0E"/>
    <w:rsid w:val="001053EF"/>
    <w:rsid w:val="00110666"/>
    <w:rsid w:val="00110B15"/>
    <w:rsid w:val="00110FD4"/>
    <w:rsid w:val="00113E28"/>
    <w:rsid w:val="0011478C"/>
    <w:rsid w:val="00117A51"/>
    <w:rsid w:val="00121BD0"/>
    <w:rsid w:val="0012386B"/>
    <w:rsid w:val="00131158"/>
    <w:rsid w:val="00133F1D"/>
    <w:rsid w:val="0013530D"/>
    <w:rsid w:val="00135B21"/>
    <w:rsid w:val="001367FB"/>
    <w:rsid w:val="00137FDE"/>
    <w:rsid w:val="001431A4"/>
    <w:rsid w:val="00143B63"/>
    <w:rsid w:val="001451B6"/>
    <w:rsid w:val="00145335"/>
    <w:rsid w:val="00146061"/>
    <w:rsid w:val="00156234"/>
    <w:rsid w:val="00156809"/>
    <w:rsid w:val="001573AF"/>
    <w:rsid w:val="00160020"/>
    <w:rsid w:val="00160579"/>
    <w:rsid w:val="00160604"/>
    <w:rsid w:val="00160DDD"/>
    <w:rsid w:val="001611F9"/>
    <w:rsid w:val="001629CF"/>
    <w:rsid w:val="001637F7"/>
    <w:rsid w:val="001661C1"/>
    <w:rsid w:val="00166B0B"/>
    <w:rsid w:val="00167873"/>
    <w:rsid w:val="001701EB"/>
    <w:rsid w:val="0017061A"/>
    <w:rsid w:val="00173500"/>
    <w:rsid w:val="001755AD"/>
    <w:rsid w:val="00176503"/>
    <w:rsid w:val="00176A04"/>
    <w:rsid w:val="00181912"/>
    <w:rsid w:val="00184569"/>
    <w:rsid w:val="00185EFB"/>
    <w:rsid w:val="001870BC"/>
    <w:rsid w:val="00187852"/>
    <w:rsid w:val="00191E6F"/>
    <w:rsid w:val="00191EC9"/>
    <w:rsid w:val="00192E88"/>
    <w:rsid w:val="0019339A"/>
    <w:rsid w:val="001941AE"/>
    <w:rsid w:val="00196AC2"/>
    <w:rsid w:val="001A58FC"/>
    <w:rsid w:val="001B0CDD"/>
    <w:rsid w:val="001B4033"/>
    <w:rsid w:val="001B457B"/>
    <w:rsid w:val="001B70A7"/>
    <w:rsid w:val="001C1D36"/>
    <w:rsid w:val="001C328A"/>
    <w:rsid w:val="001C4C5B"/>
    <w:rsid w:val="001C5909"/>
    <w:rsid w:val="001C6752"/>
    <w:rsid w:val="001D0A33"/>
    <w:rsid w:val="001D2267"/>
    <w:rsid w:val="001D371E"/>
    <w:rsid w:val="001D4F4C"/>
    <w:rsid w:val="001D584A"/>
    <w:rsid w:val="001D63FB"/>
    <w:rsid w:val="001D69EB"/>
    <w:rsid w:val="001E00A1"/>
    <w:rsid w:val="001F047E"/>
    <w:rsid w:val="001F0C75"/>
    <w:rsid w:val="001F383D"/>
    <w:rsid w:val="001F557F"/>
    <w:rsid w:val="001F5D86"/>
    <w:rsid w:val="001F5F8C"/>
    <w:rsid w:val="001F647A"/>
    <w:rsid w:val="001F711C"/>
    <w:rsid w:val="00202E1D"/>
    <w:rsid w:val="00205AB9"/>
    <w:rsid w:val="00213C78"/>
    <w:rsid w:val="002149E6"/>
    <w:rsid w:val="00215576"/>
    <w:rsid w:val="00215CF6"/>
    <w:rsid w:val="0021699C"/>
    <w:rsid w:val="00217A8F"/>
    <w:rsid w:val="002239B8"/>
    <w:rsid w:val="00231B58"/>
    <w:rsid w:val="00232B0B"/>
    <w:rsid w:val="00233265"/>
    <w:rsid w:val="00237904"/>
    <w:rsid w:val="002412FA"/>
    <w:rsid w:val="002441C4"/>
    <w:rsid w:val="00245365"/>
    <w:rsid w:val="002466B4"/>
    <w:rsid w:val="0025207B"/>
    <w:rsid w:val="00252175"/>
    <w:rsid w:val="00254493"/>
    <w:rsid w:val="00262CBA"/>
    <w:rsid w:val="0026404F"/>
    <w:rsid w:val="00271485"/>
    <w:rsid w:val="00271CF6"/>
    <w:rsid w:val="00280C5E"/>
    <w:rsid w:val="00290296"/>
    <w:rsid w:val="0029029C"/>
    <w:rsid w:val="00291129"/>
    <w:rsid w:val="00294FE1"/>
    <w:rsid w:val="00295DB7"/>
    <w:rsid w:val="002A4BEA"/>
    <w:rsid w:val="002A698B"/>
    <w:rsid w:val="002A6CB1"/>
    <w:rsid w:val="002B0BB8"/>
    <w:rsid w:val="002B3C82"/>
    <w:rsid w:val="002B5DB6"/>
    <w:rsid w:val="002C0515"/>
    <w:rsid w:val="002C7C4A"/>
    <w:rsid w:val="002D233E"/>
    <w:rsid w:val="002D3768"/>
    <w:rsid w:val="002D7B17"/>
    <w:rsid w:val="002E10A0"/>
    <w:rsid w:val="002E14B5"/>
    <w:rsid w:val="002E55DC"/>
    <w:rsid w:val="002E5967"/>
    <w:rsid w:val="002F417A"/>
    <w:rsid w:val="002F5A39"/>
    <w:rsid w:val="002F7144"/>
    <w:rsid w:val="003008CE"/>
    <w:rsid w:val="0030581F"/>
    <w:rsid w:val="00311ECE"/>
    <w:rsid w:val="00312250"/>
    <w:rsid w:val="00312E0C"/>
    <w:rsid w:val="00313084"/>
    <w:rsid w:val="00316786"/>
    <w:rsid w:val="0032062D"/>
    <w:rsid w:val="0032376D"/>
    <w:rsid w:val="0032510A"/>
    <w:rsid w:val="0032581E"/>
    <w:rsid w:val="0032723C"/>
    <w:rsid w:val="00327D41"/>
    <w:rsid w:val="003301FB"/>
    <w:rsid w:val="00330727"/>
    <w:rsid w:val="00333D12"/>
    <w:rsid w:val="003341D2"/>
    <w:rsid w:val="003352D9"/>
    <w:rsid w:val="003361F7"/>
    <w:rsid w:val="00340672"/>
    <w:rsid w:val="00341829"/>
    <w:rsid w:val="00343497"/>
    <w:rsid w:val="0035026D"/>
    <w:rsid w:val="00354521"/>
    <w:rsid w:val="003550F3"/>
    <w:rsid w:val="00357468"/>
    <w:rsid w:val="00357960"/>
    <w:rsid w:val="003606BA"/>
    <w:rsid w:val="00366738"/>
    <w:rsid w:val="00371259"/>
    <w:rsid w:val="00372637"/>
    <w:rsid w:val="003736E2"/>
    <w:rsid w:val="0037449A"/>
    <w:rsid w:val="00382237"/>
    <w:rsid w:val="00382639"/>
    <w:rsid w:val="00386FF5"/>
    <w:rsid w:val="003871D2"/>
    <w:rsid w:val="00391326"/>
    <w:rsid w:val="003926C2"/>
    <w:rsid w:val="003926D9"/>
    <w:rsid w:val="003931BF"/>
    <w:rsid w:val="00397C3E"/>
    <w:rsid w:val="003A1146"/>
    <w:rsid w:val="003A121A"/>
    <w:rsid w:val="003A4B74"/>
    <w:rsid w:val="003B344C"/>
    <w:rsid w:val="003B36EF"/>
    <w:rsid w:val="003B3821"/>
    <w:rsid w:val="003B6360"/>
    <w:rsid w:val="003B71E4"/>
    <w:rsid w:val="003B7E25"/>
    <w:rsid w:val="003C016B"/>
    <w:rsid w:val="003C0226"/>
    <w:rsid w:val="003C02FF"/>
    <w:rsid w:val="003C1FC0"/>
    <w:rsid w:val="003C2047"/>
    <w:rsid w:val="003C2223"/>
    <w:rsid w:val="003C33D5"/>
    <w:rsid w:val="003C34BF"/>
    <w:rsid w:val="003C66C9"/>
    <w:rsid w:val="003C770F"/>
    <w:rsid w:val="003D02B8"/>
    <w:rsid w:val="003D189E"/>
    <w:rsid w:val="003D3346"/>
    <w:rsid w:val="003D3C11"/>
    <w:rsid w:val="003E3D4F"/>
    <w:rsid w:val="003E4B9F"/>
    <w:rsid w:val="003E7442"/>
    <w:rsid w:val="003F4259"/>
    <w:rsid w:val="003F55C6"/>
    <w:rsid w:val="003F6F6D"/>
    <w:rsid w:val="00401D35"/>
    <w:rsid w:val="004035E5"/>
    <w:rsid w:val="00407AE7"/>
    <w:rsid w:val="00415825"/>
    <w:rsid w:val="00421BC3"/>
    <w:rsid w:val="0042288F"/>
    <w:rsid w:val="00422C39"/>
    <w:rsid w:val="004262FC"/>
    <w:rsid w:val="004306A4"/>
    <w:rsid w:val="00434407"/>
    <w:rsid w:val="004359C2"/>
    <w:rsid w:val="004370C7"/>
    <w:rsid w:val="00442539"/>
    <w:rsid w:val="004426D9"/>
    <w:rsid w:val="00442F1F"/>
    <w:rsid w:val="00443EC6"/>
    <w:rsid w:val="00444DAD"/>
    <w:rsid w:val="00444E2F"/>
    <w:rsid w:val="00446960"/>
    <w:rsid w:val="00450ADD"/>
    <w:rsid w:val="00461346"/>
    <w:rsid w:val="0046147F"/>
    <w:rsid w:val="0046602C"/>
    <w:rsid w:val="00470267"/>
    <w:rsid w:val="00472B0B"/>
    <w:rsid w:val="00474EE8"/>
    <w:rsid w:val="004760EE"/>
    <w:rsid w:val="004813F1"/>
    <w:rsid w:val="00481F62"/>
    <w:rsid w:val="00486E0F"/>
    <w:rsid w:val="00487001"/>
    <w:rsid w:val="00487576"/>
    <w:rsid w:val="00487727"/>
    <w:rsid w:val="004903E3"/>
    <w:rsid w:val="00492915"/>
    <w:rsid w:val="004941EC"/>
    <w:rsid w:val="0049515C"/>
    <w:rsid w:val="004961A5"/>
    <w:rsid w:val="00496809"/>
    <w:rsid w:val="00497298"/>
    <w:rsid w:val="004A15BA"/>
    <w:rsid w:val="004A4D8B"/>
    <w:rsid w:val="004A5B19"/>
    <w:rsid w:val="004A6989"/>
    <w:rsid w:val="004A7275"/>
    <w:rsid w:val="004B22E3"/>
    <w:rsid w:val="004B42C2"/>
    <w:rsid w:val="004B5B18"/>
    <w:rsid w:val="004C1AB0"/>
    <w:rsid w:val="004C4EC0"/>
    <w:rsid w:val="004C5374"/>
    <w:rsid w:val="004C63E3"/>
    <w:rsid w:val="004C74BB"/>
    <w:rsid w:val="004C7ECD"/>
    <w:rsid w:val="004D29F7"/>
    <w:rsid w:val="004E0FDE"/>
    <w:rsid w:val="004E2987"/>
    <w:rsid w:val="004E3007"/>
    <w:rsid w:val="004E6F6C"/>
    <w:rsid w:val="004E77B2"/>
    <w:rsid w:val="004F1318"/>
    <w:rsid w:val="004F5EEE"/>
    <w:rsid w:val="004F6D07"/>
    <w:rsid w:val="005013D3"/>
    <w:rsid w:val="005033A9"/>
    <w:rsid w:val="00506FFE"/>
    <w:rsid w:val="005072A8"/>
    <w:rsid w:val="00507707"/>
    <w:rsid w:val="00510985"/>
    <w:rsid w:val="00511B30"/>
    <w:rsid w:val="005176B5"/>
    <w:rsid w:val="0051771C"/>
    <w:rsid w:val="00520DC9"/>
    <w:rsid w:val="00522191"/>
    <w:rsid w:val="0052289F"/>
    <w:rsid w:val="0052349F"/>
    <w:rsid w:val="005260E4"/>
    <w:rsid w:val="00531CBD"/>
    <w:rsid w:val="00532326"/>
    <w:rsid w:val="00534691"/>
    <w:rsid w:val="005367E7"/>
    <w:rsid w:val="00543348"/>
    <w:rsid w:val="0054617C"/>
    <w:rsid w:val="00550DD8"/>
    <w:rsid w:val="00551B87"/>
    <w:rsid w:val="00551D55"/>
    <w:rsid w:val="00552907"/>
    <w:rsid w:val="0055327A"/>
    <w:rsid w:val="005562E3"/>
    <w:rsid w:val="00557AED"/>
    <w:rsid w:val="0056149D"/>
    <w:rsid w:val="00561F11"/>
    <w:rsid w:val="00565C52"/>
    <w:rsid w:val="00566927"/>
    <w:rsid w:val="00566F57"/>
    <w:rsid w:val="005678BC"/>
    <w:rsid w:val="00570408"/>
    <w:rsid w:val="00571D6F"/>
    <w:rsid w:val="00575F87"/>
    <w:rsid w:val="0057629C"/>
    <w:rsid w:val="005766E1"/>
    <w:rsid w:val="005815E9"/>
    <w:rsid w:val="00586D2C"/>
    <w:rsid w:val="00586DAC"/>
    <w:rsid w:val="00587445"/>
    <w:rsid w:val="00587676"/>
    <w:rsid w:val="00587EA0"/>
    <w:rsid w:val="005918FA"/>
    <w:rsid w:val="00592092"/>
    <w:rsid w:val="00592A06"/>
    <w:rsid w:val="0059606A"/>
    <w:rsid w:val="005A5F4D"/>
    <w:rsid w:val="005A7C66"/>
    <w:rsid w:val="005B0C40"/>
    <w:rsid w:val="005B135C"/>
    <w:rsid w:val="005B3753"/>
    <w:rsid w:val="005C148F"/>
    <w:rsid w:val="005C7E1C"/>
    <w:rsid w:val="005D133F"/>
    <w:rsid w:val="005D2626"/>
    <w:rsid w:val="005D5AED"/>
    <w:rsid w:val="005D6669"/>
    <w:rsid w:val="005D741B"/>
    <w:rsid w:val="005D7C1E"/>
    <w:rsid w:val="005E134E"/>
    <w:rsid w:val="005E36ED"/>
    <w:rsid w:val="005E37E4"/>
    <w:rsid w:val="005E3B4B"/>
    <w:rsid w:val="005E4426"/>
    <w:rsid w:val="005E4DDB"/>
    <w:rsid w:val="005E7FE2"/>
    <w:rsid w:val="005F1536"/>
    <w:rsid w:val="005F2AD2"/>
    <w:rsid w:val="005F4426"/>
    <w:rsid w:val="005F531E"/>
    <w:rsid w:val="005F5FD5"/>
    <w:rsid w:val="005F7719"/>
    <w:rsid w:val="00602954"/>
    <w:rsid w:val="00603933"/>
    <w:rsid w:val="00606729"/>
    <w:rsid w:val="00610590"/>
    <w:rsid w:val="0061570A"/>
    <w:rsid w:val="006157A7"/>
    <w:rsid w:val="00616096"/>
    <w:rsid w:val="00616D98"/>
    <w:rsid w:val="0061706D"/>
    <w:rsid w:val="006216FE"/>
    <w:rsid w:val="00621711"/>
    <w:rsid w:val="00626318"/>
    <w:rsid w:val="0063076F"/>
    <w:rsid w:val="0063132F"/>
    <w:rsid w:val="006314F4"/>
    <w:rsid w:val="0063257B"/>
    <w:rsid w:val="00634359"/>
    <w:rsid w:val="00637C47"/>
    <w:rsid w:val="006434DE"/>
    <w:rsid w:val="00645C89"/>
    <w:rsid w:val="00645FC0"/>
    <w:rsid w:val="006466D6"/>
    <w:rsid w:val="0065155F"/>
    <w:rsid w:val="0065501E"/>
    <w:rsid w:val="00655BF7"/>
    <w:rsid w:val="00656661"/>
    <w:rsid w:val="00660C4B"/>
    <w:rsid w:val="00661267"/>
    <w:rsid w:val="00665326"/>
    <w:rsid w:val="00667DC3"/>
    <w:rsid w:val="00674EC5"/>
    <w:rsid w:val="00687067"/>
    <w:rsid w:val="00687446"/>
    <w:rsid w:val="006A09EB"/>
    <w:rsid w:val="006B0B59"/>
    <w:rsid w:val="006B1E74"/>
    <w:rsid w:val="006B24BC"/>
    <w:rsid w:val="006B27CF"/>
    <w:rsid w:val="006B4BDA"/>
    <w:rsid w:val="006C02E1"/>
    <w:rsid w:val="006C2BE0"/>
    <w:rsid w:val="006C456D"/>
    <w:rsid w:val="006C5310"/>
    <w:rsid w:val="006C787F"/>
    <w:rsid w:val="006D0280"/>
    <w:rsid w:val="006D3C02"/>
    <w:rsid w:val="006D4366"/>
    <w:rsid w:val="006E5A5B"/>
    <w:rsid w:val="006F211E"/>
    <w:rsid w:val="006F2955"/>
    <w:rsid w:val="006F44CD"/>
    <w:rsid w:val="006F502E"/>
    <w:rsid w:val="006F6F98"/>
    <w:rsid w:val="0070265C"/>
    <w:rsid w:val="00706870"/>
    <w:rsid w:val="0070723E"/>
    <w:rsid w:val="007072DA"/>
    <w:rsid w:val="0071029D"/>
    <w:rsid w:val="007117A0"/>
    <w:rsid w:val="0071267D"/>
    <w:rsid w:val="0071318E"/>
    <w:rsid w:val="00720D66"/>
    <w:rsid w:val="00721EAA"/>
    <w:rsid w:val="00725B95"/>
    <w:rsid w:val="007270F0"/>
    <w:rsid w:val="00732B39"/>
    <w:rsid w:val="0074406A"/>
    <w:rsid w:val="007441B6"/>
    <w:rsid w:val="0074453D"/>
    <w:rsid w:val="00753BD9"/>
    <w:rsid w:val="007579B0"/>
    <w:rsid w:val="00762136"/>
    <w:rsid w:val="0076589E"/>
    <w:rsid w:val="00777F56"/>
    <w:rsid w:val="007838EF"/>
    <w:rsid w:val="00786E39"/>
    <w:rsid w:val="00787B7B"/>
    <w:rsid w:val="00792B1F"/>
    <w:rsid w:val="00793891"/>
    <w:rsid w:val="007943B6"/>
    <w:rsid w:val="00796233"/>
    <w:rsid w:val="007A2126"/>
    <w:rsid w:val="007A42E7"/>
    <w:rsid w:val="007A72AE"/>
    <w:rsid w:val="007B0B0A"/>
    <w:rsid w:val="007B209A"/>
    <w:rsid w:val="007B3AC8"/>
    <w:rsid w:val="007B6782"/>
    <w:rsid w:val="007B79E7"/>
    <w:rsid w:val="007C12A2"/>
    <w:rsid w:val="007C3541"/>
    <w:rsid w:val="007C7AC7"/>
    <w:rsid w:val="007D14AE"/>
    <w:rsid w:val="007D5F9C"/>
    <w:rsid w:val="007D6CC1"/>
    <w:rsid w:val="007D70EF"/>
    <w:rsid w:val="007E0DB9"/>
    <w:rsid w:val="007E2E3A"/>
    <w:rsid w:val="007E30E9"/>
    <w:rsid w:val="007E4BCB"/>
    <w:rsid w:val="007E7EA8"/>
    <w:rsid w:val="007F3C50"/>
    <w:rsid w:val="007F7E4A"/>
    <w:rsid w:val="008029B0"/>
    <w:rsid w:val="00804E1A"/>
    <w:rsid w:val="00806224"/>
    <w:rsid w:val="00806D83"/>
    <w:rsid w:val="008072AE"/>
    <w:rsid w:val="00810918"/>
    <w:rsid w:val="008110A4"/>
    <w:rsid w:val="00811786"/>
    <w:rsid w:val="00812CF5"/>
    <w:rsid w:val="00813E08"/>
    <w:rsid w:val="00815C29"/>
    <w:rsid w:val="00816448"/>
    <w:rsid w:val="00817AF2"/>
    <w:rsid w:val="008222D3"/>
    <w:rsid w:val="00826D12"/>
    <w:rsid w:val="00827846"/>
    <w:rsid w:val="00831FF5"/>
    <w:rsid w:val="0083283F"/>
    <w:rsid w:val="00833967"/>
    <w:rsid w:val="008344EB"/>
    <w:rsid w:val="00840700"/>
    <w:rsid w:val="00843108"/>
    <w:rsid w:val="00844D99"/>
    <w:rsid w:val="008451A1"/>
    <w:rsid w:val="0084660F"/>
    <w:rsid w:val="008467E1"/>
    <w:rsid w:val="00851811"/>
    <w:rsid w:val="00851C3D"/>
    <w:rsid w:val="00856A60"/>
    <w:rsid w:val="008579BF"/>
    <w:rsid w:val="00863B76"/>
    <w:rsid w:val="00866BBE"/>
    <w:rsid w:val="00873122"/>
    <w:rsid w:val="00880AC7"/>
    <w:rsid w:val="008819A7"/>
    <w:rsid w:val="0088416E"/>
    <w:rsid w:val="00884C37"/>
    <w:rsid w:val="00887438"/>
    <w:rsid w:val="00887789"/>
    <w:rsid w:val="0089423B"/>
    <w:rsid w:val="00895051"/>
    <w:rsid w:val="008967FC"/>
    <w:rsid w:val="00896D0A"/>
    <w:rsid w:val="00896DAB"/>
    <w:rsid w:val="008A12F6"/>
    <w:rsid w:val="008A1FCC"/>
    <w:rsid w:val="008A6A7C"/>
    <w:rsid w:val="008B109E"/>
    <w:rsid w:val="008B1250"/>
    <w:rsid w:val="008B305C"/>
    <w:rsid w:val="008C0002"/>
    <w:rsid w:val="008C550D"/>
    <w:rsid w:val="008C5565"/>
    <w:rsid w:val="008C6919"/>
    <w:rsid w:val="008D0358"/>
    <w:rsid w:val="008D4ED6"/>
    <w:rsid w:val="008D5922"/>
    <w:rsid w:val="008D5A63"/>
    <w:rsid w:val="008D6DD3"/>
    <w:rsid w:val="008E05A8"/>
    <w:rsid w:val="008E3819"/>
    <w:rsid w:val="008E6203"/>
    <w:rsid w:val="008E6E49"/>
    <w:rsid w:val="008F3E50"/>
    <w:rsid w:val="008F725D"/>
    <w:rsid w:val="009025C3"/>
    <w:rsid w:val="00903281"/>
    <w:rsid w:val="0090328C"/>
    <w:rsid w:val="009078A1"/>
    <w:rsid w:val="00910F89"/>
    <w:rsid w:val="00911A9C"/>
    <w:rsid w:val="00912C71"/>
    <w:rsid w:val="00913B51"/>
    <w:rsid w:val="00920CE0"/>
    <w:rsid w:val="00920DBA"/>
    <w:rsid w:val="00920F0F"/>
    <w:rsid w:val="00920F30"/>
    <w:rsid w:val="0092352A"/>
    <w:rsid w:val="00927B54"/>
    <w:rsid w:val="00942098"/>
    <w:rsid w:val="00942811"/>
    <w:rsid w:val="00942F71"/>
    <w:rsid w:val="009501E3"/>
    <w:rsid w:val="00955405"/>
    <w:rsid w:val="00961293"/>
    <w:rsid w:val="0096481F"/>
    <w:rsid w:val="009648D9"/>
    <w:rsid w:val="0096659A"/>
    <w:rsid w:val="009672DF"/>
    <w:rsid w:val="00972A3E"/>
    <w:rsid w:val="00973E93"/>
    <w:rsid w:val="00975F22"/>
    <w:rsid w:val="009766CB"/>
    <w:rsid w:val="00983136"/>
    <w:rsid w:val="009840E7"/>
    <w:rsid w:val="00985285"/>
    <w:rsid w:val="00985895"/>
    <w:rsid w:val="00985F32"/>
    <w:rsid w:val="009A119A"/>
    <w:rsid w:val="009A5CE7"/>
    <w:rsid w:val="009A636F"/>
    <w:rsid w:val="009B0145"/>
    <w:rsid w:val="009B554C"/>
    <w:rsid w:val="009B67C1"/>
    <w:rsid w:val="009B7A1D"/>
    <w:rsid w:val="009C0C32"/>
    <w:rsid w:val="009C2FAD"/>
    <w:rsid w:val="009C30D1"/>
    <w:rsid w:val="009C55BF"/>
    <w:rsid w:val="009C674F"/>
    <w:rsid w:val="009D6D19"/>
    <w:rsid w:val="009D7283"/>
    <w:rsid w:val="009E3DCB"/>
    <w:rsid w:val="009E7BF8"/>
    <w:rsid w:val="009E7CC3"/>
    <w:rsid w:val="009F21DF"/>
    <w:rsid w:val="009F3C54"/>
    <w:rsid w:val="009F5B32"/>
    <w:rsid w:val="009F71E8"/>
    <w:rsid w:val="00A01FD1"/>
    <w:rsid w:val="00A02EED"/>
    <w:rsid w:val="00A122F5"/>
    <w:rsid w:val="00A163B8"/>
    <w:rsid w:val="00A20124"/>
    <w:rsid w:val="00A23FF4"/>
    <w:rsid w:val="00A31BC3"/>
    <w:rsid w:val="00A40C9B"/>
    <w:rsid w:val="00A437F5"/>
    <w:rsid w:val="00A44C82"/>
    <w:rsid w:val="00A45278"/>
    <w:rsid w:val="00A540E0"/>
    <w:rsid w:val="00A570EB"/>
    <w:rsid w:val="00A5750A"/>
    <w:rsid w:val="00A6026D"/>
    <w:rsid w:val="00A61A92"/>
    <w:rsid w:val="00A632F6"/>
    <w:rsid w:val="00A66752"/>
    <w:rsid w:val="00A66AD7"/>
    <w:rsid w:val="00A66FF0"/>
    <w:rsid w:val="00A710F3"/>
    <w:rsid w:val="00A752D1"/>
    <w:rsid w:val="00A75F11"/>
    <w:rsid w:val="00A77112"/>
    <w:rsid w:val="00A818CB"/>
    <w:rsid w:val="00A81BDC"/>
    <w:rsid w:val="00A84F9A"/>
    <w:rsid w:val="00A96BD5"/>
    <w:rsid w:val="00A978B2"/>
    <w:rsid w:val="00AA36B4"/>
    <w:rsid w:val="00AA7C30"/>
    <w:rsid w:val="00AB0D8B"/>
    <w:rsid w:val="00AB2E1B"/>
    <w:rsid w:val="00AB56FE"/>
    <w:rsid w:val="00AB6771"/>
    <w:rsid w:val="00AC0788"/>
    <w:rsid w:val="00AC759B"/>
    <w:rsid w:val="00AD0A9E"/>
    <w:rsid w:val="00AD1EAB"/>
    <w:rsid w:val="00AD35E1"/>
    <w:rsid w:val="00AD36E1"/>
    <w:rsid w:val="00AD6078"/>
    <w:rsid w:val="00AD7BB4"/>
    <w:rsid w:val="00AE0199"/>
    <w:rsid w:val="00AE2521"/>
    <w:rsid w:val="00AE41BF"/>
    <w:rsid w:val="00AE7BEE"/>
    <w:rsid w:val="00AF23E7"/>
    <w:rsid w:val="00AF2BDB"/>
    <w:rsid w:val="00AF63C6"/>
    <w:rsid w:val="00AF64B2"/>
    <w:rsid w:val="00AF7172"/>
    <w:rsid w:val="00B005C1"/>
    <w:rsid w:val="00B00887"/>
    <w:rsid w:val="00B04F26"/>
    <w:rsid w:val="00B05BD4"/>
    <w:rsid w:val="00B1155D"/>
    <w:rsid w:val="00B14AF3"/>
    <w:rsid w:val="00B157A5"/>
    <w:rsid w:val="00B16C87"/>
    <w:rsid w:val="00B20FDB"/>
    <w:rsid w:val="00B254DB"/>
    <w:rsid w:val="00B25B8E"/>
    <w:rsid w:val="00B31AF5"/>
    <w:rsid w:val="00B337B9"/>
    <w:rsid w:val="00B33BB9"/>
    <w:rsid w:val="00B400C9"/>
    <w:rsid w:val="00B40A87"/>
    <w:rsid w:val="00B4338F"/>
    <w:rsid w:val="00B44802"/>
    <w:rsid w:val="00B46119"/>
    <w:rsid w:val="00B46D9C"/>
    <w:rsid w:val="00B46F0D"/>
    <w:rsid w:val="00B50756"/>
    <w:rsid w:val="00B508D5"/>
    <w:rsid w:val="00B51F9B"/>
    <w:rsid w:val="00B536B6"/>
    <w:rsid w:val="00B554A6"/>
    <w:rsid w:val="00B561D0"/>
    <w:rsid w:val="00B647FD"/>
    <w:rsid w:val="00B6647C"/>
    <w:rsid w:val="00B70783"/>
    <w:rsid w:val="00B719BE"/>
    <w:rsid w:val="00B71BB3"/>
    <w:rsid w:val="00B7407E"/>
    <w:rsid w:val="00B742A0"/>
    <w:rsid w:val="00B762FD"/>
    <w:rsid w:val="00B76ABC"/>
    <w:rsid w:val="00B76AE9"/>
    <w:rsid w:val="00B76D4B"/>
    <w:rsid w:val="00B77762"/>
    <w:rsid w:val="00B827CD"/>
    <w:rsid w:val="00B87880"/>
    <w:rsid w:val="00B921BB"/>
    <w:rsid w:val="00B92539"/>
    <w:rsid w:val="00B92810"/>
    <w:rsid w:val="00B9430B"/>
    <w:rsid w:val="00B94955"/>
    <w:rsid w:val="00B94A9D"/>
    <w:rsid w:val="00BA2807"/>
    <w:rsid w:val="00BB588B"/>
    <w:rsid w:val="00BB78DB"/>
    <w:rsid w:val="00BC3BF8"/>
    <w:rsid w:val="00BC519E"/>
    <w:rsid w:val="00BD0D84"/>
    <w:rsid w:val="00BD4D91"/>
    <w:rsid w:val="00BE10FA"/>
    <w:rsid w:val="00BE19F2"/>
    <w:rsid w:val="00BE4D69"/>
    <w:rsid w:val="00BE7551"/>
    <w:rsid w:val="00BE7F37"/>
    <w:rsid w:val="00BF1ECA"/>
    <w:rsid w:val="00BF717A"/>
    <w:rsid w:val="00BF7AFD"/>
    <w:rsid w:val="00C008CE"/>
    <w:rsid w:val="00C028F8"/>
    <w:rsid w:val="00C100AE"/>
    <w:rsid w:val="00C11CFE"/>
    <w:rsid w:val="00C136DE"/>
    <w:rsid w:val="00C139A1"/>
    <w:rsid w:val="00C14150"/>
    <w:rsid w:val="00C147D7"/>
    <w:rsid w:val="00C15F06"/>
    <w:rsid w:val="00C21F72"/>
    <w:rsid w:val="00C222AD"/>
    <w:rsid w:val="00C234EE"/>
    <w:rsid w:val="00C34C62"/>
    <w:rsid w:val="00C360BC"/>
    <w:rsid w:val="00C37592"/>
    <w:rsid w:val="00C42C2A"/>
    <w:rsid w:val="00C435C9"/>
    <w:rsid w:val="00C442D4"/>
    <w:rsid w:val="00C455AA"/>
    <w:rsid w:val="00C467A7"/>
    <w:rsid w:val="00C470E7"/>
    <w:rsid w:val="00C509BF"/>
    <w:rsid w:val="00C50FB8"/>
    <w:rsid w:val="00C52E17"/>
    <w:rsid w:val="00C549A4"/>
    <w:rsid w:val="00C5628E"/>
    <w:rsid w:val="00C56569"/>
    <w:rsid w:val="00C571A3"/>
    <w:rsid w:val="00C6049D"/>
    <w:rsid w:val="00C611EC"/>
    <w:rsid w:val="00C62EB4"/>
    <w:rsid w:val="00C62F62"/>
    <w:rsid w:val="00C64CAD"/>
    <w:rsid w:val="00C656FF"/>
    <w:rsid w:val="00C6587C"/>
    <w:rsid w:val="00C67D5C"/>
    <w:rsid w:val="00C70760"/>
    <w:rsid w:val="00C70907"/>
    <w:rsid w:val="00C71254"/>
    <w:rsid w:val="00C768D0"/>
    <w:rsid w:val="00C77EE1"/>
    <w:rsid w:val="00C82007"/>
    <w:rsid w:val="00C8519E"/>
    <w:rsid w:val="00C86144"/>
    <w:rsid w:val="00C87591"/>
    <w:rsid w:val="00C901DC"/>
    <w:rsid w:val="00C95511"/>
    <w:rsid w:val="00C95868"/>
    <w:rsid w:val="00C974E9"/>
    <w:rsid w:val="00CA2466"/>
    <w:rsid w:val="00CA44E8"/>
    <w:rsid w:val="00CA57D5"/>
    <w:rsid w:val="00CA5D41"/>
    <w:rsid w:val="00CB25BE"/>
    <w:rsid w:val="00CB2767"/>
    <w:rsid w:val="00CB2DEB"/>
    <w:rsid w:val="00CB3E3D"/>
    <w:rsid w:val="00CB642F"/>
    <w:rsid w:val="00CC13CF"/>
    <w:rsid w:val="00CC2D86"/>
    <w:rsid w:val="00CC507A"/>
    <w:rsid w:val="00CD0052"/>
    <w:rsid w:val="00CD5D5B"/>
    <w:rsid w:val="00CD61A3"/>
    <w:rsid w:val="00CE366D"/>
    <w:rsid w:val="00CE42C0"/>
    <w:rsid w:val="00CE5629"/>
    <w:rsid w:val="00CE6665"/>
    <w:rsid w:val="00CE6D26"/>
    <w:rsid w:val="00CF0F9C"/>
    <w:rsid w:val="00CF2E67"/>
    <w:rsid w:val="00CF310C"/>
    <w:rsid w:val="00CF450A"/>
    <w:rsid w:val="00CF6178"/>
    <w:rsid w:val="00D003DB"/>
    <w:rsid w:val="00D01BBF"/>
    <w:rsid w:val="00D034CE"/>
    <w:rsid w:val="00D0353A"/>
    <w:rsid w:val="00D100A2"/>
    <w:rsid w:val="00D10966"/>
    <w:rsid w:val="00D1309E"/>
    <w:rsid w:val="00D14C53"/>
    <w:rsid w:val="00D155B3"/>
    <w:rsid w:val="00D15A7D"/>
    <w:rsid w:val="00D16A26"/>
    <w:rsid w:val="00D170D9"/>
    <w:rsid w:val="00D20B06"/>
    <w:rsid w:val="00D212F6"/>
    <w:rsid w:val="00D24FB4"/>
    <w:rsid w:val="00D26839"/>
    <w:rsid w:val="00D30F48"/>
    <w:rsid w:val="00D433D7"/>
    <w:rsid w:val="00D45E64"/>
    <w:rsid w:val="00D469D9"/>
    <w:rsid w:val="00D46F56"/>
    <w:rsid w:val="00D47E93"/>
    <w:rsid w:val="00D579B7"/>
    <w:rsid w:val="00D601E4"/>
    <w:rsid w:val="00D60408"/>
    <w:rsid w:val="00D60BD4"/>
    <w:rsid w:val="00D623C1"/>
    <w:rsid w:val="00D631A2"/>
    <w:rsid w:val="00D645ED"/>
    <w:rsid w:val="00D738CC"/>
    <w:rsid w:val="00D73FC5"/>
    <w:rsid w:val="00D75352"/>
    <w:rsid w:val="00D816C9"/>
    <w:rsid w:val="00D822A4"/>
    <w:rsid w:val="00D8403B"/>
    <w:rsid w:val="00D919C7"/>
    <w:rsid w:val="00D92DA2"/>
    <w:rsid w:val="00D9695D"/>
    <w:rsid w:val="00DA518F"/>
    <w:rsid w:val="00DA6AD5"/>
    <w:rsid w:val="00DB35FA"/>
    <w:rsid w:val="00DB6532"/>
    <w:rsid w:val="00DB6E05"/>
    <w:rsid w:val="00DC00C0"/>
    <w:rsid w:val="00DC01C6"/>
    <w:rsid w:val="00DC02B4"/>
    <w:rsid w:val="00DD023C"/>
    <w:rsid w:val="00DD163C"/>
    <w:rsid w:val="00DD2D08"/>
    <w:rsid w:val="00DD42D4"/>
    <w:rsid w:val="00DD4F5A"/>
    <w:rsid w:val="00DD505A"/>
    <w:rsid w:val="00DD560F"/>
    <w:rsid w:val="00DE0AAE"/>
    <w:rsid w:val="00DE3670"/>
    <w:rsid w:val="00DE4C26"/>
    <w:rsid w:val="00DF0208"/>
    <w:rsid w:val="00DF0488"/>
    <w:rsid w:val="00DF5F47"/>
    <w:rsid w:val="00DF7BE2"/>
    <w:rsid w:val="00E03CAB"/>
    <w:rsid w:val="00E055AE"/>
    <w:rsid w:val="00E05E14"/>
    <w:rsid w:val="00E05E1A"/>
    <w:rsid w:val="00E10710"/>
    <w:rsid w:val="00E10A33"/>
    <w:rsid w:val="00E11435"/>
    <w:rsid w:val="00E11D55"/>
    <w:rsid w:val="00E11DCF"/>
    <w:rsid w:val="00E12A92"/>
    <w:rsid w:val="00E13F84"/>
    <w:rsid w:val="00E168C0"/>
    <w:rsid w:val="00E1723A"/>
    <w:rsid w:val="00E20E66"/>
    <w:rsid w:val="00E254FD"/>
    <w:rsid w:val="00E30B24"/>
    <w:rsid w:val="00E3305D"/>
    <w:rsid w:val="00E40A33"/>
    <w:rsid w:val="00E532F8"/>
    <w:rsid w:val="00E535ED"/>
    <w:rsid w:val="00E55031"/>
    <w:rsid w:val="00E5628A"/>
    <w:rsid w:val="00E609F5"/>
    <w:rsid w:val="00E60E87"/>
    <w:rsid w:val="00E642E1"/>
    <w:rsid w:val="00E64F2B"/>
    <w:rsid w:val="00E711EC"/>
    <w:rsid w:val="00E713DD"/>
    <w:rsid w:val="00E8168A"/>
    <w:rsid w:val="00E84F1E"/>
    <w:rsid w:val="00EA1064"/>
    <w:rsid w:val="00EA325B"/>
    <w:rsid w:val="00EA4DC1"/>
    <w:rsid w:val="00EA6544"/>
    <w:rsid w:val="00EA6886"/>
    <w:rsid w:val="00EB0093"/>
    <w:rsid w:val="00EB03B8"/>
    <w:rsid w:val="00EB2F13"/>
    <w:rsid w:val="00EB3FBE"/>
    <w:rsid w:val="00EB690F"/>
    <w:rsid w:val="00EC227D"/>
    <w:rsid w:val="00EC25D5"/>
    <w:rsid w:val="00EC2B64"/>
    <w:rsid w:val="00EC3119"/>
    <w:rsid w:val="00EC36ED"/>
    <w:rsid w:val="00EC403D"/>
    <w:rsid w:val="00EC6338"/>
    <w:rsid w:val="00EC72F6"/>
    <w:rsid w:val="00ED0014"/>
    <w:rsid w:val="00ED0913"/>
    <w:rsid w:val="00ED2AE7"/>
    <w:rsid w:val="00ED44D3"/>
    <w:rsid w:val="00ED5605"/>
    <w:rsid w:val="00EE12A0"/>
    <w:rsid w:val="00EE1A44"/>
    <w:rsid w:val="00EF23A7"/>
    <w:rsid w:val="00EF3453"/>
    <w:rsid w:val="00EF50AB"/>
    <w:rsid w:val="00EF606C"/>
    <w:rsid w:val="00EF7211"/>
    <w:rsid w:val="00F00B5E"/>
    <w:rsid w:val="00F01B47"/>
    <w:rsid w:val="00F130F4"/>
    <w:rsid w:val="00F14755"/>
    <w:rsid w:val="00F21CC4"/>
    <w:rsid w:val="00F23AFD"/>
    <w:rsid w:val="00F275E2"/>
    <w:rsid w:val="00F3271A"/>
    <w:rsid w:val="00F33E0F"/>
    <w:rsid w:val="00F34488"/>
    <w:rsid w:val="00F35922"/>
    <w:rsid w:val="00F36115"/>
    <w:rsid w:val="00F369C5"/>
    <w:rsid w:val="00F3735C"/>
    <w:rsid w:val="00F46F6D"/>
    <w:rsid w:val="00F4795E"/>
    <w:rsid w:val="00F53338"/>
    <w:rsid w:val="00F53F6C"/>
    <w:rsid w:val="00F54CA0"/>
    <w:rsid w:val="00F55155"/>
    <w:rsid w:val="00F55234"/>
    <w:rsid w:val="00F55A0B"/>
    <w:rsid w:val="00F56F3E"/>
    <w:rsid w:val="00F60868"/>
    <w:rsid w:val="00F616C6"/>
    <w:rsid w:val="00F63082"/>
    <w:rsid w:val="00F637BB"/>
    <w:rsid w:val="00F6466C"/>
    <w:rsid w:val="00F651AC"/>
    <w:rsid w:val="00F85A8D"/>
    <w:rsid w:val="00F85DEA"/>
    <w:rsid w:val="00F87476"/>
    <w:rsid w:val="00F96E9F"/>
    <w:rsid w:val="00FA12AD"/>
    <w:rsid w:val="00FA4CF5"/>
    <w:rsid w:val="00FA506C"/>
    <w:rsid w:val="00FA68B0"/>
    <w:rsid w:val="00FA7238"/>
    <w:rsid w:val="00FB1B27"/>
    <w:rsid w:val="00FB31F2"/>
    <w:rsid w:val="00FB39CC"/>
    <w:rsid w:val="00FB5401"/>
    <w:rsid w:val="00FC03AD"/>
    <w:rsid w:val="00FC31D2"/>
    <w:rsid w:val="00FC5334"/>
    <w:rsid w:val="00FC5D9D"/>
    <w:rsid w:val="00FC6582"/>
    <w:rsid w:val="00FD6531"/>
    <w:rsid w:val="00FE1850"/>
    <w:rsid w:val="00FE78EA"/>
    <w:rsid w:val="00FF0233"/>
    <w:rsid w:val="00FF055B"/>
    <w:rsid w:val="00FF156F"/>
    <w:rsid w:val="00FF6A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C9F3"/>
  <w15:chartTrackingRefBased/>
  <w15:docId w15:val="{32760A8B-087D-4AF8-8086-F88E1A83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6F6F98"/>
    <w:pPr>
      <w:widowControl w:val="0"/>
      <w:spacing w:after="0" w:line="360" w:lineRule="auto"/>
      <w:jc w:val="both"/>
    </w:pPr>
    <w:rPr>
      <w:rFonts w:ascii="Calibri" w:hAnsi="Calibri"/>
      <w:kern w:val="2"/>
    </w:rPr>
  </w:style>
  <w:style w:type="paragraph" w:styleId="Heading1">
    <w:name w:val="heading 1"/>
    <w:basedOn w:val="Normal"/>
    <w:next w:val="Normal"/>
    <w:link w:val="Heading1Char"/>
    <w:uiPriority w:val="9"/>
    <w:qFormat/>
    <w:rsid w:val="006F6F98"/>
    <w:pPr>
      <w:keepNext/>
      <w:keepLines/>
      <w:spacing w:before="240"/>
      <w:outlineLvl w:val="0"/>
    </w:pPr>
    <w:rPr>
      <w:rFonts w:eastAsiaTheme="majorEastAsia" w:cstheme="majorBidi"/>
      <w:b/>
      <w:color w:val="2F5496" w:themeColor="accent1" w:themeShade="BF"/>
      <w:szCs w:val="32"/>
    </w:rPr>
  </w:style>
  <w:style w:type="paragraph" w:styleId="Heading2">
    <w:name w:val="heading 2"/>
    <w:basedOn w:val="Normal"/>
    <w:next w:val="Normal"/>
    <w:link w:val="Heading2Char"/>
    <w:uiPriority w:val="9"/>
    <w:unhideWhenUsed/>
    <w:qFormat/>
    <w:rsid w:val="006F6F98"/>
    <w:pPr>
      <w:keepNext/>
      <w:keepLines/>
      <w:spacing w:before="120"/>
      <w:outlineLvl w:val="1"/>
    </w:pPr>
    <w:rPr>
      <w:rFonts w:eastAsiaTheme="majorEastAsia" w:cstheme="majorBidi"/>
      <w:i/>
      <w:color w:val="2F5496" w:themeColor="accent1" w:themeShade="BF"/>
      <w:szCs w:val="26"/>
    </w:rPr>
  </w:style>
  <w:style w:type="paragraph" w:styleId="Heading3">
    <w:name w:val="heading 3"/>
    <w:basedOn w:val="Normal"/>
    <w:next w:val="Normal"/>
    <w:link w:val="Heading3Char"/>
    <w:uiPriority w:val="9"/>
    <w:unhideWhenUsed/>
    <w:qFormat/>
    <w:rsid w:val="006F6F98"/>
    <w:pPr>
      <w:keepNext/>
      <w:keepLines/>
      <w:spacing w:before="120"/>
      <w:outlineLvl w:val="2"/>
    </w:pPr>
    <w:rPr>
      <w:rFonts w:eastAsiaTheme="majorEastAsia" w:cstheme="majorBidi"/>
      <w:color w:val="4472C4" w:themeColor="accen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F98"/>
    <w:rPr>
      <w:rFonts w:ascii="Segoe UI" w:hAnsi="Segoe UI" w:cs="Segoe UI"/>
      <w:kern w:val="2"/>
      <w:sz w:val="18"/>
      <w:szCs w:val="18"/>
    </w:rPr>
  </w:style>
  <w:style w:type="paragraph" w:styleId="Bibliography">
    <w:name w:val="Bibliography"/>
    <w:basedOn w:val="Normal"/>
    <w:next w:val="Normal"/>
    <w:uiPriority w:val="37"/>
    <w:unhideWhenUsed/>
    <w:rsid w:val="006F6F98"/>
  </w:style>
  <w:style w:type="paragraph" w:styleId="Footer">
    <w:name w:val="footer"/>
    <w:basedOn w:val="Normal"/>
    <w:link w:val="FooterChar"/>
    <w:uiPriority w:val="99"/>
    <w:unhideWhenUsed/>
    <w:rsid w:val="006F6F98"/>
    <w:pPr>
      <w:tabs>
        <w:tab w:val="center" w:pos="4419"/>
        <w:tab w:val="right" w:pos="8838"/>
      </w:tabs>
    </w:pPr>
  </w:style>
  <w:style w:type="character" w:customStyle="1" w:styleId="FooterChar">
    <w:name w:val="Footer Char"/>
    <w:basedOn w:val="DefaultParagraphFont"/>
    <w:link w:val="Footer"/>
    <w:uiPriority w:val="99"/>
    <w:rsid w:val="006F6F98"/>
    <w:rPr>
      <w:rFonts w:ascii="Calibri" w:hAnsi="Calibri"/>
      <w:kern w:val="2"/>
    </w:rPr>
  </w:style>
  <w:style w:type="paragraph" w:styleId="FootnoteText">
    <w:name w:val="footnote text"/>
    <w:basedOn w:val="Normal"/>
    <w:link w:val="FootnoteTextChar"/>
    <w:uiPriority w:val="99"/>
    <w:unhideWhenUsed/>
    <w:rsid w:val="006F6F98"/>
    <w:pPr>
      <w:snapToGrid w:val="0"/>
      <w:jc w:val="left"/>
    </w:pPr>
  </w:style>
  <w:style w:type="character" w:customStyle="1" w:styleId="FootnoteTextChar">
    <w:name w:val="Footnote Text Char"/>
    <w:basedOn w:val="DefaultParagraphFont"/>
    <w:link w:val="FootnoteText"/>
    <w:uiPriority w:val="99"/>
    <w:rsid w:val="006F6F98"/>
    <w:rPr>
      <w:rFonts w:ascii="Calibri" w:hAnsi="Calibri"/>
      <w:kern w:val="2"/>
    </w:rPr>
  </w:style>
  <w:style w:type="paragraph" w:customStyle="1" w:styleId="Footnote">
    <w:name w:val="Footnote"/>
    <w:basedOn w:val="FootnoteText"/>
    <w:link w:val="FootnoteChar"/>
    <w:qFormat/>
    <w:rsid w:val="006F6F98"/>
    <w:pPr>
      <w:spacing w:line="240" w:lineRule="auto"/>
    </w:pPr>
    <w:rPr>
      <w:sz w:val="20"/>
      <w:szCs w:val="20"/>
    </w:rPr>
  </w:style>
  <w:style w:type="character" w:customStyle="1" w:styleId="FootnoteChar">
    <w:name w:val="Footnote Char"/>
    <w:basedOn w:val="FootnoteTextChar"/>
    <w:link w:val="Footnote"/>
    <w:rsid w:val="006F6F98"/>
    <w:rPr>
      <w:rFonts w:ascii="Calibri" w:hAnsi="Calibri"/>
      <w:kern w:val="2"/>
      <w:sz w:val="20"/>
      <w:szCs w:val="20"/>
    </w:rPr>
  </w:style>
  <w:style w:type="character" w:styleId="FootnoteReference">
    <w:name w:val="footnote reference"/>
    <w:basedOn w:val="DefaultParagraphFont"/>
    <w:uiPriority w:val="99"/>
    <w:unhideWhenUsed/>
    <w:rsid w:val="006F6F98"/>
    <w:rPr>
      <w:vertAlign w:val="superscript"/>
    </w:rPr>
  </w:style>
  <w:style w:type="paragraph" w:styleId="Header">
    <w:name w:val="header"/>
    <w:basedOn w:val="Normal"/>
    <w:link w:val="HeaderChar"/>
    <w:uiPriority w:val="99"/>
    <w:unhideWhenUsed/>
    <w:rsid w:val="006F6F98"/>
    <w:pPr>
      <w:tabs>
        <w:tab w:val="center" w:pos="4419"/>
        <w:tab w:val="right" w:pos="8838"/>
      </w:tabs>
    </w:pPr>
  </w:style>
  <w:style w:type="character" w:customStyle="1" w:styleId="HeaderChar">
    <w:name w:val="Header Char"/>
    <w:basedOn w:val="DefaultParagraphFont"/>
    <w:link w:val="Header"/>
    <w:uiPriority w:val="99"/>
    <w:rsid w:val="006F6F98"/>
    <w:rPr>
      <w:rFonts w:ascii="Calibri" w:hAnsi="Calibri"/>
      <w:kern w:val="2"/>
    </w:rPr>
  </w:style>
  <w:style w:type="character" w:customStyle="1" w:styleId="Heading1Char">
    <w:name w:val="Heading 1 Char"/>
    <w:basedOn w:val="DefaultParagraphFont"/>
    <w:link w:val="Heading1"/>
    <w:uiPriority w:val="9"/>
    <w:rsid w:val="006F6F98"/>
    <w:rPr>
      <w:rFonts w:ascii="Calibri" w:eastAsiaTheme="majorEastAsia" w:hAnsi="Calibri" w:cstheme="majorBidi"/>
      <w:b/>
      <w:color w:val="2F5496" w:themeColor="accent1" w:themeShade="BF"/>
      <w:kern w:val="2"/>
      <w:szCs w:val="32"/>
    </w:rPr>
  </w:style>
  <w:style w:type="character" w:customStyle="1" w:styleId="Heading2Char">
    <w:name w:val="Heading 2 Char"/>
    <w:basedOn w:val="DefaultParagraphFont"/>
    <w:link w:val="Heading2"/>
    <w:uiPriority w:val="9"/>
    <w:rsid w:val="006F6F98"/>
    <w:rPr>
      <w:rFonts w:ascii="Calibri" w:eastAsiaTheme="majorEastAsia" w:hAnsi="Calibri" w:cstheme="majorBidi"/>
      <w:i/>
      <w:color w:val="2F5496" w:themeColor="accent1" w:themeShade="BF"/>
      <w:kern w:val="2"/>
      <w:szCs w:val="26"/>
    </w:rPr>
  </w:style>
  <w:style w:type="character" w:customStyle="1" w:styleId="Heading3Char">
    <w:name w:val="Heading 3 Char"/>
    <w:basedOn w:val="DefaultParagraphFont"/>
    <w:link w:val="Heading3"/>
    <w:uiPriority w:val="9"/>
    <w:rsid w:val="006F6F98"/>
    <w:rPr>
      <w:rFonts w:ascii="Calibri" w:eastAsiaTheme="majorEastAsia" w:hAnsi="Calibri" w:cstheme="majorBidi"/>
      <w:color w:val="4472C4" w:themeColor="accent1"/>
      <w:kern w:val="2"/>
      <w:szCs w:val="24"/>
      <w:u w:val="single"/>
    </w:rPr>
  </w:style>
  <w:style w:type="character" w:styleId="Hyperlink">
    <w:name w:val="Hyperlink"/>
    <w:basedOn w:val="DefaultParagraphFont"/>
    <w:uiPriority w:val="99"/>
    <w:unhideWhenUsed/>
    <w:rsid w:val="006F6F98"/>
    <w:rPr>
      <w:color w:val="0563C1" w:themeColor="hyperlink"/>
      <w:u w:val="single"/>
    </w:rPr>
  </w:style>
  <w:style w:type="paragraph" w:styleId="ListParagraph">
    <w:name w:val="List Paragraph"/>
    <w:basedOn w:val="Normal"/>
    <w:uiPriority w:val="34"/>
    <w:qFormat/>
    <w:rsid w:val="006F6F98"/>
    <w:pPr>
      <w:ind w:leftChars="400" w:left="840"/>
    </w:pPr>
  </w:style>
  <w:style w:type="paragraph" w:customStyle="1" w:styleId="Newparagraph">
    <w:name w:val="New paragraph"/>
    <w:basedOn w:val="Normal"/>
    <w:link w:val="NewparagraphChar"/>
    <w:qFormat/>
    <w:rsid w:val="006F6F98"/>
    <w:pPr>
      <w:widowControl/>
      <w:ind w:firstLine="432"/>
    </w:pPr>
    <w:rPr>
      <w:rFonts w:cs="Times New Roman"/>
      <w:kern w:val="0"/>
      <w:szCs w:val="24"/>
      <w:lang w:eastAsia="en-GB"/>
    </w:rPr>
  </w:style>
  <w:style w:type="character" w:customStyle="1" w:styleId="NewparagraphChar">
    <w:name w:val="New paragraph Char"/>
    <w:basedOn w:val="DefaultParagraphFont"/>
    <w:link w:val="Newparagraph"/>
    <w:rsid w:val="006F6F98"/>
    <w:rPr>
      <w:rFonts w:ascii="Calibri" w:hAnsi="Calibri" w:cs="Times New Roman"/>
      <w:szCs w:val="24"/>
      <w:lang w:eastAsia="en-GB"/>
    </w:rPr>
  </w:style>
  <w:style w:type="paragraph" w:styleId="Quote">
    <w:name w:val="Quote"/>
    <w:basedOn w:val="Normal"/>
    <w:next w:val="Normal"/>
    <w:link w:val="QuoteChar"/>
    <w:uiPriority w:val="29"/>
    <w:qFormat/>
    <w:rsid w:val="006F6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6F98"/>
    <w:rPr>
      <w:rFonts w:ascii="Calibri" w:hAnsi="Calibri"/>
      <w:i/>
      <w:iCs/>
      <w:color w:val="404040" w:themeColor="text1" w:themeTint="BF"/>
      <w:kern w:val="2"/>
    </w:rPr>
  </w:style>
  <w:style w:type="paragraph" w:customStyle="1" w:styleId="Reference">
    <w:name w:val="Reference"/>
    <w:basedOn w:val="Bibliography"/>
    <w:next w:val="Bibliography"/>
    <w:link w:val="ReferenceChar"/>
    <w:qFormat/>
    <w:rsid w:val="006F6F98"/>
    <w:pPr>
      <w:ind w:left="720" w:hanging="720"/>
    </w:pPr>
  </w:style>
  <w:style w:type="character" w:customStyle="1" w:styleId="ReferenceChar">
    <w:name w:val="Reference Char"/>
    <w:basedOn w:val="DefaultParagraphFont"/>
    <w:link w:val="Reference"/>
    <w:rsid w:val="006F6F98"/>
    <w:rPr>
      <w:rFonts w:ascii="Calibri" w:hAnsi="Calibri"/>
      <w:kern w:val="2"/>
    </w:rPr>
  </w:style>
  <w:style w:type="paragraph" w:customStyle="1" w:styleId="References">
    <w:name w:val="References"/>
    <w:basedOn w:val="Newparagraph"/>
    <w:link w:val="ReferencesChar"/>
    <w:rsid w:val="006F6F98"/>
  </w:style>
  <w:style w:type="character" w:customStyle="1" w:styleId="ReferencesChar">
    <w:name w:val="References Char"/>
    <w:basedOn w:val="NewparagraphChar"/>
    <w:link w:val="References"/>
    <w:rsid w:val="006F6F98"/>
    <w:rPr>
      <w:rFonts w:ascii="Calibri" w:hAnsi="Calibri" w:cs="Times New Roman"/>
      <w:szCs w:val="24"/>
      <w:lang w:eastAsia="en-GB"/>
    </w:rPr>
  </w:style>
  <w:style w:type="table" w:styleId="TableGrid">
    <w:name w:val="Table Grid"/>
    <w:basedOn w:val="TableNormal"/>
    <w:uiPriority w:val="39"/>
    <w:rsid w:val="006F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6312E"/>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06312E"/>
    <w:rPr>
      <w:rFonts w:ascii="Calibri" w:eastAsiaTheme="majorEastAsia" w:hAnsi="Calibri" w:cstheme="majorBidi"/>
      <w:b/>
      <w:spacing w:val="-10"/>
      <w:kern w:val="28"/>
      <w:sz w:val="24"/>
      <w:szCs w:val="56"/>
    </w:rPr>
  </w:style>
  <w:style w:type="paragraph" w:styleId="TOC1">
    <w:name w:val="toc 1"/>
    <w:basedOn w:val="Normal"/>
    <w:next w:val="Normal"/>
    <w:autoRedefine/>
    <w:uiPriority w:val="39"/>
    <w:unhideWhenUsed/>
    <w:rsid w:val="006F6F98"/>
    <w:pPr>
      <w:spacing w:after="100"/>
    </w:pPr>
  </w:style>
  <w:style w:type="paragraph" w:styleId="TOC2">
    <w:name w:val="toc 2"/>
    <w:basedOn w:val="Normal"/>
    <w:next w:val="Normal"/>
    <w:autoRedefine/>
    <w:uiPriority w:val="39"/>
    <w:unhideWhenUsed/>
    <w:rsid w:val="006F6F98"/>
    <w:pPr>
      <w:spacing w:after="100"/>
      <w:ind w:left="220"/>
    </w:pPr>
  </w:style>
  <w:style w:type="paragraph" w:styleId="TOC3">
    <w:name w:val="toc 3"/>
    <w:basedOn w:val="Normal"/>
    <w:next w:val="Normal"/>
    <w:autoRedefine/>
    <w:uiPriority w:val="39"/>
    <w:unhideWhenUsed/>
    <w:rsid w:val="006F6F98"/>
    <w:pPr>
      <w:spacing w:after="100"/>
      <w:ind w:left="440"/>
    </w:pPr>
  </w:style>
  <w:style w:type="paragraph" w:styleId="TOCHeading">
    <w:name w:val="TOC Heading"/>
    <w:basedOn w:val="Heading1"/>
    <w:next w:val="Normal"/>
    <w:uiPriority w:val="39"/>
    <w:unhideWhenUsed/>
    <w:qFormat/>
    <w:rsid w:val="006F6F98"/>
    <w:pPr>
      <w:widowControl/>
      <w:spacing w:line="259" w:lineRule="auto"/>
      <w:jc w:val="left"/>
      <w:outlineLvl w:val="9"/>
    </w:pPr>
    <w:rPr>
      <w:rFonts w:asciiTheme="majorHAnsi" w:hAnsiTheme="majorHAnsi"/>
      <w:b w:val="0"/>
      <w:kern w:val="0"/>
      <w:sz w:val="32"/>
      <w:lang w:eastAsia="en-US"/>
    </w:rPr>
  </w:style>
  <w:style w:type="character" w:styleId="UnresolvedMention">
    <w:name w:val="Unresolved Mention"/>
    <w:basedOn w:val="DefaultParagraphFont"/>
    <w:uiPriority w:val="99"/>
    <w:semiHidden/>
    <w:unhideWhenUsed/>
    <w:rsid w:val="006F6F98"/>
    <w:rPr>
      <w:color w:val="605E5C"/>
      <w:shd w:val="clear" w:color="auto" w:fill="E1DFDD"/>
    </w:rPr>
  </w:style>
  <w:style w:type="character" w:styleId="CommentReference">
    <w:name w:val="annotation reference"/>
    <w:basedOn w:val="DefaultParagraphFont"/>
    <w:uiPriority w:val="99"/>
    <w:semiHidden/>
    <w:unhideWhenUsed/>
    <w:rsid w:val="006F6F98"/>
    <w:rPr>
      <w:sz w:val="16"/>
      <w:szCs w:val="16"/>
    </w:rPr>
  </w:style>
  <w:style w:type="paragraph" w:styleId="CommentText">
    <w:name w:val="annotation text"/>
    <w:basedOn w:val="Normal"/>
    <w:link w:val="CommentTextChar"/>
    <w:uiPriority w:val="99"/>
    <w:semiHidden/>
    <w:unhideWhenUsed/>
    <w:rsid w:val="006F6F98"/>
    <w:pPr>
      <w:spacing w:line="240" w:lineRule="auto"/>
    </w:pPr>
    <w:rPr>
      <w:sz w:val="20"/>
      <w:szCs w:val="20"/>
    </w:rPr>
  </w:style>
  <w:style w:type="character" w:customStyle="1" w:styleId="CommentTextChar">
    <w:name w:val="Comment Text Char"/>
    <w:basedOn w:val="DefaultParagraphFont"/>
    <w:link w:val="CommentText"/>
    <w:uiPriority w:val="99"/>
    <w:semiHidden/>
    <w:rsid w:val="006F6F98"/>
    <w:rPr>
      <w:rFonts w:ascii="Calibri" w:hAnsi="Calibri"/>
      <w:kern w:val="2"/>
      <w:sz w:val="20"/>
      <w:szCs w:val="20"/>
    </w:rPr>
  </w:style>
  <w:style w:type="paragraph" w:styleId="CommentSubject">
    <w:name w:val="annotation subject"/>
    <w:basedOn w:val="CommentText"/>
    <w:next w:val="CommentText"/>
    <w:link w:val="CommentSubjectChar"/>
    <w:uiPriority w:val="99"/>
    <w:semiHidden/>
    <w:unhideWhenUsed/>
    <w:rsid w:val="006F6F98"/>
    <w:rPr>
      <w:b/>
      <w:bCs/>
    </w:rPr>
  </w:style>
  <w:style w:type="character" w:customStyle="1" w:styleId="CommentSubjectChar">
    <w:name w:val="Comment Subject Char"/>
    <w:basedOn w:val="CommentTextChar"/>
    <w:link w:val="CommentSubject"/>
    <w:uiPriority w:val="99"/>
    <w:semiHidden/>
    <w:rsid w:val="006F6F98"/>
    <w:rPr>
      <w:rFonts w:ascii="Calibri" w:hAnsi="Calibri"/>
      <w:b/>
      <w:bCs/>
      <w:kern w:val="2"/>
      <w:sz w:val="20"/>
      <w:szCs w:val="20"/>
    </w:rPr>
  </w:style>
  <w:style w:type="table" w:styleId="GridTable1Light">
    <w:name w:val="Grid Table 1 Light"/>
    <w:basedOn w:val="TableNormal"/>
    <w:uiPriority w:val="46"/>
    <w:rsid w:val="005F53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etheus.ngo/wp-content/uploads/2017/04/Donbas_v_Ogni_ENG_web_1-4.pdf" TargetMode="External"/><Relationship Id="rId13" Type="http://schemas.openxmlformats.org/officeDocument/2006/relationships/hyperlink" Target="https://ucdp.uu.se/download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relatesofwar.org/datasets/COW-war/intra-state-war-data-codebook/at_download/fi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relatesofwar.org/data-sets/COW-war/the-cow-typology-of-war-definingand-categorizing-wars/@@download/file/COW%20Website%20-%20Typology%20of%20wa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litie.nl/en/themes/flight-mh17/witness-appeal-crash-mh17.html" TargetMode="External"/><Relationship Id="rId4" Type="http://schemas.openxmlformats.org/officeDocument/2006/relationships/settings" Target="settings.xml"/><Relationship Id="rId9" Type="http://schemas.openxmlformats.org/officeDocument/2006/relationships/hyperlink" Target="https://correlatesofwar.org/data-sets/COW-wa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rdilo.org/damp-e-mail-boris-ramail-ru-yakyi-nalezhyt-b-rapoportu-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98D36-842F-47E9-8843-C931F9B8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4632</TotalTime>
  <Pages>13</Pages>
  <Words>4079</Words>
  <Characters>23254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 三四郎</dc:creator>
  <cp:keywords/>
  <dc:description/>
  <cp:lastModifiedBy>保坂 三四郎</cp:lastModifiedBy>
  <cp:revision>961</cp:revision>
  <dcterms:created xsi:type="dcterms:W3CDTF">2021-01-24T14:40:00Z</dcterms:created>
  <dcterms:modified xsi:type="dcterms:W3CDTF">2021-07-24T14:59:00Z</dcterms:modified>
</cp:coreProperties>
</file>