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85" w:rsidRPr="00D43E0B" w:rsidRDefault="00D43E0B" w:rsidP="00076B9A">
      <w:pPr>
        <w:rPr>
          <w:rFonts w:ascii="Times New Roman" w:hAnsi="Times New Roman" w:cs="Times New Roman"/>
          <w:sz w:val="24"/>
          <w:lang w:val="ru-RU"/>
        </w:rPr>
      </w:pPr>
      <w:r w:rsidRPr="00D43E0B">
        <w:rPr>
          <w:rFonts w:ascii="Times New Roman" w:hAnsi="Times New Roman" w:cs="Times New Roman"/>
          <w:sz w:val="24"/>
          <w:lang w:val="ru-RU"/>
        </w:rPr>
        <w:t>«</w:t>
      </w:r>
      <w:r w:rsidR="00076B9A" w:rsidRPr="00D43E0B">
        <w:rPr>
          <w:rFonts w:ascii="Times New Roman" w:hAnsi="Times New Roman" w:cs="Times New Roman"/>
          <w:sz w:val="24"/>
          <w:lang w:val="ru-RU"/>
        </w:rPr>
        <w:t xml:space="preserve">Почему Гоголь поехал в Иерусалим, а затем в </w:t>
      </w:r>
      <w:r w:rsidR="00B11280" w:rsidRPr="00D43E0B">
        <w:rPr>
          <w:rFonts w:ascii="Times New Roman" w:hAnsi="Times New Roman" w:cs="Times New Roman"/>
          <w:sz w:val="24"/>
          <w:lang w:val="ru-RU"/>
        </w:rPr>
        <w:t>Москву</w:t>
      </w:r>
      <w:r w:rsidR="00076B9A" w:rsidRPr="00D43E0B">
        <w:rPr>
          <w:rFonts w:ascii="Times New Roman" w:hAnsi="Times New Roman" w:cs="Times New Roman"/>
          <w:sz w:val="24"/>
          <w:lang w:val="ru-RU"/>
        </w:rPr>
        <w:t xml:space="preserve"> в свои последние </w:t>
      </w:r>
      <w:r w:rsidR="00B11280" w:rsidRPr="00D43E0B">
        <w:rPr>
          <w:rFonts w:ascii="Times New Roman" w:hAnsi="Times New Roman" w:cs="Times New Roman"/>
          <w:sz w:val="24"/>
          <w:lang w:val="ru-RU"/>
        </w:rPr>
        <w:t>годы жизн</w:t>
      </w:r>
      <w:r w:rsidR="00076B9A" w:rsidRPr="00D43E0B">
        <w:rPr>
          <w:rFonts w:ascii="Times New Roman" w:hAnsi="Times New Roman" w:cs="Times New Roman"/>
          <w:sz w:val="24"/>
          <w:lang w:val="ru-RU"/>
        </w:rPr>
        <w:t xml:space="preserve">и?: </w:t>
      </w:r>
    </w:p>
    <w:p w:rsidR="00076B9A" w:rsidRPr="00D43E0B" w:rsidRDefault="00076B9A" w:rsidP="00076B9A">
      <w:pPr>
        <w:rPr>
          <w:rFonts w:ascii="Times New Roman" w:hAnsi="Times New Roman" w:cs="Times New Roman"/>
          <w:sz w:val="24"/>
          <w:lang w:val="ru-RU"/>
        </w:rPr>
      </w:pPr>
      <w:r w:rsidRPr="00D43E0B">
        <w:rPr>
          <w:rFonts w:ascii="Times New Roman" w:hAnsi="Times New Roman" w:cs="Times New Roman"/>
          <w:sz w:val="24"/>
          <w:lang w:val="ru-RU"/>
        </w:rPr>
        <w:t>Евангелические размышления о последнем эсхатологическом мировоззрении Гоголя</w:t>
      </w:r>
      <w:r w:rsidR="00D43E0B" w:rsidRPr="00D43E0B">
        <w:rPr>
          <w:rFonts w:ascii="Times New Roman" w:hAnsi="Times New Roman" w:cs="Times New Roman"/>
          <w:sz w:val="24"/>
          <w:lang w:val="ru-RU"/>
        </w:rPr>
        <w:t>»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</w:p>
    <w:p w:rsidR="00D43E0B" w:rsidRPr="00D43E0B" w:rsidRDefault="00D43E0B" w:rsidP="00D43E0B">
      <w:pPr>
        <w:jc w:val="right"/>
        <w:rPr>
          <w:rFonts w:ascii="Times New Roman" w:hAnsi="Times New Roman" w:cs="Times New Roman"/>
          <w:sz w:val="24"/>
          <w:lang w:val="ru-RU"/>
        </w:rPr>
      </w:pPr>
      <w:r w:rsidRPr="00D43E0B">
        <w:rPr>
          <w:rFonts w:ascii="Times New Roman" w:hAnsi="Times New Roman" w:cs="Times New Roman"/>
          <w:sz w:val="24"/>
          <w:lang w:val="ru-RU"/>
        </w:rPr>
        <w:t>Ли</w:t>
      </w:r>
      <w:r w:rsidRPr="00D43E0B">
        <w:rPr>
          <w:rFonts w:ascii="Times New Roman" w:hAnsi="Times New Roman" w:cs="Times New Roman"/>
          <w:sz w:val="24"/>
          <w:lang w:val="ru-RU"/>
        </w:rPr>
        <w:t>,</w:t>
      </w:r>
      <w:r w:rsidRPr="00D43E0B">
        <w:rPr>
          <w:rFonts w:ascii="Times New Roman" w:hAnsi="Times New Roman" w:cs="Times New Roman"/>
          <w:sz w:val="24"/>
          <w:lang w:val="ru-RU"/>
        </w:rPr>
        <w:t xml:space="preserve"> Кён Ван</w:t>
      </w:r>
    </w:p>
    <w:p w:rsidR="00D43E0B" w:rsidRPr="00D43E0B" w:rsidRDefault="00D43E0B" w:rsidP="00D43E0B">
      <w:pPr>
        <w:jc w:val="right"/>
        <w:rPr>
          <w:rFonts w:ascii="Times New Roman" w:hAnsi="Times New Roman" w:cs="Times New Roman"/>
          <w:sz w:val="24"/>
          <w:lang w:val="ru-RU"/>
        </w:rPr>
      </w:pPr>
      <w:r w:rsidRPr="00D43E0B">
        <w:rPr>
          <w:rFonts w:ascii="Times New Roman" w:hAnsi="Times New Roman" w:cs="Times New Roman"/>
          <w:sz w:val="24"/>
          <w:lang w:val="ru-RU"/>
        </w:rPr>
        <w:t>Институт российских исследований, Университет Халлим</w:t>
      </w:r>
    </w:p>
    <w:p w:rsidR="00D43E0B" w:rsidRPr="00D43E0B" w:rsidRDefault="00D43E0B" w:rsidP="00076B9A">
      <w:pPr>
        <w:rPr>
          <w:rFonts w:ascii="Times New Roman" w:hAnsi="Times New Roman" w:cs="Times New Roman"/>
          <w:sz w:val="22"/>
          <w:lang w:val="ru-RU"/>
        </w:rPr>
      </w:pPr>
    </w:p>
    <w:p w:rsidR="00076B9A" w:rsidRPr="00D43E0B" w:rsidRDefault="00C0053E" w:rsidP="00C0053E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>Аннотация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 xml:space="preserve">Постсоветская эпоха стала свидетелем бума теологических, философских и этических </w:t>
      </w:r>
      <w:r w:rsidR="00571D37" w:rsidRPr="00D43E0B">
        <w:rPr>
          <w:rFonts w:ascii="Times New Roman" w:hAnsi="Times New Roman" w:cs="Times New Roman"/>
          <w:sz w:val="22"/>
          <w:lang w:val="ru-RU"/>
        </w:rPr>
        <w:t>изменений</w:t>
      </w:r>
      <w:r w:rsidR="00C0053E"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hAnsi="Times New Roman" w:cs="Times New Roman"/>
          <w:sz w:val="22"/>
          <w:lang w:val="ru-RU"/>
        </w:rPr>
        <w:t>в западной и российской гуманитарной науке, что нашло отражение в горячих спорах о причинах внезапного сожжения Николаем Гогол</w:t>
      </w:r>
      <w:r w:rsidR="00571D37" w:rsidRPr="00D43E0B">
        <w:rPr>
          <w:rFonts w:ascii="Times New Roman" w:hAnsi="Times New Roman" w:cs="Times New Roman"/>
          <w:sz w:val="22"/>
          <w:lang w:val="ru-RU"/>
        </w:rPr>
        <w:t>ем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своего шедевра, второго тома «Мертвых ду</w:t>
      </w:r>
      <w:r w:rsidR="00571D37" w:rsidRPr="00D43E0B">
        <w:rPr>
          <w:rFonts w:ascii="Times New Roman" w:hAnsi="Times New Roman" w:cs="Times New Roman"/>
          <w:sz w:val="22"/>
          <w:lang w:val="ru-RU"/>
        </w:rPr>
        <w:t>ш» и его последующей смерти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 1852 году. Чтобы понять причины сожжения </w:t>
      </w:r>
      <w:r w:rsidR="00571D37" w:rsidRPr="00D43E0B">
        <w:rPr>
          <w:rFonts w:ascii="Times New Roman" w:hAnsi="Times New Roman" w:cs="Times New Roman"/>
          <w:sz w:val="22"/>
          <w:lang w:val="ru-RU"/>
        </w:rPr>
        <w:t xml:space="preserve">рукописей </w:t>
      </w:r>
      <w:r w:rsidRPr="00D43E0B">
        <w:rPr>
          <w:rFonts w:ascii="Times New Roman" w:hAnsi="Times New Roman" w:cs="Times New Roman"/>
          <w:sz w:val="22"/>
          <w:lang w:val="ru-RU"/>
        </w:rPr>
        <w:t>и смерти</w:t>
      </w:r>
      <w:r w:rsidR="00571D37" w:rsidRPr="00D43E0B">
        <w:rPr>
          <w:rFonts w:ascii="Times New Roman" w:hAnsi="Times New Roman" w:cs="Times New Roman"/>
          <w:sz w:val="22"/>
          <w:lang w:val="ru-RU"/>
        </w:rPr>
        <w:t xml:space="preserve"> писателя</w:t>
      </w:r>
      <w:r w:rsidRPr="00D43E0B">
        <w:rPr>
          <w:rFonts w:ascii="Times New Roman" w:hAnsi="Times New Roman" w:cs="Times New Roman"/>
          <w:sz w:val="22"/>
          <w:lang w:val="ru-RU"/>
        </w:rPr>
        <w:t>, необходимо пролить свет на его предыдущ</w:t>
      </w:r>
      <w:r w:rsidR="00571D37" w:rsidRPr="00D43E0B">
        <w:rPr>
          <w:rFonts w:ascii="Times New Roman" w:hAnsi="Times New Roman" w:cs="Times New Roman"/>
          <w:sz w:val="22"/>
          <w:lang w:val="ru-RU"/>
        </w:rPr>
        <w:t>ую деятельность в период 1846-18</w:t>
      </w:r>
      <w:r w:rsidRPr="00D43E0B">
        <w:rPr>
          <w:rFonts w:ascii="Times New Roman" w:hAnsi="Times New Roman" w:cs="Times New Roman"/>
          <w:sz w:val="22"/>
          <w:lang w:val="ru-RU"/>
        </w:rPr>
        <w:t>5</w:t>
      </w:r>
      <w:r w:rsidR="00571D37" w:rsidRPr="00D43E0B">
        <w:rPr>
          <w:rFonts w:ascii="Times New Roman" w:hAnsi="Times New Roman" w:cs="Times New Roman"/>
          <w:sz w:val="22"/>
          <w:lang w:val="ru-RU"/>
        </w:rPr>
        <w:t>2 годов: публикацию сборника «Вы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бранные </w:t>
      </w:r>
      <w:r w:rsidR="00571D37" w:rsidRPr="00D43E0B">
        <w:rPr>
          <w:rFonts w:ascii="Times New Roman" w:hAnsi="Times New Roman" w:cs="Times New Roman"/>
          <w:sz w:val="22"/>
          <w:lang w:val="ru-RU"/>
        </w:rPr>
        <w:t>места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из переписки с друзьями» (1846 г.) и самозащита от резкой</w:t>
      </w:r>
      <w:r w:rsidR="00571D37" w:rsidRPr="00D43E0B">
        <w:rPr>
          <w:rFonts w:ascii="Times New Roman" w:hAnsi="Times New Roman" w:cs="Times New Roman"/>
          <w:sz w:val="22"/>
          <w:lang w:val="ru-RU"/>
        </w:rPr>
        <w:t xml:space="preserve"> критики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как от консервативных, так и от прогрессивных партий; паломничество в Иерусалим и окончатель</w:t>
      </w:r>
      <w:r w:rsidR="001F4CE4">
        <w:rPr>
          <w:rFonts w:ascii="Times New Roman" w:hAnsi="Times New Roman" w:cs="Times New Roman"/>
          <w:sz w:val="22"/>
          <w:lang w:val="ru-RU"/>
        </w:rPr>
        <w:t>ное поселение в Москве в 1848 г</w:t>
      </w:r>
      <w:bookmarkStart w:id="0" w:name="_GoBack"/>
      <w:bookmarkEnd w:id="0"/>
      <w:r w:rsidRPr="00D43E0B">
        <w:rPr>
          <w:rFonts w:ascii="Times New Roman" w:hAnsi="Times New Roman" w:cs="Times New Roman"/>
          <w:sz w:val="22"/>
          <w:lang w:val="ru-RU"/>
        </w:rPr>
        <w:t xml:space="preserve">.; совет от русских православных священников для завершения шедевра. Современные </w:t>
      </w:r>
      <w:r w:rsidR="00585E97" w:rsidRPr="00D43E0B">
        <w:rPr>
          <w:rFonts w:ascii="Times New Roman" w:hAnsi="Times New Roman" w:cs="Times New Roman"/>
          <w:sz w:val="22"/>
          <w:lang w:val="ru-RU"/>
        </w:rPr>
        <w:t>светские исследователи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единодушно критикуют «фанатичную</w:t>
      </w:r>
      <w:r w:rsidR="00585E97" w:rsidRPr="00D43E0B">
        <w:rPr>
          <w:rFonts w:ascii="Times New Roman" w:hAnsi="Times New Roman" w:cs="Times New Roman"/>
          <w:sz w:val="22"/>
          <w:lang w:val="ru-RU"/>
        </w:rPr>
        <w:t>»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веру </w:t>
      </w:r>
      <w:r w:rsidR="00585E97" w:rsidRPr="00D43E0B">
        <w:rPr>
          <w:rFonts w:ascii="Times New Roman" w:hAnsi="Times New Roman" w:cs="Times New Roman"/>
          <w:sz w:val="22"/>
          <w:lang w:val="ru-RU"/>
        </w:rPr>
        <w:t>Гоголя, толкнувщую его на «сенсационные»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действия</w:t>
      </w:r>
      <w:r w:rsidR="00585E97" w:rsidRPr="00D43E0B">
        <w:rPr>
          <w:rFonts w:ascii="Times New Roman" w:hAnsi="Times New Roman" w:cs="Times New Roman"/>
          <w:sz w:val="22"/>
          <w:lang w:val="ru-RU"/>
        </w:rPr>
        <w:t>.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585E97" w:rsidRPr="00D43E0B">
        <w:rPr>
          <w:rFonts w:ascii="Times New Roman" w:hAnsi="Times New Roman" w:cs="Times New Roman"/>
          <w:sz w:val="22"/>
          <w:lang w:val="ru-RU"/>
        </w:rPr>
        <w:t>Наоборот,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585E97" w:rsidRPr="00D43E0B">
        <w:rPr>
          <w:rFonts w:ascii="Times New Roman" w:hAnsi="Times New Roman" w:cs="Times New Roman"/>
          <w:sz w:val="22"/>
          <w:lang w:val="ru-RU"/>
        </w:rPr>
        <w:t xml:space="preserve">некоторые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современные русские православные исследователи </w:t>
      </w:r>
      <w:r w:rsidR="00585E97" w:rsidRPr="00D43E0B">
        <w:rPr>
          <w:rFonts w:ascii="Times New Roman" w:hAnsi="Times New Roman" w:cs="Times New Roman"/>
          <w:sz w:val="22"/>
          <w:lang w:val="ru-RU"/>
        </w:rPr>
        <w:t xml:space="preserve">считают последние годы жизни Гоголя </w:t>
      </w:r>
      <w:r w:rsidRPr="00D43E0B">
        <w:rPr>
          <w:rFonts w:ascii="Times New Roman" w:hAnsi="Times New Roman" w:cs="Times New Roman"/>
          <w:sz w:val="22"/>
          <w:lang w:val="ru-RU"/>
        </w:rPr>
        <w:t>доказательство</w:t>
      </w:r>
      <w:r w:rsidR="00585E97" w:rsidRPr="00D43E0B">
        <w:rPr>
          <w:rFonts w:ascii="Times New Roman" w:hAnsi="Times New Roman" w:cs="Times New Roman"/>
          <w:sz w:val="22"/>
          <w:lang w:val="ru-RU"/>
        </w:rPr>
        <w:t>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его приверженности русскому православию.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 xml:space="preserve">Эта статья направлена </w:t>
      </w:r>
      <w:r w:rsidRPr="00D43E0B">
        <w:rPr>
          <w:rFonts w:ascii="Times New Roman" w:eastAsia="MS Mincho" w:hAnsi="Times New Roman" w:cs="Times New Roman"/>
          <w:sz w:val="22"/>
          <w:lang w:val="ru-RU"/>
        </w:rPr>
        <w:t>​​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на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то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,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чтобы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отразить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его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окончательную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эсхатологическую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точку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зрения</w:t>
      </w:r>
      <w:r w:rsidRPr="00D43E0B">
        <w:rPr>
          <w:rFonts w:ascii="Times New Roman" w:hAnsi="Times New Roman" w:cs="Times New Roman"/>
          <w:sz w:val="22"/>
          <w:lang w:val="ru-RU"/>
        </w:rPr>
        <w:t>,</w:t>
      </w:r>
      <w:r w:rsidR="00DC7BCC" w:rsidRPr="00D43E0B">
        <w:rPr>
          <w:rFonts w:ascii="Times New Roman" w:hAnsi="Times New Roman" w:cs="Times New Roman"/>
          <w:sz w:val="22"/>
          <w:lang w:val="ru-RU"/>
        </w:rPr>
        <w:t xml:space="preserve"> в соответствии с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мо</w:t>
      </w:r>
      <w:r w:rsidR="00DC7BCC" w:rsidRPr="00D43E0B">
        <w:rPr>
          <w:rFonts w:ascii="Times New Roman" w:eastAsia="맑은 고딕" w:hAnsi="Times New Roman" w:cs="Times New Roman"/>
          <w:sz w:val="22"/>
          <w:lang w:val="ru-RU"/>
        </w:rPr>
        <w:t>им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евангелическ</w:t>
      </w:r>
      <w:r w:rsidR="00DC7BCC" w:rsidRPr="00D43E0B">
        <w:rPr>
          <w:rFonts w:ascii="Times New Roman" w:eastAsia="맑은 고딕" w:hAnsi="Times New Roman" w:cs="Times New Roman"/>
          <w:sz w:val="22"/>
          <w:lang w:val="ru-RU"/>
        </w:rPr>
        <w:t>им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эсхатологическ</w:t>
      </w:r>
      <w:r w:rsidR="00DC7BCC" w:rsidRPr="00D43E0B">
        <w:rPr>
          <w:rFonts w:ascii="Times New Roman" w:eastAsia="맑은 고딕" w:hAnsi="Times New Roman" w:cs="Times New Roman"/>
          <w:sz w:val="22"/>
          <w:lang w:val="ru-RU"/>
        </w:rPr>
        <w:t>им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DC7BCC" w:rsidRPr="00D43E0B">
        <w:rPr>
          <w:rFonts w:ascii="Times New Roman" w:hAnsi="Times New Roman" w:cs="Times New Roman"/>
          <w:sz w:val="22"/>
          <w:lang w:val="ru-RU"/>
        </w:rPr>
        <w:t>мировоззрением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,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в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eastAsia="맑은 고딕" w:hAnsi="Times New Roman" w:cs="Times New Roman"/>
          <w:sz w:val="22"/>
          <w:lang w:val="ru-RU"/>
        </w:rPr>
        <w:t>сравн</w:t>
      </w:r>
      <w:r w:rsidR="00585E97" w:rsidRPr="00D43E0B">
        <w:rPr>
          <w:rFonts w:ascii="Times New Roman" w:hAnsi="Times New Roman" w:cs="Times New Roman"/>
          <w:sz w:val="22"/>
          <w:lang w:val="ru-RU"/>
        </w:rPr>
        <w:t>ении с анализом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DC7BCC" w:rsidRPr="00D43E0B">
        <w:rPr>
          <w:rFonts w:ascii="Times New Roman" w:hAnsi="Times New Roman" w:cs="Times New Roman"/>
          <w:sz w:val="22"/>
          <w:lang w:val="ru-RU"/>
        </w:rPr>
        <w:t xml:space="preserve">этих </w:t>
      </w:r>
      <w:r w:rsidR="00585E97" w:rsidRPr="00D43E0B">
        <w:rPr>
          <w:rFonts w:ascii="Times New Roman" w:hAnsi="Times New Roman" w:cs="Times New Roman"/>
          <w:sz w:val="22"/>
          <w:lang w:val="ru-RU"/>
        </w:rPr>
        <w:t>современных русских православных исследователей</w:t>
      </w:r>
      <w:r w:rsidR="00DC7BCC" w:rsidRPr="00D43E0B">
        <w:rPr>
          <w:rFonts w:ascii="Times New Roman" w:hAnsi="Times New Roman" w:cs="Times New Roman"/>
          <w:sz w:val="22"/>
          <w:lang w:val="ru-RU"/>
        </w:rPr>
        <w:t>.</w:t>
      </w:r>
      <w:r w:rsidR="00585E97"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DC7BCC" w:rsidRPr="00D43E0B">
        <w:rPr>
          <w:rFonts w:ascii="Times New Roman" w:hAnsi="Times New Roman" w:cs="Times New Roman"/>
          <w:sz w:val="22"/>
          <w:lang w:val="ru-RU"/>
        </w:rPr>
        <w:t xml:space="preserve">Я сосредоточиваю внимание на предвкушении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Гоголя таинственного преображения в «самых святых» местах Иерусалима и России как </w:t>
      </w:r>
      <w:r w:rsidR="00DC7BCC" w:rsidRPr="00D43E0B">
        <w:rPr>
          <w:rFonts w:ascii="Times New Roman" w:hAnsi="Times New Roman" w:cs="Times New Roman"/>
          <w:sz w:val="22"/>
          <w:lang w:val="ru-RU"/>
        </w:rPr>
        <w:t xml:space="preserve">предпосылки завершения им своего последнего </w:t>
      </w:r>
      <w:r w:rsidRPr="00D43E0B">
        <w:rPr>
          <w:rFonts w:ascii="Times New Roman" w:hAnsi="Times New Roman" w:cs="Times New Roman"/>
          <w:sz w:val="22"/>
          <w:lang w:val="ru-RU"/>
        </w:rPr>
        <w:t>шедевра. Н</w:t>
      </w:r>
      <w:r w:rsidR="00DC7BCC" w:rsidRPr="00D43E0B">
        <w:rPr>
          <w:rFonts w:ascii="Times New Roman" w:hAnsi="Times New Roman" w:cs="Times New Roman"/>
          <w:sz w:val="22"/>
          <w:lang w:val="ru-RU"/>
        </w:rPr>
        <w:t>аконец, его самоидентификация в качестве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DC7BCC" w:rsidRPr="00D43E0B">
        <w:rPr>
          <w:rFonts w:ascii="Times New Roman" w:hAnsi="Times New Roman" w:cs="Times New Roman"/>
          <w:sz w:val="22"/>
          <w:lang w:val="ru-RU"/>
        </w:rPr>
        <w:t>«</w:t>
      </w:r>
      <w:r w:rsidRPr="00D43E0B">
        <w:rPr>
          <w:rFonts w:ascii="Times New Roman" w:hAnsi="Times New Roman" w:cs="Times New Roman"/>
          <w:sz w:val="22"/>
          <w:lang w:val="ru-RU"/>
        </w:rPr>
        <w:t>пророка</w:t>
      </w:r>
      <w:r w:rsidR="00DC7BCC" w:rsidRPr="00D43E0B">
        <w:rPr>
          <w:rFonts w:ascii="Times New Roman" w:hAnsi="Times New Roman" w:cs="Times New Roman"/>
          <w:sz w:val="22"/>
          <w:lang w:val="ru-RU"/>
        </w:rPr>
        <w:t>»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русского народа </w:t>
      </w:r>
      <w:r w:rsidR="00DC7BCC" w:rsidRPr="00D43E0B">
        <w:rPr>
          <w:rFonts w:ascii="Times New Roman" w:hAnsi="Times New Roman" w:cs="Times New Roman"/>
          <w:sz w:val="22"/>
          <w:lang w:val="ru-RU"/>
        </w:rPr>
        <w:t xml:space="preserve">как избранного Богом </w:t>
      </w:r>
      <w:r w:rsidRPr="00D43E0B">
        <w:rPr>
          <w:rFonts w:ascii="Times New Roman" w:hAnsi="Times New Roman" w:cs="Times New Roman"/>
          <w:sz w:val="22"/>
          <w:lang w:val="ru-RU"/>
        </w:rPr>
        <w:t>будет отражена с моей точки зрения.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</w:p>
    <w:p w:rsidR="00076B9A" w:rsidRPr="00D43E0B" w:rsidRDefault="00076B9A" w:rsidP="00D43E0B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>Введение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</w:p>
    <w:p w:rsidR="00A35E6F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 xml:space="preserve">Постсоветская эпоха стала свидетелем бума теологических, философских и этических изменений в западной и российской гуманитарной науке. </w:t>
      </w:r>
      <w:r w:rsidR="00A95934" w:rsidRPr="00D43E0B">
        <w:rPr>
          <w:rFonts w:ascii="Times New Roman" w:hAnsi="Times New Roman" w:cs="Times New Roman"/>
          <w:sz w:val="22"/>
          <w:lang w:val="ru-RU"/>
        </w:rPr>
        <w:t>Р</w:t>
      </w:r>
      <w:r w:rsidRPr="00D43E0B">
        <w:rPr>
          <w:rFonts w:ascii="Times New Roman" w:hAnsi="Times New Roman" w:cs="Times New Roman"/>
          <w:sz w:val="22"/>
          <w:lang w:val="ru-RU"/>
        </w:rPr>
        <w:t>усская</w:t>
      </w:r>
      <w:r w:rsidR="00A95934" w:rsidRPr="00D43E0B">
        <w:rPr>
          <w:rFonts w:ascii="Times New Roman" w:hAnsi="Times New Roman" w:cs="Times New Roman"/>
          <w:sz w:val="22"/>
          <w:lang w:val="ru-RU"/>
        </w:rPr>
        <w:t xml:space="preserve"> литература 19-20 веков </w:t>
      </w:r>
      <w:r w:rsidRPr="00D43E0B">
        <w:rPr>
          <w:rFonts w:ascii="Times New Roman" w:hAnsi="Times New Roman" w:cs="Times New Roman"/>
          <w:sz w:val="22"/>
          <w:lang w:val="ru-RU"/>
        </w:rPr>
        <w:t>характер</w:t>
      </w:r>
      <w:r w:rsidR="00A95934" w:rsidRPr="00D43E0B">
        <w:rPr>
          <w:rFonts w:ascii="Times New Roman" w:hAnsi="Times New Roman" w:cs="Times New Roman"/>
          <w:sz w:val="22"/>
          <w:lang w:val="ru-RU"/>
        </w:rPr>
        <w:t xml:space="preserve">изуется </w:t>
      </w:r>
      <w:r w:rsidRPr="00D43E0B">
        <w:rPr>
          <w:rFonts w:ascii="Times New Roman" w:hAnsi="Times New Roman" w:cs="Times New Roman"/>
          <w:sz w:val="22"/>
          <w:lang w:val="ru-RU"/>
        </w:rPr>
        <w:t>пророчески</w:t>
      </w:r>
      <w:r w:rsidR="00A95934" w:rsidRPr="00D43E0B">
        <w:rPr>
          <w:rFonts w:ascii="Times New Roman" w:hAnsi="Times New Roman" w:cs="Times New Roman"/>
          <w:sz w:val="22"/>
          <w:lang w:val="ru-RU"/>
        </w:rPr>
        <w:t>ми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склонност</w:t>
      </w:r>
      <w:r w:rsidR="00A95934" w:rsidRPr="00D43E0B">
        <w:rPr>
          <w:rFonts w:ascii="Times New Roman" w:hAnsi="Times New Roman" w:cs="Times New Roman"/>
          <w:sz w:val="22"/>
          <w:lang w:val="ru-RU"/>
        </w:rPr>
        <w:t>ям</w:t>
      </w:r>
      <w:r w:rsidRPr="00D43E0B">
        <w:rPr>
          <w:rFonts w:ascii="Times New Roman" w:hAnsi="Times New Roman" w:cs="Times New Roman"/>
          <w:sz w:val="22"/>
          <w:lang w:val="ru-RU"/>
        </w:rPr>
        <w:t>и к улучшению или преобразованию человечес</w:t>
      </w:r>
      <w:r w:rsidR="00DC7BCC" w:rsidRPr="00D43E0B">
        <w:rPr>
          <w:rFonts w:ascii="Times New Roman" w:hAnsi="Times New Roman" w:cs="Times New Roman"/>
          <w:sz w:val="22"/>
          <w:lang w:val="ru-RU"/>
        </w:rPr>
        <w:t>тва</w:t>
      </w:r>
      <w:r w:rsidRPr="00D43E0B">
        <w:rPr>
          <w:rFonts w:ascii="Times New Roman" w:hAnsi="Times New Roman" w:cs="Times New Roman"/>
          <w:sz w:val="22"/>
          <w:lang w:val="ru-RU"/>
        </w:rPr>
        <w:t>, с р</w:t>
      </w:r>
      <w:r w:rsidR="00DC7BCC" w:rsidRPr="00D43E0B">
        <w:rPr>
          <w:rFonts w:ascii="Times New Roman" w:hAnsi="Times New Roman" w:cs="Times New Roman"/>
          <w:sz w:val="22"/>
          <w:lang w:val="ru-RU"/>
        </w:rPr>
        <w:t>у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ссим </w:t>
      </w:r>
      <w:r w:rsidR="00DC7BCC" w:rsidRPr="00D43E0B">
        <w:rPr>
          <w:rFonts w:ascii="Times New Roman" w:hAnsi="Times New Roman" w:cs="Times New Roman"/>
          <w:sz w:val="22"/>
          <w:lang w:val="ru-RU"/>
        </w:rPr>
        <w:t>народ</w:t>
      </w:r>
      <w:r w:rsidRPr="00D43E0B">
        <w:rPr>
          <w:rFonts w:ascii="Times New Roman" w:hAnsi="Times New Roman" w:cs="Times New Roman"/>
          <w:sz w:val="22"/>
          <w:lang w:val="ru-RU"/>
        </w:rPr>
        <w:t>ом как центральной фигурой</w:t>
      </w:r>
      <w:r w:rsidR="00A95934" w:rsidRPr="00D43E0B">
        <w:rPr>
          <w:rFonts w:ascii="Times New Roman" w:hAnsi="Times New Roman" w:cs="Times New Roman"/>
          <w:sz w:val="22"/>
          <w:lang w:val="ru-RU"/>
        </w:rPr>
        <w:t xml:space="preserve">. Исследователи </w:t>
      </w:r>
      <w:r w:rsidR="00DC7BCC" w:rsidRPr="00D43E0B">
        <w:rPr>
          <w:rFonts w:ascii="Times New Roman" w:hAnsi="Times New Roman" w:cs="Times New Roman"/>
          <w:sz w:val="22"/>
          <w:lang w:val="ru-RU"/>
        </w:rPr>
        <w:t>р</w:t>
      </w:r>
      <w:r w:rsidR="00A95934" w:rsidRPr="00D43E0B">
        <w:rPr>
          <w:rFonts w:ascii="Times New Roman" w:hAnsi="Times New Roman" w:cs="Times New Roman"/>
          <w:sz w:val="22"/>
          <w:lang w:val="ru-RU"/>
        </w:rPr>
        <w:t xml:space="preserve">ассматривают такие склонности </w:t>
      </w:r>
      <w:r w:rsidRPr="00D43E0B">
        <w:rPr>
          <w:rFonts w:ascii="Times New Roman" w:hAnsi="Times New Roman" w:cs="Times New Roman"/>
          <w:sz w:val="22"/>
          <w:lang w:val="ru-RU"/>
        </w:rPr>
        <w:t>с различных христианских, философских и этических точек зрения. Однако в западных гуманитарных науках основное направление теологического поворота основано на «постмодернистских» атеистических точках зрения, признающих только социальные или практические позитивные функции теоцентрических дискурсов и производных культур. Типично, идея Жака Деррида</w:t>
      </w:r>
      <w:r w:rsidR="00A95934" w:rsidRPr="00D43E0B">
        <w:rPr>
          <w:rFonts w:ascii="Times New Roman" w:hAnsi="Times New Roman" w:cs="Times New Roman"/>
          <w:sz w:val="22"/>
          <w:lang w:val="ru-RU"/>
        </w:rPr>
        <w:t>(Jacque Derrida)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о «мессианстве без мессианизма» проистекает из его атеистического базового дискурса «деконструкции». По словам Романа Соловия, «Деррида пытается думать о Боге и вере после скептицизма Просвещения, смерти Бога и разрушения метафизики» (Соловий 160). Напротив, </w:t>
      </w:r>
      <w:r w:rsidR="00A35E6F" w:rsidRPr="00D43E0B">
        <w:rPr>
          <w:rFonts w:ascii="Times New Roman" w:hAnsi="Times New Roman" w:cs="Times New Roman"/>
          <w:sz w:val="22"/>
          <w:lang w:val="ru-RU"/>
        </w:rPr>
        <w:t>главное направл</w:t>
      </w:r>
      <w:r w:rsidR="00A95934" w:rsidRPr="00D43E0B">
        <w:rPr>
          <w:rFonts w:ascii="Times New Roman" w:hAnsi="Times New Roman" w:cs="Times New Roman"/>
          <w:sz w:val="22"/>
          <w:lang w:val="ru-RU"/>
        </w:rPr>
        <w:t>ение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богословского поворота в русск</w:t>
      </w:r>
      <w:r w:rsidR="00A35E6F" w:rsidRPr="00D43E0B">
        <w:rPr>
          <w:rFonts w:ascii="Times New Roman" w:hAnsi="Times New Roman" w:cs="Times New Roman"/>
          <w:sz w:val="22"/>
          <w:lang w:val="ru-RU"/>
        </w:rPr>
        <w:t>их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гуманитарн</w:t>
      </w:r>
      <w:r w:rsidR="00A35E6F" w:rsidRPr="00D43E0B">
        <w:rPr>
          <w:rFonts w:ascii="Times New Roman" w:hAnsi="Times New Roman" w:cs="Times New Roman"/>
          <w:sz w:val="22"/>
          <w:lang w:val="ru-RU"/>
        </w:rPr>
        <w:t>ых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наук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ках </w:t>
      </w:r>
      <w:r w:rsidRPr="00D43E0B">
        <w:rPr>
          <w:rFonts w:ascii="Times New Roman" w:hAnsi="Times New Roman" w:cs="Times New Roman"/>
          <w:sz w:val="22"/>
          <w:lang w:val="ru-RU"/>
        </w:rPr>
        <w:t>был</w:t>
      </w:r>
      <w:r w:rsidR="00A35E6F" w:rsidRPr="00D43E0B">
        <w:rPr>
          <w:rFonts w:ascii="Times New Roman" w:hAnsi="Times New Roman" w:cs="Times New Roman"/>
          <w:sz w:val="22"/>
          <w:lang w:val="ru-RU"/>
        </w:rPr>
        <w:t>о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ориентирован</w:t>
      </w:r>
      <w:r w:rsidR="00A35E6F" w:rsidRPr="00D43E0B">
        <w:rPr>
          <w:rFonts w:ascii="Times New Roman" w:hAnsi="Times New Roman" w:cs="Times New Roman"/>
          <w:sz w:val="22"/>
          <w:lang w:val="ru-RU"/>
        </w:rPr>
        <w:t>о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на восстановление забытой русской православной </w:t>
      </w:r>
      <w:r w:rsidRPr="00D43E0B">
        <w:rPr>
          <w:rFonts w:ascii="Times New Roman" w:hAnsi="Times New Roman" w:cs="Times New Roman"/>
          <w:sz w:val="22"/>
          <w:lang w:val="ru-RU"/>
        </w:rPr>
        <w:lastRenderedPageBreak/>
        <w:t xml:space="preserve">культуры, в том числе традиции литературоведения с 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позиции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русского православного мировоззрения. Просто в этой тенденции есть серьезные проблемы. Во-первых, в </w:t>
      </w:r>
      <w:r w:rsidR="00A35E6F" w:rsidRPr="00D43E0B">
        <w:rPr>
          <w:rFonts w:ascii="Times New Roman" w:hAnsi="Times New Roman" w:cs="Times New Roman"/>
          <w:sz w:val="22"/>
          <w:lang w:val="ru-RU"/>
        </w:rPr>
        <w:t>19</w:t>
      </w:r>
      <w:r w:rsidRPr="00D43E0B">
        <w:rPr>
          <w:rFonts w:ascii="Times New Roman" w:hAnsi="Times New Roman" w:cs="Times New Roman"/>
          <w:sz w:val="22"/>
          <w:lang w:val="ru-RU"/>
        </w:rPr>
        <w:t>90-</w:t>
      </w:r>
      <w:r w:rsidR="00A35E6F" w:rsidRPr="00D43E0B">
        <w:rPr>
          <w:rFonts w:ascii="Times New Roman" w:hAnsi="Times New Roman" w:cs="Times New Roman"/>
          <w:sz w:val="22"/>
          <w:lang w:val="ru-RU"/>
        </w:rPr>
        <w:t>ых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год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ах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такие теоцентрические исследования литературы были инициированы православными гуманистами с разными идеями и подходами. Их не подавляли или не контролировали извне какие-либо организации, несмотря на отсутствие социальной и экономической поддержки 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этой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новаторской деятельности. Таким образом, они могли свободно развивать свои собственные идеи и мысли. </w:t>
      </w:r>
    </w:p>
    <w:p w:rsidR="00B67AF1" w:rsidRPr="00D43E0B" w:rsidRDefault="00076B9A" w:rsidP="00B67AF1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 xml:space="preserve">В то же время, в двадцать первом веке, такие исследования были интегрированы в школу </w:t>
      </w:r>
      <w:r w:rsidR="00A35E6F" w:rsidRPr="00D43E0B">
        <w:rPr>
          <w:rFonts w:ascii="Times New Roman" w:hAnsi="Times New Roman" w:cs="Times New Roman"/>
          <w:sz w:val="22"/>
          <w:lang w:val="ru-RU"/>
        </w:rPr>
        <w:t>«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русского 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религиозного </w:t>
      </w:r>
      <w:r w:rsidRPr="00D43E0B">
        <w:rPr>
          <w:rFonts w:ascii="Times New Roman" w:hAnsi="Times New Roman" w:cs="Times New Roman"/>
          <w:sz w:val="22"/>
          <w:lang w:val="ru-RU"/>
        </w:rPr>
        <w:t>литературоведения</w:t>
      </w:r>
      <w:r w:rsidR="00A35E6F" w:rsidRPr="00D43E0B">
        <w:rPr>
          <w:rFonts w:ascii="Times New Roman" w:hAnsi="Times New Roman" w:cs="Times New Roman"/>
          <w:sz w:val="22"/>
          <w:lang w:val="ru-RU"/>
        </w:rPr>
        <w:t>»</w:t>
      </w:r>
      <w:r w:rsidRPr="00D43E0B">
        <w:rPr>
          <w:rFonts w:ascii="Times New Roman" w:hAnsi="Times New Roman" w:cs="Times New Roman"/>
          <w:sz w:val="22"/>
          <w:lang w:val="ru-RU"/>
        </w:rPr>
        <w:t>, субсидировались российским правительством и Русской православной церковью</w:t>
      </w:r>
      <w:r w:rsidR="00A35E6F" w:rsidRPr="00D43E0B">
        <w:rPr>
          <w:rFonts w:ascii="Times New Roman" w:hAnsi="Times New Roman" w:cs="Times New Roman"/>
          <w:sz w:val="22"/>
          <w:lang w:val="ru-RU"/>
        </w:rPr>
        <w:t>. В результате, такие религиозные литературные исследования воздерживались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от углубления и расширения круга исследований «без святыни». Следовательно, 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главное направление </w:t>
      </w:r>
      <w:r w:rsidRPr="00D43E0B">
        <w:rPr>
          <w:rFonts w:ascii="Times New Roman" w:hAnsi="Times New Roman" w:cs="Times New Roman"/>
          <w:sz w:val="22"/>
          <w:lang w:val="ru-RU"/>
        </w:rPr>
        <w:t>богословского поворота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 в ру</w:t>
      </w:r>
      <w:r w:rsidRPr="00D43E0B">
        <w:rPr>
          <w:rFonts w:ascii="Times New Roman" w:hAnsi="Times New Roman" w:cs="Times New Roman"/>
          <w:sz w:val="22"/>
          <w:lang w:val="ru-RU"/>
        </w:rPr>
        <w:t>сском литературоведении, интегрированн</w:t>
      </w:r>
      <w:r w:rsidR="00A35E6F" w:rsidRPr="00D43E0B">
        <w:rPr>
          <w:rFonts w:ascii="Times New Roman" w:hAnsi="Times New Roman" w:cs="Times New Roman"/>
          <w:sz w:val="22"/>
          <w:lang w:val="ru-RU"/>
        </w:rPr>
        <w:t>ое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 подкатегорию «русское религ</w:t>
      </w:r>
      <w:r w:rsidR="00A35E6F" w:rsidRPr="00D43E0B">
        <w:rPr>
          <w:rFonts w:ascii="Times New Roman" w:hAnsi="Times New Roman" w:cs="Times New Roman"/>
          <w:sz w:val="22"/>
          <w:lang w:val="ru-RU"/>
        </w:rPr>
        <w:t xml:space="preserve">иозное литературоведение», </w:t>
      </w:r>
      <w:r w:rsidR="00EB69B9" w:rsidRPr="00D43E0B">
        <w:rPr>
          <w:rFonts w:ascii="Times New Roman" w:hAnsi="Times New Roman" w:cs="Times New Roman"/>
          <w:sz w:val="22"/>
          <w:lang w:val="ru-RU"/>
        </w:rPr>
        <w:t xml:space="preserve">демонстрирует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склонности к </w:t>
      </w:r>
      <w:r w:rsidR="00EB69B9" w:rsidRPr="00D43E0B">
        <w:rPr>
          <w:rFonts w:ascii="Times New Roman" w:hAnsi="Times New Roman" w:cs="Times New Roman"/>
          <w:sz w:val="22"/>
          <w:lang w:val="ru-RU"/>
        </w:rPr>
        <w:t>внешнему жесткому консерватизму,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основанн</w:t>
      </w:r>
      <w:r w:rsidR="00EB69B9" w:rsidRPr="00D43E0B">
        <w:rPr>
          <w:rFonts w:ascii="Times New Roman" w:hAnsi="Times New Roman" w:cs="Times New Roman"/>
          <w:sz w:val="22"/>
          <w:lang w:val="ru-RU"/>
        </w:rPr>
        <w:t>ому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на русском мессианизме и этноцентрическом национализме</w:t>
      </w:r>
      <w:r w:rsidR="00EB69B9" w:rsidRPr="00D43E0B">
        <w:rPr>
          <w:rFonts w:ascii="Times New Roman" w:hAnsi="Times New Roman" w:cs="Times New Roman"/>
          <w:sz w:val="22"/>
          <w:lang w:val="ru-RU"/>
        </w:rPr>
        <w:t xml:space="preserve"> и к </w:t>
      </w:r>
      <w:r w:rsidRPr="00D43E0B">
        <w:rPr>
          <w:rFonts w:ascii="Times New Roman" w:hAnsi="Times New Roman" w:cs="Times New Roman"/>
          <w:sz w:val="22"/>
          <w:lang w:val="ru-RU"/>
        </w:rPr>
        <w:t>внутренн</w:t>
      </w:r>
      <w:r w:rsidR="00EB69B9" w:rsidRPr="00D43E0B">
        <w:rPr>
          <w:rFonts w:ascii="Times New Roman" w:hAnsi="Times New Roman" w:cs="Times New Roman"/>
          <w:sz w:val="22"/>
          <w:lang w:val="ru-RU"/>
        </w:rPr>
        <w:t>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м </w:t>
      </w:r>
      <w:r w:rsidR="00EB69B9" w:rsidRPr="00D43E0B">
        <w:rPr>
          <w:rFonts w:ascii="Times New Roman" w:hAnsi="Times New Roman" w:cs="Times New Roman"/>
          <w:sz w:val="22"/>
          <w:lang w:val="ru-RU"/>
        </w:rPr>
        <w:t>разногласиям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между собой из-за различий в интерпретации русских православных принципов, </w:t>
      </w:r>
      <w:r w:rsidR="00EB69B9" w:rsidRPr="00D43E0B">
        <w:rPr>
          <w:rFonts w:ascii="Times New Roman" w:hAnsi="Times New Roman" w:cs="Times New Roman"/>
          <w:sz w:val="22"/>
          <w:lang w:val="ru-RU"/>
        </w:rPr>
        <w:t>обычаев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 литературных подходов. </w:t>
      </w:r>
    </w:p>
    <w:p w:rsidR="00076B9A" w:rsidRPr="00D43E0B" w:rsidRDefault="00076B9A" w:rsidP="00B67AF1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>Традици</w:t>
      </w:r>
      <w:r w:rsidR="00EB69B9" w:rsidRPr="00D43E0B">
        <w:rPr>
          <w:rFonts w:ascii="Times New Roman" w:hAnsi="Times New Roman" w:cs="Times New Roman"/>
          <w:sz w:val="22"/>
          <w:lang w:val="ru-RU"/>
        </w:rPr>
        <w:t>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славянофилов в XIX веке и русск</w:t>
      </w:r>
      <w:r w:rsidR="00B67AF1" w:rsidRPr="00D43E0B">
        <w:rPr>
          <w:rFonts w:ascii="Times New Roman" w:hAnsi="Times New Roman" w:cs="Times New Roman"/>
          <w:sz w:val="22"/>
          <w:lang w:val="ru-RU"/>
        </w:rPr>
        <w:t>их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религиозн</w:t>
      </w:r>
      <w:r w:rsidR="00B67AF1" w:rsidRPr="00D43E0B">
        <w:rPr>
          <w:rFonts w:ascii="Times New Roman" w:hAnsi="Times New Roman" w:cs="Times New Roman"/>
          <w:sz w:val="22"/>
          <w:lang w:val="ru-RU"/>
        </w:rPr>
        <w:t>ых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философ</w:t>
      </w:r>
      <w:r w:rsidR="00B67AF1" w:rsidRPr="00D43E0B">
        <w:rPr>
          <w:rFonts w:ascii="Times New Roman" w:hAnsi="Times New Roman" w:cs="Times New Roman"/>
          <w:sz w:val="22"/>
          <w:lang w:val="ru-RU"/>
        </w:rPr>
        <w:t>ов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 XX</w:t>
      </w:r>
      <w:r w:rsidR="00EB69B9" w:rsidRPr="00D43E0B">
        <w:rPr>
          <w:rFonts w:ascii="Times New Roman" w:hAnsi="Times New Roman" w:cs="Times New Roman"/>
          <w:sz w:val="22"/>
          <w:lang w:val="ru-RU"/>
        </w:rPr>
        <w:t xml:space="preserve"> веке стали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B67AF1" w:rsidRPr="00D43E0B">
        <w:rPr>
          <w:rFonts w:ascii="Times New Roman" w:hAnsi="Times New Roman" w:cs="Times New Roman"/>
          <w:sz w:val="22"/>
          <w:lang w:val="ru-RU"/>
        </w:rPr>
        <w:t xml:space="preserve">камнем преткновения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для современного российского религиозного литературоведения, которое </w:t>
      </w:r>
      <w:r w:rsidR="00B67AF1" w:rsidRPr="00D43E0B">
        <w:rPr>
          <w:rFonts w:ascii="Times New Roman" w:hAnsi="Times New Roman" w:cs="Times New Roman"/>
          <w:sz w:val="22"/>
          <w:lang w:val="ru-RU"/>
        </w:rPr>
        <w:t>раз</w:t>
      </w:r>
      <w:r w:rsidRPr="00D43E0B">
        <w:rPr>
          <w:rFonts w:ascii="Times New Roman" w:hAnsi="Times New Roman" w:cs="Times New Roman"/>
          <w:sz w:val="22"/>
          <w:lang w:val="ru-RU"/>
        </w:rPr>
        <w:t>дели</w:t>
      </w:r>
      <w:r w:rsidR="00B67AF1" w:rsidRPr="00D43E0B">
        <w:rPr>
          <w:rFonts w:ascii="Times New Roman" w:hAnsi="Times New Roman" w:cs="Times New Roman"/>
          <w:sz w:val="22"/>
          <w:lang w:val="ru-RU"/>
        </w:rPr>
        <w:t>лось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на жесткие богословско-догматически</w:t>
      </w:r>
      <w:r w:rsidR="00B11280" w:rsidRPr="00D43E0B">
        <w:rPr>
          <w:rFonts w:ascii="Times New Roman" w:hAnsi="Times New Roman" w:cs="Times New Roman"/>
          <w:sz w:val="22"/>
          <w:lang w:val="ru-RU"/>
        </w:rPr>
        <w:t>й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 исторически</w:t>
      </w:r>
      <w:r w:rsidR="00B11280" w:rsidRPr="00D43E0B">
        <w:rPr>
          <w:rFonts w:ascii="Times New Roman" w:hAnsi="Times New Roman" w:cs="Times New Roman"/>
          <w:sz w:val="22"/>
          <w:lang w:val="ru-RU"/>
        </w:rPr>
        <w:t>й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поэтически</w:t>
      </w:r>
      <w:r w:rsidR="00B11280" w:rsidRPr="00D43E0B">
        <w:rPr>
          <w:rFonts w:ascii="Times New Roman" w:hAnsi="Times New Roman" w:cs="Times New Roman"/>
          <w:sz w:val="22"/>
          <w:lang w:val="ru-RU"/>
        </w:rPr>
        <w:t>й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литературны</w:t>
      </w:r>
      <w:r w:rsidR="00B11280" w:rsidRPr="00D43E0B">
        <w:rPr>
          <w:rFonts w:ascii="Times New Roman" w:hAnsi="Times New Roman" w:cs="Times New Roman"/>
          <w:sz w:val="22"/>
          <w:lang w:val="ru-RU"/>
        </w:rPr>
        <w:t>й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подходы. Первый кружок критикует пионеров русского православного гуманитарного знания за их беспринципное эклектическое мировоззрение, в которое были интегрированы западные христианские, философские и литературные течения, а не только русские православные догмы и условности. </w:t>
      </w:r>
      <w:r w:rsidR="00B67AF1" w:rsidRPr="00D43E0B">
        <w:rPr>
          <w:rFonts w:ascii="Times New Roman" w:hAnsi="Times New Roman" w:cs="Times New Roman"/>
          <w:sz w:val="22"/>
          <w:lang w:val="ru-RU"/>
        </w:rPr>
        <w:t>Второй кружок дели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тся на консервативный круг, критикующий </w:t>
      </w:r>
      <w:r w:rsidR="009F195F" w:rsidRPr="00D43E0B">
        <w:rPr>
          <w:rFonts w:ascii="Times New Roman" w:hAnsi="Times New Roman" w:cs="Times New Roman"/>
          <w:sz w:val="22"/>
          <w:lang w:val="ru-RU"/>
        </w:rPr>
        <w:t>'</w:t>
      </w:r>
      <w:r w:rsidR="00B67AF1" w:rsidRPr="00D43E0B">
        <w:rPr>
          <w:rFonts w:ascii="Times New Roman" w:hAnsi="Times New Roman" w:cs="Times New Roman"/>
          <w:sz w:val="22"/>
          <w:lang w:val="ru-RU"/>
        </w:rPr>
        <w:t>эклектизм</w:t>
      </w:r>
      <w:r w:rsidR="009F195F" w:rsidRPr="00D43E0B">
        <w:rPr>
          <w:rFonts w:ascii="Times New Roman" w:hAnsi="Times New Roman" w:cs="Times New Roman"/>
          <w:sz w:val="22"/>
          <w:lang w:val="ru-RU"/>
        </w:rPr>
        <w:t>'</w:t>
      </w:r>
      <w:r w:rsidR="00B67AF1"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по меркам русских </w:t>
      </w:r>
      <w:r w:rsidR="00BB6470" w:rsidRPr="00D43E0B">
        <w:rPr>
          <w:rFonts w:ascii="Times New Roman" w:hAnsi="Times New Roman" w:cs="Times New Roman"/>
          <w:sz w:val="22"/>
          <w:lang w:val="ru-RU"/>
        </w:rPr>
        <w:t>народны</w:t>
      </w:r>
      <w:r w:rsidR="00B11280" w:rsidRPr="00D43E0B">
        <w:rPr>
          <w:rFonts w:ascii="Times New Roman" w:hAnsi="Times New Roman" w:cs="Times New Roman"/>
          <w:sz w:val="22"/>
          <w:lang w:val="ru-RU"/>
        </w:rPr>
        <w:t>х</w:t>
      </w:r>
      <w:r w:rsidR="00BB6470"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Pr="00D43E0B">
        <w:rPr>
          <w:rFonts w:ascii="Times New Roman" w:hAnsi="Times New Roman" w:cs="Times New Roman"/>
          <w:sz w:val="22"/>
          <w:lang w:val="ru-RU"/>
        </w:rPr>
        <w:t>культур</w:t>
      </w:r>
      <w:r w:rsidR="00B67AF1" w:rsidRPr="00D43E0B">
        <w:rPr>
          <w:rFonts w:ascii="Times New Roman" w:hAnsi="Times New Roman" w:cs="Times New Roman"/>
          <w:sz w:val="22"/>
          <w:lang w:val="ru-RU"/>
        </w:rPr>
        <w:t xml:space="preserve"> вообще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, и более либеральный круг, </w:t>
      </w:r>
      <w:r w:rsidR="009F195F" w:rsidRPr="00D43E0B">
        <w:rPr>
          <w:rFonts w:ascii="Times New Roman" w:hAnsi="Times New Roman" w:cs="Times New Roman"/>
          <w:sz w:val="22"/>
          <w:lang w:val="ru-RU"/>
        </w:rPr>
        <w:t>высоко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оценивающий </w:t>
      </w:r>
      <w:r w:rsidR="00B67AF1" w:rsidRPr="00D43E0B">
        <w:rPr>
          <w:rFonts w:ascii="Times New Roman" w:hAnsi="Times New Roman" w:cs="Times New Roman"/>
          <w:sz w:val="22"/>
          <w:lang w:val="ru-RU"/>
        </w:rPr>
        <w:t>и</w:t>
      </w:r>
      <w:r w:rsidR="009F195F" w:rsidRPr="00D43E0B">
        <w:rPr>
          <w:rFonts w:ascii="Times New Roman" w:hAnsi="Times New Roman" w:cs="Times New Roman"/>
          <w:sz w:val="22"/>
          <w:lang w:val="ru-RU"/>
        </w:rPr>
        <w:t>х</w:t>
      </w:r>
      <w:r w:rsidR="00B67AF1"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9F195F" w:rsidRPr="00D43E0B">
        <w:rPr>
          <w:rFonts w:ascii="Times New Roman" w:hAnsi="Times New Roman" w:cs="Times New Roman"/>
          <w:sz w:val="22"/>
          <w:lang w:val="ru-RU"/>
        </w:rPr>
        <w:t>'</w:t>
      </w:r>
      <w:r w:rsidRPr="00D43E0B">
        <w:rPr>
          <w:rFonts w:ascii="Times New Roman" w:hAnsi="Times New Roman" w:cs="Times New Roman"/>
          <w:sz w:val="22"/>
          <w:lang w:val="ru-RU"/>
        </w:rPr>
        <w:t>пионерск</w:t>
      </w:r>
      <w:r w:rsidR="001C63A5" w:rsidRPr="00D43E0B">
        <w:rPr>
          <w:rFonts w:ascii="Times New Roman" w:hAnsi="Times New Roman" w:cs="Times New Roman"/>
          <w:sz w:val="22"/>
          <w:lang w:val="ru-RU"/>
        </w:rPr>
        <w:t>ую</w:t>
      </w:r>
      <w:r w:rsidR="009F195F" w:rsidRPr="00D43E0B">
        <w:rPr>
          <w:rFonts w:ascii="Times New Roman" w:hAnsi="Times New Roman" w:cs="Times New Roman"/>
          <w:sz w:val="22"/>
          <w:lang w:val="ru-RU"/>
        </w:rPr>
        <w:t>'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1C63A5" w:rsidRPr="00D43E0B">
        <w:rPr>
          <w:rFonts w:ascii="Times New Roman" w:hAnsi="Times New Roman" w:cs="Times New Roman"/>
          <w:sz w:val="22"/>
          <w:lang w:val="ru-RU"/>
        </w:rPr>
        <w:t>деятельность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. Напротив, атеистический богословский поворот в 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западной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русистике не может быть установлен в рамках утвержденных </w:t>
      </w:r>
      <w:r w:rsidR="00B11280" w:rsidRPr="00D43E0B">
        <w:rPr>
          <w:rFonts w:ascii="Times New Roman" w:hAnsi="Times New Roman" w:cs="Times New Roman"/>
          <w:sz w:val="22"/>
          <w:lang w:val="ru-RU"/>
        </w:rPr>
        <w:t>русс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ких </w:t>
      </w:r>
      <w:r w:rsidR="00B11280" w:rsidRPr="00D43E0B">
        <w:rPr>
          <w:rFonts w:ascii="Times New Roman" w:hAnsi="Times New Roman" w:cs="Times New Roman"/>
          <w:sz w:val="22"/>
          <w:lang w:val="ru-RU"/>
        </w:rPr>
        <w:t>религиозных школ, а только в рамках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антропоцентрических </w:t>
      </w:r>
      <w:r w:rsidR="00B11280" w:rsidRPr="00D43E0B">
        <w:rPr>
          <w:rFonts w:ascii="Times New Roman" w:hAnsi="Times New Roman" w:cs="Times New Roman"/>
          <w:sz w:val="22"/>
          <w:lang w:val="ru-RU"/>
        </w:rPr>
        <w:t xml:space="preserve">школ. 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>Такая тенденция богословского поворота в российских гуманитарных науках находит свое отражение в горячих спорах о причинах внезапного сожжения Николаем Гогол</w:t>
      </w:r>
      <w:r w:rsidR="001C63A5" w:rsidRPr="00D43E0B">
        <w:rPr>
          <w:rFonts w:ascii="Times New Roman" w:hAnsi="Times New Roman" w:cs="Times New Roman"/>
          <w:sz w:val="22"/>
          <w:lang w:val="ru-RU"/>
        </w:rPr>
        <w:t>ем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второго тома «Мертвых душ» и его последующей смерти в 1852 году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, </w:t>
      </w:r>
      <w:r w:rsidRPr="00D43E0B">
        <w:rPr>
          <w:rFonts w:ascii="Times New Roman" w:hAnsi="Times New Roman" w:cs="Times New Roman"/>
          <w:sz w:val="22"/>
          <w:lang w:val="ru-RU"/>
        </w:rPr>
        <w:t>которые остаются большими загадками</w:t>
      </w:r>
      <w:r w:rsidR="001C63A5" w:rsidRPr="00D43E0B">
        <w:rPr>
          <w:rFonts w:ascii="Times New Roman" w:hAnsi="Times New Roman" w:cs="Times New Roman"/>
          <w:sz w:val="22"/>
          <w:lang w:val="ru-RU"/>
        </w:rPr>
        <w:t>. Их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только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предстоит разгадать. С моей евангелической точки зрения, чтобы понять 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эти </w:t>
      </w:r>
      <w:r w:rsidRPr="00D43E0B">
        <w:rPr>
          <w:rFonts w:ascii="Times New Roman" w:hAnsi="Times New Roman" w:cs="Times New Roman"/>
          <w:sz w:val="22"/>
          <w:lang w:val="ru-RU"/>
        </w:rPr>
        <w:t>причины,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 необходимо пролить свет на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предыдущую деятельность 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писателя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в период 1846-1852 годов: публикацию сборника, </w:t>
      </w:r>
      <w:r w:rsidR="001C63A5" w:rsidRPr="00D43E0B">
        <w:rPr>
          <w:rFonts w:ascii="Times New Roman" w:hAnsi="Times New Roman" w:cs="Times New Roman"/>
          <w:i/>
          <w:sz w:val="22"/>
          <w:lang w:val="ru-RU"/>
        </w:rPr>
        <w:t>Вы</w:t>
      </w:r>
      <w:r w:rsidRPr="00D43E0B">
        <w:rPr>
          <w:rFonts w:ascii="Times New Roman" w:hAnsi="Times New Roman" w:cs="Times New Roman"/>
          <w:i/>
          <w:sz w:val="22"/>
          <w:lang w:val="ru-RU"/>
        </w:rPr>
        <w:t xml:space="preserve">бранные </w:t>
      </w:r>
      <w:r w:rsidR="001C63A5" w:rsidRPr="00D43E0B">
        <w:rPr>
          <w:rFonts w:ascii="Times New Roman" w:hAnsi="Times New Roman" w:cs="Times New Roman"/>
          <w:i/>
          <w:sz w:val="22"/>
          <w:lang w:val="ru-RU"/>
        </w:rPr>
        <w:t>места</w:t>
      </w:r>
      <w:r w:rsidRPr="00D43E0B">
        <w:rPr>
          <w:rFonts w:ascii="Times New Roman" w:hAnsi="Times New Roman" w:cs="Times New Roman"/>
          <w:i/>
          <w:sz w:val="22"/>
          <w:lang w:val="ru-RU"/>
        </w:rPr>
        <w:t xml:space="preserve"> из переписки с друзьями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(1846) и самозащиту от резк</w:t>
      </w:r>
      <w:r w:rsidR="001C63A5" w:rsidRPr="00D43E0B">
        <w:rPr>
          <w:rFonts w:ascii="Times New Roman" w:hAnsi="Times New Roman" w:cs="Times New Roman"/>
          <w:sz w:val="22"/>
          <w:lang w:val="ru-RU"/>
        </w:rPr>
        <w:t>ой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критик</w:t>
      </w:r>
      <w:r w:rsidR="001C63A5" w:rsidRPr="00D43E0B">
        <w:rPr>
          <w:rFonts w:ascii="Times New Roman" w:hAnsi="Times New Roman" w:cs="Times New Roman"/>
          <w:sz w:val="22"/>
          <w:lang w:val="ru-RU"/>
        </w:rPr>
        <w:t>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как консервативных, так и прогрессивных партий; паломничество в Иерусалим и окончатель</w:t>
      </w:r>
      <w:r w:rsidR="00AB2CED" w:rsidRPr="00D43E0B">
        <w:rPr>
          <w:rFonts w:ascii="Times New Roman" w:hAnsi="Times New Roman" w:cs="Times New Roman"/>
          <w:sz w:val="22"/>
          <w:lang w:val="ru-RU"/>
        </w:rPr>
        <w:t>ное поселение в Москве в 1848 г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.; совет от русских православных священников для </w:t>
      </w:r>
      <w:r w:rsidR="001C63A5" w:rsidRPr="00D43E0B">
        <w:rPr>
          <w:rFonts w:ascii="Times New Roman" w:hAnsi="Times New Roman" w:cs="Times New Roman"/>
          <w:sz w:val="22"/>
          <w:lang w:val="ru-RU"/>
        </w:rPr>
        <w:t>духовного развития Гоголя и его за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вершения </w:t>
      </w:r>
      <w:r w:rsidR="001C63A5" w:rsidRPr="00D43E0B">
        <w:rPr>
          <w:rFonts w:ascii="Times New Roman" w:hAnsi="Times New Roman" w:cs="Times New Roman"/>
          <w:sz w:val="22"/>
          <w:lang w:val="ru-RU"/>
        </w:rPr>
        <w:t>второго тома</w:t>
      </w:r>
      <w:r w:rsidRPr="00D43E0B">
        <w:rPr>
          <w:rFonts w:ascii="Times New Roman" w:hAnsi="Times New Roman" w:cs="Times New Roman"/>
          <w:sz w:val="22"/>
          <w:lang w:val="ru-RU"/>
        </w:rPr>
        <w:t>. Современные критики</w:t>
      </w:r>
      <w:r w:rsidR="001C63A5" w:rsidRPr="00D43E0B">
        <w:rPr>
          <w:rFonts w:ascii="Times New Roman" w:hAnsi="Times New Roman" w:cs="Times New Roman"/>
          <w:sz w:val="22"/>
          <w:lang w:val="ru-RU"/>
        </w:rPr>
        <w:t xml:space="preserve"> единодушно критикуют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«фанатичную» веру </w:t>
      </w:r>
      <w:r w:rsidR="001C63A5" w:rsidRPr="00D43E0B">
        <w:rPr>
          <w:rFonts w:ascii="Times New Roman" w:hAnsi="Times New Roman" w:cs="Times New Roman"/>
          <w:sz w:val="22"/>
          <w:lang w:val="ru-RU"/>
        </w:rPr>
        <w:t>Гоголя 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его «сенсационные» действия, которы</w:t>
      </w:r>
      <w:r w:rsidR="001C63A5" w:rsidRPr="00D43E0B">
        <w:rPr>
          <w:rFonts w:ascii="Times New Roman" w:hAnsi="Times New Roman" w:cs="Times New Roman"/>
          <w:sz w:val="22"/>
          <w:lang w:val="ru-RU"/>
        </w:rPr>
        <w:t>е, наоборот, высоко оценива</w:t>
      </w:r>
      <w:r w:rsidR="0071578F" w:rsidRPr="00D43E0B">
        <w:rPr>
          <w:rFonts w:ascii="Times New Roman" w:hAnsi="Times New Roman" w:cs="Times New Roman"/>
          <w:sz w:val="22"/>
          <w:lang w:val="ru-RU"/>
        </w:rPr>
        <w:t>емы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71578F" w:rsidRPr="00D43E0B">
        <w:rPr>
          <w:rFonts w:ascii="Times New Roman" w:hAnsi="Times New Roman" w:cs="Times New Roman"/>
          <w:sz w:val="22"/>
          <w:lang w:val="ru-RU"/>
        </w:rPr>
        <w:t xml:space="preserve">большинством </w:t>
      </w:r>
      <w:r w:rsidRPr="00D43E0B">
        <w:rPr>
          <w:rFonts w:ascii="Times New Roman" w:hAnsi="Times New Roman" w:cs="Times New Roman"/>
          <w:sz w:val="22"/>
          <w:lang w:val="ru-RU"/>
        </w:rPr>
        <w:t>современны</w:t>
      </w:r>
      <w:r w:rsidR="0071578F" w:rsidRPr="00D43E0B">
        <w:rPr>
          <w:rFonts w:ascii="Times New Roman" w:hAnsi="Times New Roman" w:cs="Times New Roman"/>
          <w:sz w:val="22"/>
          <w:lang w:val="ru-RU"/>
        </w:rPr>
        <w:t>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русски</w:t>
      </w:r>
      <w:r w:rsidR="0071578F" w:rsidRPr="00D43E0B">
        <w:rPr>
          <w:rFonts w:ascii="Times New Roman" w:hAnsi="Times New Roman" w:cs="Times New Roman"/>
          <w:sz w:val="22"/>
          <w:lang w:val="ru-RU"/>
        </w:rPr>
        <w:t>х православных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исследовател</w:t>
      </w:r>
      <w:r w:rsidR="0071578F" w:rsidRPr="00D43E0B">
        <w:rPr>
          <w:rFonts w:ascii="Times New Roman" w:hAnsi="Times New Roman" w:cs="Times New Roman"/>
          <w:sz w:val="22"/>
          <w:lang w:val="ru-RU"/>
        </w:rPr>
        <w:t>ей к</w:t>
      </w:r>
      <w:r w:rsidRPr="00D43E0B">
        <w:rPr>
          <w:rFonts w:ascii="Times New Roman" w:hAnsi="Times New Roman" w:cs="Times New Roman"/>
          <w:sz w:val="22"/>
          <w:lang w:val="ru-RU"/>
        </w:rPr>
        <w:t>ак доказательство его приверженности русскому православию.</w:t>
      </w:r>
    </w:p>
    <w:p w:rsidR="00076B9A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 xml:space="preserve">Эта статья направлена </w:t>
      </w:r>
      <w:r w:rsidRPr="00D43E0B">
        <w:rPr>
          <w:rFonts w:ascii="Times New Roman" w:eastAsia="MS Mincho" w:hAnsi="Times New Roman" w:cs="Times New Roman"/>
          <w:sz w:val="22"/>
          <w:lang w:val="ru-RU"/>
        </w:rPr>
        <w:t>​​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на то, чтобы отразить его окончательную эсхатологическую точку зрения с моей евангелической точки зрения в сравнении с </w:t>
      </w:r>
      <w:r w:rsidR="0071578F" w:rsidRPr="00D43E0B">
        <w:rPr>
          <w:rFonts w:ascii="Times New Roman" w:hAnsi="Times New Roman" w:cs="Times New Roman"/>
          <w:sz w:val="22"/>
          <w:lang w:val="ru-RU"/>
        </w:rPr>
        <w:t>исследованиями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</w:t>
      </w:r>
      <w:r w:rsidR="0071578F" w:rsidRPr="00D43E0B">
        <w:rPr>
          <w:rFonts w:ascii="Times New Roman" w:hAnsi="Times New Roman" w:cs="Times New Roman"/>
          <w:sz w:val="22"/>
          <w:lang w:val="ru-RU"/>
        </w:rPr>
        <w:t>современных русских православных ученых</w:t>
      </w:r>
      <w:r w:rsidRPr="00D43E0B">
        <w:rPr>
          <w:rFonts w:ascii="Times New Roman" w:hAnsi="Times New Roman" w:cs="Times New Roman"/>
          <w:sz w:val="22"/>
          <w:lang w:val="ru-RU"/>
        </w:rPr>
        <w:t>. Мое евангельское мировоззрение о конце света и Страшном суде характеризуется амиллена</w:t>
      </w:r>
      <w:r w:rsidR="0071578F" w:rsidRPr="00D43E0B">
        <w:rPr>
          <w:rFonts w:ascii="Times New Roman" w:hAnsi="Times New Roman" w:cs="Times New Roman"/>
          <w:sz w:val="22"/>
          <w:lang w:val="ru-RU"/>
        </w:rPr>
        <w:t>л</w:t>
      </w:r>
      <w:r w:rsidRPr="00D43E0B">
        <w:rPr>
          <w:rFonts w:ascii="Times New Roman" w:hAnsi="Times New Roman" w:cs="Times New Roman"/>
          <w:sz w:val="22"/>
          <w:lang w:val="ru-RU"/>
        </w:rPr>
        <w:t>измом</w:t>
      </w:r>
      <w:r w:rsidR="0071578F" w:rsidRPr="00D43E0B">
        <w:rPr>
          <w:rFonts w:ascii="Times New Roman" w:hAnsi="Times New Roman" w:cs="Times New Roman"/>
          <w:sz w:val="22"/>
          <w:lang w:val="ru-RU"/>
        </w:rPr>
        <w:t>(amillenialism)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 соответствии с претеристической </w:t>
      </w:r>
      <w:r w:rsidR="0071578F" w:rsidRPr="00D43E0B">
        <w:rPr>
          <w:rFonts w:ascii="Times New Roman" w:hAnsi="Times New Roman" w:cs="Times New Roman"/>
          <w:sz w:val="22"/>
          <w:lang w:val="ru-RU"/>
        </w:rPr>
        <w:t xml:space="preserve">(preterist) </w:t>
      </w:r>
      <w:r w:rsidRPr="00D43E0B">
        <w:rPr>
          <w:rFonts w:ascii="Times New Roman" w:hAnsi="Times New Roman" w:cs="Times New Roman"/>
          <w:sz w:val="22"/>
          <w:lang w:val="ru-RU"/>
        </w:rPr>
        <w:t>интерпретацией апокалиптических пророчеств Нового Завета. Это эсхатологическое мировоззрение идентифицирует тысячелетнее царство в 20-й главе Откровения как церкви в этом мире и рассматривает</w:t>
      </w:r>
      <w:r w:rsidR="00D459A5" w:rsidRPr="00D43E0B">
        <w:rPr>
          <w:rFonts w:ascii="Times New Roman" w:hAnsi="Times New Roman" w:cs="Times New Roman"/>
          <w:sz w:val="22"/>
          <w:lang w:val="ru-RU"/>
        </w:rPr>
        <w:t xml:space="preserve"> большинство пророчеств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уже осуществленными в первом веке</w:t>
      </w:r>
      <w:r w:rsidR="00D459A5" w:rsidRPr="00D43E0B">
        <w:rPr>
          <w:rFonts w:ascii="Times New Roman" w:hAnsi="Times New Roman" w:cs="Times New Roman"/>
          <w:sz w:val="22"/>
          <w:lang w:val="ru-RU"/>
        </w:rPr>
        <w:t>,</w:t>
      </w:r>
      <w:r w:rsidR="0071578F" w:rsidRPr="00D43E0B">
        <w:rPr>
          <w:rFonts w:ascii="Times New Roman" w:hAnsi="Times New Roman" w:cs="Times New Roman"/>
          <w:sz w:val="22"/>
          <w:lang w:val="ru-RU"/>
        </w:rPr>
        <w:t xml:space="preserve"> кроме второго пришествия Иисуса Христа и его Страшного суда.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Однако</w:t>
      </w:r>
      <w:r w:rsidR="00D459A5" w:rsidRPr="00D43E0B">
        <w:rPr>
          <w:rFonts w:ascii="Times New Roman" w:hAnsi="Times New Roman" w:cs="Times New Roman"/>
          <w:sz w:val="22"/>
          <w:lang w:val="ru-RU"/>
        </w:rPr>
        <w:t>,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любой из трех </w:t>
      </w:r>
      <w:r w:rsidRPr="00D43E0B">
        <w:rPr>
          <w:rFonts w:ascii="Times New Roman" w:hAnsi="Times New Roman" w:cs="Times New Roman"/>
          <w:sz w:val="22"/>
          <w:lang w:val="ru-RU"/>
        </w:rPr>
        <w:lastRenderedPageBreak/>
        <w:t>эсхатологических дискурсов в соответствии с христоцентризмом и библицизмом, включая премиллена</w:t>
      </w:r>
      <w:r w:rsidR="00D459A5" w:rsidRPr="00D43E0B">
        <w:rPr>
          <w:rFonts w:ascii="Times New Roman" w:hAnsi="Times New Roman" w:cs="Times New Roman"/>
          <w:sz w:val="22"/>
          <w:lang w:val="ru-RU"/>
        </w:rPr>
        <w:t>л</w:t>
      </w:r>
      <w:r w:rsidRPr="00D43E0B">
        <w:rPr>
          <w:rFonts w:ascii="Times New Roman" w:hAnsi="Times New Roman" w:cs="Times New Roman"/>
          <w:sz w:val="22"/>
          <w:lang w:val="ru-RU"/>
        </w:rPr>
        <w:t>изм</w:t>
      </w:r>
      <w:r w:rsidR="00D459A5" w:rsidRPr="00D43E0B">
        <w:rPr>
          <w:rFonts w:ascii="Times New Roman" w:hAnsi="Times New Roman" w:cs="Times New Roman"/>
          <w:sz w:val="22"/>
          <w:lang w:val="ru-RU"/>
        </w:rPr>
        <w:t>(premillenialism)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 постмиллена</w:t>
      </w:r>
      <w:r w:rsidR="00D459A5" w:rsidRPr="00D43E0B">
        <w:rPr>
          <w:rFonts w:ascii="Times New Roman" w:hAnsi="Times New Roman" w:cs="Times New Roman"/>
          <w:sz w:val="22"/>
          <w:lang w:val="ru-RU"/>
        </w:rPr>
        <w:t>л</w:t>
      </w:r>
      <w:r w:rsidRPr="00D43E0B">
        <w:rPr>
          <w:rFonts w:ascii="Times New Roman" w:hAnsi="Times New Roman" w:cs="Times New Roman"/>
          <w:sz w:val="22"/>
          <w:lang w:val="ru-RU"/>
        </w:rPr>
        <w:t>изм</w:t>
      </w:r>
      <w:r w:rsidR="00D459A5" w:rsidRPr="00D43E0B">
        <w:rPr>
          <w:rFonts w:ascii="Times New Roman" w:hAnsi="Times New Roman" w:cs="Times New Roman"/>
          <w:sz w:val="22"/>
          <w:lang w:val="ru-RU"/>
        </w:rPr>
        <w:t>(postmillenialism)</w:t>
      </w:r>
      <w:r w:rsidRPr="00D43E0B">
        <w:rPr>
          <w:rFonts w:ascii="Times New Roman" w:hAnsi="Times New Roman" w:cs="Times New Roman"/>
          <w:sz w:val="22"/>
          <w:lang w:val="ru-RU"/>
        </w:rPr>
        <w:t>, несовершен</w:t>
      </w:r>
      <w:r w:rsidR="00D459A5" w:rsidRPr="00D43E0B">
        <w:rPr>
          <w:rFonts w:ascii="Times New Roman" w:hAnsi="Times New Roman" w:cs="Times New Roman"/>
          <w:sz w:val="22"/>
          <w:lang w:val="ru-RU"/>
        </w:rPr>
        <w:t>е</w:t>
      </w:r>
      <w:r w:rsidRPr="00D43E0B">
        <w:rPr>
          <w:rFonts w:ascii="Times New Roman" w:hAnsi="Times New Roman" w:cs="Times New Roman"/>
          <w:sz w:val="22"/>
          <w:lang w:val="ru-RU"/>
        </w:rPr>
        <w:t>н</w:t>
      </w:r>
      <w:r w:rsidR="00D459A5" w:rsidRPr="00D43E0B">
        <w:rPr>
          <w:rFonts w:ascii="Times New Roman" w:hAnsi="Times New Roman" w:cs="Times New Roman"/>
          <w:sz w:val="22"/>
          <w:lang w:val="ru-RU"/>
        </w:rPr>
        <w:t xml:space="preserve">.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я </w:t>
      </w:r>
      <w:r w:rsidR="00D459A5" w:rsidRPr="00D43E0B">
        <w:rPr>
          <w:rFonts w:ascii="Times New Roman" w:hAnsi="Times New Roman" w:cs="Times New Roman"/>
          <w:sz w:val="22"/>
          <w:lang w:val="ru-RU"/>
        </w:rPr>
        <w:t>постараюсь обновить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свой дискурс в нап</w:t>
      </w:r>
      <w:r w:rsidR="00D459A5" w:rsidRPr="00D43E0B">
        <w:rPr>
          <w:rFonts w:ascii="Times New Roman" w:hAnsi="Times New Roman" w:cs="Times New Roman"/>
          <w:sz w:val="22"/>
          <w:lang w:val="ru-RU"/>
        </w:rPr>
        <w:t xml:space="preserve">равлении истинной воли Бога о </w:t>
      </w:r>
      <w:r w:rsidRPr="00D43E0B">
        <w:rPr>
          <w:rFonts w:ascii="Times New Roman" w:hAnsi="Times New Roman" w:cs="Times New Roman"/>
          <w:sz w:val="22"/>
          <w:lang w:val="ru-RU"/>
        </w:rPr>
        <w:t>конц</w:t>
      </w:r>
      <w:r w:rsidR="00D459A5" w:rsidRPr="00D43E0B">
        <w:rPr>
          <w:rFonts w:ascii="Times New Roman" w:hAnsi="Times New Roman" w:cs="Times New Roman"/>
          <w:sz w:val="22"/>
          <w:lang w:val="ru-RU"/>
        </w:rPr>
        <w:t>е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света и спасени</w:t>
      </w:r>
      <w:r w:rsidR="00D459A5" w:rsidRPr="00D43E0B">
        <w:rPr>
          <w:rFonts w:ascii="Times New Roman" w:hAnsi="Times New Roman" w:cs="Times New Roman"/>
          <w:sz w:val="22"/>
          <w:lang w:val="ru-RU"/>
        </w:rPr>
        <w:t>и людей, открывая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возможности для принятия библейских идей из двух других дискурсов и других способов интерпретации: футуризма</w:t>
      </w:r>
      <w:r w:rsidR="00D459A5" w:rsidRPr="00D43E0B">
        <w:rPr>
          <w:rFonts w:ascii="Times New Roman" w:hAnsi="Times New Roman" w:cs="Times New Roman"/>
          <w:sz w:val="22"/>
          <w:lang w:val="ru-RU"/>
        </w:rPr>
        <w:t>(futurism)</w:t>
      </w:r>
      <w:r w:rsidRPr="00D43E0B">
        <w:rPr>
          <w:rFonts w:ascii="Times New Roman" w:hAnsi="Times New Roman" w:cs="Times New Roman"/>
          <w:sz w:val="22"/>
          <w:lang w:val="ru-RU"/>
        </w:rPr>
        <w:t>, историзма</w:t>
      </w:r>
      <w:r w:rsidR="00D459A5" w:rsidRPr="00D43E0B">
        <w:rPr>
          <w:rFonts w:ascii="Times New Roman" w:hAnsi="Times New Roman" w:cs="Times New Roman"/>
          <w:sz w:val="22"/>
          <w:lang w:val="ru-RU"/>
        </w:rPr>
        <w:t>(historicism)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 идеализма</w:t>
      </w:r>
      <w:r w:rsidR="00D459A5" w:rsidRPr="00D43E0B">
        <w:rPr>
          <w:rFonts w:ascii="Times New Roman" w:hAnsi="Times New Roman" w:cs="Times New Roman"/>
          <w:sz w:val="22"/>
          <w:lang w:val="ru-RU"/>
        </w:rPr>
        <w:t>(idealism)/</w:t>
      </w:r>
    </w:p>
    <w:p w:rsidR="00C0053E" w:rsidRPr="00D43E0B" w:rsidRDefault="00076B9A" w:rsidP="00076B9A">
      <w:pPr>
        <w:rPr>
          <w:rFonts w:ascii="Times New Roman" w:hAnsi="Times New Roman" w:cs="Times New Roman"/>
          <w:sz w:val="22"/>
          <w:lang w:val="ru-RU"/>
        </w:rPr>
      </w:pPr>
      <w:r w:rsidRPr="00D43E0B">
        <w:rPr>
          <w:rFonts w:ascii="Times New Roman" w:hAnsi="Times New Roman" w:cs="Times New Roman"/>
          <w:sz w:val="22"/>
          <w:lang w:val="ru-RU"/>
        </w:rPr>
        <w:t xml:space="preserve">С этой точки зрения я пролью свет на ожидание Гоголем </w:t>
      </w:r>
      <w:r w:rsidR="00D459A5" w:rsidRPr="00D43E0B">
        <w:rPr>
          <w:rFonts w:ascii="Times New Roman" w:hAnsi="Times New Roman" w:cs="Times New Roman"/>
          <w:sz w:val="22"/>
          <w:lang w:val="ru-RU"/>
        </w:rPr>
        <w:t>своего преображения среди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«святын</w:t>
      </w:r>
      <w:r w:rsidR="009C30EC" w:rsidRPr="00D43E0B">
        <w:rPr>
          <w:rFonts w:ascii="Times New Roman" w:hAnsi="Times New Roman" w:cs="Times New Roman"/>
          <w:sz w:val="22"/>
          <w:lang w:val="ru-RU"/>
        </w:rPr>
        <w:t>ь</w:t>
      </w:r>
      <w:r w:rsidRPr="00D43E0B">
        <w:rPr>
          <w:rFonts w:ascii="Times New Roman" w:hAnsi="Times New Roman" w:cs="Times New Roman"/>
          <w:sz w:val="22"/>
          <w:lang w:val="ru-RU"/>
        </w:rPr>
        <w:t>» Иерусалима и России</w:t>
      </w:r>
      <w:r w:rsidR="009C30EC" w:rsidRPr="00D43E0B">
        <w:rPr>
          <w:rFonts w:ascii="Times New Roman" w:hAnsi="Times New Roman" w:cs="Times New Roman"/>
          <w:sz w:val="22"/>
          <w:lang w:val="ru-RU"/>
        </w:rPr>
        <w:t xml:space="preserve">, как предпосылки 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завершения </w:t>
      </w:r>
      <w:r w:rsidR="00D459A5" w:rsidRPr="00D43E0B">
        <w:rPr>
          <w:rFonts w:ascii="Times New Roman" w:hAnsi="Times New Roman" w:cs="Times New Roman"/>
          <w:sz w:val="22"/>
          <w:lang w:val="ru-RU"/>
        </w:rPr>
        <w:t>второго тома</w:t>
      </w:r>
      <w:r w:rsidRPr="00D43E0B">
        <w:rPr>
          <w:rFonts w:ascii="Times New Roman" w:hAnsi="Times New Roman" w:cs="Times New Roman"/>
          <w:sz w:val="22"/>
          <w:lang w:val="ru-RU"/>
        </w:rPr>
        <w:t xml:space="preserve"> и его самоидентификации как пророка </w:t>
      </w:r>
      <w:r w:rsidR="009C30EC" w:rsidRPr="00D43E0B">
        <w:rPr>
          <w:rFonts w:ascii="Times New Roman" w:hAnsi="Times New Roman" w:cs="Times New Roman"/>
          <w:sz w:val="22"/>
          <w:lang w:val="ru-RU"/>
        </w:rPr>
        <w:t xml:space="preserve">для </w:t>
      </w:r>
      <w:r w:rsidRPr="00D43E0B">
        <w:rPr>
          <w:rFonts w:ascii="Times New Roman" w:hAnsi="Times New Roman" w:cs="Times New Roman"/>
          <w:sz w:val="22"/>
          <w:lang w:val="ru-RU"/>
        </w:rPr>
        <w:t>русского народа</w:t>
      </w:r>
      <w:r w:rsidR="009C30EC" w:rsidRPr="00D43E0B">
        <w:rPr>
          <w:rFonts w:ascii="Times New Roman" w:hAnsi="Times New Roman" w:cs="Times New Roman"/>
          <w:sz w:val="22"/>
          <w:lang w:val="ru-RU"/>
        </w:rPr>
        <w:t>, которому дана Богом мессианская миссия</w:t>
      </w:r>
      <w:r w:rsidRPr="00D43E0B">
        <w:rPr>
          <w:rFonts w:ascii="Times New Roman" w:hAnsi="Times New Roman" w:cs="Times New Roman"/>
          <w:sz w:val="22"/>
          <w:lang w:val="ru-RU"/>
        </w:rPr>
        <w:t>.</w:t>
      </w:r>
    </w:p>
    <w:sectPr w:rsidR="00C0053E" w:rsidRPr="00D43E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43E" w:rsidRDefault="0039043E" w:rsidP="00EC2285">
      <w:pPr>
        <w:spacing w:after="0" w:line="240" w:lineRule="auto"/>
      </w:pPr>
      <w:r>
        <w:separator/>
      </w:r>
    </w:p>
  </w:endnote>
  <w:endnote w:type="continuationSeparator" w:id="0">
    <w:p w:rsidR="0039043E" w:rsidRDefault="0039043E" w:rsidP="00EC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43E" w:rsidRDefault="0039043E" w:rsidP="00EC2285">
      <w:pPr>
        <w:spacing w:after="0" w:line="240" w:lineRule="auto"/>
      </w:pPr>
      <w:r>
        <w:separator/>
      </w:r>
    </w:p>
  </w:footnote>
  <w:footnote w:type="continuationSeparator" w:id="0">
    <w:p w:rsidR="0039043E" w:rsidRDefault="0039043E" w:rsidP="00EC2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900BA"/>
    <w:multiLevelType w:val="hybridMultilevel"/>
    <w:tmpl w:val="2390AF68"/>
    <w:lvl w:ilvl="0" w:tplc="6FEAEC0C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8B"/>
    <w:rsid w:val="00076B9A"/>
    <w:rsid w:val="000962F6"/>
    <w:rsid w:val="00111F03"/>
    <w:rsid w:val="001C63A5"/>
    <w:rsid w:val="001F4CE4"/>
    <w:rsid w:val="0039043E"/>
    <w:rsid w:val="004865C8"/>
    <w:rsid w:val="00571D37"/>
    <w:rsid w:val="00585E97"/>
    <w:rsid w:val="0071578F"/>
    <w:rsid w:val="009C30EC"/>
    <w:rsid w:val="009F195F"/>
    <w:rsid w:val="00A35E6F"/>
    <w:rsid w:val="00A619A4"/>
    <w:rsid w:val="00A95934"/>
    <w:rsid w:val="00AB2CED"/>
    <w:rsid w:val="00B11280"/>
    <w:rsid w:val="00B67AF1"/>
    <w:rsid w:val="00BB6470"/>
    <w:rsid w:val="00C0053E"/>
    <w:rsid w:val="00D43E0B"/>
    <w:rsid w:val="00D459A5"/>
    <w:rsid w:val="00DC7BCC"/>
    <w:rsid w:val="00E654A9"/>
    <w:rsid w:val="00EB69B9"/>
    <w:rsid w:val="00EC2285"/>
    <w:rsid w:val="00FA2313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FA61D2-FDD0-4B99-8A12-10A17E2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2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C2285"/>
  </w:style>
  <w:style w:type="paragraph" w:styleId="a4">
    <w:name w:val="footer"/>
    <w:basedOn w:val="a"/>
    <w:link w:val="Char0"/>
    <w:uiPriority w:val="99"/>
    <w:unhideWhenUsed/>
    <w:rsid w:val="00EC22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C2285"/>
  </w:style>
  <w:style w:type="paragraph" w:styleId="a5">
    <w:name w:val="List Paragraph"/>
    <w:basedOn w:val="a"/>
    <w:uiPriority w:val="34"/>
    <w:qFormat/>
    <w:rsid w:val="00C005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Kyong Wan</dc:creator>
  <cp:keywords/>
  <dc:description/>
  <cp:lastModifiedBy>Lee Kyong Wan</cp:lastModifiedBy>
  <cp:revision>6</cp:revision>
  <dcterms:created xsi:type="dcterms:W3CDTF">2021-07-19T09:49:00Z</dcterms:created>
  <dcterms:modified xsi:type="dcterms:W3CDTF">2021-08-02T13:47:00Z</dcterms:modified>
</cp:coreProperties>
</file>