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990" w:rsidRPr="003072C6" w:rsidRDefault="001635F7" w:rsidP="00A55989">
      <w:pPr>
        <w:pStyle w:val="DHHSbodynospace"/>
      </w:pPr>
      <w:r>
        <w:rPr>
          <w:noProof/>
          <w:lang w:eastAsia="en-AU"/>
        </w:rPr>
        <w:drawing>
          <wp:anchor distT="0" distB="0" distL="114300" distR="114300" simplePos="0" relativeHeight="251658240" behindDoc="1" locked="1" layoutInCell="0" allowOverlap="1">
            <wp:simplePos x="0" y="0"/>
            <wp:positionH relativeFrom="page">
              <wp:posOffset>0</wp:posOffset>
            </wp:positionH>
            <wp:positionV relativeFrom="page">
              <wp:posOffset>0</wp:posOffset>
            </wp:positionV>
            <wp:extent cx="7563485" cy="10700385"/>
            <wp:effectExtent l="0" t="0" r="0" b="5715"/>
            <wp:wrapNone/>
            <wp:docPr id="99" name="Picture 99"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Victoria State Government Department of Health and Human Servic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rsidTr="004C5777">
        <w:trPr>
          <w:trHeight w:val="3988"/>
        </w:trPr>
        <w:tc>
          <w:tcPr>
            <w:tcW w:w="7938" w:type="dxa"/>
            <w:shd w:val="clear" w:color="auto" w:fill="auto"/>
          </w:tcPr>
          <w:p w:rsidR="001635F7" w:rsidRDefault="001635F7" w:rsidP="001635F7">
            <w:pPr>
              <w:pStyle w:val="DHHSreportmaintitlewhite"/>
            </w:pPr>
            <w:r>
              <w:t>Gender Equality Bill exposure draft</w:t>
            </w:r>
          </w:p>
          <w:p w:rsidR="00444D82" w:rsidRPr="003072C6" w:rsidRDefault="001635F7" w:rsidP="001635F7">
            <w:pPr>
              <w:pStyle w:val="DHHSreportsubtitlewhite"/>
            </w:pPr>
            <w:r>
              <w:t>Discussion paper</w:t>
            </w:r>
          </w:p>
        </w:tc>
      </w:tr>
      <w:tr w:rsidR="001817CD" w:rsidRPr="003072C6" w:rsidTr="004C5777">
        <w:trPr>
          <w:trHeight w:val="4664"/>
        </w:trPr>
        <w:tc>
          <w:tcPr>
            <w:tcW w:w="10252" w:type="dxa"/>
            <w:shd w:val="clear" w:color="auto" w:fill="auto"/>
          </w:tcPr>
          <w:p w:rsidR="00BC01C1" w:rsidRPr="003072C6" w:rsidRDefault="00BC01C1" w:rsidP="004F3441">
            <w:pPr>
              <w:pStyle w:val="Coverinstructions"/>
            </w:pPr>
          </w:p>
        </w:tc>
      </w:tr>
    </w:tbl>
    <w:p w:rsidR="0069374A" w:rsidRPr="003072C6" w:rsidRDefault="0069374A" w:rsidP="00C2657D">
      <w:pPr>
        <w:pStyle w:val="DHHSbodynospace"/>
        <w:ind w:left="-454"/>
      </w:pPr>
    </w:p>
    <w:p w:rsidR="00C51B1C" w:rsidRDefault="00C51B1C" w:rsidP="00CA6D4E">
      <w:pPr>
        <w:pStyle w:val="DHHSbodynospace"/>
        <w:sectPr w:rsidR="00C51B1C" w:rsidSect="00A55989">
          <w:footerReference w:type="default" r:id="rId10"/>
          <w:type w:val="oddPage"/>
          <w:pgSz w:w="11906" w:h="16838"/>
          <w:pgMar w:top="3969" w:right="1304" w:bottom="1134" w:left="1304" w:header="454" w:footer="567" w:gutter="0"/>
          <w:cols w:space="720"/>
          <w:docGrid w:linePitch="360"/>
        </w:sectPr>
      </w:pPr>
    </w:p>
    <w:p w:rsidR="00AC0C3B" w:rsidRPr="003072C6" w:rsidRDefault="00AC0C3B" w:rsidP="00CA6D4E">
      <w:pPr>
        <w:pStyle w:val="DHHSbodynospace"/>
      </w:pP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3072C6" w:rsidTr="00564E8F">
        <w:trPr>
          <w:trHeight w:val="4313"/>
        </w:trPr>
        <w:tc>
          <w:tcPr>
            <w:tcW w:w="9401" w:type="dxa"/>
          </w:tcPr>
          <w:p w:rsidR="00564E8F" w:rsidRPr="00EA758B" w:rsidRDefault="00564E8F" w:rsidP="00EA758B">
            <w:pPr>
              <w:pStyle w:val="DHHSbody"/>
            </w:pPr>
          </w:p>
        </w:tc>
      </w:tr>
      <w:tr w:rsidR="00564E8F" w:rsidRPr="003072C6" w:rsidTr="001F09DC">
        <w:trPr>
          <w:trHeight w:val="6336"/>
        </w:trPr>
        <w:tc>
          <w:tcPr>
            <w:tcW w:w="9401" w:type="dxa"/>
            <w:vAlign w:val="bottom"/>
          </w:tcPr>
          <w:p w:rsidR="00605B5B" w:rsidRPr="00605B5B" w:rsidRDefault="00605B5B" w:rsidP="00605B5B">
            <w:pPr>
              <w:spacing w:after="200" w:line="300" w:lineRule="atLeast"/>
              <w:rPr>
                <w:rFonts w:ascii="Arial" w:eastAsia="Times" w:hAnsi="Arial"/>
                <w:sz w:val="24"/>
                <w:szCs w:val="19"/>
              </w:rPr>
            </w:pPr>
            <w:r w:rsidRPr="00605B5B">
              <w:rPr>
                <w:rFonts w:ascii="Arial" w:eastAsia="Times" w:hAnsi="Arial"/>
                <w:sz w:val="24"/>
                <w:szCs w:val="19"/>
              </w:rPr>
              <w:t xml:space="preserve">To receive this publication in an accessible format </w:t>
            </w:r>
            <w:hyperlink r:id="rId11" w:history="1">
              <w:r w:rsidRPr="00EA758B">
                <w:rPr>
                  <w:rStyle w:val="Hyperlink"/>
                  <w:rFonts w:ascii="Arial" w:eastAsia="Times" w:hAnsi="Arial"/>
                  <w:sz w:val="24"/>
                  <w:szCs w:val="19"/>
                </w:rPr>
                <w:t xml:space="preserve">email </w:t>
              </w:r>
              <w:r w:rsidR="00EA758B" w:rsidRPr="00EA758B">
                <w:rPr>
                  <w:rStyle w:val="Hyperlink"/>
                  <w:rFonts w:ascii="Arial" w:eastAsia="Times" w:hAnsi="Arial"/>
                  <w:sz w:val="24"/>
                  <w:szCs w:val="19"/>
                </w:rPr>
                <w:t>the Gender Equality team</w:t>
              </w:r>
            </w:hyperlink>
            <w:r w:rsidR="00EA758B">
              <w:rPr>
                <w:rFonts w:ascii="Arial" w:eastAsia="Times" w:hAnsi="Arial"/>
                <w:sz w:val="24"/>
                <w:szCs w:val="19"/>
              </w:rPr>
              <w:t xml:space="preserve"> </w:t>
            </w:r>
            <w:r w:rsidRPr="00EA758B">
              <w:rPr>
                <w:rFonts w:ascii="Arial" w:eastAsia="Times" w:hAnsi="Arial"/>
                <w:sz w:val="24"/>
                <w:szCs w:val="19"/>
              </w:rPr>
              <w:t>&lt;</w:t>
            </w:r>
            <w:r w:rsidR="00EA758B" w:rsidRPr="00EA758B">
              <w:rPr>
                <w:rFonts w:ascii="Arial" w:eastAsia="Times" w:hAnsi="Arial"/>
                <w:sz w:val="24"/>
                <w:szCs w:val="19"/>
              </w:rPr>
              <w:t>gender.equality@dhhs.vic.gov.au</w:t>
            </w:r>
            <w:r w:rsidRPr="00EA758B">
              <w:rPr>
                <w:rFonts w:ascii="Arial" w:eastAsia="Times" w:hAnsi="Arial"/>
                <w:sz w:val="24"/>
                <w:szCs w:val="19"/>
              </w:rPr>
              <w:t>&gt;</w:t>
            </w:r>
          </w:p>
          <w:p w:rsidR="00605B5B" w:rsidRPr="00605B5B" w:rsidRDefault="00605B5B" w:rsidP="00605B5B">
            <w:pPr>
              <w:spacing w:after="120" w:line="270" w:lineRule="atLeast"/>
              <w:rPr>
                <w:rFonts w:ascii="Arial" w:eastAsia="Times" w:hAnsi="Arial"/>
              </w:rPr>
            </w:pPr>
            <w:r w:rsidRPr="00605B5B">
              <w:rPr>
                <w:rFonts w:ascii="Arial" w:eastAsia="Times" w:hAnsi="Arial"/>
              </w:rPr>
              <w:t>Authorised and published by the Victorian Governmen</w:t>
            </w:r>
            <w:r>
              <w:rPr>
                <w:rFonts w:ascii="Arial" w:eastAsia="Times" w:hAnsi="Arial"/>
              </w:rPr>
              <w:t>t, 1 Treasury Place, Melbourne.</w:t>
            </w:r>
          </w:p>
          <w:p w:rsidR="00605B5B" w:rsidRPr="00605B5B" w:rsidRDefault="00605B5B" w:rsidP="00605B5B">
            <w:pPr>
              <w:spacing w:after="120" w:line="270" w:lineRule="atLeast"/>
              <w:rPr>
                <w:rFonts w:ascii="Arial" w:eastAsia="Times" w:hAnsi="Arial"/>
              </w:rPr>
            </w:pPr>
            <w:r w:rsidRPr="00605B5B">
              <w:rPr>
                <w:rFonts w:ascii="Arial" w:eastAsia="Times" w:hAnsi="Arial"/>
              </w:rPr>
              <w:t xml:space="preserve">© State of Victoria, Department of Health </w:t>
            </w:r>
            <w:r w:rsidR="002679D5">
              <w:rPr>
                <w:rFonts w:ascii="Arial" w:eastAsia="Times" w:hAnsi="Arial"/>
              </w:rPr>
              <w:t>and</w:t>
            </w:r>
            <w:r w:rsidRPr="00605B5B">
              <w:rPr>
                <w:rFonts w:ascii="Arial" w:eastAsia="Times" w:hAnsi="Arial"/>
              </w:rPr>
              <w:t xml:space="preserve"> Human Services</w:t>
            </w:r>
            <w:r w:rsidR="00EA758B">
              <w:rPr>
                <w:rFonts w:ascii="Arial" w:eastAsia="Times" w:hAnsi="Arial"/>
              </w:rPr>
              <w:t>, August 2018</w:t>
            </w:r>
            <w:r w:rsidRPr="00605B5B">
              <w:rPr>
                <w:rFonts w:ascii="Arial" w:eastAsia="Times" w:hAnsi="Arial"/>
              </w:rPr>
              <w:t>.</w:t>
            </w:r>
          </w:p>
          <w:p w:rsidR="00605B5B" w:rsidRPr="00605B5B" w:rsidRDefault="00605B5B" w:rsidP="00605B5B">
            <w:pPr>
              <w:spacing w:after="120" w:line="270" w:lineRule="atLeast"/>
              <w:rPr>
                <w:rFonts w:ascii="Arial" w:eastAsia="Times" w:hAnsi="Arial"/>
              </w:rPr>
            </w:pPr>
            <w:r w:rsidRPr="00EA758B">
              <w:rPr>
                <w:rFonts w:ascii="Arial" w:eastAsia="Times" w:hAnsi="Arial"/>
              </w:rPr>
              <w:t>Where the term ‘Aboriginal’ is used it refers to both Aboriginal and Torres Strait Islander people. Indigenous is retained when it is part of the title of a report, program or quotation.</w:t>
            </w:r>
          </w:p>
          <w:p w:rsidR="00564E8F" w:rsidRPr="00EA758B" w:rsidRDefault="00605B5B" w:rsidP="00EA758B">
            <w:pPr>
              <w:spacing w:after="120" w:line="270" w:lineRule="atLeast"/>
              <w:rPr>
                <w:rFonts w:ascii="Arial" w:eastAsia="Times" w:hAnsi="Arial"/>
                <w:szCs w:val="19"/>
              </w:rPr>
            </w:pPr>
            <w:r w:rsidRPr="00605B5B">
              <w:rPr>
                <w:rFonts w:ascii="Arial" w:eastAsia="Times" w:hAnsi="Arial"/>
                <w:szCs w:val="19"/>
              </w:rPr>
              <w:t xml:space="preserve">Available at </w:t>
            </w:r>
            <w:hyperlink r:id="rId12" w:history="1">
              <w:r w:rsidR="00EA758B" w:rsidRPr="00EA758B">
                <w:rPr>
                  <w:rStyle w:val="Hyperlink"/>
                  <w:rFonts w:ascii="Arial" w:eastAsia="Times" w:hAnsi="Arial"/>
                  <w:szCs w:val="19"/>
                </w:rPr>
                <w:t>Engage Victoria</w:t>
              </w:r>
            </w:hyperlink>
            <w:r w:rsidR="00EA758B">
              <w:rPr>
                <w:rFonts w:ascii="Arial" w:eastAsia="Times" w:hAnsi="Arial"/>
                <w:szCs w:val="19"/>
              </w:rPr>
              <w:t xml:space="preserve"> &lt;</w:t>
            </w:r>
            <w:r w:rsidR="00EA758B" w:rsidRPr="00EA758B">
              <w:rPr>
                <w:rFonts w:ascii="Arial" w:eastAsia="Times" w:hAnsi="Arial"/>
                <w:szCs w:val="19"/>
              </w:rPr>
              <w:t>engage.vic.gov.au/gender-equality</w:t>
            </w:r>
            <w:r w:rsidR="00EA758B">
              <w:rPr>
                <w:rFonts w:ascii="Arial" w:eastAsia="Times" w:hAnsi="Arial"/>
                <w:szCs w:val="19"/>
              </w:rPr>
              <w:t>&gt;</w:t>
            </w:r>
          </w:p>
        </w:tc>
      </w:tr>
      <w:tr w:rsidR="009906C7" w:rsidRPr="003072C6" w:rsidTr="009906C7">
        <w:tc>
          <w:tcPr>
            <w:tcW w:w="9401" w:type="dxa"/>
            <w:vAlign w:val="bottom"/>
          </w:tcPr>
          <w:p w:rsidR="009906C7" w:rsidRPr="003072C6" w:rsidRDefault="009906C7" w:rsidP="009906C7">
            <w:pPr>
              <w:pStyle w:val="DHHSbody"/>
            </w:pPr>
          </w:p>
        </w:tc>
      </w:tr>
    </w:tbl>
    <w:p w:rsidR="00ED4D17" w:rsidRPr="003072C6" w:rsidRDefault="00ED4D17" w:rsidP="003072C6">
      <w:pPr>
        <w:pStyle w:val="DHHSbody"/>
      </w:pPr>
    </w:p>
    <w:p w:rsidR="00EA758B" w:rsidRDefault="00EA758B" w:rsidP="00EA758B">
      <w:pPr>
        <w:pStyle w:val="Heading1"/>
      </w:pPr>
      <w:bookmarkStart w:id="0" w:name="_Toc522551281"/>
      <w:r>
        <w:lastRenderedPageBreak/>
        <w:t>Message from the Minister</w:t>
      </w:r>
      <w:bookmarkEnd w:id="0"/>
    </w:p>
    <w:p w:rsidR="00EA758B" w:rsidRDefault="00EA758B" w:rsidP="00EA758B">
      <w:pPr>
        <w:pStyle w:val="DHHSbody"/>
      </w:pPr>
      <w:r>
        <w:t xml:space="preserve">The Andrews Labor Government is committed to achieving gender equality in Victoria. In December 2016, we released Safe and Strong, Victoria’s first gender equality strategy. Safe and Strong sets out a vision for all Victorians to live in a safe and equal society, have access to equal power, resources and opportunities, and are treated with dignity respect and fairness. We are committed to ensuring Victoria leads the way in gender equality with sustained, enduring and measurable action. </w:t>
      </w:r>
    </w:p>
    <w:p w:rsidR="00EA758B" w:rsidRDefault="00EA758B" w:rsidP="00EA758B">
      <w:pPr>
        <w:pStyle w:val="DHHSbody"/>
      </w:pPr>
      <w:r>
        <w:t xml:space="preserve">That is why we have drafted the Gender Equality Bill, an Australian first, to ensure that our public sector takes active steps to promote gender equality. This paper sets out the key reforms proposed by the Gender Equality Bill. </w:t>
      </w:r>
    </w:p>
    <w:p w:rsidR="00EA758B" w:rsidRDefault="00EA758B" w:rsidP="00EA758B">
      <w:pPr>
        <w:pStyle w:val="DHHSbody"/>
      </w:pPr>
      <w:r>
        <w:t xml:space="preserve">Despite many advances in recent decades, gender inequality still persists in Victoria. The evidence is clear. We need a Gender Equality Act to ensure change is quick, focused and maintained over time. </w:t>
      </w:r>
    </w:p>
    <w:p w:rsidR="00EA758B" w:rsidRDefault="00EA758B" w:rsidP="00EA758B">
      <w:pPr>
        <w:pStyle w:val="DHHSbody"/>
      </w:pPr>
      <w:r>
        <w:t>For change to be realised, it will take successive generations of Victorians and governments to maintain focus, funding and effort on gender equality.</w:t>
      </w:r>
      <w:r w:rsidR="000A4D6A">
        <w:t xml:space="preserve"> </w:t>
      </w:r>
      <w:r>
        <w:t>The Gender Equality Bill will support sustained action and ensure that we have the mechanisms in place to plan, measure and track our progress towards achieving gender equality.</w:t>
      </w:r>
    </w:p>
    <w:p w:rsidR="00EA758B" w:rsidRDefault="00EA758B" w:rsidP="00EA758B">
      <w:pPr>
        <w:pStyle w:val="DHHSbody"/>
      </w:pPr>
      <w:r>
        <w:t>At the end of this paper, we explain how you can involve yourself in this conversation.</w:t>
      </w:r>
      <w:r w:rsidR="000A4D6A">
        <w:t xml:space="preserve"> </w:t>
      </w:r>
      <w:r>
        <w:t>I invite the Victorian community to have their say on the proposed Gender Equality Bill. I know that together, we can achieve the vision of a Victoria that is free from gender inequality.</w:t>
      </w:r>
    </w:p>
    <w:p w:rsidR="00EA758B" w:rsidRDefault="00EA758B" w:rsidP="00EA758B">
      <w:pPr>
        <w:pStyle w:val="DHHSbody"/>
      </w:pPr>
    </w:p>
    <w:p w:rsidR="00EA758B" w:rsidRDefault="00EA758B" w:rsidP="00EA758B">
      <w:pPr>
        <w:pStyle w:val="DHHSbody"/>
      </w:pPr>
      <w:r w:rsidRPr="00EA758B">
        <w:rPr>
          <w:b/>
        </w:rPr>
        <w:t>The Honourable Natalie Hutchins MP</w:t>
      </w:r>
      <w:r>
        <w:br/>
        <w:t>Minister for Women</w:t>
      </w:r>
    </w:p>
    <w:p w:rsidR="00EA758B" w:rsidRDefault="00EA758B">
      <w:pPr>
        <w:rPr>
          <w:rFonts w:ascii="Arial" w:hAnsi="Arial"/>
          <w:bCs/>
          <w:color w:val="87189D"/>
          <w:sz w:val="44"/>
          <w:szCs w:val="44"/>
        </w:rPr>
      </w:pPr>
      <w:r>
        <w:br w:type="page"/>
      </w:r>
      <w:bookmarkStart w:id="1" w:name="_GoBack"/>
      <w:bookmarkEnd w:id="1"/>
    </w:p>
    <w:p w:rsidR="00AC0C3B" w:rsidRPr="00711B0C" w:rsidRDefault="00AC0C3B" w:rsidP="00EA758B">
      <w:pPr>
        <w:pStyle w:val="DHHSTOCheadingreport"/>
      </w:pPr>
      <w:r w:rsidRPr="00711B0C">
        <w:lastRenderedPageBreak/>
        <w:t>Contents</w:t>
      </w:r>
    </w:p>
    <w:p w:rsidR="00D61EFC" w:rsidRDefault="00EA758B">
      <w:pPr>
        <w:pStyle w:val="TOC1"/>
        <w:rPr>
          <w:rFonts w:asciiTheme="minorHAnsi" w:eastAsiaTheme="minorEastAsia" w:hAnsiTheme="minorHAnsi" w:cstheme="minorBidi"/>
          <w:b w:val="0"/>
          <w:sz w:val="22"/>
          <w:szCs w:val="22"/>
          <w:lang w:eastAsia="zh-CN"/>
        </w:rPr>
      </w:pPr>
      <w:r>
        <w:rPr>
          <w:b w:val="0"/>
          <w:noProof w:val="0"/>
        </w:rPr>
        <w:fldChar w:fldCharType="begin"/>
      </w:r>
      <w:r>
        <w:rPr>
          <w:b w:val="0"/>
          <w:noProof w:val="0"/>
        </w:rPr>
        <w:instrText xml:space="preserve"> TOC \o "1-1" \h \z \u </w:instrText>
      </w:r>
      <w:r>
        <w:rPr>
          <w:b w:val="0"/>
          <w:noProof w:val="0"/>
        </w:rPr>
        <w:fldChar w:fldCharType="separate"/>
      </w:r>
      <w:hyperlink w:anchor="_Toc522551281" w:history="1">
        <w:r w:rsidR="00D61EFC" w:rsidRPr="00066ADB">
          <w:rPr>
            <w:rStyle w:val="Hyperlink"/>
          </w:rPr>
          <w:t>Message from the Minister</w:t>
        </w:r>
        <w:r w:rsidR="00D61EFC">
          <w:rPr>
            <w:webHidden/>
          </w:rPr>
          <w:tab/>
        </w:r>
        <w:r w:rsidR="00D61EFC">
          <w:rPr>
            <w:webHidden/>
          </w:rPr>
          <w:fldChar w:fldCharType="begin"/>
        </w:r>
        <w:r w:rsidR="00D61EFC">
          <w:rPr>
            <w:webHidden/>
          </w:rPr>
          <w:instrText xml:space="preserve"> PAGEREF _Toc522551281 \h </w:instrText>
        </w:r>
        <w:r w:rsidR="00D61EFC">
          <w:rPr>
            <w:webHidden/>
          </w:rPr>
        </w:r>
        <w:r w:rsidR="00D61EFC">
          <w:rPr>
            <w:webHidden/>
          </w:rPr>
          <w:fldChar w:fldCharType="separate"/>
        </w:r>
        <w:r w:rsidR="00D61EFC">
          <w:rPr>
            <w:webHidden/>
          </w:rPr>
          <w:t>3</w:t>
        </w:r>
        <w:r w:rsidR="00D61EFC">
          <w:rPr>
            <w:webHidden/>
          </w:rPr>
          <w:fldChar w:fldCharType="end"/>
        </w:r>
      </w:hyperlink>
    </w:p>
    <w:p w:rsidR="00D61EFC" w:rsidRDefault="00771D41">
      <w:pPr>
        <w:pStyle w:val="TOC1"/>
        <w:rPr>
          <w:rFonts w:asciiTheme="minorHAnsi" w:eastAsiaTheme="minorEastAsia" w:hAnsiTheme="minorHAnsi" w:cstheme="minorBidi"/>
          <w:b w:val="0"/>
          <w:sz w:val="22"/>
          <w:szCs w:val="22"/>
          <w:lang w:eastAsia="zh-CN"/>
        </w:rPr>
      </w:pPr>
      <w:hyperlink w:anchor="_Toc522551282" w:history="1">
        <w:r w:rsidR="00D61EFC" w:rsidRPr="00066ADB">
          <w:rPr>
            <w:rStyle w:val="Hyperlink"/>
          </w:rPr>
          <w:t>Introduction</w:t>
        </w:r>
        <w:r w:rsidR="00D61EFC">
          <w:rPr>
            <w:webHidden/>
          </w:rPr>
          <w:tab/>
        </w:r>
        <w:r w:rsidR="00D61EFC">
          <w:rPr>
            <w:webHidden/>
          </w:rPr>
          <w:fldChar w:fldCharType="begin"/>
        </w:r>
        <w:r w:rsidR="00D61EFC">
          <w:rPr>
            <w:webHidden/>
          </w:rPr>
          <w:instrText xml:space="preserve"> PAGEREF _Toc522551282 \h </w:instrText>
        </w:r>
        <w:r w:rsidR="00D61EFC">
          <w:rPr>
            <w:webHidden/>
          </w:rPr>
        </w:r>
        <w:r w:rsidR="00D61EFC">
          <w:rPr>
            <w:webHidden/>
          </w:rPr>
          <w:fldChar w:fldCharType="separate"/>
        </w:r>
        <w:r w:rsidR="00D61EFC">
          <w:rPr>
            <w:webHidden/>
          </w:rPr>
          <w:t>5</w:t>
        </w:r>
        <w:r w:rsidR="00D61EFC">
          <w:rPr>
            <w:webHidden/>
          </w:rPr>
          <w:fldChar w:fldCharType="end"/>
        </w:r>
      </w:hyperlink>
    </w:p>
    <w:p w:rsidR="00D61EFC" w:rsidRDefault="00771D41">
      <w:pPr>
        <w:pStyle w:val="TOC1"/>
        <w:rPr>
          <w:rFonts w:asciiTheme="minorHAnsi" w:eastAsiaTheme="minorEastAsia" w:hAnsiTheme="minorHAnsi" w:cstheme="minorBidi"/>
          <w:b w:val="0"/>
          <w:sz w:val="22"/>
          <w:szCs w:val="22"/>
          <w:lang w:eastAsia="zh-CN"/>
        </w:rPr>
      </w:pPr>
      <w:hyperlink w:anchor="_Toc522551283" w:history="1">
        <w:r w:rsidR="00D61EFC" w:rsidRPr="00066ADB">
          <w:rPr>
            <w:rStyle w:val="Hyperlink"/>
          </w:rPr>
          <w:t>Background and context</w:t>
        </w:r>
        <w:r w:rsidR="00D61EFC">
          <w:rPr>
            <w:webHidden/>
          </w:rPr>
          <w:tab/>
        </w:r>
        <w:r w:rsidR="00D61EFC">
          <w:rPr>
            <w:webHidden/>
          </w:rPr>
          <w:fldChar w:fldCharType="begin"/>
        </w:r>
        <w:r w:rsidR="00D61EFC">
          <w:rPr>
            <w:webHidden/>
          </w:rPr>
          <w:instrText xml:space="preserve"> PAGEREF _Toc522551283 \h </w:instrText>
        </w:r>
        <w:r w:rsidR="00D61EFC">
          <w:rPr>
            <w:webHidden/>
          </w:rPr>
        </w:r>
        <w:r w:rsidR="00D61EFC">
          <w:rPr>
            <w:webHidden/>
          </w:rPr>
          <w:fldChar w:fldCharType="separate"/>
        </w:r>
        <w:r w:rsidR="00D61EFC">
          <w:rPr>
            <w:webHidden/>
          </w:rPr>
          <w:t>6</w:t>
        </w:r>
        <w:r w:rsidR="00D61EFC">
          <w:rPr>
            <w:webHidden/>
          </w:rPr>
          <w:fldChar w:fldCharType="end"/>
        </w:r>
      </w:hyperlink>
    </w:p>
    <w:p w:rsidR="00D61EFC" w:rsidRDefault="00771D41">
      <w:pPr>
        <w:pStyle w:val="TOC1"/>
        <w:rPr>
          <w:rFonts w:asciiTheme="minorHAnsi" w:eastAsiaTheme="minorEastAsia" w:hAnsiTheme="minorHAnsi" w:cstheme="minorBidi"/>
          <w:b w:val="0"/>
          <w:sz w:val="22"/>
          <w:szCs w:val="22"/>
          <w:lang w:eastAsia="zh-CN"/>
        </w:rPr>
      </w:pPr>
      <w:hyperlink w:anchor="_Toc522551284" w:history="1">
        <w:r w:rsidR="00D61EFC" w:rsidRPr="00066ADB">
          <w:rPr>
            <w:rStyle w:val="Hyperlink"/>
          </w:rPr>
          <w:t xml:space="preserve">Community consultation in shaping </w:t>
        </w:r>
        <w:r w:rsidR="00D61EFC" w:rsidRPr="00066ADB">
          <w:rPr>
            <w:rStyle w:val="Hyperlink"/>
            <w:i/>
          </w:rPr>
          <w:t>Safe and Strong: A Victorian Gender Equality Strategy</w:t>
        </w:r>
        <w:r w:rsidR="00D61EFC">
          <w:rPr>
            <w:webHidden/>
          </w:rPr>
          <w:tab/>
        </w:r>
        <w:r w:rsidR="00D61EFC">
          <w:rPr>
            <w:webHidden/>
          </w:rPr>
          <w:fldChar w:fldCharType="begin"/>
        </w:r>
        <w:r w:rsidR="00D61EFC">
          <w:rPr>
            <w:webHidden/>
          </w:rPr>
          <w:instrText xml:space="preserve"> PAGEREF _Toc522551284 \h </w:instrText>
        </w:r>
        <w:r w:rsidR="00D61EFC">
          <w:rPr>
            <w:webHidden/>
          </w:rPr>
        </w:r>
        <w:r w:rsidR="00D61EFC">
          <w:rPr>
            <w:webHidden/>
          </w:rPr>
          <w:fldChar w:fldCharType="separate"/>
        </w:r>
        <w:r w:rsidR="00D61EFC">
          <w:rPr>
            <w:webHidden/>
          </w:rPr>
          <w:t>7</w:t>
        </w:r>
        <w:r w:rsidR="00D61EFC">
          <w:rPr>
            <w:webHidden/>
          </w:rPr>
          <w:fldChar w:fldCharType="end"/>
        </w:r>
      </w:hyperlink>
    </w:p>
    <w:p w:rsidR="00D61EFC" w:rsidRDefault="00771D41">
      <w:pPr>
        <w:pStyle w:val="TOC1"/>
        <w:rPr>
          <w:rFonts w:asciiTheme="minorHAnsi" w:eastAsiaTheme="minorEastAsia" w:hAnsiTheme="minorHAnsi" w:cstheme="minorBidi"/>
          <w:b w:val="0"/>
          <w:sz w:val="22"/>
          <w:szCs w:val="22"/>
          <w:lang w:eastAsia="zh-CN"/>
        </w:rPr>
      </w:pPr>
      <w:hyperlink w:anchor="_Toc522551285" w:history="1">
        <w:r w:rsidR="00D61EFC" w:rsidRPr="00066ADB">
          <w:rPr>
            <w:rStyle w:val="Hyperlink"/>
          </w:rPr>
          <w:t>Consultation to date on the Gender Equality Bill</w:t>
        </w:r>
        <w:r w:rsidR="00D61EFC">
          <w:rPr>
            <w:webHidden/>
          </w:rPr>
          <w:tab/>
        </w:r>
        <w:r w:rsidR="00D61EFC">
          <w:rPr>
            <w:webHidden/>
          </w:rPr>
          <w:fldChar w:fldCharType="begin"/>
        </w:r>
        <w:r w:rsidR="00D61EFC">
          <w:rPr>
            <w:webHidden/>
          </w:rPr>
          <w:instrText xml:space="preserve"> PAGEREF _Toc522551285 \h </w:instrText>
        </w:r>
        <w:r w:rsidR="00D61EFC">
          <w:rPr>
            <w:webHidden/>
          </w:rPr>
        </w:r>
        <w:r w:rsidR="00D61EFC">
          <w:rPr>
            <w:webHidden/>
          </w:rPr>
          <w:fldChar w:fldCharType="separate"/>
        </w:r>
        <w:r w:rsidR="00D61EFC">
          <w:rPr>
            <w:webHidden/>
          </w:rPr>
          <w:t>8</w:t>
        </w:r>
        <w:r w:rsidR="00D61EFC">
          <w:rPr>
            <w:webHidden/>
          </w:rPr>
          <w:fldChar w:fldCharType="end"/>
        </w:r>
      </w:hyperlink>
    </w:p>
    <w:p w:rsidR="00D61EFC" w:rsidRDefault="00771D41">
      <w:pPr>
        <w:pStyle w:val="TOC1"/>
        <w:rPr>
          <w:rFonts w:asciiTheme="minorHAnsi" w:eastAsiaTheme="minorEastAsia" w:hAnsiTheme="minorHAnsi" w:cstheme="minorBidi"/>
          <w:b w:val="0"/>
          <w:sz w:val="22"/>
          <w:szCs w:val="22"/>
          <w:lang w:eastAsia="zh-CN"/>
        </w:rPr>
      </w:pPr>
      <w:hyperlink w:anchor="_Toc522551286" w:history="1">
        <w:r w:rsidR="00D61EFC" w:rsidRPr="00066ADB">
          <w:rPr>
            <w:rStyle w:val="Hyperlink"/>
          </w:rPr>
          <w:t>Why is Gender Equality legislation necessary?</w:t>
        </w:r>
        <w:r w:rsidR="00D61EFC">
          <w:rPr>
            <w:webHidden/>
          </w:rPr>
          <w:tab/>
        </w:r>
        <w:r w:rsidR="00D61EFC">
          <w:rPr>
            <w:webHidden/>
          </w:rPr>
          <w:fldChar w:fldCharType="begin"/>
        </w:r>
        <w:r w:rsidR="00D61EFC">
          <w:rPr>
            <w:webHidden/>
          </w:rPr>
          <w:instrText xml:space="preserve"> PAGEREF _Toc522551286 \h </w:instrText>
        </w:r>
        <w:r w:rsidR="00D61EFC">
          <w:rPr>
            <w:webHidden/>
          </w:rPr>
        </w:r>
        <w:r w:rsidR="00D61EFC">
          <w:rPr>
            <w:webHidden/>
          </w:rPr>
          <w:fldChar w:fldCharType="separate"/>
        </w:r>
        <w:r w:rsidR="00D61EFC">
          <w:rPr>
            <w:webHidden/>
          </w:rPr>
          <w:t>9</w:t>
        </w:r>
        <w:r w:rsidR="00D61EFC">
          <w:rPr>
            <w:webHidden/>
          </w:rPr>
          <w:fldChar w:fldCharType="end"/>
        </w:r>
      </w:hyperlink>
    </w:p>
    <w:p w:rsidR="00D61EFC" w:rsidRDefault="00771D41">
      <w:pPr>
        <w:pStyle w:val="TOC1"/>
        <w:rPr>
          <w:rFonts w:asciiTheme="minorHAnsi" w:eastAsiaTheme="minorEastAsia" w:hAnsiTheme="minorHAnsi" w:cstheme="minorBidi"/>
          <w:b w:val="0"/>
          <w:sz w:val="22"/>
          <w:szCs w:val="22"/>
          <w:lang w:eastAsia="zh-CN"/>
        </w:rPr>
      </w:pPr>
      <w:hyperlink w:anchor="_Toc522551287" w:history="1">
        <w:r w:rsidR="00D61EFC" w:rsidRPr="00066ADB">
          <w:rPr>
            <w:rStyle w:val="Hyperlink"/>
          </w:rPr>
          <w:t>Gender diversity</w:t>
        </w:r>
        <w:r w:rsidR="00D61EFC">
          <w:rPr>
            <w:webHidden/>
          </w:rPr>
          <w:tab/>
        </w:r>
        <w:r w:rsidR="00D61EFC">
          <w:rPr>
            <w:webHidden/>
          </w:rPr>
          <w:fldChar w:fldCharType="begin"/>
        </w:r>
        <w:r w:rsidR="00D61EFC">
          <w:rPr>
            <w:webHidden/>
          </w:rPr>
          <w:instrText xml:space="preserve"> PAGEREF _Toc522551287 \h </w:instrText>
        </w:r>
        <w:r w:rsidR="00D61EFC">
          <w:rPr>
            <w:webHidden/>
          </w:rPr>
        </w:r>
        <w:r w:rsidR="00D61EFC">
          <w:rPr>
            <w:webHidden/>
          </w:rPr>
          <w:fldChar w:fldCharType="separate"/>
        </w:r>
        <w:r w:rsidR="00D61EFC">
          <w:rPr>
            <w:webHidden/>
          </w:rPr>
          <w:t>10</w:t>
        </w:r>
        <w:r w:rsidR="00D61EFC">
          <w:rPr>
            <w:webHidden/>
          </w:rPr>
          <w:fldChar w:fldCharType="end"/>
        </w:r>
      </w:hyperlink>
    </w:p>
    <w:p w:rsidR="00D61EFC" w:rsidRDefault="00771D41">
      <w:pPr>
        <w:pStyle w:val="TOC1"/>
        <w:rPr>
          <w:rFonts w:asciiTheme="minorHAnsi" w:eastAsiaTheme="minorEastAsia" w:hAnsiTheme="minorHAnsi" w:cstheme="minorBidi"/>
          <w:b w:val="0"/>
          <w:sz w:val="22"/>
          <w:szCs w:val="22"/>
          <w:lang w:eastAsia="zh-CN"/>
        </w:rPr>
      </w:pPr>
      <w:hyperlink w:anchor="_Toc522551288" w:history="1">
        <w:r w:rsidR="00D61EFC" w:rsidRPr="00066ADB">
          <w:rPr>
            <w:rStyle w:val="Hyperlink"/>
          </w:rPr>
          <w:t>The proposed Gender Equality Bill</w:t>
        </w:r>
        <w:r w:rsidR="00D61EFC">
          <w:rPr>
            <w:webHidden/>
          </w:rPr>
          <w:tab/>
        </w:r>
        <w:r w:rsidR="00D61EFC">
          <w:rPr>
            <w:webHidden/>
          </w:rPr>
          <w:fldChar w:fldCharType="begin"/>
        </w:r>
        <w:r w:rsidR="00D61EFC">
          <w:rPr>
            <w:webHidden/>
          </w:rPr>
          <w:instrText xml:space="preserve"> PAGEREF _Toc522551288 \h </w:instrText>
        </w:r>
        <w:r w:rsidR="00D61EFC">
          <w:rPr>
            <w:webHidden/>
          </w:rPr>
        </w:r>
        <w:r w:rsidR="00D61EFC">
          <w:rPr>
            <w:webHidden/>
          </w:rPr>
          <w:fldChar w:fldCharType="separate"/>
        </w:r>
        <w:r w:rsidR="00D61EFC">
          <w:rPr>
            <w:webHidden/>
          </w:rPr>
          <w:t>10</w:t>
        </w:r>
        <w:r w:rsidR="00D61EFC">
          <w:rPr>
            <w:webHidden/>
          </w:rPr>
          <w:fldChar w:fldCharType="end"/>
        </w:r>
      </w:hyperlink>
    </w:p>
    <w:p w:rsidR="00D61EFC" w:rsidRDefault="00771D41">
      <w:pPr>
        <w:pStyle w:val="TOC1"/>
        <w:rPr>
          <w:rFonts w:asciiTheme="minorHAnsi" w:eastAsiaTheme="minorEastAsia" w:hAnsiTheme="minorHAnsi" w:cstheme="minorBidi"/>
          <w:b w:val="0"/>
          <w:sz w:val="22"/>
          <w:szCs w:val="22"/>
          <w:lang w:eastAsia="zh-CN"/>
        </w:rPr>
      </w:pPr>
      <w:hyperlink w:anchor="_Toc522551289" w:history="1">
        <w:r w:rsidR="00D61EFC" w:rsidRPr="00066ADB">
          <w:rPr>
            <w:rStyle w:val="Hyperlink"/>
          </w:rPr>
          <w:t>The principles of the legislation</w:t>
        </w:r>
        <w:r w:rsidR="00D61EFC">
          <w:rPr>
            <w:webHidden/>
          </w:rPr>
          <w:tab/>
        </w:r>
        <w:r w:rsidR="00D61EFC">
          <w:rPr>
            <w:webHidden/>
          </w:rPr>
          <w:fldChar w:fldCharType="begin"/>
        </w:r>
        <w:r w:rsidR="00D61EFC">
          <w:rPr>
            <w:webHidden/>
          </w:rPr>
          <w:instrText xml:space="preserve"> PAGEREF _Toc522551289 \h </w:instrText>
        </w:r>
        <w:r w:rsidR="00D61EFC">
          <w:rPr>
            <w:webHidden/>
          </w:rPr>
        </w:r>
        <w:r w:rsidR="00D61EFC">
          <w:rPr>
            <w:webHidden/>
          </w:rPr>
          <w:fldChar w:fldCharType="separate"/>
        </w:r>
        <w:r w:rsidR="00D61EFC">
          <w:rPr>
            <w:webHidden/>
          </w:rPr>
          <w:t>11</w:t>
        </w:r>
        <w:r w:rsidR="00D61EFC">
          <w:rPr>
            <w:webHidden/>
          </w:rPr>
          <w:fldChar w:fldCharType="end"/>
        </w:r>
      </w:hyperlink>
    </w:p>
    <w:p w:rsidR="00D61EFC" w:rsidRDefault="00771D41">
      <w:pPr>
        <w:pStyle w:val="TOC1"/>
        <w:rPr>
          <w:rFonts w:asciiTheme="minorHAnsi" w:eastAsiaTheme="minorEastAsia" w:hAnsiTheme="minorHAnsi" w:cstheme="minorBidi"/>
          <w:b w:val="0"/>
          <w:sz w:val="22"/>
          <w:szCs w:val="22"/>
          <w:lang w:eastAsia="zh-CN"/>
        </w:rPr>
      </w:pPr>
      <w:hyperlink w:anchor="_Toc522551290" w:history="1">
        <w:r w:rsidR="00D61EFC" w:rsidRPr="00066ADB">
          <w:rPr>
            <w:rStyle w:val="Hyperlink"/>
          </w:rPr>
          <w:t>Gender Equality Action Plans</w:t>
        </w:r>
        <w:r w:rsidR="00D61EFC">
          <w:rPr>
            <w:webHidden/>
          </w:rPr>
          <w:tab/>
        </w:r>
        <w:r w:rsidR="00D61EFC">
          <w:rPr>
            <w:webHidden/>
          </w:rPr>
          <w:fldChar w:fldCharType="begin"/>
        </w:r>
        <w:r w:rsidR="00D61EFC">
          <w:rPr>
            <w:webHidden/>
          </w:rPr>
          <w:instrText xml:space="preserve"> PAGEREF _Toc522551290 \h </w:instrText>
        </w:r>
        <w:r w:rsidR="00D61EFC">
          <w:rPr>
            <w:webHidden/>
          </w:rPr>
        </w:r>
        <w:r w:rsidR="00D61EFC">
          <w:rPr>
            <w:webHidden/>
          </w:rPr>
          <w:fldChar w:fldCharType="separate"/>
        </w:r>
        <w:r w:rsidR="00D61EFC">
          <w:rPr>
            <w:webHidden/>
          </w:rPr>
          <w:t>13</w:t>
        </w:r>
        <w:r w:rsidR="00D61EFC">
          <w:rPr>
            <w:webHidden/>
          </w:rPr>
          <w:fldChar w:fldCharType="end"/>
        </w:r>
      </w:hyperlink>
    </w:p>
    <w:p w:rsidR="00D61EFC" w:rsidRDefault="00771D41">
      <w:pPr>
        <w:pStyle w:val="TOC1"/>
        <w:rPr>
          <w:rFonts w:asciiTheme="minorHAnsi" w:eastAsiaTheme="minorEastAsia" w:hAnsiTheme="minorHAnsi" w:cstheme="minorBidi"/>
          <w:b w:val="0"/>
          <w:sz w:val="22"/>
          <w:szCs w:val="22"/>
          <w:lang w:eastAsia="zh-CN"/>
        </w:rPr>
      </w:pPr>
      <w:hyperlink w:anchor="_Toc522551291" w:history="1">
        <w:r w:rsidR="00D61EFC" w:rsidRPr="00066ADB">
          <w:rPr>
            <w:rStyle w:val="Hyperlink"/>
          </w:rPr>
          <w:t>Setting indicators and targets</w:t>
        </w:r>
        <w:r w:rsidR="00D61EFC">
          <w:rPr>
            <w:webHidden/>
          </w:rPr>
          <w:tab/>
        </w:r>
        <w:r w:rsidR="00D61EFC">
          <w:rPr>
            <w:webHidden/>
          </w:rPr>
          <w:fldChar w:fldCharType="begin"/>
        </w:r>
        <w:r w:rsidR="00D61EFC">
          <w:rPr>
            <w:webHidden/>
          </w:rPr>
          <w:instrText xml:space="preserve"> PAGEREF _Toc522551291 \h </w:instrText>
        </w:r>
        <w:r w:rsidR="00D61EFC">
          <w:rPr>
            <w:webHidden/>
          </w:rPr>
        </w:r>
        <w:r w:rsidR="00D61EFC">
          <w:rPr>
            <w:webHidden/>
          </w:rPr>
          <w:fldChar w:fldCharType="separate"/>
        </w:r>
        <w:r w:rsidR="00D61EFC">
          <w:rPr>
            <w:webHidden/>
          </w:rPr>
          <w:t>14</w:t>
        </w:r>
        <w:r w:rsidR="00D61EFC">
          <w:rPr>
            <w:webHidden/>
          </w:rPr>
          <w:fldChar w:fldCharType="end"/>
        </w:r>
      </w:hyperlink>
    </w:p>
    <w:p w:rsidR="00D61EFC" w:rsidRDefault="00771D41">
      <w:pPr>
        <w:pStyle w:val="TOC1"/>
        <w:rPr>
          <w:rFonts w:asciiTheme="minorHAnsi" w:eastAsiaTheme="minorEastAsia" w:hAnsiTheme="minorHAnsi" w:cstheme="minorBidi"/>
          <w:b w:val="0"/>
          <w:sz w:val="22"/>
          <w:szCs w:val="22"/>
          <w:lang w:eastAsia="zh-CN"/>
        </w:rPr>
      </w:pPr>
      <w:hyperlink w:anchor="_Toc522551292" w:history="1">
        <w:r w:rsidR="00D61EFC" w:rsidRPr="00066ADB">
          <w:rPr>
            <w:rStyle w:val="Hyperlink"/>
          </w:rPr>
          <w:t>Reporting against key indicators and targets</w:t>
        </w:r>
        <w:r w:rsidR="00D61EFC">
          <w:rPr>
            <w:webHidden/>
          </w:rPr>
          <w:tab/>
        </w:r>
        <w:r w:rsidR="00D61EFC">
          <w:rPr>
            <w:webHidden/>
          </w:rPr>
          <w:fldChar w:fldCharType="begin"/>
        </w:r>
        <w:r w:rsidR="00D61EFC">
          <w:rPr>
            <w:webHidden/>
          </w:rPr>
          <w:instrText xml:space="preserve"> PAGEREF _Toc522551292 \h </w:instrText>
        </w:r>
        <w:r w:rsidR="00D61EFC">
          <w:rPr>
            <w:webHidden/>
          </w:rPr>
        </w:r>
        <w:r w:rsidR="00D61EFC">
          <w:rPr>
            <w:webHidden/>
          </w:rPr>
          <w:fldChar w:fldCharType="separate"/>
        </w:r>
        <w:r w:rsidR="00D61EFC">
          <w:rPr>
            <w:webHidden/>
          </w:rPr>
          <w:t>15</w:t>
        </w:r>
        <w:r w:rsidR="00D61EFC">
          <w:rPr>
            <w:webHidden/>
          </w:rPr>
          <w:fldChar w:fldCharType="end"/>
        </w:r>
      </w:hyperlink>
    </w:p>
    <w:p w:rsidR="00D61EFC" w:rsidRDefault="00771D41">
      <w:pPr>
        <w:pStyle w:val="TOC1"/>
        <w:rPr>
          <w:rFonts w:asciiTheme="minorHAnsi" w:eastAsiaTheme="minorEastAsia" w:hAnsiTheme="minorHAnsi" w:cstheme="minorBidi"/>
          <w:b w:val="0"/>
          <w:sz w:val="22"/>
          <w:szCs w:val="22"/>
          <w:lang w:eastAsia="zh-CN"/>
        </w:rPr>
      </w:pPr>
      <w:hyperlink w:anchor="_Toc522551293" w:history="1">
        <w:r w:rsidR="00D61EFC" w:rsidRPr="00066ADB">
          <w:rPr>
            <w:rStyle w:val="Hyperlink"/>
          </w:rPr>
          <w:t>Gender-ethical procurement guidelines</w:t>
        </w:r>
        <w:r w:rsidR="00D61EFC">
          <w:rPr>
            <w:webHidden/>
          </w:rPr>
          <w:tab/>
        </w:r>
        <w:r w:rsidR="00D61EFC">
          <w:rPr>
            <w:webHidden/>
          </w:rPr>
          <w:fldChar w:fldCharType="begin"/>
        </w:r>
        <w:r w:rsidR="00D61EFC">
          <w:rPr>
            <w:webHidden/>
          </w:rPr>
          <w:instrText xml:space="preserve"> PAGEREF _Toc522551293 \h </w:instrText>
        </w:r>
        <w:r w:rsidR="00D61EFC">
          <w:rPr>
            <w:webHidden/>
          </w:rPr>
        </w:r>
        <w:r w:rsidR="00D61EFC">
          <w:rPr>
            <w:webHidden/>
          </w:rPr>
          <w:fldChar w:fldCharType="separate"/>
        </w:r>
        <w:r w:rsidR="00D61EFC">
          <w:rPr>
            <w:webHidden/>
          </w:rPr>
          <w:t>16</w:t>
        </w:r>
        <w:r w:rsidR="00D61EFC">
          <w:rPr>
            <w:webHidden/>
          </w:rPr>
          <w:fldChar w:fldCharType="end"/>
        </w:r>
      </w:hyperlink>
    </w:p>
    <w:p w:rsidR="00D61EFC" w:rsidRDefault="00771D41">
      <w:pPr>
        <w:pStyle w:val="TOC1"/>
        <w:rPr>
          <w:rFonts w:asciiTheme="minorHAnsi" w:eastAsiaTheme="minorEastAsia" w:hAnsiTheme="minorHAnsi" w:cstheme="minorBidi"/>
          <w:b w:val="0"/>
          <w:sz w:val="22"/>
          <w:szCs w:val="22"/>
          <w:lang w:eastAsia="zh-CN"/>
        </w:rPr>
      </w:pPr>
      <w:hyperlink w:anchor="_Toc522551294" w:history="1">
        <w:r w:rsidR="00D61EFC" w:rsidRPr="00066ADB">
          <w:rPr>
            <w:rStyle w:val="Hyperlink"/>
          </w:rPr>
          <w:t>Monitoring and compliance</w:t>
        </w:r>
        <w:r w:rsidR="00D61EFC">
          <w:rPr>
            <w:webHidden/>
          </w:rPr>
          <w:tab/>
        </w:r>
        <w:r w:rsidR="00D61EFC">
          <w:rPr>
            <w:webHidden/>
          </w:rPr>
          <w:fldChar w:fldCharType="begin"/>
        </w:r>
        <w:r w:rsidR="00D61EFC">
          <w:rPr>
            <w:webHidden/>
          </w:rPr>
          <w:instrText xml:space="preserve"> PAGEREF _Toc522551294 \h </w:instrText>
        </w:r>
        <w:r w:rsidR="00D61EFC">
          <w:rPr>
            <w:webHidden/>
          </w:rPr>
        </w:r>
        <w:r w:rsidR="00D61EFC">
          <w:rPr>
            <w:webHidden/>
          </w:rPr>
          <w:fldChar w:fldCharType="separate"/>
        </w:r>
        <w:r w:rsidR="00D61EFC">
          <w:rPr>
            <w:webHidden/>
          </w:rPr>
          <w:t>18</w:t>
        </w:r>
        <w:r w:rsidR="00D61EFC">
          <w:rPr>
            <w:webHidden/>
          </w:rPr>
          <w:fldChar w:fldCharType="end"/>
        </w:r>
      </w:hyperlink>
    </w:p>
    <w:p w:rsidR="00D61EFC" w:rsidRDefault="00771D41">
      <w:pPr>
        <w:pStyle w:val="TOC1"/>
        <w:rPr>
          <w:rFonts w:asciiTheme="minorHAnsi" w:eastAsiaTheme="minorEastAsia" w:hAnsiTheme="minorHAnsi" w:cstheme="minorBidi"/>
          <w:b w:val="0"/>
          <w:sz w:val="22"/>
          <w:szCs w:val="22"/>
          <w:lang w:eastAsia="zh-CN"/>
        </w:rPr>
      </w:pPr>
      <w:hyperlink w:anchor="_Toc522551295" w:history="1">
        <w:r w:rsidR="00D61EFC" w:rsidRPr="00066ADB">
          <w:rPr>
            <w:rStyle w:val="Hyperlink"/>
          </w:rPr>
          <w:t>Ministerial Council on Women’s Equality</w:t>
        </w:r>
        <w:r w:rsidR="00D61EFC">
          <w:rPr>
            <w:webHidden/>
          </w:rPr>
          <w:tab/>
        </w:r>
        <w:r w:rsidR="00D61EFC">
          <w:rPr>
            <w:webHidden/>
          </w:rPr>
          <w:fldChar w:fldCharType="begin"/>
        </w:r>
        <w:r w:rsidR="00D61EFC">
          <w:rPr>
            <w:webHidden/>
          </w:rPr>
          <w:instrText xml:space="preserve"> PAGEREF _Toc522551295 \h </w:instrText>
        </w:r>
        <w:r w:rsidR="00D61EFC">
          <w:rPr>
            <w:webHidden/>
          </w:rPr>
        </w:r>
        <w:r w:rsidR="00D61EFC">
          <w:rPr>
            <w:webHidden/>
          </w:rPr>
          <w:fldChar w:fldCharType="separate"/>
        </w:r>
        <w:r w:rsidR="00D61EFC">
          <w:rPr>
            <w:webHidden/>
          </w:rPr>
          <w:t>19</w:t>
        </w:r>
        <w:r w:rsidR="00D61EFC">
          <w:rPr>
            <w:webHidden/>
          </w:rPr>
          <w:fldChar w:fldCharType="end"/>
        </w:r>
      </w:hyperlink>
    </w:p>
    <w:p w:rsidR="00D61EFC" w:rsidRDefault="00771D41">
      <w:pPr>
        <w:pStyle w:val="TOC1"/>
        <w:rPr>
          <w:rFonts w:asciiTheme="minorHAnsi" w:eastAsiaTheme="minorEastAsia" w:hAnsiTheme="minorHAnsi" w:cstheme="minorBidi"/>
          <w:b w:val="0"/>
          <w:sz w:val="22"/>
          <w:szCs w:val="22"/>
          <w:lang w:eastAsia="zh-CN"/>
        </w:rPr>
      </w:pPr>
      <w:hyperlink w:anchor="_Toc522551296" w:history="1">
        <w:r w:rsidR="00D61EFC" w:rsidRPr="00066ADB">
          <w:rPr>
            <w:rStyle w:val="Hyperlink"/>
          </w:rPr>
          <w:t>Proposed roll out of the Gender Equality Bill</w:t>
        </w:r>
        <w:r w:rsidR="00D61EFC">
          <w:rPr>
            <w:webHidden/>
          </w:rPr>
          <w:tab/>
        </w:r>
        <w:r w:rsidR="00D61EFC">
          <w:rPr>
            <w:webHidden/>
          </w:rPr>
          <w:fldChar w:fldCharType="begin"/>
        </w:r>
        <w:r w:rsidR="00D61EFC">
          <w:rPr>
            <w:webHidden/>
          </w:rPr>
          <w:instrText xml:space="preserve"> PAGEREF _Toc522551296 \h </w:instrText>
        </w:r>
        <w:r w:rsidR="00D61EFC">
          <w:rPr>
            <w:webHidden/>
          </w:rPr>
        </w:r>
        <w:r w:rsidR="00D61EFC">
          <w:rPr>
            <w:webHidden/>
          </w:rPr>
          <w:fldChar w:fldCharType="separate"/>
        </w:r>
        <w:r w:rsidR="00D61EFC">
          <w:rPr>
            <w:webHidden/>
          </w:rPr>
          <w:t>20</w:t>
        </w:r>
        <w:r w:rsidR="00D61EFC">
          <w:rPr>
            <w:webHidden/>
          </w:rPr>
          <w:fldChar w:fldCharType="end"/>
        </w:r>
      </w:hyperlink>
    </w:p>
    <w:p w:rsidR="00D61EFC" w:rsidRDefault="00771D41">
      <w:pPr>
        <w:pStyle w:val="TOC1"/>
        <w:rPr>
          <w:rFonts w:asciiTheme="minorHAnsi" w:eastAsiaTheme="minorEastAsia" w:hAnsiTheme="minorHAnsi" w:cstheme="minorBidi"/>
          <w:b w:val="0"/>
          <w:sz w:val="22"/>
          <w:szCs w:val="22"/>
          <w:lang w:eastAsia="zh-CN"/>
        </w:rPr>
      </w:pPr>
      <w:hyperlink w:anchor="_Toc522551297" w:history="1">
        <w:r w:rsidR="00D61EFC" w:rsidRPr="00066ADB">
          <w:rPr>
            <w:rStyle w:val="Hyperlink"/>
          </w:rPr>
          <w:t>Gender Equality Bill Consultations 2018</w:t>
        </w:r>
        <w:r w:rsidR="00D61EFC">
          <w:rPr>
            <w:webHidden/>
          </w:rPr>
          <w:tab/>
        </w:r>
        <w:r w:rsidR="00D61EFC">
          <w:rPr>
            <w:webHidden/>
          </w:rPr>
          <w:fldChar w:fldCharType="begin"/>
        </w:r>
        <w:r w:rsidR="00D61EFC">
          <w:rPr>
            <w:webHidden/>
          </w:rPr>
          <w:instrText xml:space="preserve"> PAGEREF _Toc522551297 \h </w:instrText>
        </w:r>
        <w:r w:rsidR="00D61EFC">
          <w:rPr>
            <w:webHidden/>
          </w:rPr>
        </w:r>
        <w:r w:rsidR="00D61EFC">
          <w:rPr>
            <w:webHidden/>
          </w:rPr>
          <w:fldChar w:fldCharType="separate"/>
        </w:r>
        <w:r w:rsidR="00D61EFC">
          <w:rPr>
            <w:webHidden/>
          </w:rPr>
          <w:t>22</w:t>
        </w:r>
        <w:r w:rsidR="00D61EFC">
          <w:rPr>
            <w:webHidden/>
          </w:rPr>
          <w:fldChar w:fldCharType="end"/>
        </w:r>
      </w:hyperlink>
    </w:p>
    <w:p w:rsidR="00D61EFC" w:rsidRDefault="00771D41">
      <w:pPr>
        <w:pStyle w:val="TOC1"/>
        <w:rPr>
          <w:rFonts w:asciiTheme="minorHAnsi" w:eastAsiaTheme="minorEastAsia" w:hAnsiTheme="minorHAnsi" w:cstheme="minorBidi"/>
          <w:b w:val="0"/>
          <w:sz w:val="22"/>
          <w:szCs w:val="22"/>
          <w:lang w:eastAsia="zh-CN"/>
        </w:rPr>
      </w:pPr>
      <w:hyperlink w:anchor="_Toc522551298" w:history="1">
        <w:r w:rsidR="00D61EFC" w:rsidRPr="00066ADB">
          <w:rPr>
            <w:rStyle w:val="Hyperlink"/>
          </w:rPr>
          <w:t>Get involved</w:t>
        </w:r>
        <w:r w:rsidR="00D61EFC">
          <w:rPr>
            <w:webHidden/>
          </w:rPr>
          <w:tab/>
        </w:r>
        <w:r w:rsidR="00D61EFC">
          <w:rPr>
            <w:webHidden/>
          </w:rPr>
          <w:fldChar w:fldCharType="begin"/>
        </w:r>
        <w:r w:rsidR="00D61EFC">
          <w:rPr>
            <w:webHidden/>
          </w:rPr>
          <w:instrText xml:space="preserve"> PAGEREF _Toc522551298 \h </w:instrText>
        </w:r>
        <w:r w:rsidR="00D61EFC">
          <w:rPr>
            <w:webHidden/>
          </w:rPr>
        </w:r>
        <w:r w:rsidR="00D61EFC">
          <w:rPr>
            <w:webHidden/>
          </w:rPr>
          <w:fldChar w:fldCharType="separate"/>
        </w:r>
        <w:r w:rsidR="00D61EFC">
          <w:rPr>
            <w:webHidden/>
          </w:rPr>
          <w:t>23</w:t>
        </w:r>
        <w:r w:rsidR="00D61EFC">
          <w:rPr>
            <w:webHidden/>
          </w:rPr>
          <w:fldChar w:fldCharType="end"/>
        </w:r>
      </w:hyperlink>
    </w:p>
    <w:p w:rsidR="00D61EFC" w:rsidRDefault="00771D41">
      <w:pPr>
        <w:pStyle w:val="TOC1"/>
        <w:rPr>
          <w:rFonts w:asciiTheme="minorHAnsi" w:eastAsiaTheme="minorEastAsia" w:hAnsiTheme="minorHAnsi" w:cstheme="minorBidi"/>
          <w:b w:val="0"/>
          <w:sz w:val="22"/>
          <w:szCs w:val="22"/>
          <w:lang w:eastAsia="zh-CN"/>
        </w:rPr>
      </w:pPr>
      <w:hyperlink w:anchor="_Toc522551299" w:history="1">
        <w:r w:rsidR="00D61EFC" w:rsidRPr="00066ADB">
          <w:rPr>
            <w:rStyle w:val="Hyperlink"/>
          </w:rPr>
          <w:t>Next steps</w:t>
        </w:r>
        <w:r w:rsidR="00D61EFC">
          <w:rPr>
            <w:webHidden/>
          </w:rPr>
          <w:tab/>
        </w:r>
        <w:r w:rsidR="00D61EFC">
          <w:rPr>
            <w:webHidden/>
          </w:rPr>
          <w:fldChar w:fldCharType="begin"/>
        </w:r>
        <w:r w:rsidR="00D61EFC">
          <w:rPr>
            <w:webHidden/>
          </w:rPr>
          <w:instrText xml:space="preserve"> PAGEREF _Toc522551299 \h </w:instrText>
        </w:r>
        <w:r w:rsidR="00D61EFC">
          <w:rPr>
            <w:webHidden/>
          </w:rPr>
        </w:r>
        <w:r w:rsidR="00D61EFC">
          <w:rPr>
            <w:webHidden/>
          </w:rPr>
          <w:fldChar w:fldCharType="separate"/>
        </w:r>
        <w:r w:rsidR="00D61EFC">
          <w:rPr>
            <w:webHidden/>
          </w:rPr>
          <w:t>24</w:t>
        </w:r>
        <w:r w:rsidR="00D61EFC">
          <w:rPr>
            <w:webHidden/>
          </w:rPr>
          <w:fldChar w:fldCharType="end"/>
        </w:r>
      </w:hyperlink>
    </w:p>
    <w:p w:rsidR="003E2E12" w:rsidRPr="003072C6" w:rsidRDefault="00EA758B" w:rsidP="00213772">
      <w:pPr>
        <w:pStyle w:val="TOC2"/>
        <w:rPr>
          <w:noProof w:val="0"/>
        </w:rPr>
      </w:pPr>
      <w:r>
        <w:rPr>
          <w:b/>
          <w:noProof w:val="0"/>
        </w:rPr>
        <w:fldChar w:fldCharType="end"/>
      </w:r>
    </w:p>
    <w:p w:rsidR="00AC0C3B" w:rsidRPr="003072C6" w:rsidRDefault="003E2E12" w:rsidP="00E91933">
      <w:pPr>
        <w:pStyle w:val="DHHSbody"/>
      </w:pPr>
      <w:r w:rsidRPr="003072C6">
        <w:br w:type="page"/>
      </w:r>
    </w:p>
    <w:p w:rsidR="00AC0C3B" w:rsidRPr="003072C6" w:rsidRDefault="00AC0C3B" w:rsidP="00E91933">
      <w:pPr>
        <w:pStyle w:val="DHHSbody"/>
        <w:sectPr w:rsidR="00AC0C3B" w:rsidRPr="003072C6" w:rsidSect="00C51B1C">
          <w:pgSz w:w="11906" w:h="16838"/>
          <w:pgMar w:top="1701" w:right="1304" w:bottom="1134" w:left="1304" w:header="454" w:footer="567" w:gutter="0"/>
          <w:cols w:space="720"/>
          <w:docGrid w:linePitch="360"/>
        </w:sectPr>
      </w:pPr>
    </w:p>
    <w:p w:rsidR="001635F7" w:rsidRPr="00AB50C1" w:rsidRDefault="001635F7" w:rsidP="001635F7">
      <w:pPr>
        <w:pStyle w:val="Heading1"/>
        <w:spacing w:before="0"/>
      </w:pPr>
      <w:bookmarkStart w:id="2" w:name="_Toc522544261"/>
      <w:bookmarkStart w:id="3" w:name="_Toc522551282"/>
      <w:r>
        <w:lastRenderedPageBreak/>
        <w:t>Introduction</w:t>
      </w:r>
      <w:bookmarkEnd w:id="2"/>
      <w:bookmarkEnd w:id="3"/>
    </w:p>
    <w:p w:rsidR="001635F7" w:rsidRDefault="001635F7" w:rsidP="001635F7">
      <w:pPr>
        <w:pStyle w:val="DHHSbody"/>
        <w:rPr>
          <w:szCs w:val="22"/>
        </w:rPr>
      </w:pPr>
      <w:r w:rsidRPr="002E3743">
        <w:rPr>
          <w:szCs w:val="22"/>
        </w:rPr>
        <w:t>In 2015, the Royal Commission into Family Violence (the Royal Commission) concluded that ‘family violence is a gendered crime’ and that ending violence against women requires addressing gender inequality in all its forms – in the workplace, school yards, on television screens and on sporting fields.</w:t>
      </w:r>
    </w:p>
    <w:p w:rsidR="001635F7" w:rsidRPr="002E3743" w:rsidRDefault="001635F7" w:rsidP="001635F7">
      <w:pPr>
        <w:pStyle w:val="DHHSbody"/>
        <w:rPr>
          <w:szCs w:val="22"/>
        </w:rPr>
      </w:pPr>
      <w:r w:rsidRPr="002E3743">
        <w:rPr>
          <w:szCs w:val="22"/>
        </w:rPr>
        <w:t xml:space="preserve">In November 2015, as part of the Victorian Government’s implementation of the 227 recommendations of the Royal Commission, the Government committed to developing Victoria’s first ever Gender Equality Strategy to highlight the link between violence and attitudes towards women and to guide the state’s actions for achieving equal social, civic and economic participation for women, men and gender diverse people in Victoria. </w:t>
      </w:r>
    </w:p>
    <w:p w:rsidR="001635F7" w:rsidRDefault="001635F7" w:rsidP="001635F7">
      <w:pPr>
        <w:pStyle w:val="DHHSbody"/>
        <w:rPr>
          <w:szCs w:val="22"/>
        </w:rPr>
      </w:pPr>
      <w:r>
        <w:rPr>
          <w:rFonts w:cs="Arial"/>
          <w:szCs w:val="22"/>
          <w:lang w:eastAsia="en-AU"/>
        </w:rPr>
        <w:t xml:space="preserve">In December 2016, the Government released </w:t>
      </w:r>
      <w:r w:rsidRPr="001F64AB">
        <w:rPr>
          <w:rFonts w:cs="Arial"/>
          <w:i/>
          <w:szCs w:val="22"/>
          <w:lang w:eastAsia="en-AU"/>
        </w:rPr>
        <w:t>S</w:t>
      </w:r>
      <w:r w:rsidRPr="001F64AB">
        <w:rPr>
          <w:rFonts w:cs="Arial"/>
          <w:i/>
          <w:szCs w:val="22"/>
        </w:rPr>
        <w:t>afe and Strong: A Victorian Gender Equality Strategy</w:t>
      </w:r>
      <w:r>
        <w:rPr>
          <w:rFonts w:cs="Arial"/>
          <w:szCs w:val="22"/>
        </w:rPr>
        <w:t xml:space="preserve"> that </w:t>
      </w:r>
      <w:r w:rsidRPr="001F64AB">
        <w:rPr>
          <w:rFonts w:cs="Arial"/>
          <w:szCs w:val="22"/>
          <w:lang w:eastAsia="en-AU"/>
        </w:rPr>
        <w:t>establishes a comprehensive framework for long</w:t>
      </w:r>
      <w:r w:rsidRPr="001F64AB">
        <w:rPr>
          <w:rFonts w:ascii="Cambria Math" w:hAnsi="Cambria Math" w:cs="Cambria Math"/>
          <w:szCs w:val="22"/>
          <w:lang w:eastAsia="en-AU"/>
        </w:rPr>
        <w:t>‐</w:t>
      </w:r>
      <w:r w:rsidRPr="001F64AB">
        <w:rPr>
          <w:rFonts w:cs="Arial"/>
          <w:szCs w:val="22"/>
          <w:lang w:eastAsia="en-AU"/>
        </w:rPr>
        <w:t xml:space="preserve">term action to improve gender </w:t>
      </w:r>
      <w:r w:rsidRPr="00E5262F">
        <w:rPr>
          <w:rFonts w:cs="Arial"/>
          <w:szCs w:val="22"/>
          <w:lang w:eastAsia="en-AU"/>
        </w:rPr>
        <w:t xml:space="preserve">equality </w:t>
      </w:r>
      <w:r w:rsidRPr="00F4789E">
        <w:rPr>
          <w:rFonts w:cs="Arial"/>
          <w:szCs w:val="22"/>
          <w:lang w:eastAsia="en-AU"/>
        </w:rPr>
        <w:t>in Victoria</w:t>
      </w:r>
      <w:r w:rsidRPr="00F4789E">
        <w:rPr>
          <w:rFonts w:cs="Arial"/>
          <w:szCs w:val="22"/>
        </w:rPr>
        <w:t xml:space="preserve">. </w:t>
      </w:r>
      <w:r w:rsidRPr="00F4789E">
        <w:rPr>
          <w:rFonts w:eastAsia="Calibri" w:cs="Arial"/>
          <w:szCs w:val="22"/>
        </w:rPr>
        <w:t xml:space="preserve">A </w:t>
      </w:r>
      <w:r>
        <w:rPr>
          <w:rFonts w:eastAsia="Calibri" w:cs="Arial"/>
          <w:szCs w:val="22"/>
        </w:rPr>
        <w:t>key</w:t>
      </w:r>
      <w:r w:rsidRPr="00F4789E">
        <w:rPr>
          <w:rFonts w:eastAsia="Calibri" w:cs="Arial"/>
          <w:szCs w:val="22"/>
        </w:rPr>
        <w:t xml:space="preserve"> reform of </w:t>
      </w:r>
      <w:r w:rsidRPr="00F4789E">
        <w:rPr>
          <w:rFonts w:cs="Arial"/>
          <w:szCs w:val="22"/>
        </w:rPr>
        <w:t>this strategy</w:t>
      </w:r>
      <w:r w:rsidRPr="00F4789E">
        <w:rPr>
          <w:rFonts w:eastAsia="Calibri" w:cs="Arial"/>
          <w:szCs w:val="22"/>
        </w:rPr>
        <w:t xml:space="preserve"> is to enact a </w:t>
      </w:r>
      <w:r w:rsidRPr="00F4789E">
        <w:rPr>
          <w:rFonts w:eastAsia="Calibri" w:cs="Arial"/>
          <w:i/>
          <w:szCs w:val="22"/>
        </w:rPr>
        <w:t>Gender Equality Act</w:t>
      </w:r>
      <w:r w:rsidRPr="00F4789E">
        <w:rPr>
          <w:rFonts w:eastAsia="Calibri" w:cs="Arial"/>
          <w:szCs w:val="22"/>
        </w:rPr>
        <w:t xml:space="preserve">, legislation that </w:t>
      </w:r>
      <w:r w:rsidRPr="00F4789E">
        <w:rPr>
          <w:szCs w:val="22"/>
        </w:rPr>
        <w:t xml:space="preserve">will promote and improve gender equality across </w:t>
      </w:r>
      <w:r>
        <w:rPr>
          <w:szCs w:val="22"/>
        </w:rPr>
        <w:t>the Government and public sector organisations</w:t>
      </w:r>
      <w:r w:rsidRPr="00F4789E">
        <w:rPr>
          <w:szCs w:val="22"/>
        </w:rPr>
        <w:t>.</w:t>
      </w:r>
    </w:p>
    <w:p w:rsidR="001635F7" w:rsidRPr="00F4789E" w:rsidRDefault="001635F7" w:rsidP="001635F7">
      <w:pPr>
        <w:pStyle w:val="DHHSbody"/>
        <w:rPr>
          <w:szCs w:val="22"/>
        </w:rPr>
      </w:pPr>
      <w:r w:rsidRPr="0011715E">
        <w:rPr>
          <w:szCs w:val="22"/>
        </w:rPr>
        <w:t>The Gender Equality Bill is part of a broader reform agenda across Victoria that looks to address system-wide issues, including across social and justice sectors.</w:t>
      </w:r>
      <w:r>
        <w:rPr>
          <w:szCs w:val="22"/>
        </w:rPr>
        <w:t xml:space="preserve"> </w:t>
      </w:r>
    </w:p>
    <w:p w:rsidR="001635F7" w:rsidRPr="00E5262F" w:rsidRDefault="001635F7" w:rsidP="001635F7">
      <w:pPr>
        <w:spacing w:after="120"/>
        <w:rPr>
          <w:rFonts w:ascii="Arial" w:eastAsia="Times" w:hAnsi="Arial" w:cs="Arial"/>
          <w:sz w:val="22"/>
          <w:szCs w:val="22"/>
        </w:rPr>
      </w:pPr>
      <w:r w:rsidRPr="00E5262F">
        <w:rPr>
          <w:rFonts w:ascii="Arial" w:eastAsia="Times" w:hAnsi="Arial" w:cs="Arial"/>
          <w:sz w:val="22"/>
          <w:szCs w:val="22"/>
        </w:rPr>
        <w:t xml:space="preserve">The intent of the </w:t>
      </w:r>
      <w:r>
        <w:rPr>
          <w:rFonts w:ascii="Arial" w:eastAsia="Times" w:hAnsi="Arial" w:cs="Arial"/>
          <w:sz w:val="22"/>
          <w:szCs w:val="22"/>
        </w:rPr>
        <w:t xml:space="preserve">proposed </w:t>
      </w:r>
      <w:r w:rsidRPr="00E5262F">
        <w:rPr>
          <w:rFonts w:ascii="Arial" w:eastAsia="Times" w:hAnsi="Arial" w:cs="Arial"/>
          <w:sz w:val="22"/>
          <w:szCs w:val="22"/>
        </w:rPr>
        <w:t>legislation is to:</w:t>
      </w:r>
    </w:p>
    <w:p w:rsidR="001635F7" w:rsidRPr="00E5262F" w:rsidRDefault="001635F7" w:rsidP="00D61EFC">
      <w:pPr>
        <w:pStyle w:val="DHHSbullet1"/>
      </w:pPr>
      <w:r w:rsidRPr="00E5262F">
        <w:rPr>
          <w:lang w:eastAsia="en-AU"/>
        </w:rPr>
        <w:t>Ensure that the structural and systemic causes of gender inequality are addressed</w:t>
      </w:r>
    </w:p>
    <w:p w:rsidR="001635F7" w:rsidRPr="00E5262F" w:rsidRDefault="001635F7" w:rsidP="00D61EFC">
      <w:pPr>
        <w:pStyle w:val="DHHSbullet1"/>
      </w:pPr>
      <w:r w:rsidRPr="00E5262F">
        <w:t>Prevent gender inequality from arising in the first place</w:t>
      </w:r>
    </w:p>
    <w:p w:rsidR="001635F7" w:rsidRPr="00E5262F" w:rsidRDefault="001635F7" w:rsidP="00D61EFC">
      <w:pPr>
        <w:pStyle w:val="DHHSbullet1"/>
      </w:pPr>
      <w:r w:rsidRPr="00E5262F">
        <w:t>Create shared responsibility amongst the Victorian Government, local government, private sector, not</w:t>
      </w:r>
      <w:r>
        <w:t>-</w:t>
      </w:r>
      <w:r w:rsidRPr="00E5262F">
        <w:t>for</w:t>
      </w:r>
      <w:r>
        <w:t>-</w:t>
      </w:r>
      <w:r w:rsidRPr="00E5262F">
        <w:t>profits and local communities to promote and improve gender equality</w:t>
      </w:r>
    </w:p>
    <w:p w:rsidR="001635F7" w:rsidRPr="00E5262F" w:rsidRDefault="001635F7" w:rsidP="00D61EFC">
      <w:pPr>
        <w:pStyle w:val="DHHSbullet1"/>
      </w:pPr>
      <w:r w:rsidRPr="00E5262F">
        <w:t>Contribute towards achieving a Victoria that is free from</w:t>
      </w:r>
      <w:r>
        <w:t xml:space="preserve"> all forms of</w:t>
      </w:r>
      <w:r w:rsidRPr="00E5262F">
        <w:t xml:space="preserve"> violence</w:t>
      </w:r>
      <w:r>
        <w:t xml:space="preserve"> against women and children</w:t>
      </w:r>
      <w:r w:rsidRPr="00E5262F">
        <w:t>, through gender equality</w:t>
      </w:r>
    </w:p>
    <w:p w:rsidR="001635F7" w:rsidRPr="00E5262F" w:rsidRDefault="001635F7" w:rsidP="00D61EFC">
      <w:pPr>
        <w:pStyle w:val="DHHSbullet1"/>
      </w:pPr>
      <w:r w:rsidRPr="00E5262F">
        <w:t>Sustain critical governance and accountability structures</w:t>
      </w:r>
    </w:p>
    <w:p w:rsidR="001635F7" w:rsidRPr="00E5262F" w:rsidRDefault="001635F7" w:rsidP="00D61EFC">
      <w:pPr>
        <w:pStyle w:val="DHHSbullet1"/>
      </w:pPr>
      <w:r w:rsidRPr="00E5262F">
        <w:t>Ultimately, deliver economic and social benefit for the state of Victoria.</w:t>
      </w:r>
    </w:p>
    <w:p w:rsidR="001635F7" w:rsidRDefault="001635F7" w:rsidP="001635F7">
      <w:pPr>
        <w:pStyle w:val="Heading2"/>
      </w:pPr>
      <w:bookmarkStart w:id="4" w:name="_Toc522544262"/>
      <w:r w:rsidRPr="007F078E">
        <w:t xml:space="preserve">We want you to have your say on the future of Gender Equality </w:t>
      </w:r>
      <w:r>
        <w:t xml:space="preserve">legislation </w:t>
      </w:r>
      <w:r w:rsidRPr="007F078E">
        <w:t>in Victoria</w:t>
      </w:r>
      <w:bookmarkEnd w:id="4"/>
      <w:r>
        <w:t xml:space="preserve"> </w:t>
      </w:r>
    </w:p>
    <w:p w:rsidR="001635F7" w:rsidRPr="008C6703" w:rsidRDefault="001635F7" w:rsidP="001635F7">
      <w:pPr>
        <w:pStyle w:val="DHHSbody"/>
        <w:rPr>
          <w:szCs w:val="22"/>
        </w:rPr>
      </w:pPr>
      <w:r w:rsidRPr="008C6703">
        <w:rPr>
          <w:szCs w:val="22"/>
        </w:rPr>
        <w:t xml:space="preserve">You are invited to provide feedback on the key elements in the Exposure Draft of the Gender Equality Bill. Please note that feedback </w:t>
      </w:r>
      <w:r>
        <w:rPr>
          <w:szCs w:val="22"/>
        </w:rPr>
        <w:t xml:space="preserve">that does not specifically address the topic of gender equality legislation may not be considered. </w:t>
      </w:r>
    </w:p>
    <w:p w:rsidR="001635F7" w:rsidRPr="008C6703" w:rsidRDefault="001635F7" w:rsidP="001635F7">
      <w:pPr>
        <w:pStyle w:val="DHHSbody"/>
        <w:rPr>
          <w:szCs w:val="22"/>
        </w:rPr>
      </w:pPr>
      <w:r w:rsidRPr="008C6703">
        <w:rPr>
          <w:szCs w:val="22"/>
        </w:rPr>
        <w:t>The key elements of the Bill are described in this paper, along with a series of questions to consider and guide discussion.</w:t>
      </w:r>
      <w:r w:rsidRPr="008C6703">
        <w:rPr>
          <w:rFonts w:cs="Arial"/>
          <w:szCs w:val="22"/>
          <w:lang w:eastAsia="en-AU"/>
        </w:rPr>
        <w:t xml:space="preserve"> This document should be read in conjunction with the Exposure Draft of the Gender Equality Bill.</w:t>
      </w:r>
      <w:r w:rsidRPr="008C6703">
        <w:rPr>
          <w:szCs w:val="22"/>
        </w:rPr>
        <w:t xml:space="preserve"> </w:t>
      </w:r>
    </w:p>
    <w:p w:rsidR="001635F7" w:rsidRPr="008C6703" w:rsidRDefault="001635F7" w:rsidP="001635F7">
      <w:pPr>
        <w:pStyle w:val="DHHSbody"/>
        <w:rPr>
          <w:szCs w:val="22"/>
        </w:rPr>
      </w:pPr>
      <w:r w:rsidRPr="008C6703">
        <w:rPr>
          <w:szCs w:val="22"/>
        </w:rPr>
        <w:t>In particular, this Discussion Paper seeks your input on practical considerations and issues to ensure that the legislation is implemented in a way that best supports lasting social change. All submissions will be made publicly available on</w:t>
      </w:r>
      <w:r w:rsidR="000A4D6A">
        <w:rPr>
          <w:szCs w:val="22"/>
        </w:rPr>
        <w:t xml:space="preserve"> </w:t>
      </w:r>
      <w:hyperlink r:id="rId13" w:history="1">
        <w:r w:rsidR="000A4D6A" w:rsidRPr="000A4D6A">
          <w:rPr>
            <w:rStyle w:val="Hyperlink"/>
            <w:szCs w:val="22"/>
          </w:rPr>
          <w:t>Women Victoria</w:t>
        </w:r>
      </w:hyperlink>
      <w:r w:rsidR="000A4D6A">
        <w:rPr>
          <w:szCs w:val="22"/>
        </w:rPr>
        <w:t xml:space="preserve"> &lt;</w:t>
      </w:r>
      <w:r w:rsidR="000A4D6A" w:rsidRPr="000A4D6A">
        <w:rPr>
          <w:szCs w:val="22"/>
        </w:rPr>
        <w:t>https://www.vic.gov.au/women</w:t>
      </w:r>
      <w:r w:rsidR="000A4D6A">
        <w:rPr>
          <w:szCs w:val="22"/>
        </w:rPr>
        <w:t>&gt;</w:t>
      </w:r>
      <w:r w:rsidRPr="008C6703">
        <w:rPr>
          <w:szCs w:val="22"/>
        </w:rPr>
        <w:t>, unless a specific request has been made to the Department of Health and Human Services.</w:t>
      </w:r>
    </w:p>
    <w:p w:rsidR="001635F7" w:rsidRDefault="001635F7" w:rsidP="001635F7">
      <w:pPr>
        <w:pStyle w:val="DHHSbody"/>
        <w:rPr>
          <w:rStyle w:val="HyperlinkCoolGray11C"/>
        </w:rPr>
      </w:pPr>
      <w:r>
        <w:rPr>
          <w:rFonts w:cs="Arial"/>
          <w:szCs w:val="22"/>
          <w:lang w:eastAsia="en-AU"/>
        </w:rPr>
        <w:t xml:space="preserve">The Victorian Government is inviting submissions via </w:t>
      </w:r>
      <w:hyperlink r:id="rId14" w:history="1">
        <w:r w:rsidR="000A4D6A" w:rsidRPr="000A4D6A">
          <w:rPr>
            <w:rStyle w:val="Hyperlink"/>
            <w:rFonts w:cs="Arial"/>
            <w:szCs w:val="22"/>
            <w:lang w:eastAsia="en-AU"/>
          </w:rPr>
          <w:t>email to the Gender Equality unit</w:t>
        </w:r>
      </w:hyperlink>
      <w:r w:rsidR="000A4D6A">
        <w:rPr>
          <w:rFonts w:cs="Arial"/>
          <w:szCs w:val="22"/>
          <w:lang w:eastAsia="en-AU"/>
        </w:rPr>
        <w:t xml:space="preserve"> &lt;</w:t>
      </w:r>
      <w:r w:rsidRPr="000A4D6A">
        <w:rPr>
          <w:rFonts w:cs="Arial"/>
          <w:szCs w:val="22"/>
          <w:lang w:eastAsia="en-AU"/>
        </w:rPr>
        <w:t>gender.equality@dhhs.vic.gov.</w:t>
      </w:r>
      <w:r w:rsidRPr="000A4D6A">
        <w:rPr>
          <w:lang w:eastAsia="en-AU"/>
        </w:rPr>
        <w:t>au</w:t>
      </w:r>
      <w:r w:rsidR="000A4D6A" w:rsidRPr="000A4D6A">
        <w:t>&gt;</w:t>
      </w:r>
      <w:r w:rsidRPr="000A4D6A">
        <w:t xml:space="preserve"> and</w:t>
      </w:r>
      <w:r w:rsidRPr="0011715E">
        <w:rPr>
          <w:rFonts w:cs="Arial"/>
          <w:szCs w:val="22"/>
          <w:lang w:eastAsia="en-AU"/>
        </w:rPr>
        <w:t>/or feedback via</w:t>
      </w:r>
      <w:r w:rsidR="000A4D6A">
        <w:rPr>
          <w:rFonts w:cs="Arial"/>
          <w:szCs w:val="22"/>
          <w:lang w:eastAsia="en-AU"/>
        </w:rPr>
        <w:t xml:space="preserve"> </w:t>
      </w:r>
      <w:hyperlink r:id="rId15" w:history="1">
        <w:r w:rsidR="000A4D6A" w:rsidRPr="00EA758B">
          <w:rPr>
            <w:rStyle w:val="Hyperlink"/>
            <w:szCs w:val="19"/>
          </w:rPr>
          <w:t>Engage Victoria</w:t>
        </w:r>
      </w:hyperlink>
      <w:r w:rsidR="000A4D6A">
        <w:rPr>
          <w:szCs w:val="19"/>
        </w:rPr>
        <w:t xml:space="preserve"> &lt;</w:t>
      </w:r>
      <w:r w:rsidR="000A4D6A" w:rsidRPr="00EA758B">
        <w:rPr>
          <w:szCs w:val="19"/>
        </w:rPr>
        <w:t>engage.vic.gov.au/gender-equality</w:t>
      </w:r>
      <w:r w:rsidR="000A4D6A">
        <w:rPr>
          <w:szCs w:val="19"/>
        </w:rPr>
        <w:t>&gt;</w:t>
      </w:r>
      <w:r w:rsidRPr="0011715E">
        <w:rPr>
          <w:rFonts w:cs="Arial"/>
          <w:szCs w:val="22"/>
          <w:lang w:eastAsia="en-AU"/>
        </w:rPr>
        <w:t xml:space="preserve"> </w:t>
      </w:r>
      <w:r w:rsidRPr="00FA72B5">
        <w:rPr>
          <w:rFonts w:cs="Arial"/>
          <w:szCs w:val="22"/>
          <w:lang w:eastAsia="en-AU"/>
        </w:rPr>
        <w:t>from</w:t>
      </w:r>
      <w:r w:rsidRPr="001635F7">
        <w:rPr>
          <w:rFonts w:cs="Arial"/>
          <w:color w:val="000000"/>
          <w:szCs w:val="22"/>
          <w:lang w:eastAsia="en-AU"/>
        </w:rPr>
        <w:t xml:space="preserve"> 20 August 2018 to 28 September 2018</w:t>
      </w:r>
      <w:r w:rsidRPr="00FA72B5">
        <w:rPr>
          <w:rFonts w:cs="Arial"/>
          <w:szCs w:val="22"/>
          <w:lang w:eastAsia="en-AU"/>
        </w:rPr>
        <w:t>.</w:t>
      </w:r>
    </w:p>
    <w:p w:rsidR="001635F7" w:rsidRDefault="001635F7" w:rsidP="001635F7">
      <w:pPr>
        <w:pStyle w:val="Heading1"/>
      </w:pPr>
      <w:bookmarkStart w:id="5" w:name="_Toc522544263"/>
      <w:bookmarkStart w:id="6" w:name="_Toc522551283"/>
      <w:r w:rsidRPr="007F078E">
        <w:lastRenderedPageBreak/>
        <w:t>Background</w:t>
      </w:r>
      <w:r>
        <w:t xml:space="preserve"> and context</w:t>
      </w:r>
      <w:bookmarkEnd w:id="5"/>
      <w:bookmarkEnd w:id="6"/>
      <w:r>
        <w:t xml:space="preserve"> </w:t>
      </w:r>
    </w:p>
    <w:p w:rsidR="001635F7" w:rsidRPr="007D1D58" w:rsidRDefault="001635F7" w:rsidP="001635F7">
      <w:pPr>
        <w:pStyle w:val="DHHSbody"/>
        <w:spacing w:line="276" w:lineRule="auto"/>
        <w:rPr>
          <w:rFonts w:cs="Arial"/>
          <w:szCs w:val="22"/>
        </w:rPr>
      </w:pPr>
      <w:r w:rsidRPr="007D1D58">
        <w:rPr>
          <w:rFonts w:cs="Arial"/>
          <w:szCs w:val="22"/>
        </w:rPr>
        <w:t xml:space="preserve">Despite the many advances made towards gender equality in recent decades, Australia is falling behind. </w:t>
      </w:r>
    </w:p>
    <w:p w:rsidR="001635F7" w:rsidRDefault="001635F7" w:rsidP="001635F7">
      <w:pPr>
        <w:pStyle w:val="DHHSbody"/>
        <w:spacing w:line="276" w:lineRule="auto"/>
        <w:rPr>
          <w:rFonts w:cs="Arial"/>
          <w:szCs w:val="22"/>
        </w:rPr>
      </w:pPr>
      <w:r w:rsidRPr="007D1D58">
        <w:rPr>
          <w:rFonts w:cs="Arial"/>
          <w:szCs w:val="22"/>
        </w:rPr>
        <w:t xml:space="preserve">The International Gender Gap Index published by the World Economic Forum shows that </w:t>
      </w:r>
      <w:r>
        <w:rPr>
          <w:rFonts w:cs="Arial"/>
          <w:szCs w:val="22"/>
        </w:rPr>
        <w:t xml:space="preserve">while there have been some positive gains in recent years, over the past decade </w:t>
      </w:r>
      <w:r w:rsidRPr="007D1D58">
        <w:rPr>
          <w:rFonts w:cs="Arial"/>
          <w:szCs w:val="22"/>
        </w:rPr>
        <w:t xml:space="preserve">Australia has </w:t>
      </w:r>
      <w:r>
        <w:rPr>
          <w:rFonts w:cs="Arial"/>
          <w:szCs w:val="22"/>
        </w:rPr>
        <w:t xml:space="preserve">gone </w:t>
      </w:r>
      <w:r w:rsidRPr="007D1D58">
        <w:rPr>
          <w:rFonts w:cs="Arial"/>
          <w:szCs w:val="22"/>
        </w:rPr>
        <w:t>backwards in a gl</w:t>
      </w:r>
      <w:r>
        <w:rPr>
          <w:rFonts w:cs="Arial"/>
          <w:szCs w:val="22"/>
        </w:rPr>
        <w:t>obal measure of gender equality. This means Australia has placed</w:t>
      </w:r>
      <w:r w:rsidRPr="007D1D58">
        <w:rPr>
          <w:rFonts w:cs="Arial"/>
          <w:szCs w:val="22"/>
        </w:rPr>
        <w:t xml:space="preserve"> below New Zealand and the Philippines in the Asia-Pacific region.</w:t>
      </w:r>
      <w:r>
        <w:rPr>
          <w:rFonts w:cs="Arial"/>
          <w:szCs w:val="22"/>
        </w:rPr>
        <w:t xml:space="preserve"> The World Economic Forum also estimates that at current rates, the global economic gender gap would not be closed for another 217 years.</w:t>
      </w:r>
    </w:p>
    <w:p w:rsidR="001635F7" w:rsidRPr="007D1D58" w:rsidRDefault="001635F7" w:rsidP="001635F7">
      <w:pPr>
        <w:pStyle w:val="DHHSbody"/>
        <w:spacing w:line="276" w:lineRule="auto"/>
        <w:rPr>
          <w:rFonts w:cs="Arial"/>
          <w:szCs w:val="22"/>
        </w:rPr>
      </w:pPr>
      <w:r>
        <w:rPr>
          <w:rFonts w:cs="Arial"/>
          <w:szCs w:val="22"/>
        </w:rPr>
        <w:t>In Victoria</w:t>
      </w:r>
      <w:r w:rsidRPr="007D1D58">
        <w:rPr>
          <w:rFonts w:cs="Arial"/>
          <w:szCs w:val="22"/>
        </w:rPr>
        <w:t>, evidence demo</w:t>
      </w:r>
      <w:r>
        <w:rPr>
          <w:rFonts w:cs="Arial"/>
          <w:szCs w:val="22"/>
        </w:rPr>
        <w:t>nstrates that gender inequality</w:t>
      </w:r>
      <w:r w:rsidRPr="007D1D58">
        <w:rPr>
          <w:rFonts w:cs="Arial"/>
          <w:szCs w:val="22"/>
        </w:rPr>
        <w:t xml:space="preserve"> persist</w:t>
      </w:r>
      <w:r>
        <w:rPr>
          <w:rFonts w:cs="Arial"/>
          <w:szCs w:val="22"/>
        </w:rPr>
        <w:t>s</w:t>
      </w:r>
      <w:r w:rsidRPr="007D1D58">
        <w:rPr>
          <w:rFonts w:cs="Arial"/>
          <w:szCs w:val="22"/>
        </w:rPr>
        <w:t xml:space="preserve"> across many areas including schools, workplaces, neighbourhoods, the media, and sport. It affects all Victorians in a myriad of ways, including but not limited to:</w:t>
      </w:r>
    </w:p>
    <w:p w:rsidR="001635F7" w:rsidRPr="008C6703" w:rsidRDefault="001635F7" w:rsidP="001635F7">
      <w:pPr>
        <w:pStyle w:val="DHHSbullet1"/>
        <w:rPr>
          <w:szCs w:val="22"/>
        </w:rPr>
      </w:pPr>
      <w:r>
        <w:rPr>
          <w:szCs w:val="22"/>
        </w:rPr>
        <w:t>g</w:t>
      </w:r>
      <w:r w:rsidRPr="007D1D58">
        <w:rPr>
          <w:szCs w:val="22"/>
        </w:rPr>
        <w:t>ender stereotypes shaping child</w:t>
      </w:r>
      <w:r>
        <w:rPr>
          <w:szCs w:val="22"/>
        </w:rPr>
        <w:t>ren</w:t>
      </w:r>
      <w:r w:rsidRPr="007D1D58">
        <w:rPr>
          <w:szCs w:val="22"/>
        </w:rPr>
        <w:t>’s sense of self understanding, becom</w:t>
      </w:r>
      <w:r>
        <w:rPr>
          <w:szCs w:val="22"/>
        </w:rPr>
        <w:t>ing</w:t>
      </w:r>
      <w:r w:rsidRPr="007D1D58">
        <w:rPr>
          <w:szCs w:val="22"/>
        </w:rPr>
        <w:t xml:space="preserve"> reflected in their behaviour, study choices, ambitions, and views about relationships</w:t>
      </w:r>
    </w:p>
    <w:p w:rsidR="001635F7" w:rsidRPr="007D1D58" w:rsidRDefault="001635F7" w:rsidP="001635F7">
      <w:pPr>
        <w:pStyle w:val="DHHSbullet1"/>
        <w:rPr>
          <w:szCs w:val="22"/>
        </w:rPr>
      </w:pPr>
      <w:r>
        <w:rPr>
          <w:szCs w:val="22"/>
        </w:rPr>
        <w:t>w</w:t>
      </w:r>
      <w:r w:rsidRPr="007D1D58">
        <w:rPr>
          <w:szCs w:val="22"/>
        </w:rPr>
        <w:t>omen remain</w:t>
      </w:r>
      <w:r>
        <w:rPr>
          <w:szCs w:val="22"/>
        </w:rPr>
        <w:t>ing</w:t>
      </w:r>
      <w:r w:rsidRPr="007D1D58">
        <w:rPr>
          <w:szCs w:val="22"/>
        </w:rPr>
        <w:t xml:space="preserve"> under-represented i</w:t>
      </w:r>
      <w:r>
        <w:rPr>
          <w:szCs w:val="22"/>
        </w:rPr>
        <w:t>n senior leadership positions</w:t>
      </w:r>
    </w:p>
    <w:p w:rsidR="001635F7" w:rsidRPr="007D1D58" w:rsidRDefault="001635F7" w:rsidP="001635F7">
      <w:pPr>
        <w:pStyle w:val="DHHSbullet1lastline"/>
        <w:rPr>
          <w:szCs w:val="22"/>
        </w:rPr>
      </w:pPr>
      <w:r>
        <w:rPr>
          <w:szCs w:val="22"/>
        </w:rPr>
        <w:t xml:space="preserve">persistence of the gender pay gap </w:t>
      </w:r>
      <w:r w:rsidRPr="007D1D58">
        <w:rPr>
          <w:szCs w:val="22"/>
        </w:rPr>
        <w:t>despite equality in skill and tertiary education</w:t>
      </w:r>
      <w:r w:rsidRPr="007D1D58" w:rsidDel="00800832">
        <w:rPr>
          <w:rStyle w:val="FootnoteReference"/>
          <w:rFonts w:cs="Arial"/>
          <w:szCs w:val="22"/>
        </w:rPr>
        <w:t xml:space="preserve"> </w:t>
      </w:r>
    </w:p>
    <w:p w:rsidR="001635F7" w:rsidRDefault="001635F7" w:rsidP="001635F7">
      <w:pPr>
        <w:pStyle w:val="DHHSbody"/>
        <w:spacing w:before="60" w:line="276" w:lineRule="auto"/>
        <w:rPr>
          <w:rFonts w:cs="Arial"/>
          <w:szCs w:val="22"/>
        </w:rPr>
      </w:pPr>
      <w:r w:rsidRPr="00603524">
        <w:rPr>
          <w:rFonts w:cs="Arial"/>
          <w:szCs w:val="22"/>
        </w:rPr>
        <w:t>As at November 2017, the gender pay gap in Victoria stood at 12.2 per cent</w:t>
      </w:r>
      <w:r>
        <w:rPr>
          <w:rFonts w:cs="Arial"/>
          <w:szCs w:val="22"/>
        </w:rPr>
        <w:t>. I</w:t>
      </w:r>
      <w:r w:rsidRPr="00603524">
        <w:rPr>
          <w:rFonts w:cs="Arial"/>
          <w:szCs w:val="22"/>
        </w:rPr>
        <w:t>n 2017, on average Victorian men still earnt $193.40 more per week than Victorian women</w:t>
      </w:r>
      <w:r>
        <w:rPr>
          <w:rFonts w:cs="Arial"/>
          <w:szCs w:val="22"/>
        </w:rPr>
        <w:t>. T</w:t>
      </w:r>
      <w:r w:rsidRPr="007D1D58">
        <w:rPr>
          <w:rFonts w:cs="Arial"/>
          <w:szCs w:val="22"/>
        </w:rPr>
        <w:t>hese issues contribute to a negative drain on Victoria’s economy, as well as lower levels of social cohesion that subsequently contribute to higher rates of anti-social behaviour, violence, disadvantage, and discrimination</w:t>
      </w:r>
      <w:r>
        <w:rPr>
          <w:rFonts w:cs="Arial"/>
          <w:szCs w:val="22"/>
        </w:rPr>
        <w:t xml:space="preserve">. Improving </w:t>
      </w:r>
      <w:r w:rsidRPr="00603524">
        <w:rPr>
          <w:rFonts w:cs="Arial"/>
          <w:szCs w:val="22"/>
        </w:rPr>
        <w:t>gender equality deliver</w:t>
      </w:r>
      <w:r>
        <w:rPr>
          <w:rFonts w:cs="Arial"/>
          <w:szCs w:val="22"/>
        </w:rPr>
        <w:t>s</w:t>
      </w:r>
      <w:r w:rsidRPr="00603524">
        <w:rPr>
          <w:rFonts w:cs="Arial"/>
          <w:szCs w:val="22"/>
        </w:rPr>
        <w:t xml:space="preserve"> significant economic benefits to the state of Victoria. Harnessing the potential of women benefits the Victorian economy. Closing Australia’s gender employment gap would boost GDP by around 11 per cent and by 20 per cent if the productivity gap were also addressed. There are also significant benefits associated with reduced government spending on family violence, mental health and related services. </w:t>
      </w:r>
    </w:p>
    <w:p w:rsidR="001635F7" w:rsidRDefault="001635F7" w:rsidP="001635F7">
      <w:pPr>
        <w:pStyle w:val="DHHSbody"/>
      </w:pPr>
      <w:r>
        <w:t xml:space="preserve">In December 2016, the Victorian Government introduced </w:t>
      </w:r>
      <w:r w:rsidRPr="00C31AEF">
        <w:rPr>
          <w:i/>
        </w:rPr>
        <w:t>Safe and Strong</w:t>
      </w:r>
      <w:r>
        <w:t xml:space="preserve">, Victoria’s first gender equality strategy. </w:t>
      </w:r>
      <w:r w:rsidRPr="00C31AEF">
        <w:rPr>
          <w:i/>
        </w:rPr>
        <w:t>Safe and Strong</w:t>
      </w:r>
      <w:r>
        <w:t xml:space="preserve"> establishes a framework for the systemic and cultural change required to achieve gender equality in Victoria, and has four key focus areas:</w:t>
      </w:r>
    </w:p>
    <w:p w:rsidR="001635F7" w:rsidRPr="00C31AEF" w:rsidRDefault="001635F7" w:rsidP="001635F7">
      <w:pPr>
        <w:pStyle w:val="DHHSbullet1"/>
      </w:pPr>
      <w:r w:rsidRPr="00C31AEF">
        <w:t>Leadership, empowerment and cultural change</w:t>
      </w:r>
    </w:p>
    <w:p w:rsidR="001635F7" w:rsidRPr="00C31AEF" w:rsidRDefault="001635F7" w:rsidP="001635F7">
      <w:pPr>
        <w:pStyle w:val="DHHSbullet1"/>
      </w:pPr>
      <w:r w:rsidRPr="00C31AEF">
        <w:t>Safety and freedom from gender-based violence</w:t>
      </w:r>
    </w:p>
    <w:p w:rsidR="001635F7" w:rsidRPr="00C31AEF" w:rsidRDefault="001635F7" w:rsidP="001635F7">
      <w:pPr>
        <w:pStyle w:val="DHHSbullet1"/>
      </w:pPr>
      <w:r w:rsidRPr="00C31AEF">
        <w:t>Economic security</w:t>
      </w:r>
    </w:p>
    <w:p w:rsidR="001635F7" w:rsidRPr="00C31AEF" w:rsidRDefault="001635F7" w:rsidP="001635F7">
      <w:pPr>
        <w:pStyle w:val="DHHSbullet1"/>
      </w:pPr>
      <w:r w:rsidRPr="00C31AEF">
        <w:t>Health and wellbeing</w:t>
      </w:r>
    </w:p>
    <w:p w:rsidR="001635F7" w:rsidRDefault="001635F7" w:rsidP="001635F7">
      <w:pPr>
        <w:rPr>
          <w:rFonts w:ascii="Arial" w:hAnsi="Arial"/>
          <w:bCs/>
          <w:color w:val="87189D"/>
          <w:sz w:val="44"/>
          <w:szCs w:val="44"/>
        </w:rPr>
      </w:pPr>
      <w:r>
        <w:br w:type="page"/>
      </w:r>
    </w:p>
    <w:p w:rsidR="001635F7" w:rsidRPr="00017EED" w:rsidRDefault="001635F7" w:rsidP="001635F7">
      <w:pPr>
        <w:pStyle w:val="Heading1"/>
        <w:rPr>
          <w:i/>
        </w:rPr>
      </w:pPr>
      <w:bookmarkStart w:id="7" w:name="_Toc522544264"/>
      <w:bookmarkStart w:id="8" w:name="_Toc522551284"/>
      <w:r>
        <w:lastRenderedPageBreak/>
        <w:t xml:space="preserve">Community consultation in shaping </w:t>
      </w:r>
      <w:r w:rsidRPr="00017EED">
        <w:rPr>
          <w:i/>
        </w:rPr>
        <w:t>Safe and Strong: A Vic</w:t>
      </w:r>
      <w:r>
        <w:rPr>
          <w:i/>
        </w:rPr>
        <w:t>t</w:t>
      </w:r>
      <w:r w:rsidRPr="00017EED">
        <w:rPr>
          <w:i/>
        </w:rPr>
        <w:t>orian Gender Equality Strategy</w:t>
      </w:r>
      <w:bookmarkEnd w:id="7"/>
      <w:bookmarkEnd w:id="8"/>
    </w:p>
    <w:p w:rsidR="001635F7" w:rsidRPr="00872F45" w:rsidRDefault="001635F7" w:rsidP="001635F7">
      <w:pPr>
        <w:pStyle w:val="DHHSbody"/>
        <w:rPr>
          <w:szCs w:val="22"/>
        </w:rPr>
      </w:pPr>
      <w:r w:rsidRPr="00872F45">
        <w:rPr>
          <w:szCs w:val="22"/>
        </w:rPr>
        <w:t>More than 1</w:t>
      </w:r>
      <w:r>
        <w:rPr>
          <w:szCs w:val="22"/>
        </w:rPr>
        <w:t>,</w:t>
      </w:r>
      <w:r w:rsidRPr="00872F45">
        <w:rPr>
          <w:szCs w:val="22"/>
        </w:rPr>
        <w:t xml:space="preserve">200 Victorians have shared their diverse voices and experiences by participating in consultations to inform the development of the </w:t>
      </w:r>
      <w:r w:rsidRPr="00017EED">
        <w:rPr>
          <w:i/>
          <w:szCs w:val="22"/>
        </w:rPr>
        <w:t>Safe and Strong: A Victorian Gender Equality Strategy</w:t>
      </w:r>
      <w:r w:rsidRPr="00872F45">
        <w:rPr>
          <w:szCs w:val="22"/>
        </w:rPr>
        <w:t>. These consultations highlighted the challenges and opportunities that gender equality presents, while identifying local strategies and initiatives that succeed in changing community attitudes.</w:t>
      </w:r>
    </w:p>
    <w:p w:rsidR="001635F7" w:rsidRPr="00872F45" w:rsidRDefault="001635F7" w:rsidP="001635F7">
      <w:pPr>
        <w:pStyle w:val="DHHSbody"/>
        <w:rPr>
          <w:szCs w:val="22"/>
        </w:rPr>
      </w:pPr>
      <w:r w:rsidRPr="00872F45">
        <w:rPr>
          <w:szCs w:val="22"/>
        </w:rPr>
        <w:t xml:space="preserve">Over 200 written submissions were received canvassing priorities and strategies, best practice research and experiences of diversity and disadvantage. </w:t>
      </w:r>
    </w:p>
    <w:p w:rsidR="001635F7" w:rsidRPr="00872F45" w:rsidRDefault="001635F7" w:rsidP="001635F7">
      <w:pPr>
        <w:pStyle w:val="DHHSbody"/>
        <w:rPr>
          <w:szCs w:val="22"/>
        </w:rPr>
      </w:pPr>
      <w:r w:rsidRPr="00872F45">
        <w:rPr>
          <w:szCs w:val="22"/>
        </w:rPr>
        <w:t xml:space="preserve">In addition to metropolitan consultations, eight regional consultations were held in Geelong, Shepparton, Wangaratta, Mildura, Ararat, Warrnambool, Sale and Bendigo. Consultations were also held with specific groups and communities, including Aboriginal </w:t>
      </w:r>
      <w:r>
        <w:rPr>
          <w:szCs w:val="22"/>
        </w:rPr>
        <w:t>communities</w:t>
      </w:r>
      <w:r w:rsidRPr="00872F45">
        <w:rPr>
          <w:szCs w:val="22"/>
        </w:rPr>
        <w:t xml:space="preserve">, people with disability, seniors, young people, culturally diverse communities and lesbian, gay, bisexual, transgender and intersex (LGBTI) Victorians. Further consultations were held with the corporate sector, women in leadership, women in small business, innovation, Science, Technology, Engineering, Medicine and Mathematics (STEMM) organisations, the legal sector, sporting associations, philanthropic organisations and the media, arts and entertainment industries. </w:t>
      </w:r>
    </w:p>
    <w:p w:rsidR="001635F7" w:rsidRPr="00872F45" w:rsidRDefault="001635F7" w:rsidP="001635F7">
      <w:pPr>
        <w:pStyle w:val="DHHSbody"/>
        <w:rPr>
          <w:szCs w:val="22"/>
        </w:rPr>
      </w:pPr>
      <w:r w:rsidRPr="00872F45">
        <w:rPr>
          <w:szCs w:val="22"/>
        </w:rPr>
        <w:t xml:space="preserve">Victorians across the state told us of their support for a bold strategy that would drive genuine, lasting change across all life-stages and settings. </w:t>
      </w:r>
    </w:p>
    <w:p w:rsidR="001635F7" w:rsidRPr="00872F45" w:rsidRDefault="001635F7" w:rsidP="001635F7">
      <w:pPr>
        <w:pStyle w:val="DHHSbody"/>
        <w:rPr>
          <w:szCs w:val="22"/>
        </w:rPr>
      </w:pPr>
      <w:r>
        <w:rPr>
          <w:szCs w:val="22"/>
        </w:rPr>
        <w:t>Key</w:t>
      </w:r>
      <w:r w:rsidRPr="00872F45">
        <w:rPr>
          <w:szCs w:val="22"/>
        </w:rPr>
        <w:t xml:space="preserve"> discussion points included: </w:t>
      </w:r>
    </w:p>
    <w:p w:rsidR="001635F7" w:rsidRPr="00872F45" w:rsidRDefault="001635F7" w:rsidP="001635F7">
      <w:pPr>
        <w:pStyle w:val="DHHSbullet1"/>
        <w:rPr>
          <w:szCs w:val="22"/>
        </w:rPr>
      </w:pPr>
      <w:r>
        <w:rPr>
          <w:szCs w:val="22"/>
        </w:rPr>
        <w:t>t</w:t>
      </w:r>
      <w:r w:rsidRPr="00872F45">
        <w:rPr>
          <w:szCs w:val="22"/>
        </w:rPr>
        <w:t>he importance of leadership by the Victorian Government</w:t>
      </w:r>
    </w:p>
    <w:p w:rsidR="001635F7" w:rsidRPr="00872F45" w:rsidRDefault="001635F7" w:rsidP="001635F7">
      <w:pPr>
        <w:pStyle w:val="DHHSbullet1"/>
        <w:rPr>
          <w:szCs w:val="22"/>
        </w:rPr>
      </w:pPr>
      <w:r>
        <w:rPr>
          <w:szCs w:val="22"/>
        </w:rPr>
        <w:t>pr</w:t>
      </w:r>
      <w:r w:rsidRPr="00872F45">
        <w:rPr>
          <w:szCs w:val="22"/>
        </w:rPr>
        <w:t>omoting genuine engagement with boys and men</w:t>
      </w:r>
    </w:p>
    <w:p w:rsidR="001635F7" w:rsidRPr="00872F45" w:rsidRDefault="001635F7" w:rsidP="001635F7">
      <w:pPr>
        <w:pStyle w:val="DHHSbullet1"/>
        <w:rPr>
          <w:szCs w:val="22"/>
        </w:rPr>
      </w:pPr>
      <w:r>
        <w:rPr>
          <w:szCs w:val="22"/>
        </w:rPr>
        <w:t>d</w:t>
      </w:r>
      <w:r w:rsidRPr="00872F45">
        <w:rPr>
          <w:szCs w:val="22"/>
        </w:rPr>
        <w:t xml:space="preserve">rawing on strategic partnerships, </w:t>
      </w:r>
      <w:r>
        <w:rPr>
          <w:szCs w:val="22"/>
        </w:rPr>
        <w:t xml:space="preserve">including </w:t>
      </w:r>
      <w:r w:rsidRPr="00872F45">
        <w:rPr>
          <w:szCs w:val="22"/>
        </w:rPr>
        <w:t>the power of the media</w:t>
      </w:r>
    </w:p>
    <w:p w:rsidR="001635F7" w:rsidRPr="00872F45" w:rsidRDefault="001635F7" w:rsidP="001635F7">
      <w:pPr>
        <w:pStyle w:val="DHHSbullet1lastline"/>
        <w:rPr>
          <w:szCs w:val="22"/>
        </w:rPr>
      </w:pPr>
      <w:r>
        <w:rPr>
          <w:szCs w:val="22"/>
        </w:rPr>
        <w:t>t</w:t>
      </w:r>
      <w:r w:rsidRPr="00872F45">
        <w:rPr>
          <w:szCs w:val="22"/>
        </w:rPr>
        <w:t xml:space="preserve">he rate of violence against women and addressing unconscious bias. </w:t>
      </w:r>
    </w:p>
    <w:p w:rsidR="001635F7" w:rsidRPr="00872F45" w:rsidRDefault="001635F7" w:rsidP="001635F7">
      <w:pPr>
        <w:pStyle w:val="DHHSbody"/>
        <w:rPr>
          <w:szCs w:val="22"/>
        </w:rPr>
      </w:pPr>
      <w:r w:rsidRPr="00872F45">
        <w:rPr>
          <w:szCs w:val="22"/>
        </w:rPr>
        <w:t xml:space="preserve">There was also broad agreement that early childhood education and schools have an important role to play in </w:t>
      </w:r>
      <w:r>
        <w:rPr>
          <w:szCs w:val="22"/>
        </w:rPr>
        <w:t>challenging negative</w:t>
      </w:r>
      <w:r w:rsidRPr="00872F45">
        <w:rPr>
          <w:szCs w:val="22"/>
        </w:rPr>
        <w:t xml:space="preserve"> attitudes and behaviours towards women and girls. Participants also called for a strong focus on leadership, workforce participation and financial security to empower women across all stages of their lives.</w:t>
      </w:r>
    </w:p>
    <w:p w:rsidR="001635F7" w:rsidRPr="00872F45" w:rsidRDefault="001635F7" w:rsidP="001635F7">
      <w:pPr>
        <w:pStyle w:val="DHHSbody"/>
        <w:rPr>
          <w:szCs w:val="22"/>
        </w:rPr>
      </w:pPr>
      <w:r w:rsidRPr="00872F45">
        <w:rPr>
          <w:szCs w:val="22"/>
        </w:rPr>
        <w:t xml:space="preserve">Consultation with Aboriginal </w:t>
      </w:r>
      <w:r>
        <w:rPr>
          <w:szCs w:val="22"/>
        </w:rPr>
        <w:t>communities</w:t>
      </w:r>
      <w:r w:rsidRPr="00872F45">
        <w:rPr>
          <w:szCs w:val="22"/>
        </w:rPr>
        <w:t xml:space="preserve"> emphasised the connection between gender inequality and dispossession; the intergenerational consequences of a lost connection to land; and the importance of recognition and respect for culture and healing for Aboriginal people. Practices of forced removal of children from their families by successive governments were explored and the connection between racism, sexism and colonialism exposed. Consultations also brought out the need to support and promote Aboriginal self-determination.</w:t>
      </w:r>
    </w:p>
    <w:p w:rsidR="001635F7" w:rsidRDefault="001635F7" w:rsidP="001635F7">
      <w:pPr>
        <w:rPr>
          <w:rFonts w:ascii="Arial" w:hAnsi="Arial"/>
          <w:bCs/>
          <w:color w:val="87189D"/>
          <w:sz w:val="44"/>
          <w:szCs w:val="44"/>
        </w:rPr>
      </w:pPr>
      <w:r>
        <w:br w:type="page"/>
      </w:r>
    </w:p>
    <w:p w:rsidR="001635F7" w:rsidRDefault="001635F7" w:rsidP="001635F7">
      <w:pPr>
        <w:pStyle w:val="Heading1"/>
      </w:pPr>
      <w:bookmarkStart w:id="9" w:name="_Toc522544265"/>
      <w:bookmarkStart w:id="10" w:name="_Toc522551285"/>
      <w:r>
        <w:lastRenderedPageBreak/>
        <w:t>Consultation to date on the Gender Equality Bill</w:t>
      </w:r>
      <w:bookmarkEnd w:id="9"/>
      <w:bookmarkEnd w:id="10"/>
    </w:p>
    <w:p w:rsidR="001635F7" w:rsidRPr="00872F45" w:rsidRDefault="001635F7" w:rsidP="001635F7">
      <w:pPr>
        <w:pStyle w:val="DHHSbody"/>
        <w:rPr>
          <w:szCs w:val="22"/>
        </w:rPr>
      </w:pPr>
      <w:r>
        <w:rPr>
          <w:szCs w:val="22"/>
        </w:rPr>
        <w:t>Stakeholders were widely engaged in anticipation of</w:t>
      </w:r>
      <w:r w:rsidRPr="00872F45">
        <w:rPr>
          <w:szCs w:val="22"/>
        </w:rPr>
        <w:t xml:space="preserve"> this proposal. Stakeholder analysis research was based on international best practice in gender equality legislation, and potential application </w:t>
      </w:r>
      <w:r>
        <w:rPr>
          <w:szCs w:val="22"/>
        </w:rPr>
        <w:t>in</w:t>
      </w:r>
      <w:r w:rsidRPr="00872F45">
        <w:rPr>
          <w:szCs w:val="22"/>
        </w:rPr>
        <w:t xml:space="preserve"> a Victorian context.</w:t>
      </w:r>
    </w:p>
    <w:p w:rsidR="001635F7" w:rsidRPr="00872F45" w:rsidRDefault="001635F7" w:rsidP="001635F7">
      <w:pPr>
        <w:pStyle w:val="DHHSbody"/>
        <w:rPr>
          <w:szCs w:val="22"/>
        </w:rPr>
      </w:pPr>
      <w:r w:rsidRPr="00872F45">
        <w:rPr>
          <w:szCs w:val="22"/>
        </w:rPr>
        <w:t>Stakeholders were asked to express their views on:</w:t>
      </w:r>
    </w:p>
    <w:p w:rsidR="001635F7" w:rsidRPr="00872F45" w:rsidRDefault="001635F7" w:rsidP="001635F7">
      <w:pPr>
        <w:pStyle w:val="DHHSbullet1"/>
        <w:rPr>
          <w:szCs w:val="22"/>
        </w:rPr>
      </w:pPr>
      <w:r w:rsidRPr="00872F45">
        <w:rPr>
          <w:szCs w:val="22"/>
        </w:rPr>
        <w:t xml:space="preserve">the potential benefits of gender equality, and key outcomes </w:t>
      </w:r>
      <w:r>
        <w:rPr>
          <w:szCs w:val="22"/>
        </w:rPr>
        <w:t>of the legislation</w:t>
      </w:r>
    </w:p>
    <w:p w:rsidR="001635F7" w:rsidRPr="00872F45" w:rsidRDefault="001635F7" w:rsidP="001635F7">
      <w:pPr>
        <w:pStyle w:val="DHHSbullet1"/>
        <w:rPr>
          <w:szCs w:val="22"/>
        </w:rPr>
      </w:pPr>
      <w:r w:rsidRPr="00872F45">
        <w:rPr>
          <w:szCs w:val="22"/>
        </w:rPr>
        <w:t>the principles that should underpin legislation</w:t>
      </w:r>
    </w:p>
    <w:p w:rsidR="001635F7" w:rsidRPr="00872F45" w:rsidRDefault="001635F7" w:rsidP="001635F7">
      <w:pPr>
        <w:pStyle w:val="DHHSbullet1"/>
        <w:rPr>
          <w:szCs w:val="22"/>
        </w:rPr>
      </w:pPr>
      <w:r w:rsidRPr="00872F45">
        <w:rPr>
          <w:szCs w:val="22"/>
        </w:rPr>
        <w:t>whether, and what kinds of</w:t>
      </w:r>
      <w:r>
        <w:rPr>
          <w:szCs w:val="22"/>
        </w:rPr>
        <w:t>,</w:t>
      </w:r>
      <w:r w:rsidRPr="00872F45">
        <w:rPr>
          <w:szCs w:val="22"/>
        </w:rPr>
        <w:t xml:space="preserve"> positive gender equality obligations or duties should apply in Victoria, and if so, to whom they should apply</w:t>
      </w:r>
    </w:p>
    <w:p w:rsidR="001635F7" w:rsidRPr="00872F45" w:rsidRDefault="001635F7" w:rsidP="001635F7">
      <w:pPr>
        <w:pStyle w:val="DHHSbullet1lastline"/>
        <w:rPr>
          <w:szCs w:val="22"/>
        </w:rPr>
      </w:pPr>
      <w:r w:rsidRPr="00872F45">
        <w:rPr>
          <w:szCs w:val="22"/>
        </w:rPr>
        <w:t>the critical preconditions for the success of gender equality legislation.</w:t>
      </w:r>
    </w:p>
    <w:p w:rsidR="001635F7" w:rsidRDefault="001635F7" w:rsidP="001635F7">
      <w:pPr>
        <w:pStyle w:val="DHHSbody"/>
        <w:rPr>
          <w:szCs w:val="22"/>
        </w:rPr>
      </w:pPr>
      <w:r w:rsidRPr="00872F45">
        <w:rPr>
          <w:szCs w:val="22"/>
        </w:rPr>
        <w:t xml:space="preserve">Most stakeholders supported the inclusion of positive obligations </w:t>
      </w:r>
      <w:r>
        <w:rPr>
          <w:szCs w:val="22"/>
        </w:rPr>
        <w:t xml:space="preserve">and targets </w:t>
      </w:r>
      <w:r w:rsidRPr="00872F45">
        <w:rPr>
          <w:szCs w:val="22"/>
        </w:rPr>
        <w:t xml:space="preserve">in gender equality legislation. </w:t>
      </w:r>
    </w:p>
    <w:p w:rsidR="001635F7" w:rsidRPr="00872F45" w:rsidRDefault="001635F7" w:rsidP="001635F7">
      <w:pPr>
        <w:pStyle w:val="DHHSbody"/>
        <w:rPr>
          <w:szCs w:val="22"/>
        </w:rPr>
      </w:pPr>
      <w:r>
        <w:rPr>
          <w:szCs w:val="22"/>
        </w:rPr>
        <w:t>T</w:t>
      </w:r>
      <w:r w:rsidRPr="00872F45">
        <w:rPr>
          <w:szCs w:val="22"/>
        </w:rPr>
        <w:t xml:space="preserve">here was no consistent view on where positive obligations should apply. Collectively, there was a desire </w:t>
      </w:r>
      <w:r>
        <w:rPr>
          <w:szCs w:val="22"/>
        </w:rPr>
        <w:t xml:space="preserve">to achieve the following </w:t>
      </w:r>
      <w:r w:rsidRPr="00872F45">
        <w:rPr>
          <w:szCs w:val="22"/>
        </w:rPr>
        <w:t>outcomes:</w:t>
      </w:r>
    </w:p>
    <w:p w:rsidR="001635F7" w:rsidRPr="00872F45" w:rsidRDefault="001635F7" w:rsidP="001635F7">
      <w:pPr>
        <w:pStyle w:val="DHHSbullet1"/>
        <w:rPr>
          <w:szCs w:val="22"/>
        </w:rPr>
      </w:pPr>
      <w:r w:rsidRPr="00872F45">
        <w:rPr>
          <w:szCs w:val="22"/>
        </w:rPr>
        <w:t>to align gender equality with the prevention of family violence and the wider family violence reform agenda</w:t>
      </w:r>
    </w:p>
    <w:p w:rsidR="001635F7" w:rsidRPr="00872F45" w:rsidRDefault="001635F7" w:rsidP="001635F7">
      <w:pPr>
        <w:pStyle w:val="DHHSbullet1lastline"/>
        <w:rPr>
          <w:szCs w:val="22"/>
        </w:rPr>
      </w:pPr>
      <w:r w:rsidRPr="00872F45">
        <w:rPr>
          <w:szCs w:val="22"/>
        </w:rPr>
        <w:t>for Victoria to lead an ambitious and broad</w:t>
      </w:r>
      <w:r>
        <w:rPr>
          <w:szCs w:val="22"/>
        </w:rPr>
        <w:t>-</w:t>
      </w:r>
      <w:r w:rsidRPr="00872F45">
        <w:rPr>
          <w:szCs w:val="22"/>
        </w:rPr>
        <w:t>reaching agenda that has the potential to address structural and systemic barriers impacting on women, as well as effect change in culture and norms.</w:t>
      </w:r>
    </w:p>
    <w:p w:rsidR="001635F7" w:rsidRPr="00872F45" w:rsidRDefault="001635F7" w:rsidP="001635F7">
      <w:pPr>
        <w:pStyle w:val="DHHSbody"/>
        <w:spacing w:line="276" w:lineRule="auto"/>
        <w:rPr>
          <w:rFonts w:cs="Arial"/>
          <w:szCs w:val="22"/>
        </w:rPr>
      </w:pPr>
      <w:r w:rsidRPr="00872F45">
        <w:rPr>
          <w:rFonts w:cs="Arial"/>
          <w:szCs w:val="22"/>
        </w:rPr>
        <w:t xml:space="preserve">Specifically, </w:t>
      </w:r>
      <w:r>
        <w:rPr>
          <w:rFonts w:cs="Arial"/>
          <w:szCs w:val="22"/>
        </w:rPr>
        <w:t xml:space="preserve">stakeholders wanted the </w:t>
      </w:r>
      <w:r w:rsidRPr="00872F45">
        <w:rPr>
          <w:rFonts w:cs="Arial"/>
          <w:szCs w:val="22"/>
        </w:rPr>
        <w:t xml:space="preserve">legislation to </w:t>
      </w:r>
      <w:r>
        <w:rPr>
          <w:rFonts w:cs="Arial"/>
          <w:szCs w:val="22"/>
        </w:rPr>
        <w:t xml:space="preserve">include, </w:t>
      </w:r>
      <w:r w:rsidRPr="00872F45">
        <w:rPr>
          <w:rFonts w:cs="Arial"/>
          <w:szCs w:val="22"/>
        </w:rPr>
        <w:t>but not</w:t>
      </w:r>
      <w:r>
        <w:rPr>
          <w:rFonts w:cs="Arial"/>
          <w:szCs w:val="22"/>
        </w:rPr>
        <w:t xml:space="preserve"> be</w:t>
      </w:r>
      <w:r w:rsidRPr="00872F45">
        <w:rPr>
          <w:rFonts w:cs="Arial"/>
          <w:szCs w:val="22"/>
        </w:rPr>
        <w:t xml:space="preserve"> limited to:</w:t>
      </w:r>
    </w:p>
    <w:p w:rsidR="001635F7" w:rsidRPr="00872F45" w:rsidRDefault="001635F7" w:rsidP="001635F7">
      <w:pPr>
        <w:pStyle w:val="DHHSbullet1"/>
        <w:rPr>
          <w:szCs w:val="22"/>
        </w:rPr>
      </w:pPr>
      <w:r w:rsidRPr="00872F45">
        <w:rPr>
          <w:szCs w:val="22"/>
        </w:rPr>
        <w:t>gender representation targets</w:t>
      </w:r>
    </w:p>
    <w:p w:rsidR="001635F7" w:rsidRPr="00872F45" w:rsidRDefault="001635F7" w:rsidP="001635F7">
      <w:pPr>
        <w:pStyle w:val="DHHSbullet1"/>
        <w:rPr>
          <w:szCs w:val="22"/>
        </w:rPr>
      </w:pPr>
      <w:r w:rsidRPr="00872F45">
        <w:rPr>
          <w:szCs w:val="22"/>
        </w:rPr>
        <w:t>‘positive obligations’ to promote gender equality, including design and implementation of gender equality action plans, commitment to procurement approaches consistent with gender equality goals, creation and adoption of more flexible work practices, and systematic analysis and audit of gender metrics</w:t>
      </w:r>
    </w:p>
    <w:p w:rsidR="001635F7" w:rsidRPr="00872F45" w:rsidRDefault="001635F7" w:rsidP="001635F7">
      <w:pPr>
        <w:pStyle w:val="DHHSbullet1lastline"/>
        <w:rPr>
          <w:szCs w:val="22"/>
        </w:rPr>
      </w:pPr>
      <w:r w:rsidRPr="00872F45">
        <w:rPr>
          <w:szCs w:val="22"/>
        </w:rPr>
        <w:t xml:space="preserve">clear parameters for strengthening governance and accountability in </w:t>
      </w:r>
      <w:r>
        <w:rPr>
          <w:szCs w:val="22"/>
        </w:rPr>
        <w:t xml:space="preserve">public sector </w:t>
      </w:r>
      <w:r w:rsidRPr="00872F45">
        <w:rPr>
          <w:szCs w:val="22"/>
        </w:rPr>
        <w:t>organisations.</w:t>
      </w:r>
    </w:p>
    <w:p w:rsidR="001635F7" w:rsidRPr="0011715E" w:rsidRDefault="001635F7" w:rsidP="001635F7">
      <w:pPr>
        <w:pStyle w:val="DHHSbody"/>
        <w:spacing w:before="60" w:line="276" w:lineRule="auto"/>
        <w:jc w:val="both"/>
        <w:rPr>
          <w:rFonts w:cs="Arial"/>
          <w:szCs w:val="22"/>
        </w:rPr>
      </w:pPr>
      <w:r w:rsidRPr="0011715E">
        <w:rPr>
          <w:rFonts w:cs="Arial"/>
          <w:szCs w:val="22"/>
        </w:rPr>
        <w:t>This Discussion Paper aims to take the next steps in understanding how gender equality legislation can be supported and implemented. This phase of community consultation does not seek to repeat or duplicate the focus of consultations to date.</w:t>
      </w:r>
    </w:p>
    <w:p w:rsidR="00D61EFC" w:rsidRDefault="00D61EFC">
      <w:pPr>
        <w:rPr>
          <w:rFonts w:ascii="Arial" w:hAnsi="Arial"/>
          <w:bCs/>
          <w:color w:val="87189D"/>
          <w:sz w:val="44"/>
          <w:szCs w:val="44"/>
        </w:rPr>
      </w:pPr>
      <w:bookmarkStart w:id="11" w:name="_Toc522544266"/>
      <w:r>
        <w:br w:type="page"/>
      </w:r>
    </w:p>
    <w:p w:rsidR="001635F7" w:rsidRDefault="001635F7" w:rsidP="001635F7">
      <w:pPr>
        <w:pStyle w:val="Heading1"/>
      </w:pPr>
      <w:bookmarkStart w:id="12" w:name="_Toc522551286"/>
      <w:r>
        <w:lastRenderedPageBreak/>
        <w:t>Why is Gender Equality legislation necessary?</w:t>
      </w:r>
      <w:bookmarkEnd w:id="11"/>
      <w:bookmarkEnd w:id="12"/>
    </w:p>
    <w:p w:rsidR="001635F7" w:rsidRPr="006941F1" w:rsidRDefault="001635F7" w:rsidP="001635F7">
      <w:pPr>
        <w:pStyle w:val="DHHSbody"/>
        <w:rPr>
          <w:szCs w:val="22"/>
        </w:rPr>
      </w:pPr>
      <w:r w:rsidRPr="006941F1">
        <w:rPr>
          <w:szCs w:val="22"/>
        </w:rPr>
        <w:t xml:space="preserve">Legislation </w:t>
      </w:r>
      <w:r>
        <w:rPr>
          <w:szCs w:val="22"/>
        </w:rPr>
        <w:t xml:space="preserve">that </w:t>
      </w:r>
      <w:r w:rsidRPr="006941F1">
        <w:rPr>
          <w:szCs w:val="22"/>
        </w:rPr>
        <w:t>impos</w:t>
      </w:r>
      <w:r>
        <w:rPr>
          <w:szCs w:val="22"/>
        </w:rPr>
        <w:t>es</w:t>
      </w:r>
      <w:r w:rsidRPr="006941F1">
        <w:rPr>
          <w:szCs w:val="22"/>
        </w:rPr>
        <w:t xml:space="preserve"> positive duties on public authorities and other sectors to promote gender equality is a feature in most countries that lead in the World Economic Forum (WEF) </w:t>
      </w:r>
      <w:r>
        <w:rPr>
          <w:szCs w:val="22"/>
        </w:rPr>
        <w:t>G</w:t>
      </w:r>
      <w:r w:rsidRPr="006941F1">
        <w:rPr>
          <w:szCs w:val="22"/>
        </w:rPr>
        <w:t xml:space="preserve">ender </w:t>
      </w:r>
      <w:r>
        <w:rPr>
          <w:szCs w:val="22"/>
        </w:rPr>
        <w:t>E</w:t>
      </w:r>
      <w:r w:rsidRPr="006941F1">
        <w:rPr>
          <w:szCs w:val="22"/>
        </w:rPr>
        <w:t xml:space="preserve">quality </w:t>
      </w:r>
      <w:r>
        <w:rPr>
          <w:szCs w:val="22"/>
        </w:rPr>
        <w:t>R</w:t>
      </w:r>
      <w:r w:rsidRPr="006941F1">
        <w:rPr>
          <w:szCs w:val="22"/>
        </w:rPr>
        <w:t>ankings</w:t>
      </w:r>
      <w:r>
        <w:rPr>
          <w:szCs w:val="22"/>
        </w:rPr>
        <w:t xml:space="preserve">, with the top three countries </w:t>
      </w:r>
      <w:r w:rsidRPr="006941F1">
        <w:rPr>
          <w:szCs w:val="22"/>
        </w:rPr>
        <w:t xml:space="preserve">– Iceland, Norway and Finland – all </w:t>
      </w:r>
      <w:r>
        <w:rPr>
          <w:szCs w:val="22"/>
        </w:rPr>
        <w:t xml:space="preserve">possessing </w:t>
      </w:r>
      <w:r w:rsidRPr="006941F1">
        <w:rPr>
          <w:szCs w:val="22"/>
        </w:rPr>
        <w:t>gender equality laws with positive obligations for government.</w:t>
      </w:r>
    </w:p>
    <w:p w:rsidR="001635F7" w:rsidRDefault="001635F7" w:rsidP="001635F7">
      <w:pPr>
        <w:pStyle w:val="DHHSbody"/>
        <w:rPr>
          <w:szCs w:val="22"/>
        </w:rPr>
      </w:pPr>
      <w:r>
        <w:rPr>
          <w:szCs w:val="22"/>
        </w:rPr>
        <w:t xml:space="preserve">This is further supported by </w:t>
      </w:r>
      <w:r w:rsidRPr="006941F1">
        <w:rPr>
          <w:szCs w:val="22"/>
        </w:rPr>
        <w:t xml:space="preserve">evidence </w:t>
      </w:r>
      <w:r>
        <w:rPr>
          <w:szCs w:val="22"/>
        </w:rPr>
        <w:t xml:space="preserve">from the Organisation for Economic Co-operation and Development (OECD) </w:t>
      </w:r>
      <w:r w:rsidRPr="006941F1">
        <w:rPr>
          <w:szCs w:val="22"/>
        </w:rPr>
        <w:t>that demonstrates the importance of strong institutions and mechanisms to ensure accountability on public agencies to implement policies that will achieve gender equality</w:t>
      </w:r>
      <w:r>
        <w:rPr>
          <w:szCs w:val="22"/>
        </w:rPr>
        <w:t xml:space="preserve">, </w:t>
      </w:r>
      <w:r w:rsidRPr="006941F1">
        <w:rPr>
          <w:szCs w:val="22"/>
        </w:rPr>
        <w:t>beyond the existence of anti-discrimination laws</w:t>
      </w:r>
      <w:r>
        <w:rPr>
          <w:szCs w:val="22"/>
        </w:rPr>
        <w:t>.</w:t>
      </w:r>
    </w:p>
    <w:p w:rsidR="001635F7" w:rsidRPr="00F86774" w:rsidRDefault="001635F7" w:rsidP="001635F7">
      <w:pPr>
        <w:pStyle w:val="DHHSbody"/>
        <w:rPr>
          <w:szCs w:val="22"/>
        </w:rPr>
      </w:pPr>
      <w:r w:rsidRPr="0011715E">
        <w:rPr>
          <w:szCs w:val="22"/>
        </w:rPr>
        <w:t xml:space="preserve">Gender equality legislation will support Victoria to fulfil national and international commitments, including the </w:t>
      </w:r>
      <w:r>
        <w:rPr>
          <w:szCs w:val="22"/>
        </w:rPr>
        <w:t xml:space="preserve">United Nations </w:t>
      </w:r>
      <w:r w:rsidRPr="0011715E">
        <w:rPr>
          <w:szCs w:val="22"/>
        </w:rPr>
        <w:t xml:space="preserve">Convention on the Elimination of All Forms of Discrimination Against Women. The Victorian </w:t>
      </w:r>
      <w:r w:rsidRPr="00F86774">
        <w:rPr>
          <w:szCs w:val="22"/>
        </w:rPr>
        <w:t xml:space="preserve">Government has an important role to play in setting standards for acceptable behaviour and modelling good practice. </w:t>
      </w:r>
      <w:r w:rsidRPr="007D1D58">
        <w:rPr>
          <w:szCs w:val="22"/>
        </w:rPr>
        <w:t>Laws that establish equal rights and challenge the status quo provide an important means to demand</w:t>
      </w:r>
      <w:r>
        <w:rPr>
          <w:szCs w:val="22"/>
        </w:rPr>
        <w:t>ing</w:t>
      </w:r>
      <w:r w:rsidRPr="007D1D58">
        <w:rPr>
          <w:szCs w:val="22"/>
        </w:rPr>
        <w:t xml:space="preserve"> and achieve gender equality in practice. Laws can also influence </w:t>
      </w:r>
      <w:r>
        <w:rPr>
          <w:szCs w:val="22"/>
        </w:rPr>
        <w:t xml:space="preserve">policy shifts, </w:t>
      </w:r>
      <w:r w:rsidRPr="007D1D58">
        <w:rPr>
          <w:szCs w:val="22"/>
        </w:rPr>
        <w:t>social norms, cultural expectations and popular attitudes.</w:t>
      </w:r>
      <w:r>
        <w:rPr>
          <w:szCs w:val="22"/>
        </w:rPr>
        <w:t xml:space="preserve"> </w:t>
      </w:r>
    </w:p>
    <w:p w:rsidR="001635F7" w:rsidRPr="00BE381E" w:rsidRDefault="001635F7" w:rsidP="001635F7">
      <w:pPr>
        <w:pStyle w:val="DHHSbody"/>
        <w:rPr>
          <w:color w:val="7030A0"/>
          <w:sz w:val="44"/>
          <w:szCs w:val="44"/>
        </w:rPr>
      </w:pPr>
      <w:r>
        <w:rPr>
          <w:szCs w:val="22"/>
        </w:rPr>
        <w:t xml:space="preserve">There are a number of existing legal frameworks designed to achieve gender equality. These include the </w:t>
      </w:r>
      <w:r w:rsidRPr="00BE381E">
        <w:rPr>
          <w:i/>
          <w:szCs w:val="22"/>
        </w:rPr>
        <w:t>Victorian Charter of Human Rights and Responsibilities Act (2006)</w:t>
      </w:r>
      <w:r>
        <w:rPr>
          <w:szCs w:val="22"/>
        </w:rPr>
        <w:t xml:space="preserve"> and the </w:t>
      </w:r>
      <w:r w:rsidRPr="00BE381E">
        <w:rPr>
          <w:i/>
          <w:szCs w:val="22"/>
        </w:rPr>
        <w:t>Equal Opportunity Act (2010)</w:t>
      </w:r>
      <w:r>
        <w:rPr>
          <w:szCs w:val="22"/>
        </w:rPr>
        <w:t>. Currently</w:t>
      </w:r>
      <w:r w:rsidRPr="007D1D58">
        <w:rPr>
          <w:szCs w:val="22"/>
        </w:rPr>
        <w:t>, there is no legislation that requi</w:t>
      </w:r>
      <w:r>
        <w:rPr>
          <w:szCs w:val="22"/>
        </w:rPr>
        <w:t>res</w:t>
      </w:r>
      <w:r w:rsidRPr="007D1D58">
        <w:rPr>
          <w:szCs w:val="22"/>
        </w:rPr>
        <w:t xml:space="preserve"> </w:t>
      </w:r>
      <w:r>
        <w:rPr>
          <w:szCs w:val="22"/>
        </w:rPr>
        <w:t xml:space="preserve">public sector </w:t>
      </w:r>
      <w:r w:rsidRPr="007D1D58">
        <w:rPr>
          <w:szCs w:val="22"/>
        </w:rPr>
        <w:t xml:space="preserve">organisations </w:t>
      </w:r>
      <w:r>
        <w:rPr>
          <w:szCs w:val="22"/>
        </w:rPr>
        <w:t xml:space="preserve">to actively </w:t>
      </w:r>
      <w:r w:rsidRPr="007D1D58">
        <w:rPr>
          <w:szCs w:val="22"/>
        </w:rPr>
        <w:t>demonstrate progress towards improving gender equality</w:t>
      </w:r>
      <w:r>
        <w:rPr>
          <w:szCs w:val="22"/>
        </w:rPr>
        <w:t xml:space="preserve">. This is why the </w:t>
      </w:r>
      <w:r w:rsidRPr="007D1D58">
        <w:rPr>
          <w:szCs w:val="22"/>
        </w:rPr>
        <w:t xml:space="preserve">Victorian Government </w:t>
      </w:r>
      <w:r>
        <w:rPr>
          <w:szCs w:val="22"/>
        </w:rPr>
        <w:t xml:space="preserve">committed </w:t>
      </w:r>
      <w:r w:rsidRPr="007D1D58">
        <w:rPr>
          <w:szCs w:val="22"/>
        </w:rPr>
        <w:t xml:space="preserve">to enact a Gender Equality </w:t>
      </w:r>
      <w:r>
        <w:rPr>
          <w:szCs w:val="22"/>
        </w:rPr>
        <w:t>Bill</w:t>
      </w:r>
      <w:r w:rsidRPr="007D1D58">
        <w:rPr>
          <w:szCs w:val="22"/>
        </w:rPr>
        <w:t xml:space="preserve"> that will embed strong governance structures and promote and improve gender equality across government functions</w:t>
      </w:r>
      <w:r>
        <w:rPr>
          <w:szCs w:val="22"/>
        </w:rPr>
        <w:t>. The Gender Equality Bill will not duplicate the focus or replace existing legislation.</w:t>
      </w:r>
      <w:r>
        <w:t xml:space="preserve"> </w:t>
      </w:r>
    </w:p>
    <w:p w:rsidR="001635F7" w:rsidRDefault="001635F7" w:rsidP="001635F7">
      <w:pPr>
        <w:pStyle w:val="DHHSbody"/>
      </w:pPr>
    </w:p>
    <w:p w:rsidR="001635F7" w:rsidRPr="000A4D6A" w:rsidRDefault="001635F7" w:rsidP="000A4D6A">
      <w:pPr>
        <w:pStyle w:val="DHHSnumberdigit"/>
        <w:numPr>
          <w:ilvl w:val="0"/>
          <w:numId w:val="0"/>
        </w:numPr>
        <w:pBdr>
          <w:top w:val="single" w:sz="4" w:space="1" w:color="auto"/>
          <w:left w:val="single" w:sz="4" w:space="4" w:color="auto"/>
          <w:bottom w:val="single" w:sz="4" w:space="1" w:color="auto"/>
          <w:right w:val="single" w:sz="4" w:space="4" w:color="auto"/>
        </w:pBdr>
        <w:ind w:left="1440" w:hanging="1440"/>
        <w:rPr>
          <w:b/>
          <w:szCs w:val="22"/>
        </w:rPr>
      </w:pPr>
      <w:r w:rsidRPr="000A4D6A">
        <w:rPr>
          <w:rFonts w:eastAsia="Times New Roman"/>
          <w:b/>
          <w:color w:val="87189D"/>
          <w:sz w:val="60"/>
          <w:szCs w:val="60"/>
        </w:rPr>
        <w:t>Q1:</w:t>
      </w:r>
      <w:r w:rsidR="000A4D6A" w:rsidRPr="000A4D6A">
        <w:rPr>
          <w:rFonts w:ascii="Calibri" w:hAnsi="Calibri" w:cs="Calibri"/>
          <w:b/>
        </w:rPr>
        <w:tab/>
      </w:r>
      <w:r w:rsidRPr="000A4D6A">
        <w:rPr>
          <w:b/>
          <w:szCs w:val="22"/>
        </w:rPr>
        <w:t xml:space="preserve">What do you think are the critical actions necessary for the success of gender equality legislation? </w:t>
      </w:r>
    </w:p>
    <w:p w:rsidR="001635F7" w:rsidRPr="000A4D6A" w:rsidRDefault="001635F7" w:rsidP="000A4D6A">
      <w:pPr>
        <w:pStyle w:val="DHHSnumberdigit"/>
        <w:numPr>
          <w:ilvl w:val="0"/>
          <w:numId w:val="0"/>
        </w:numPr>
        <w:pBdr>
          <w:top w:val="single" w:sz="4" w:space="1" w:color="auto"/>
          <w:left w:val="single" w:sz="4" w:space="4" w:color="auto"/>
          <w:bottom w:val="single" w:sz="4" w:space="1" w:color="auto"/>
          <w:right w:val="single" w:sz="4" w:space="4" w:color="auto"/>
        </w:pBdr>
        <w:ind w:left="1440" w:hanging="1440"/>
        <w:rPr>
          <w:b/>
          <w:szCs w:val="22"/>
        </w:rPr>
      </w:pPr>
      <w:r w:rsidRPr="000A4D6A">
        <w:rPr>
          <w:rFonts w:eastAsia="Times New Roman"/>
          <w:b/>
          <w:color w:val="87189D"/>
          <w:sz w:val="60"/>
          <w:szCs w:val="60"/>
        </w:rPr>
        <w:t>Q2:</w:t>
      </w:r>
      <w:r w:rsidR="000A4D6A" w:rsidRPr="000A4D6A">
        <w:rPr>
          <w:rFonts w:ascii="Calibri" w:hAnsi="Calibri" w:cs="Calibri"/>
          <w:b/>
        </w:rPr>
        <w:tab/>
      </w:r>
      <w:r w:rsidRPr="000A4D6A">
        <w:rPr>
          <w:b/>
          <w:szCs w:val="22"/>
        </w:rPr>
        <w:t>What other activities should the government undertake to support this legislation?</w:t>
      </w:r>
    </w:p>
    <w:p w:rsidR="00D61EFC" w:rsidRDefault="00D61EFC">
      <w:pPr>
        <w:rPr>
          <w:rFonts w:ascii="Arial" w:hAnsi="Arial"/>
          <w:bCs/>
          <w:color w:val="87189D"/>
          <w:sz w:val="44"/>
          <w:szCs w:val="44"/>
        </w:rPr>
      </w:pPr>
      <w:bookmarkStart w:id="13" w:name="_Toc522544267"/>
      <w:r>
        <w:br w:type="page"/>
      </w:r>
    </w:p>
    <w:p w:rsidR="001635F7" w:rsidRPr="00BE381E" w:rsidRDefault="001635F7" w:rsidP="001635F7">
      <w:pPr>
        <w:pStyle w:val="Heading1"/>
      </w:pPr>
      <w:bookmarkStart w:id="14" w:name="_Toc522551287"/>
      <w:r>
        <w:lastRenderedPageBreak/>
        <w:t xml:space="preserve">Gender </w:t>
      </w:r>
      <w:r w:rsidR="000A4D6A">
        <w:t>d</w:t>
      </w:r>
      <w:r w:rsidRPr="00BE381E">
        <w:t>iversity</w:t>
      </w:r>
      <w:bookmarkEnd w:id="13"/>
      <w:bookmarkEnd w:id="14"/>
      <w:r w:rsidRPr="00BE381E">
        <w:t xml:space="preserve"> </w:t>
      </w:r>
    </w:p>
    <w:p w:rsidR="001635F7" w:rsidRPr="004505EF" w:rsidRDefault="001635F7" w:rsidP="001635F7">
      <w:pPr>
        <w:pStyle w:val="DHHSbody"/>
        <w:rPr>
          <w:lang w:eastAsia="en-AU"/>
        </w:rPr>
      </w:pPr>
      <w:r w:rsidRPr="004505EF">
        <w:rPr>
          <w:lang w:eastAsia="en-AU"/>
        </w:rPr>
        <w:t xml:space="preserve">The Victorian Government values and celebrates diversity. We acknowledge the Gender Equality Bill does not seek to address all forms of gender inequality. This Bill primarily focuses on the inequalities that exist between men and women, including people who identify as men and women. </w:t>
      </w:r>
    </w:p>
    <w:p w:rsidR="001635F7" w:rsidRPr="00976BD3" w:rsidRDefault="001635F7" w:rsidP="001635F7">
      <w:pPr>
        <w:pStyle w:val="DHHSbody"/>
        <w:rPr>
          <w:lang w:eastAsia="en-AU"/>
        </w:rPr>
      </w:pPr>
      <w:r w:rsidRPr="00976BD3">
        <w:rPr>
          <w:lang w:eastAsia="en-AU"/>
        </w:rPr>
        <w:t xml:space="preserve">The Victorian Government acknowledges that other inequalities exist that relate to Lesbian, Gay, Bisexual, Trans and Gender Diverse, and Intersex (LGBTI) communities and affirms the right to equality and fairness for LGBTI Victorians. </w:t>
      </w:r>
    </w:p>
    <w:p w:rsidR="001635F7" w:rsidRPr="00017EED" w:rsidRDefault="001635F7" w:rsidP="001635F7">
      <w:pPr>
        <w:pStyle w:val="Heading1"/>
      </w:pPr>
      <w:bookmarkStart w:id="15" w:name="_Toc522544268"/>
      <w:bookmarkStart w:id="16" w:name="_Toc522551288"/>
      <w:r>
        <w:t>The proposed Gender Equality Bill</w:t>
      </w:r>
      <w:bookmarkEnd w:id="15"/>
      <w:bookmarkEnd w:id="16"/>
    </w:p>
    <w:p w:rsidR="001635F7" w:rsidRPr="00CD3EB0" w:rsidRDefault="001635F7" w:rsidP="001635F7">
      <w:pPr>
        <w:pStyle w:val="DHHSbody"/>
        <w:spacing w:line="276" w:lineRule="auto"/>
        <w:rPr>
          <w:szCs w:val="22"/>
        </w:rPr>
      </w:pPr>
      <w:r>
        <w:rPr>
          <w:rFonts w:cs="Arial"/>
          <w:szCs w:val="22"/>
        </w:rPr>
        <w:t>A</w:t>
      </w:r>
      <w:r w:rsidRPr="00CD3EB0">
        <w:rPr>
          <w:rFonts w:cs="Arial"/>
          <w:szCs w:val="22"/>
        </w:rPr>
        <w:t>ddressing gender inequality in Victoria will require going beyond laws that prohibit discrimination, to those that proactively change social</w:t>
      </w:r>
      <w:r>
        <w:rPr>
          <w:rFonts w:cs="Arial"/>
          <w:szCs w:val="22"/>
        </w:rPr>
        <w:t xml:space="preserve"> and </w:t>
      </w:r>
      <w:r w:rsidRPr="00CD3EB0">
        <w:rPr>
          <w:rFonts w:cs="Arial"/>
          <w:szCs w:val="22"/>
        </w:rPr>
        <w:t>economic</w:t>
      </w:r>
      <w:r>
        <w:rPr>
          <w:rFonts w:cs="Arial"/>
          <w:szCs w:val="22"/>
        </w:rPr>
        <w:t xml:space="preserve"> conditions</w:t>
      </w:r>
      <w:r w:rsidRPr="00CD3EB0">
        <w:rPr>
          <w:rFonts w:cs="Arial"/>
          <w:szCs w:val="22"/>
        </w:rPr>
        <w:t xml:space="preserve">. </w:t>
      </w:r>
    </w:p>
    <w:p w:rsidR="001635F7" w:rsidRPr="000D157E" w:rsidRDefault="001635F7" w:rsidP="001635F7">
      <w:pPr>
        <w:pStyle w:val="Heading2"/>
      </w:pPr>
      <w:bookmarkStart w:id="17" w:name="_Toc522544269"/>
      <w:r>
        <w:t>What is being proposed?</w:t>
      </w:r>
      <w:bookmarkEnd w:id="17"/>
    </w:p>
    <w:p w:rsidR="001635F7" w:rsidRPr="00081159" w:rsidRDefault="001635F7" w:rsidP="001635F7">
      <w:pPr>
        <w:pStyle w:val="DHHSbody"/>
        <w:spacing w:line="276" w:lineRule="auto"/>
        <w:rPr>
          <w:rFonts w:cs="Arial"/>
          <w:szCs w:val="22"/>
        </w:rPr>
      </w:pPr>
      <w:r w:rsidRPr="00081159">
        <w:rPr>
          <w:szCs w:val="22"/>
        </w:rPr>
        <w:t xml:space="preserve">To establish in legislation a set of gender equality </w:t>
      </w:r>
      <w:r w:rsidRPr="00081159">
        <w:rPr>
          <w:b/>
          <w:szCs w:val="22"/>
        </w:rPr>
        <w:t>principles</w:t>
      </w:r>
      <w:r>
        <w:rPr>
          <w:b/>
          <w:szCs w:val="22"/>
        </w:rPr>
        <w:t xml:space="preserve"> and actions for achieving gender equality</w:t>
      </w:r>
      <w:r w:rsidRPr="00081159">
        <w:rPr>
          <w:b/>
          <w:szCs w:val="22"/>
        </w:rPr>
        <w:t xml:space="preserve">, </w:t>
      </w:r>
      <w:r w:rsidRPr="00081159">
        <w:rPr>
          <w:szCs w:val="22"/>
        </w:rPr>
        <w:t xml:space="preserve">accompanied with specific </w:t>
      </w:r>
      <w:r w:rsidRPr="00FA72B5">
        <w:rPr>
          <w:szCs w:val="22"/>
        </w:rPr>
        <w:t>obligations to</w:t>
      </w:r>
      <w:r>
        <w:rPr>
          <w:szCs w:val="22"/>
        </w:rPr>
        <w:t xml:space="preserve"> be implemented by public sector organisations to </w:t>
      </w:r>
      <w:r w:rsidRPr="00081159">
        <w:rPr>
          <w:szCs w:val="22"/>
        </w:rPr>
        <w:t xml:space="preserve">support those principles. The </w:t>
      </w:r>
      <w:r>
        <w:rPr>
          <w:szCs w:val="22"/>
        </w:rPr>
        <w:t xml:space="preserve">main </w:t>
      </w:r>
      <w:r w:rsidRPr="00081159">
        <w:rPr>
          <w:szCs w:val="22"/>
        </w:rPr>
        <w:t>obligations include:</w:t>
      </w:r>
    </w:p>
    <w:p w:rsidR="001635F7" w:rsidRPr="00584BA2" w:rsidRDefault="001635F7" w:rsidP="001635F7">
      <w:pPr>
        <w:pStyle w:val="DHHSnumberdigit"/>
        <w:spacing w:before="40" w:after="40"/>
        <w:rPr>
          <w:szCs w:val="22"/>
        </w:rPr>
      </w:pPr>
      <w:r w:rsidRPr="00584BA2">
        <w:rPr>
          <w:szCs w:val="22"/>
        </w:rPr>
        <w:t xml:space="preserve">develop a </w:t>
      </w:r>
      <w:r w:rsidRPr="005C76D3">
        <w:rPr>
          <w:b/>
          <w:szCs w:val="22"/>
        </w:rPr>
        <w:t>Gender Equality Action Plan</w:t>
      </w:r>
      <w:r w:rsidRPr="00584BA2">
        <w:rPr>
          <w:szCs w:val="22"/>
        </w:rPr>
        <w:t xml:space="preserve"> that encapsulates: </w:t>
      </w:r>
    </w:p>
    <w:p w:rsidR="001635F7" w:rsidRPr="00584BA2" w:rsidRDefault="001635F7" w:rsidP="001635F7">
      <w:pPr>
        <w:pStyle w:val="DHHSnumberloweralphaindent"/>
        <w:spacing w:before="40" w:after="40"/>
        <w:rPr>
          <w:szCs w:val="22"/>
        </w:rPr>
      </w:pPr>
      <w:r w:rsidRPr="00584BA2">
        <w:rPr>
          <w:szCs w:val="22"/>
        </w:rPr>
        <w:t xml:space="preserve">activities to be undertaken by the </w:t>
      </w:r>
      <w:r>
        <w:rPr>
          <w:szCs w:val="22"/>
        </w:rPr>
        <w:t>organisations</w:t>
      </w:r>
      <w:r w:rsidRPr="00584BA2">
        <w:rPr>
          <w:szCs w:val="22"/>
        </w:rPr>
        <w:t xml:space="preserve"> to address gender equality internally within their workforce, and </w:t>
      </w:r>
    </w:p>
    <w:p w:rsidR="001635F7" w:rsidRPr="00584BA2" w:rsidRDefault="001635F7" w:rsidP="001635F7">
      <w:pPr>
        <w:pStyle w:val="DHHSnumberloweralphaindent"/>
        <w:spacing w:before="40" w:after="40"/>
        <w:rPr>
          <w:szCs w:val="22"/>
        </w:rPr>
      </w:pPr>
      <w:r w:rsidRPr="00584BA2">
        <w:rPr>
          <w:szCs w:val="22"/>
        </w:rPr>
        <w:t>policies, programs and services they can adopt that further improve gender equality amongst their direct stakeholders and the wider community</w:t>
      </w:r>
    </w:p>
    <w:p w:rsidR="001635F7" w:rsidRPr="0040366A" w:rsidRDefault="001635F7" w:rsidP="001635F7">
      <w:pPr>
        <w:pStyle w:val="DHHSnumberdigit"/>
        <w:spacing w:before="40" w:after="40"/>
        <w:rPr>
          <w:szCs w:val="22"/>
        </w:rPr>
      </w:pPr>
      <w:r w:rsidRPr="00584BA2">
        <w:rPr>
          <w:szCs w:val="22"/>
        </w:rPr>
        <w:t xml:space="preserve">promote </w:t>
      </w:r>
      <w:r>
        <w:rPr>
          <w:szCs w:val="22"/>
        </w:rPr>
        <w:t>g</w:t>
      </w:r>
      <w:r w:rsidRPr="00584BA2">
        <w:rPr>
          <w:szCs w:val="22"/>
        </w:rPr>
        <w:t xml:space="preserve">ender </w:t>
      </w:r>
      <w:r>
        <w:rPr>
          <w:szCs w:val="22"/>
        </w:rPr>
        <w:t>e</w:t>
      </w:r>
      <w:r w:rsidRPr="00584BA2">
        <w:rPr>
          <w:szCs w:val="22"/>
        </w:rPr>
        <w:t xml:space="preserve">quality </w:t>
      </w:r>
      <w:r>
        <w:rPr>
          <w:szCs w:val="22"/>
        </w:rPr>
        <w:t xml:space="preserve">in not-for-profit and private organisations </w:t>
      </w:r>
      <w:r w:rsidRPr="00584BA2">
        <w:rPr>
          <w:szCs w:val="22"/>
        </w:rPr>
        <w:t xml:space="preserve">through </w:t>
      </w:r>
      <w:r w:rsidRPr="0040366A">
        <w:rPr>
          <w:b/>
          <w:szCs w:val="22"/>
        </w:rPr>
        <w:t>procurement guidelines</w:t>
      </w:r>
      <w:r w:rsidRPr="0040366A">
        <w:rPr>
          <w:szCs w:val="22"/>
        </w:rPr>
        <w:t xml:space="preserve"> </w:t>
      </w:r>
    </w:p>
    <w:p w:rsidR="001635F7" w:rsidRPr="00584BA2" w:rsidRDefault="001635F7" w:rsidP="001635F7">
      <w:pPr>
        <w:pStyle w:val="DHHSnumberdigit"/>
        <w:spacing w:before="40" w:after="40"/>
        <w:rPr>
          <w:szCs w:val="22"/>
        </w:rPr>
      </w:pPr>
      <w:r w:rsidRPr="00584BA2">
        <w:rPr>
          <w:szCs w:val="22"/>
        </w:rPr>
        <w:t xml:space="preserve">promote </w:t>
      </w:r>
      <w:r>
        <w:rPr>
          <w:szCs w:val="22"/>
        </w:rPr>
        <w:t>g</w:t>
      </w:r>
      <w:r w:rsidRPr="00584BA2">
        <w:rPr>
          <w:szCs w:val="22"/>
        </w:rPr>
        <w:t xml:space="preserve">ender </w:t>
      </w:r>
      <w:r>
        <w:rPr>
          <w:szCs w:val="22"/>
        </w:rPr>
        <w:t>e</w:t>
      </w:r>
      <w:r w:rsidRPr="00584BA2">
        <w:rPr>
          <w:szCs w:val="22"/>
        </w:rPr>
        <w:t xml:space="preserve">quality through the setting of </w:t>
      </w:r>
      <w:r w:rsidRPr="005C76D3">
        <w:rPr>
          <w:b/>
          <w:szCs w:val="22"/>
        </w:rPr>
        <w:t>key indicators and targets</w:t>
      </w:r>
      <w:r w:rsidR="000A4D6A">
        <w:rPr>
          <w:szCs w:val="22"/>
        </w:rPr>
        <w:t xml:space="preserve"> </w:t>
      </w:r>
    </w:p>
    <w:p w:rsidR="001635F7" w:rsidRDefault="001635F7" w:rsidP="001635F7">
      <w:pPr>
        <w:pStyle w:val="DHHSnumberdigit"/>
        <w:spacing w:before="40" w:after="40"/>
        <w:rPr>
          <w:szCs w:val="22"/>
        </w:rPr>
      </w:pPr>
      <w:r w:rsidRPr="00584BA2">
        <w:rPr>
          <w:szCs w:val="22"/>
        </w:rPr>
        <w:t xml:space="preserve">support </w:t>
      </w:r>
      <w:r>
        <w:rPr>
          <w:szCs w:val="22"/>
        </w:rPr>
        <w:t>g</w:t>
      </w:r>
      <w:r w:rsidRPr="00584BA2">
        <w:rPr>
          <w:szCs w:val="22"/>
        </w:rPr>
        <w:t xml:space="preserve">ender </w:t>
      </w:r>
      <w:r>
        <w:rPr>
          <w:szCs w:val="22"/>
        </w:rPr>
        <w:t>e</w:t>
      </w:r>
      <w:r w:rsidRPr="00584BA2">
        <w:rPr>
          <w:szCs w:val="22"/>
        </w:rPr>
        <w:t xml:space="preserve">quality through the </w:t>
      </w:r>
      <w:r w:rsidRPr="005C76D3">
        <w:rPr>
          <w:b/>
          <w:szCs w:val="22"/>
        </w:rPr>
        <w:t>monitoring, reporting, and compliance</w:t>
      </w:r>
      <w:r w:rsidRPr="00584BA2">
        <w:rPr>
          <w:szCs w:val="22"/>
        </w:rPr>
        <w:t xml:space="preserve"> of the Action Plan and targets.</w:t>
      </w:r>
    </w:p>
    <w:p w:rsidR="001635F7" w:rsidRDefault="001635F7" w:rsidP="001635F7">
      <w:pPr>
        <w:pStyle w:val="DHHSnumberdigit"/>
        <w:numPr>
          <w:ilvl w:val="0"/>
          <w:numId w:val="0"/>
        </w:numPr>
        <w:spacing w:before="40" w:after="40"/>
        <w:rPr>
          <w:szCs w:val="22"/>
        </w:rPr>
      </w:pPr>
      <w:r w:rsidRPr="00E61E1D">
        <w:rPr>
          <w:szCs w:val="22"/>
        </w:rPr>
        <w:t>In addition, the Minister for Women will be required to maintain a State Gender Equality Action Plan that includes an outcomes framework. It is envisaged that Safe and Strong: A Victorian Gender Equality Strategy will be the first State Gender Equality Action Plan under the Gender Equality Bill.</w:t>
      </w:r>
    </w:p>
    <w:p w:rsidR="001635F7" w:rsidRPr="000D157E" w:rsidRDefault="001635F7" w:rsidP="001635F7">
      <w:pPr>
        <w:pStyle w:val="Heading2"/>
      </w:pPr>
      <w:bookmarkStart w:id="18" w:name="_Toc522544270"/>
      <w:r>
        <w:t>Who will it apply to?</w:t>
      </w:r>
      <w:bookmarkEnd w:id="18"/>
    </w:p>
    <w:p w:rsidR="001635F7" w:rsidRDefault="001635F7" w:rsidP="001635F7">
      <w:pPr>
        <w:pStyle w:val="DHHSbody"/>
        <w:spacing w:line="276" w:lineRule="auto"/>
        <w:rPr>
          <w:szCs w:val="22"/>
        </w:rPr>
      </w:pPr>
      <w:r>
        <w:rPr>
          <w:szCs w:val="22"/>
        </w:rPr>
        <w:t xml:space="preserve">This legislation will apply </w:t>
      </w:r>
      <w:r w:rsidRPr="00584BA2">
        <w:rPr>
          <w:szCs w:val="22"/>
        </w:rPr>
        <w:t xml:space="preserve">directly to </w:t>
      </w:r>
      <w:r>
        <w:rPr>
          <w:szCs w:val="22"/>
        </w:rPr>
        <w:t>‘in-scope entities’, defined as Victorian Government</w:t>
      </w:r>
      <w:r w:rsidRPr="00584BA2">
        <w:rPr>
          <w:szCs w:val="22"/>
        </w:rPr>
        <w:t xml:space="preserve"> </w:t>
      </w:r>
      <w:r>
        <w:rPr>
          <w:szCs w:val="22"/>
        </w:rPr>
        <w:t>d</w:t>
      </w:r>
      <w:r w:rsidRPr="00584BA2">
        <w:rPr>
          <w:szCs w:val="22"/>
        </w:rPr>
        <w:t xml:space="preserve">epartments, </w:t>
      </w:r>
      <w:r>
        <w:rPr>
          <w:szCs w:val="22"/>
        </w:rPr>
        <w:t>p</w:t>
      </w:r>
      <w:r w:rsidRPr="00584BA2">
        <w:rPr>
          <w:szCs w:val="22"/>
        </w:rPr>
        <w:t xml:space="preserve">ublic </w:t>
      </w:r>
      <w:r>
        <w:rPr>
          <w:szCs w:val="22"/>
        </w:rPr>
        <w:t>s</w:t>
      </w:r>
      <w:r w:rsidRPr="00584BA2">
        <w:rPr>
          <w:szCs w:val="22"/>
        </w:rPr>
        <w:t xml:space="preserve">ector entities with </w:t>
      </w:r>
      <w:r>
        <w:rPr>
          <w:szCs w:val="22"/>
        </w:rPr>
        <w:t xml:space="preserve">over </w:t>
      </w:r>
      <w:r w:rsidRPr="00584BA2">
        <w:rPr>
          <w:szCs w:val="22"/>
        </w:rPr>
        <w:t>100</w:t>
      </w:r>
      <w:r>
        <w:rPr>
          <w:szCs w:val="22"/>
        </w:rPr>
        <w:t xml:space="preserve"> full time employees</w:t>
      </w:r>
      <w:r w:rsidRPr="00584BA2">
        <w:rPr>
          <w:szCs w:val="22"/>
        </w:rPr>
        <w:t xml:space="preserve">, </w:t>
      </w:r>
      <w:r>
        <w:rPr>
          <w:szCs w:val="22"/>
        </w:rPr>
        <w:t>and l</w:t>
      </w:r>
      <w:r w:rsidRPr="00584BA2">
        <w:rPr>
          <w:szCs w:val="22"/>
        </w:rPr>
        <w:t xml:space="preserve">ocal </w:t>
      </w:r>
      <w:r>
        <w:rPr>
          <w:szCs w:val="22"/>
        </w:rPr>
        <w:t>g</w:t>
      </w:r>
      <w:r w:rsidRPr="00584BA2">
        <w:rPr>
          <w:szCs w:val="22"/>
        </w:rPr>
        <w:t>overnment</w:t>
      </w:r>
      <w:r>
        <w:rPr>
          <w:szCs w:val="22"/>
        </w:rPr>
        <w:t xml:space="preserve">. Not-for-profit and private sector organisations are not within scope of the legislation, however will be influenced through revised procurement and funding policies. </w:t>
      </w:r>
    </w:p>
    <w:p w:rsidR="001635F7" w:rsidRPr="00F54932" w:rsidRDefault="001635F7" w:rsidP="000A4D6A">
      <w:pPr>
        <w:pStyle w:val="DHHSnumberdigit"/>
        <w:numPr>
          <w:ilvl w:val="0"/>
          <w:numId w:val="0"/>
        </w:numPr>
        <w:pBdr>
          <w:top w:val="single" w:sz="4" w:space="1" w:color="auto"/>
          <w:left w:val="single" w:sz="4" w:space="4" w:color="auto"/>
          <w:bottom w:val="single" w:sz="4" w:space="1" w:color="auto"/>
          <w:right w:val="single" w:sz="4" w:space="4" w:color="auto"/>
        </w:pBdr>
        <w:ind w:left="1440" w:hanging="1440"/>
      </w:pPr>
      <w:r w:rsidRPr="00535C6E">
        <w:rPr>
          <w:rFonts w:eastAsia="Times New Roman"/>
          <w:b/>
          <w:color w:val="87189D"/>
          <w:sz w:val="60"/>
          <w:szCs w:val="60"/>
        </w:rPr>
        <w:t>Q</w:t>
      </w:r>
      <w:r>
        <w:rPr>
          <w:rFonts w:eastAsia="Times New Roman"/>
          <w:b/>
          <w:color w:val="87189D"/>
          <w:sz w:val="60"/>
          <w:szCs w:val="60"/>
        </w:rPr>
        <w:t>3</w:t>
      </w:r>
      <w:r w:rsidRPr="00535C6E">
        <w:rPr>
          <w:rFonts w:eastAsia="Times New Roman"/>
          <w:b/>
          <w:color w:val="87189D"/>
          <w:sz w:val="60"/>
          <w:szCs w:val="60"/>
        </w:rPr>
        <w:t>:</w:t>
      </w:r>
      <w:r w:rsidR="000A4D6A">
        <w:rPr>
          <w:rFonts w:ascii="Calibri" w:hAnsi="Calibri" w:cs="Calibri"/>
          <w:b/>
        </w:rPr>
        <w:tab/>
      </w:r>
      <w:r w:rsidRPr="000A4D6A">
        <w:rPr>
          <w:b/>
        </w:rPr>
        <w:t>What do you think is best practice in measures to support implementation of legislation that drives lasting social change?</w:t>
      </w:r>
    </w:p>
    <w:p w:rsidR="001635F7" w:rsidRDefault="001635F7" w:rsidP="001635F7">
      <w:pPr>
        <w:pStyle w:val="Heading1"/>
      </w:pPr>
      <w:r>
        <w:br w:type="page"/>
      </w:r>
      <w:bookmarkStart w:id="19" w:name="_Toc522544271"/>
      <w:bookmarkStart w:id="20" w:name="_Toc522551289"/>
      <w:r>
        <w:t>The principles of the legislation</w:t>
      </w:r>
      <w:bookmarkEnd w:id="19"/>
      <w:bookmarkEnd w:id="20"/>
    </w:p>
    <w:p w:rsidR="001635F7" w:rsidRPr="000D157E" w:rsidRDefault="001635F7" w:rsidP="001635F7">
      <w:pPr>
        <w:pStyle w:val="Heading2"/>
      </w:pPr>
      <w:bookmarkStart w:id="21" w:name="_Toc522544272"/>
      <w:r>
        <w:t>What is proposed</w:t>
      </w:r>
      <w:bookmarkEnd w:id="21"/>
    </w:p>
    <w:p w:rsidR="001635F7" w:rsidRPr="00C31AEF" w:rsidRDefault="001635F7" w:rsidP="001635F7">
      <w:pPr>
        <w:pStyle w:val="DHHSbody"/>
        <w:spacing w:line="276" w:lineRule="auto"/>
        <w:rPr>
          <w:rFonts w:cs="Arial"/>
          <w:szCs w:val="22"/>
        </w:rPr>
      </w:pPr>
      <w:r w:rsidRPr="00C31AEF">
        <w:rPr>
          <w:rFonts w:cs="Arial"/>
          <w:szCs w:val="22"/>
        </w:rPr>
        <w:t>To enshrine in legislation a set of principles that reflect the values or ideals that Victoria that all public sector organisations – Victorian Government departments, public sector entities with over 100 full time employees, and local government – will need to give effect to and reflect in their organisation.</w:t>
      </w:r>
    </w:p>
    <w:p w:rsidR="001635F7" w:rsidRPr="00C31AEF" w:rsidRDefault="001635F7" w:rsidP="001635F7">
      <w:pPr>
        <w:pStyle w:val="DHHSbody"/>
        <w:spacing w:line="276" w:lineRule="auto"/>
        <w:rPr>
          <w:rFonts w:cs="Arial"/>
          <w:szCs w:val="22"/>
        </w:rPr>
      </w:pPr>
      <w:r w:rsidRPr="00C31AEF">
        <w:rPr>
          <w:rFonts w:cs="Arial"/>
          <w:szCs w:val="22"/>
        </w:rPr>
        <w:t>The Bill establishes a series of gender equality principles for prescribed entities acknowledging that:</w:t>
      </w:r>
    </w:p>
    <w:p w:rsidR="001635F7" w:rsidRPr="00C31AEF" w:rsidRDefault="001635F7" w:rsidP="000A4D6A">
      <w:pPr>
        <w:pStyle w:val="DHHSbullet1"/>
      </w:pPr>
      <w:r w:rsidRPr="00C31AEF">
        <w:t>All Victorians should live in a safe and equal society, have access to equal power, resources and opportunities and be treated with dignity, respect and fairness.</w:t>
      </w:r>
    </w:p>
    <w:p w:rsidR="001635F7" w:rsidRPr="00C31AEF" w:rsidRDefault="001635F7" w:rsidP="000A4D6A">
      <w:pPr>
        <w:pStyle w:val="DHHSbullet1"/>
      </w:pPr>
      <w:r w:rsidRPr="00C31AEF">
        <w:t>Gender equality benefits all Victorians, regardless of gender.</w:t>
      </w:r>
    </w:p>
    <w:p w:rsidR="001635F7" w:rsidRPr="00C31AEF" w:rsidRDefault="001635F7" w:rsidP="000A4D6A">
      <w:pPr>
        <w:pStyle w:val="DHHSbullet1"/>
      </w:pPr>
      <w:r w:rsidRPr="00C31AEF">
        <w:t>Gender equality is a human right and precondition to social justice.</w:t>
      </w:r>
    </w:p>
    <w:p w:rsidR="001635F7" w:rsidRPr="00C31AEF" w:rsidRDefault="001635F7" w:rsidP="000A4D6A">
      <w:pPr>
        <w:pStyle w:val="DHHSbullet1"/>
      </w:pPr>
      <w:r w:rsidRPr="00C31AEF">
        <w:t>Gender equality brings significant economic, social and health benefits for Victoria.</w:t>
      </w:r>
    </w:p>
    <w:p w:rsidR="001635F7" w:rsidRPr="00C31AEF" w:rsidRDefault="001635F7" w:rsidP="000A4D6A">
      <w:pPr>
        <w:pStyle w:val="DHHSbullet1"/>
      </w:pPr>
      <w:r w:rsidRPr="00C31AEF">
        <w:t>Gender equality is a precondition for the prevention of family violence and other forms of violence against women and girls</w:t>
      </w:r>
    </w:p>
    <w:p w:rsidR="001635F7" w:rsidRPr="00C31AEF" w:rsidRDefault="001635F7" w:rsidP="000A4D6A">
      <w:pPr>
        <w:pStyle w:val="DHHSbullet1"/>
      </w:pPr>
      <w:r w:rsidRPr="00C31AEF">
        <w:t>Advancing gender equality is a shared responsibility across the Victorian community.</w:t>
      </w:r>
    </w:p>
    <w:p w:rsidR="001635F7" w:rsidRPr="009E7293" w:rsidRDefault="001635F7" w:rsidP="001635F7">
      <w:pPr>
        <w:pStyle w:val="DHHSbody"/>
        <w:spacing w:line="276" w:lineRule="auto"/>
        <w:rPr>
          <w:rFonts w:cs="Arial"/>
          <w:szCs w:val="22"/>
        </w:rPr>
      </w:pPr>
      <w:r>
        <w:rPr>
          <w:rFonts w:cs="Arial"/>
          <w:szCs w:val="22"/>
        </w:rPr>
        <w:t>Supporting the principles is a set of</w:t>
      </w:r>
      <w:r w:rsidRPr="009E7293">
        <w:rPr>
          <w:rFonts w:cs="Arial"/>
          <w:szCs w:val="22"/>
        </w:rPr>
        <w:t xml:space="preserve"> proposed </w:t>
      </w:r>
      <w:r>
        <w:rPr>
          <w:rFonts w:cs="Arial"/>
          <w:szCs w:val="22"/>
        </w:rPr>
        <w:t>actions for defined entities in the development of a Gender Equality Action Plan. These</w:t>
      </w:r>
      <w:r w:rsidRPr="009E7293">
        <w:rPr>
          <w:rFonts w:cs="Arial"/>
          <w:szCs w:val="22"/>
        </w:rPr>
        <w:t xml:space="preserve"> are</w:t>
      </w:r>
      <w:r>
        <w:rPr>
          <w:rFonts w:cs="Arial"/>
          <w:szCs w:val="22"/>
        </w:rPr>
        <w:t xml:space="preserve"> to</w:t>
      </w:r>
      <w:r w:rsidRPr="009E7293">
        <w:rPr>
          <w:rFonts w:cs="Arial"/>
          <w:szCs w:val="22"/>
        </w:rPr>
        <w:t>:</w:t>
      </w:r>
    </w:p>
    <w:p w:rsidR="001635F7" w:rsidRPr="00C31AEF" w:rsidRDefault="001635F7" w:rsidP="000A4D6A">
      <w:pPr>
        <w:pStyle w:val="DHHSbullet1"/>
      </w:pPr>
      <w:r w:rsidRPr="00C31AEF">
        <w:t>promote and advance gender equality</w:t>
      </w:r>
    </w:p>
    <w:p w:rsidR="001635F7" w:rsidRPr="00C31AEF" w:rsidRDefault="001635F7" w:rsidP="000A4D6A">
      <w:pPr>
        <w:pStyle w:val="DHHSbullet1"/>
      </w:pPr>
      <w:r w:rsidRPr="00C31AEF">
        <w:t>make reasonable adjustments and take special measures to achieve substantive gender equality</w:t>
      </w:r>
    </w:p>
    <w:p w:rsidR="001635F7" w:rsidRDefault="001635F7" w:rsidP="000A4D6A">
      <w:pPr>
        <w:pStyle w:val="DHHSbullet1"/>
      </w:pPr>
      <w:r w:rsidRPr="00C31AEF">
        <w:t xml:space="preserve">have regard to the negative impacts of gender stereotypes on all Victorians and the importance of challenging gender stereotypes </w:t>
      </w:r>
    </w:p>
    <w:p w:rsidR="001635F7" w:rsidRPr="00C31AEF" w:rsidRDefault="001635F7" w:rsidP="000A4D6A">
      <w:pPr>
        <w:pStyle w:val="DHHSbullet1"/>
      </w:pPr>
      <w:r>
        <w:t>have regard to the fact that an individual’s experience of gender inequality may be compounded by other forms of discrimination and disadvantage</w:t>
      </w:r>
    </w:p>
    <w:p w:rsidR="001635F7" w:rsidRPr="00C31AEF" w:rsidRDefault="001635F7" w:rsidP="000A4D6A">
      <w:pPr>
        <w:pStyle w:val="DHHSbullet1"/>
      </w:pPr>
      <w:r w:rsidRPr="00C31AEF">
        <w:t>acknowledge the importance of collecting gender-disaggregated data to measure progress towards achieving gender equality.</w:t>
      </w:r>
    </w:p>
    <w:p w:rsidR="001635F7" w:rsidRPr="00647B45" w:rsidRDefault="001635F7" w:rsidP="001635F7">
      <w:pPr>
        <w:pStyle w:val="DHHSbullet1"/>
        <w:numPr>
          <w:ilvl w:val="0"/>
          <w:numId w:val="0"/>
        </w:numPr>
        <w:rPr>
          <w:szCs w:val="22"/>
        </w:rPr>
      </w:pPr>
      <w:r w:rsidRPr="00647B45">
        <w:rPr>
          <w:szCs w:val="22"/>
        </w:rPr>
        <w:t>These principles</w:t>
      </w:r>
      <w:r>
        <w:rPr>
          <w:szCs w:val="22"/>
        </w:rPr>
        <w:t xml:space="preserve"> and actions</w:t>
      </w:r>
      <w:r w:rsidRPr="00647B45">
        <w:rPr>
          <w:szCs w:val="22"/>
        </w:rPr>
        <w:t xml:space="preserve"> have been selected based on stakeholder input and good practice, as well as to reflect the policy framework set out in </w:t>
      </w:r>
      <w:r w:rsidRPr="0040366A">
        <w:rPr>
          <w:i/>
          <w:szCs w:val="22"/>
        </w:rPr>
        <w:t>Safe and Strong</w:t>
      </w:r>
      <w:r w:rsidRPr="00647B45">
        <w:rPr>
          <w:szCs w:val="22"/>
        </w:rPr>
        <w:t xml:space="preserve">. </w:t>
      </w:r>
    </w:p>
    <w:p w:rsidR="001635F7" w:rsidRPr="000D157E" w:rsidRDefault="001635F7" w:rsidP="001635F7">
      <w:pPr>
        <w:pStyle w:val="Heading2"/>
      </w:pPr>
      <w:bookmarkStart w:id="22" w:name="_Toc522544273"/>
      <w:r>
        <w:t>The rationale</w:t>
      </w:r>
      <w:bookmarkEnd w:id="22"/>
    </w:p>
    <w:p w:rsidR="001635F7" w:rsidRPr="00DD385B" w:rsidRDefault="001635F7" w:rsidP="001635F7">
      <w:pPr>
        <w:pStyle w:val="DHHSbody"/>
        <w:rPr>
          <w:szCs w:val="22"/>
        </w:rPr>
      </w:pPr>
      <w:r w:rsidRPr="00DD385B">
        <w:rPr>
          <w:szCs w:val="22"/>
        </w:rPr>
        <w:t>There are two primary benefits of gender equality: economic and social.</w:t>
      </w:r>
    </w:p>
    <w:p w:rsidR="001635F7" w:rsidRPr="00417156" w:rsidRDefault="001635F7" w:rsidP="001635F7">
      <w:pPr>
        <w:pStyle w:val="DHHSbody"/>
        <w:rPr>
          <w:szCs w:val="22"/>
        </w:rPr>
      </w:pPr>
      <w:r>
        <w:rPr>
          <w:szCs w:val="22"/>
        </w:rPr>
        <w:t>Global e</w:t>
      </w:r>
      <w:r w:rsidRPr="00DD385B">
        <w:rPr>
          <w:szCs w:val="22"/>
        </w:rPr>
        <w:t xml:space="preserve">vidence </w:t>
      </w:r>
      <w:r>
        <w:rPr>
          <w:szCs w:val="22"/>
        </w:rPr>
        <w:t xml:space="preserve">gathered to date </w:t>
      </w:r>
      <w:r w:rsidRPr="00DD385B">
        <w:rPr>
          <w:szCs w:val="22"/>
        </w:rPr>
        <w:t>clearly demonstrate that improvements in gender equality accrue significant economic benefits, including greater productivity, higher GDP and reduced government spending. Every day that we fail to deliver gender equality we pay the economic price.</w:t>
      </w:r>
      <w:r>
        <w:rPr>
          <w:szCs w:val="22"/>
        </w:rPr>
        <w:t xml:space="preserve"> </w:t>
      </w:r>
    </w:p>
    <w:p w:rsidR="001635F7" w:rsidRDefault="001635F7" w:rsidP="001635F7">
      <w:pPr>
        <w:pStyle w:val="DHHSbody"/>
        <w:rPr>
          <w:szCs w:val="22"/>
        </w:rPr>
      </w:pPr>
      <w:r w:rsidRPr="00DD385B">
        <w:rPr>
          <w:szCs w:val="22"/>
        </w:rPr>
        <w:t>Socially, gender equality is a human right and a precondition for social justice. All Victorians have the right to live in a safe and equal society, to have access to equal power, resources and opportunities, and to be treated with dignity, respect and fairness as per Australia’s international human rights and labour rights obligations.</w:t>
      </w:r>
    </w:p>
    <w:p w:rsidR="001635F7" w:rsidRDefault="001635F7" w:rsidP="001635F7">
      <w:pPr>
        <w:pStyle w:val="DHHSbody"/>
        <w:rPr>
          <w:szCs w:val="22"/>
        </w:rPr>
      </w:pPr>
      <w:r>
        <w:rPr>
          <w:szCs w:val="22"/>
        </w:rPr>
        <w:t>Some examples of social and economic benefits include:</w:t>
      </w:r>
    </w:p>
    <w:p w:rsidR="001635F7" w:rsidRDefault="001635F7" w:rsidP="001635F7">
      <w:pPr>
        <w:pStyle w:val="DHHSbullet1"/>
        <w:rPr>
          <w:szCs w:val="22"/>
        </w:rPr>
      </w:pPr>
      <w:r>
        <w:rPr>
          <w:szCs w:val="22"/>
        </w:rPr>
        <w:t>the disproportionate burden of unpaid care borne by women imposes major economic costs on Australia, a sector worth $650.1 billion (six times higher than paid care)</w:t>
      </w:r>
    </w:p>
    <w:p w:rsidR="001635F7" w:rsidRDefault="001635F7" w:rsidP="001635F7">
      <w:pPr>
        <w:pStyle w:val="DHHSbullet1"/>
        <w:rPr>
          <w:szCs w:val="22"/>
        </w:rPr>
      </w:pPr>
      <w:r>
        <w:rPr>
          <w:szCs w:val="22"/>
        </w:rPr>
        <w:t>women with tertiary education fail to transition into the workforce at the same rate as men. If this investment can be captured, it would save $8 billion per year</w:t>
      </w:r>
    </w:p>
    <w:p w:rsidR="001635F7" w:rsidRPr="00DA367F" w:rsidRDefault="001635F7" w:rsidP="001635F7">
      <w:pPr>
        <w:pStyle w:val="DHHSbullet1"/>
        <w:rPr>
          <w:szCs w:val="22"/>
        </w:rPr>
      </w:pPr>
      <w:r>
        <w:rPr>
          <w:szCs w:val="22"/>
        </w:rPr>
        <w:t>d</w:t>
      </w:r>
      <w:r w:rsidRPr="00DA367F">
        <w:rPr>
          <w:szCs w:val="22"/>
        </w:rPr>
        <w:t>ecreas</w:t>
      </w:r>
      <w:r>
        <w:rPr>
          <w:szCs w:val="22"/>
        </w:rPr>
        <w:t>ing</w:t>
      </w:r>
      <w:r w:rsidRPr="00DA367F">
        <w:rPr>
          <w:szCs w:val="22"/>
        </w:rPr>
        <w:t xml:space="preserve"> rates of violence against women </w:t>
      </w:r>
      <w:r>
        <w:rPr>
          <w:szCs w:val="22"/>
        </w:rPr>
        <w:t>decreases the primary burden borne by victims of pain, suffering and premature mortality. The Australian Government bears the second biggest cost of health, administration and social welfare, estimated at $21.7 billion annually</w:t>
      </w:r>
    </w:p>
    <w:p w:rsidR="001635F7" w:rsidRPr="00A903C6" w:rsidRDefault="001635F7" w:rsidP="001635F7">
      <w:pPr>
        <w:pStyle w:val="DHHSbullet1"/>
        <w:spacing w:after="120"/>
        <w:rPr>
          <w:szCs w:val="22"/>
        </w:rPr>
      </w:pPr>
      <w:r w:rsidRPr="00A903C6">
        <w:rPr>
          <w:szCs w:val="22"/>
        </w:rPr>
        <w:t>improvements in physical and mental health on both men and women</w:t>
      </w:r>
      <w:r>
        <w:rPr>
          <w:szCs w:val="22"/>
        </w:rPr>
        <w:t>.</w:t>
      </w:r>
    </w:p>
    <w:p w:rsidR="001635F7" w:rsidRPr="007E6228" w:rsidRDefault="001635F7" w:rsidP="00D61EFC">
      <w:pPr>
        <w:pStyle w:val="DHHSbody"/>
      </w:pPr>
      <w:r w:rsidRPr="007E6228">
        <w:t>Enshrining the principles</w:t>
      </w:r>
      <w:r>
        <w:t xml:space="preserve"> and actions</w:t>
      </w:r>
      <w:r w:rsidRPr="007E6228">
        <w:t xml:space="preserve"> in legislation will complement existing gender equality programs and help ensure enduring and sustained progress and to achieve long term attitudinal change</w:t>
      </w:r>
      <w:r>
        <w:t xml:space="preserve"> by ensuring the public sector actively takes steps to promote gender equality</w:t>
      </w:r>
      <w:r w:rsidRPr="007E6228">
        <w:t>.</w:t>
      </w:r>
    </w:p>
    <w:p w:rsidR="001635F7" w:rsidRPr="009E7293" w:rsidRDefault="001635F7" w:rsidP="001635F7">
      <w:pPr>
        <w:pStyle w:val="DHHSbody"/>
        <w:spacing w:line="276" w:lineRule="auto"/>
        <w:rPr>
          <w:rFonts w:cs="Arial"/>
          <w:szCs w:val="22"/>
        </w:rPr>
      </w:pPr>
    </w:p>
    <w:p w:rsidR="001635F7" w:rsidRPr="00535C6E" w:rsidRDefault="001635F7" w:rsidP="000A4D6A">
      <w:pPr>
        <w:pStyle w:val="DHHSbody"/>
        <w:pBdr>
          <w:top w:val="single" w:sz="4" w:space="1" w:color="auto"/>
          <w:left w:val="single" w:sz="4" w:space="4" w:color="auto"/>
          <w:bottom w:val="single" w:sz="4" w:space="1" w:color="auto"/>
          <w:right w:val="single" w:sz="4" w:space="4" w:color="auto"/>
        </w:pBdr>
        <w:ind w:left="1440" w:hanging="1440"/>
        <w:rPr>
          <w:rFonts w:cs="Arial"/>
          <w:szCs w:val="22"/>
        </w:rPr>
      </w:pPr>
      <w:r w:rsidRPr="00535C6E">
        <w:rPr>
          <w:rFonts w:eastAsia="Times New Roman"/>
          <w:b/>
          <w:color w:val="87189D"/>
          <w:sz w:val="60"/>
          <w:szCs w:val="60"/>
        </w:rPr>
        <w:t>Q</w:t>
      </w:r>
      <w:r>
        <w:rPr>
          <w:rFonts w:eastAsia="Times New Roman"/>
          <w:b/>
          <w:color w:val="87189D"/>
          <w:sz w:val="60"/>
          <w:szCs w:val="60"/>
        </w:rPr>
        <w:t>4</w:t>
      </w:r>
      <w:r w:rsidRPr="00535C6E">
        <w:rPr>
          <w:rFonts w:eastAsia="Times New Roman"/>
          <w:b/>
          <w:color w:val="87189D"/>
          <w:sz w:val="60"/>
          <w:szCs w:val="60"/>
        </w:rPr>
        <w:t>:</w:t>
      </w:r>
      <w:r w:rsidR="000A4D6A">
        <w:rPr>
          <w:rFonts w:eastAsia="Times New Roman"/>
          <w:b/>
          <w:color w:val="87189D"/>
          <w:sz w:val="60"/>
          <w:szCs w:val="60"/>
        </w:rPr>
        <w:tab/>
      </w:r>
      <w:r w:rsidRPr="000A4D6A">
        <w:rPr>
          <w:rFonts w:cs="Arial"/>
          <w:b/>
          <w:bCs/>
          <w:szCs w:val="22"/>
        </w:rPr>
        <w:t>Do you agree that these are the critical principles and actions that should underpin the legislation? What should be added, or needs to be changed?</w:t>
      </w:r>
    </w:p>
    <w:p w:rsidR="00D61EFC" w:rsidRDefault="00D61EFC">
      <w:pPr>
        <w:rPr>
          <w:rFonts w:ascii="Arial" w:hAnsi="Arial"/>
          <w:bCs/>
          <w:color w:val="87189D"/>
          <w:sz w:val="44"/>
          <w:szCs w:val="44"/>
        </w:rPr>
      </w:pPr>
      <w:bookmarkStart w:id="23" w:name="_Toc522544274"/>
      <w:r>
        <w:br w:type="page"/>
      </w:r>
    </w:p>
    <w:p w:rsidR="001635F7" w:rsidRPr="000D157E" w:rsidRDefault="001635F7" w:rsidP="001635F7">
      <w:pPr>
        <w:pStyle w:val="Heading1"/>
      </w:pPr>
      <w:bookmarkStart w:id="24" w:name="_Toc522551290"/>
      <w:r>
        <w:t>Gender Equality Action Plans</w:t>
      </w:r>
      <w:bookmarkEnd w:id="23"/>
      <w:bookmarkEnd w:id="24"/>
    </w:p>
    <w:p w:rsidR="001635F7" w:rsidRPr="000D157E" w:rsidRDefault="001635F7" w:rsidP="001635F7">
      <w:pPr>
        <w:pStyle w:val="Heading2"/>
      </w:pPr>
      <w:bookmarkStart w:id="25" w:name="_Toc522544275"/>
      <w:r>
        <w:t>What is proposed</w:t>
      </w:r>
      <w:bookmarkEnd w:id="25"/>
    </w:p>
    <w:p w:rsidR="001635F7" w:rsidRDefault="001635F7" w:rsidP="001635F7">
      <w:pPr>
        <w:pStyle w:val="DHHSbody"/>
        <w:spacing w:line="276" w:lineRule="auto"/>
        <w:jc w:val="both"/>
        <w:rPr>
          <w:szCs w:val="22"/>
        </w:rPr>
      </w:pPr>
      <w:r>
        <w:rPr>
          <w:rFonts w:cs="Arial"/>
          <w:szCs w:val="22"/>
        </w:rPr>
        <w:t xml:space="preserve">To </w:t>
      </w:r>
      <w:r w:rsidRPr="000E1B57">
        <w:rPr>
          <w:rFonts w:cs="Arial"/>
          <w:szCs w:val="22"/>
        </w:rPr>
        <w:t>demonstrate compliance with these</w:t>
      </w:r>
      <w:r>
        <w:rPr>
          <w:rFonts w:cs="Arial"/>
          <w:szCs w:val="22"/>
        </w:rPr>
        <w:t xml:space="preserve"> actions, all public sector organisations must </w:t>
      </w:r>
      <w:r w:rsidRPr="000E1B57">
        <w:rPr>
          <w:rFonts w:cs="Arial"/>
          <w:szCs w:val="22"/>
        </w:rPr>
        <w:t xml:space="preserve">develop and report on a </w:t>
      </w:r>
      <w:r w:rsidRPr="009575E9">
        <w:rPr>
          <w:rFonts w:cs="Arial"/>
          <w:b/>
          <w:szCs w:val="22"/>
        </w:rPr>
        <w:t>Gender Equality Action Plan</w:t>
      </w:r>
      <w:r w:rsidRPr="000E1B57">
        <w:rPr>
          <w:rFonts w:cs="Arial"/>
          <w:szCs w:val="22"/>
        </w:rPr>
        <w:t>.</w:t>
      </w:r>
      <w:r>
        <w:rPr>
          <w:rFonts w:cs="Arial"/>
          <w:szCs w:val="22"/>
        </w:rPr>
        <w:t xml:space="preserve"> These plans </w:t>
      </w:r>
      <w:r w:rsidRPr="009575E9">
        <w:rPr>
          <w:szCs w:val="22"/>
        </w:rPr>
        <w:t>would include</w:t>
      </w:r>
      <w:r>
        <w:rPr>
          <w:szCs w:val="22"/>
        </w:rPr>
        <w:t xml:space="preserve"> but is not limited to:</w:t>
      </w:r>
    </w:p>
    <w:p w:rsidR="001635F7" w:rsidRDefault="001635F7" w:rsidP="001635F7">
      <w:pPr>
        <w:pStyle w:val="DHHSbullet1"/>
        <w:rPr>
          <w:szCs w:val="22"/>
        </w:rPr>
      </w:pPr>
      <w:r>
        <w:rPr>
          <w:szCs w:val="22"/>
        </w:rPr>
        <w:t xml:space="preserve">identifying </w:t>
      </w:r>
      <w:r w:rsidRPr="009575E9">
        <w:rPr>
          <w:szCs w:val="22"/>
        </w:rPr>
        <w:t>strategies to promote workplace gender equality</w:t>
      </w:r>
    </w:p>
    <w:p w:rsidR="001635F7" w:rsidRDefault="001635F7" w:rsidP="001635F7">
      <w:pPr>
        <w:pStyle w:val="DHHSbullet1"/>
        <w:rPr>
          <w:szCs w:val="22"/>
        </w:rPr>
      </w:pPr>
      <w:r>
        <w:rPr>
          <w:szCs w:val="22"/>
        </w:rPr>
        <w:t xml:space="preserve">identifying </w:t>
      </w:r>
      <w:r w:rsidRPr="008A5E33">
        <w:rPr>
          <w:szCs w:val="22"/>
        </w:rPr>
        <w:t>strategies for the implementation or strengthening of gender impact analysis</w:t>
      </w:r>
      <w:r>
        <w:rPr>
          <w:szCs w:val="22"/>
        </w:rPr>
        <w:t>, to ensure that the development of policies, programs and services considers the specific impacts on women and men</w:t>
      </w:r>
    </w:p>
    <w:p w:rsidR="001635F7" w:rsidRPr="00910AA5" w:rsidRDefault="001635F7" w:rsidP="001635F7">
      <w:pPr>
        <w:pStyle w:val="DHHSbullet1"/>
        <w:spacing w:after="120"/>
        <w:rPr>
          <w:szCs w:val="22"/>
        </w:rPr>
      </w:pPr>
      <w:r w:rsidRPr="008A5E33">
        <w:rPr>
          <w:szCs w:val="22"/>
        </w:rPr>
        <w:t>report</w:t>
      </w:r>
      <w:r>
        <w:rPr>
          <w:szCs w:val="22"/>
        </w:rPr>
        <w:t xml:space="preserve">ing </w:t>
      </w:r>
      <w:r w:rsidRPr="008A5E33">
        <w:rPr>
          <w:szCs w:val="22"/>
        </w:rPr>
        <w:t xml:space="preserve">annually on the implementation of their Action Plan </w:t>
      </w:r>
      <w:r>
        <w:rPr>
          <w:szCs w:val="22"/>
        </w:rPr>
        <w:t>a</w:t>
      </w:r>
      <w:r w:rsidRPr="008A5E33">
        <w:rPr>
          <w:szCs w:val="22"/>
        </w:rPr>
        <w:t xml:space="preserve">nd against </w:t>
      </w:r>
      <w:r>
        <w:rPr>
          <w:szCs w:val="22"/>
        </w:rPr>
        <w:t xml:space="preserve">gender equality targets and </w:t>
      </w:r>
      <w:r w:rsidRPr="008A5E33">
        <w:rPr>
          <w:szCs w:val="22"/>
        </w:rPr>
        <w:t>indicators</w:t>
      </w:r>
      <w:r>
        <w:rPr>
          <w:szCs w:val="22"/>
        </w:rPr>
        <w:t>, to be included in regulations.</w:t>
      </w:r>
    </w:p>
    <w:p w:rsidR="001635F7" w:rsidRDefault="001635F7" w:rsidP="001635F7">
      <w:pPr>
        <w:pStyle w:val="DHHSbody"/>
        <w:spacing w:line="276" w:lineRule="auto"/>
        <w:jc w:val="both"/>
        <w:rPr>
          <w:szCs w:val="22"/>
        </w:rPr>
      </w:pPr>
      <w:r w:rsidRPr="00C056A8">
        <w:rPr>
          <w:szCs w:val="22"/>
        </w:rPr>
        <w:t xml:space="preserve">At a State level, the Minister for Women will also be required to maintain a State Gender Equality Plan that all organisations will </w:t>
      </w:r>
      <w:r>
        <w:rPr>
          <w:szCs w:val="22"/>
        </w:rPr>
        <w:t xml:space="preserve">also need to align with in their respective Action Plans, to maintain a consistent approach to gender equality across the state. </w:t>
      </w:r>
      <w:r w:rsidRPr="001B2A8D">
        <w:rPr>
          <w:szCs w:val="22"/>
        </w:rPr>
        <w:t xml:space="preserve">The State Gender Equality Action Plan is also required to include an outcomes framework to ensure we have a mechanism to monitor our progress to achieve gender equality. </w:t>
      </w:r>
      <w:r w:rsidRPr="0040366A">
        <w:rPr>
          <w:i/>
          <w:szCs w:val="22"/>
        </w:rPr>
        <w:t>Safe and Strong: A Victorian Gender Equality Strategy</w:t>
      </w:r>
      <w:r>
        <w:rPr>
          <w:szCs w:val="22"/>
        </w:rPr>
        <w:t xml:space="preserve"> will form the inaugural State Gender Equality Plan.</w:t>
      </w:r>
    </w:p>
    <w:p w:rsidR="001635F7" w:rsidRDefault="001635F7" w:rsidP="001635F7">
      <w:pPr>
        <w:pStyle w:val="DHHSbody"/>
        <w:spacing w:line="276" w:lineRule="auto"/>
        <w:jc w:val="both"/>
        <w:rPr>
          <w:szCs w:val="22"/>
        </w:rPr>
      </w:pPr>
      <w:r>
        <w:rPr>
          <w:szCs w:val="22"/>
        </w:rPr>
        <w:t>The Gender Equality Bill will also allow for the development of Gender Equality Action Plans to be integrated within existing planning processes to minimise administrative burden on organisations. For example, local councils would be able to integrate gender equality planning within Municipal Health and Wellbeing Plans or Council Plans, or any other prescribed gender equity planning requirements specified in the Local Government Act, as long as all requirements under the Gender Equality Bill for Gender Equality Action Plans have been incorporated.</w:t>
      </w:r>
    </w:p>
    <w:p w:rsidR="001635F7" w:rsidRPr="000D157E" w:rsidRDefault="001635F7" w:rsidP="001635F7">
      <w:pPr>
        <w:pStyle w:val="Heading2"/>
      </w:pPr>
      <w:bookmarkStart w:id="26" w:name="_Toc522544276"/>
      <w:r>
        <w:t>The rationale</w:t>
      </w:r>
      <w:bookmarkEnd w:id="26"/>
    </w:p>
    <w:p w:rsidR="001635F7" w:rsidRPr="00C056A8" w:rsidRDefault="001635F7" w:rsidP="001635F7">
      <w:pPr>
        <w:pStyle w:val="DHHSbody"/>
        <w:spacing w:line="276" w:lineRule="auto"/>
        <w:jc w:val="both"/>
        <w:rPr>
          <w:rFonts w:cs="Arial"/>
          <w:szCs w:val="22"/>
        </w:rPr>
      </w:pPr>
      <w:r>
        <w:rPr>
          <w:rFonts w:cs="Arial"/>
          <w:szCs w:val="22"/>
        </w:rPr>
        <w:t xml:space="preserve">Evidence indicates </w:t>
      </w:r>
      <w:r w:rsidRPr="007E6228">
        <w:rPr>
          <w:rFonts w:cs="Arial"/>
          <w:szCs w:val="22"/>
        </w:rPr>
        <w:t xml:space="preserve">that a system of mandatory action plans can play an important role in committing </w:t>
      </w:r>
      <w:r>
        <w:rPr>
          <w:rFonts w:cs="Arial"/>
          <w:szCs w:val="22"/>
        </w:rPr>
        <w:t xml:space="preserve">public sector organisations </w:t>
      </w:r>
      <w:r w:rsidRPr="007E6228">
        <w:rPr>
          <w:rFonts w:cs="Arial"/>
          <w:szCs w:val="22"/>
        </w:rPr>
        <w:t>to measuring and reporting on</w:t>
      </w:r>
      <w:r>
        <w:rPr>
          <w:rFonts w:cs="Arial"/>
          <w:szCs w:val="22"/>
        </w:rPr>
        <w:t xml:space="preserve"> gender equality</w:t>
      </w:r>
      <w:r w:rsidRPr="007E6228">
        <w:rPr>
          <w:rFonts w:cs="Arial"/>
          <w:szCs w:val="22"/>
        </w:rPr>
        <w:t xml:space="preserve"> and be held accountable to a plan to achieve gender equality.</w:t>
      </w:r>
    </w:p>
    <w:p w:rsidR="001635F7" w:rsidRDefault="001635F7" w:rsidP="001635F7">
      <w:pPr>
        <w:pStyle w:val="DHHSbody"/>
        <w:spacing w:line="276" w:lineRule="auto"/>
        <w:jc w:val="both"/>
        <w:rPr>
          <w:rFonts w:cs="Arial"/>
          <w:szCs w:val="22"/>
        </w:rPr>
      </w:pPr>
      <w:r>
        <w:rPr>
          <w:rFonts w:cs="Arial"/>
          <w:szCs w:val="22"/>
        </w:rPr>
        <w:t>Internationally, the use of Action Plans is in line with international good practice standards. For example, the UK and Finland are countries with legislative requirements for organisations to prepare and publish action plans on gender equality.</w:t>
      </w:r>
    </w:p>
    <w:p w:rsidR="001635F7" w:rsidRDefault="001635F7" w:rsidP="001635F7">
      <w:pPr>
        <w:pStyle w:val="DHHSbody"/>
        <w:spacing w:line="276" w:lineRule="auto"/>
        <w:jc w:val="both"/>
        <w:rPr>
          <w:rFonts w:cs="Arial"/>
          <w:szCs w:val="22"/>
        </w:rPr>
      </w:pPr>
      <w:r>
        <w:rPr>
          <w:rFonts w:cs="Arial"/>
          <w:szCs w:val="22"/>
        </w:rPr>
        <w:t xml:space="preserve">The implementation of action plans was a common proposal in consultations with stakeholders, with many suggesting that action plans should outline an </w:t>
      </w:r>
      <w:r w:rsidRPr="00C2684B">
        <w:rPr>
          <w:rFonts w:cs="Arial"/>
          <w:szCs w:val="22"/>
        </w:rPr>
        <w:t>approach to achiev</w:t>
      </w:r>
      <w:r>
        <w:rPr>
          <w:rFonts w:cs="Arial"/>
          <w:szCs w:val="22"/>
        </w:rPr>
        <w:t>ing</w:t>
      </w:r>
      <w:r w:rsidRPr="00C2684B">
        <w:rPr>
          <w:rFonts w:cs="Arial"/>
          <w:szCs w:val="22"/>
        </w:rPr>
        <w:t xml:space="preserve"> gender equality in areas such as pay, representation across roles</w:t>
      </w:r>
      <w:r>
        <w:rPr>
          <w:rFonts w:cs="Arial"/>
          <w:szCs w:val="22"/>
        </w:rPr>
        <w:t>,</w:t>
      </w:r>
      <w:r w:rsidRPr="00C2684B">
        <w:rPr>
          <w:rFonts w:cs="Arial"/>
          <w:szCs w:val="22"/>
        </w:rPr>
        <w:t xml:space="preserve"> and access to training and education opportunities</w:t>
      </w:r>
      <w:r>
        <w:rPr>
          <w:rFonts w:cs="Arial"/>
          <w:szCs w:val="22"/>
        </w:rPr>
        <w:t>.</w:t>
      </w:r>
    </w:p>
    <w:p w:rsidR="001635F7" w:rsidRPr="008A0C3B" w:rsidRDefault="001635F7" w:rsidP="001635F7">
      <w:pPr>
        <w:pStyle w:val="DHHSbody"/>
        <w:pBdr>
          <w:top w:val="single" w:sz="4" w:space="1" w:color="auto"/>
          <w:left w:val="single" w:sz="4" w:space="4" w:color="auto"/>
          <w:bottom w:val="single" w:sz="4" w:space="1" w:color="auto"/>
          <w:right w:val="single" w:sz="4" w:space="4" w:color="auto"/>
        </w:pBdr>
        <w:ind w:left="1440" w:hanging="1440"/>
        <w:rPr>
          <w:rFonts w:cs="Arial"/>
          <w:b/>
          <w:bCs/>
          <w:szCs w:val="22"/>
        </w:rPr>
      </w:pPr>
      <w:r w:rsidRPr="008A0C3B">
        <w:rPr>
          <w:rFonts w:eastAsia="Times New Roman"/>
          <w:b/>
          <w:color w:val="87189D"/>
          <w:sz w:val="60"/>
          <w:szCs w:val="60"/>
        </w:rPr>
        <w:t>Q5:</w:t>
      </w:r>
      <w:r>
        <w:rPr>
          <w:rFonts w:ascii="Calibri" w:hAnsi="Calibri" w:cs="Calibri"/>
          <w:b/>
          <w:bCs/>
          <w:szCs w:val="22"/>
        </w:rPr>
        <w:tab/>
      </w:r>
      <w:r w:rsidRPr="008A0C3B">
        <w:rPr>
          <w:rFonts w:cs="Arial"/>
          <w:b/>
          <w:bCs/>
          <w:szCs w:val="22"/>
        </w:rPr>
        <w:t xml:space="preserve">What else should be included in Gender Equality Action Plans to support demonstrating compliance to the principles? </w:t>
      </w:r>
    </w:p>
    <w:p w:rsidR="001635F7" w:rsidRPr="00A51F09" w:rsidRDefault="001635F7" w:rsidP="000A4D6A">
      <w:pPr>
        <w:pStyle w:val="DHHSbody"/>
        <w:pBdr>
          <w:top w:val="single" w:sz="4" w:space="1" w:color="auto"/>
          <w:left w:val="single" w:sz="4" w:space="4" w:color="auto"/>
          <w:bottom w:val="single" w:sz="4" w:space="1" w:color="auto"/>
          <w:right w:val="single" w:sz="4" w:space="4" w:color="auto"/>
        </w:pBdr>
        <w:ind w:left="1440" w:hanging="1440"/>
        <w:rPr>
          <w:rFonts w:eastAsia="Times New Roman"/>
          <w:b/>
          <w:color w:val="87189D"/>
          <w:szCs w:val="22"/>
        </w:rPr>
      </w:pPr>
      <w:r w:rsidRPr="008A0C3B">
        <w:rPr>
          <w:rFonts w:eastAsia="Times New Roman"/>
          <w:b/>
          <w:color w:val="87189D"/>
          <w:sz w:val="60"/>
          <w:szCs w:val="60"/>
        </w:rPr>
        <w:t>Q6:</w:t>
      </w:r>
      <w:r w:rsidR="000A4D6A">
        <w:rPr>
          <w:rFonts w:eastAsia="Times New Roman"/>
          <w:b/>
          <w:color w:val="000000"/>
          <w:szCs w:val="22"/>
        </w:rPr>
        <w:tab/>
      </w:r>
      <w:r w:rsidRPr="001635F7">
        <w:rPr>
          <w:rFonts w:eastAsia="Times New Roman"/>
          <w:b/>
          <w:color w:val="000000"/>
          <w:szCs w:val="22"/>
        </w:rPr>
        <w:t>What preparation, guidance materials or training is needed to support organisations to develop Gender Equality Action Plans?</w:t>
      </w:r>
      <w:r>
        <w:br w:type="page"/>
      </w:r>
    </w:p>
    <w:p w:rsidR="001635F7" w:rsidRDefault="001635F7" w:rsidP="001635F7">
      <w:pPr>
        <w:pStyle w:val="Heading1"/>
        <w:spacing w:before="0"/>
      </w:pPr>
      <w:bookmarkStart w:id="27" w:name="_Toc522544277"/>
      <w:bookmarkStart w:id="28" w:name="_Toc522551291"/>
      <w:r>
        <w:t>Setting indicators and targets</w:t>
      </w:r>
      <w:bookmarkEnd w:id="27"/>
      <w:bookmarkEnd w:id="28"/>
    </w:p>
    <w:p w:rsidR="001635F7" w:rsidRPr="000D157E" w:rsidRDefault="001635F7" w:rsidP="001635F7">
      <w:pPr>
        <w:pStyle w:val="Heading2"/>
      </w:pPr>
      <w:bookmarkStart w:id="29" w:name="_Toc522544278"/>
      <w:bookmarkStart w:id="30" w:name="_Hlk514921623"/>
      <w:r>
        <w:t>What is being proposed</w:t>
      </w:r>
      <w:bookmarkEnd w:id="29"/>
    </w:p>
    <w:bookmarkEnd w:id="30"/>
    <w:p w:rsidR="001635F7" w:rsidRDefault="001635F7" w:rsidP="001635F7">
      <w:pPr>
        <w:pStyle w:val="DHHSbody"/>
        <w:rPr>
          <w:szCs w:val="22"/>
        </w:rPr>
      </w:pPr>
      <w:r>
        <w:rPr>
          <w:szCs w:val="22"/>
        </w:rPr>
        <w:t xml:space="preserve">The Gender Equality Bill proposes that key indicators and </w:t>
      </w:r>
      <w:r w:rsidRPr="009A7367">
        <w:rPr>
          <w:szCs w:val="22"/>
        </w:rPr>
        <w:t>targets will be prescribed in regulation</w:t>
      </w:r>
      <w:r>
        <w:rPr>
          <w:szCs w:val="22"/>
        </w:rPr>
        <w:t xml:space="preserve">s, with all public sector organisations required to </w:t>
      </w:r>
      <w:r w:rsidRPr="009A7367">
        <w:rPr>
          <w:szCs w:val="22"/>
        </w:rPr>
        <w:t>report on progress towards achieving targets in annual report</w:t>
      </w:r>
      <w:r>
        <w:rPr>
          <w:szCs w:val="22"/>
        </w:rPr>
        <w:t>s</w:t>
      </w:r>
      <w:r w:rsidRPr="009A7367">
        <w:rPr>
          <w:szCs w:val="22"/>
        </w:rPr>
        <w:t>.</w:t>
      </w:r>
    </w:p>
    <w:p w:rsidR="001635F7" w:rsidRDefault="001635F7" w:rsidP="001635F7">
      <w:pPr>
        <w:pStyle w:val="DHHSbody"/>
        <w:rPr>
          <w:szCs w:val="22"/>
        </w:rPr>
      </w:pPr>
      <w:r>
        <w:rPr>
          <w:szCs w:val="22"/>
        </w:rPr>
        <w:t xml:space="preserve">Drawing on targets set in </w:t>
      </w:r>
      <w:r w:rsidRPr="00017EED">
        <w:rPr>
          <w:i/>
          <w:szCs w:val="22"/>
        </w:rPr>
        <w:t>Safe and Strong</w:t>
      </w:r>
      <w:r>
        <w:rPr>
          <w:szCs w:val="22"/>
        </w:rPr>
        <w:t>, targets prescribed by regulations could include</w:t>
      </w:r>
      <w:r w:rsidRPr="00DE28F2">
        <w:rPr>
          <w:szCs w:val="22"/>
        </w:rPr>
        <w:t>:</w:t>
      </w:r>
    </w:p>
    <w:p w:rsidR="001635F7" w:rsidRPr="0040366A" w:rsidRDefault="001635F7" w:rsidP="001635F7">
      <w:pPr>
        <w:pStyle w:val="DHHSbullet1"/>
        <w:rPr>
          <w:szCs w:val="22"/>
        </w:rPr>
      </w:pPr>
      <w:r w:rsidRPr="0040366A">
        <w:rPr>
          <w:szCs w:val="22"/>
        </w:rPr>
        <w:t>Victorian Public Service – appoint 50 per cent women executives</w:t>
      </w:r>
    </w:p>
    <w:p w:rsidR="001635F7" w:rsidRPr="00D14217" w:rsidRDefault="001635F7" w:rsidP="001635F7">
      <w:pPr>
        <w:pStyle w:val="DHHSbullet1lastline"/>
      </w:pPr>
      <w:r w:rsidRPr="00D14217">
        <w:t>Paid public boards – 50/50 representation of women in new appointments</w:t>
      </w:r>
    </w:p>
    <w:p w:rsidR="001635F7" w:rsidRDefault="001635F7" w:rsidP="001635F7">
      <w:pPr>
        <w:pStyle w:val="DHHSbody"/>
        <w:rPr>
          <w:szCs w:val="22"/>
        </w:rPr>
      </w:pPr>
      <w:r>
        <w:rPr>
          <w:szCs w:val="22"/>
        </w:rPr>
        <w:t xml:space="preserve">Public sector organisations </w:t>
      </w:r>
      <w:r w:rsidRPr="00135BB1">
        <w:rPr>
          <w:szCs w:val="22"/>
        </w:rPr>
        <w:t xml:space="preserve">would only be required to comply with targets that </w:t>
      </w:r>
      <w:r>
        <w:rPr>
          <w:szCs w:val="22"/>
        </w:rPr>
        <w:t>the Victorian g</w:t>
      </w:r>
      <w:r w:rsidRPr="00135BB1">
        <w:rPr>
          <w:szCs w:val="22"/>
        </w:rPr>
        <w:t xml:space="preserve">overnment considers are appropriate and relevant for </w:t>
      </w:r>
      <w:r>
        <w:rPr>
          <w:szCs w:val="22"/>
        </w:rPr>
        <w:t xml:space="preserve">those organisations. This will provide a degree of flexibility that recognises the unique nature of some public sector organisations. </w:t>
      </w:r>
    </w:p>
    <w:p w:rsidR="001635F7" w:rsidRDefault="001635F7" w:rsidP="001635F7">
      <w:pPr>
        <w:pStyle w:val="DHHSbody"/>
        <w:rPr>
          <w:szCs w:val="22"/>
        </w:rPr>
      </w:pPr>
      <w:r>
        <w:rPr>
          <w:szCs w:val="22"/>
        </w:rPr>
        <w:t>I</w:t>
      </w:r>
      <w:r w:rsidRPr="00135BB1">
        <w:rPr>
          <w:szCs w:val="22"/>
        </w:rPr>
        <w:t xml:space="preserve">mplementation </w:t>
      </w:r>
      <w:r>
        <w:rPr>
          <w:szCs w:val="22"/>
        </w:rPr>
        <w:t xml:space="preserve">of these targets will </w:t>
      </w:r>
      <w:r w:rsidRPr="00135BB1">
        <w:rPr>
          <w:szCs w:val="22"/>
        </w:rPr>
        <w:t>be staged</w:t>
      </w:r>
      <w:r>
        <w:rPr>
          <w:szCs w:val="22"/>
        </w:rPr>
        <w:t xml:space="preserve"> over time, and can be adjusted and adapted.</w:t>
      </w:r>
    </w:p>
    <w:p w:rsidR="001635F7" w:rsidRPr="004E5A9B" w:rsidRDefault="001635F7" w:rsidP="001635F7">
      <w:pPr>
        <w:pStyle w:val="Heading2"/>
      </w:pPr>
      <w:bookmarkStart w:id="31" w:name="_Toc522544279"/>
      <w:r>
        <w:t>Rationale</w:t>
      </w:r>
      <w:bookmarkEnd w:id="31"/>
    </w:p>
    <w:p w:rsidR="001635F7" w:rsidRPr="00735BF5" w:rsidRDefault="001635F7" w:rsidP="001635F7">
      <w:pPr>
        <w:pStyle w:val="DHHSbody"/>
        <w:rPr>
          <w:szCs w:val="22"/>
        </w:rPr>
      </w:pPr>
      <w:r>
        <w:rPr>
          <w:szCs w:val="22"/>
        </w:rPr>
        <w:t xml:space="preserve">While the setting of targets continues to be a topic on which there are a wide range of views, there is a growing body of international evidence demonstrating the effectiveness of legislating targets. Furthermore, the inclusion of targets in regulation aligns with comparable countries, including </w:t>
      </w:r>
      <w:r w:rsidRPr="00735BF5">
        <w:rPr>
          <w:szCs w:val="22"/>
        </w:rPr>
        <w:t xml:space="preserve">Denmark, Austria, </w:t>
      </w:r>
      <w:r>
        <w:rPr>
          <w:szCs w:val="22"/>
        </w:rPr>
        <w:t xml:space="preserve">the </w:t>
      </w:r>
      <w:r w:rsidRPr="00735BF5">
        <w:rPr>
          <w:szCs w:val="22"/>
        </w:rPr>
        <w:t>United Kingdom, Norway, France and Italy</w:t>
      </w:r>
      <w:r>
        <w:rPr>
          <w:szCs w:val="22"/>
        </w:rPr>
        <w:t>.</w:t>
      </w:r>
      <w:r w:rsidRPr="00735BF5">
        <w:rPr>
          <w:szCs w:val="22"/>
        </w:rPr>
        <w:t xml:space="preserve"> </w:t>
      </w:r>
    </w:p>
    <w:p w:rsidR="001635F7" w:rsidRPr="00735BF5" w:rsidRDefault="001635F7" w:rsidP="001635F7">
      <w:pPr>
        <w:pStyle w:val="DHHSbody"/>
        <w:rPr>
          <w:szCs w:val="22"/>
        </w:rPr>
      </w:pPr>
      <w:r w:rsidRPr="00735BF5">
        <w:rPr>
          <w:szCs w:val="22"/>
        </w:rPr>
        <w:t xml:space="preserve">In France, women’s representation on </w:t>
      </w:r>
      <w:r>
        <w:rPr>
          <w:szCs w:val="22"/>
        </w:rPr>
        <w:t>public sector</w:t>
      </w:r>
      <w:r w:rsidRPr="00735BF5">
        <w:rPr>
          <w:szCs w:val="22"/>
        </w:rPr>
        <w:t xml:space="preserve"> boards </w:t>
      </w:r>
      <w:r>
        <w:rPr>
          <w:szCs w:val="22"/>
        </w:rPr>
        <w:t>increased</w:t>
      </w:r>
      <w:r w:rsidRPr="00735BF5">
        <w:rPr>
          <w:szCs w:val="22"/>
        </w:rPr>
        <w:t xml:space="preserve"> from 30 per cent in 2004 to 44 per cent in 2010 after the introduction of quotas (for all listed companies and non-listed companies with over 500 </w:t>
      </w:r>
      <w:r>
        <w:rPr>
          <w:szCs w:val="22"/>
        </w:rPr>
        <w:t>employees</w:t>
      </w:r>
      <w:r w:rsidRPr="00735BF5">
        <w:rPr>
          <w:szCs w:val="22"/>
        </w:rPr>
        <w:t xml:space="preserve">. </w:t>
      </w:r>
      <w:r>
        <w:rPr>
          <w:szCs w:val="22"/>
        </w:rPr>
        <w:t>By comparison, the United States has not introduced targets and in 2015, women make up 19 per cent of all board members of S&amp;P 500 companies.</w:t>
      </w:r>
    </w:p>
    <w:p w:rsidR="001635F7" w:rsidRPr="00735BF5" w:rsidRDefault="001635F7" w:rsidP="001635F7">
      <w:pPr>
        <w:pStyle w:val="DHHSbody"/>
        <w:rPr>
          <w:szCs w:val="22"/>
        </w:rPr>
      </w:pPr>
      <w:r>
        <w:rPr>
          <w:szCs w:val="22"/>
        </w:rPr>
        <w:t>I</w:t>
      </w:r>
      <w:r w:rsidRPr="00735BF5">
        <w:rPr>
          <w:szCs w:val="22"/>
        </w:rPr>
        <w:t>n Australian business</w:t>
      </w:r>
      <w:r>
        <w:rPr>
          <w:szCs w:val="22"/>
        </w:rPr>
        <w:t>es</w:t>
      </w:r>
      <w:r w:rsidRPr="00735BF5">
        <w:rPr>
          <w:szCs w:val="22"/>
        </w:rPr>
        <w:t>, new board appointments for women increased from five per cent in 2009 to 27 per cent in 2010 following the Australian Stock Exchange’s requirement for annual report disclosure of company objectives and progress towards</w:t>
      </w:r>
      <w:r>
        <w:rPr>
          <w:szCs w:val="22"/>
        </w:rPr>
        <w:t xml:space="preserve"> gender equality</w:t>
      </w:r>
      <w:r w:rsidRPr="00735BF5">
        <w:rPr>
          <w:szCs w:val="22"/>
        </w:rPr>
        <w:t xml:space="preserve">. </w:t>
      </w:r>
    </w:p>
    <w:p w:rsidR="001635F7" w:rsidRPr="00B06E9C" w:rsidRDefault="001635F7" w:rsidP="001635F7">
      <w:pPr>
        <w:pStyle w:val="DHHSbody"/>
      </w:pPr>
    </w:p>
    <w:p w:rsidR="001635F7" w:rsidRPr="000A4D6A" w:rsidRDefault="001635F7" w:rsidP="000A4D6A">
      <w:pPr>
        <w:pStyle w:val="DHHSbody"/>
        <w:pBdr>
          <w:top w:val="single" w:sz="4" w:space="1" w:color="auto"/>
          <w:left w:val="single" w:sz="4" w:space="4" w:color="auto"/>
          <w:bottom w:val="single" w:sz="4" w:space="1" w:color="auto"/>
          <w:right w:val="single" w:sz="4" w:space="4" w:color="auto"/>
        </w:pBdr>
        <w:ind w:left="1440" w:hanging="1440"/>
        <w:rPr>
          <w:rFonts w:cs="Arial"/>
          <w:b/>
          <w:bCs/>
          <w:szCs w:val="22"/>
        </w:rPr>
      </w:pPr>
      <w:r w:rsidRPr="00535C6E">
        <w:rPr>
          <w:rFonts w:eastAsia="Times New Roman"/>
          <w:b/>
          <w:color w:val="87189D"/>
          <w:sz w:val="60"/>
          <w:szCs w:val="60"/>
        </w:rPr>
        <w:t>Q</w:t>
      </w:r>
      <w:r>
        <w:rPr>
          <w:rFonts w:eastAsia="Times New Roman"/>
          <w:b/>
          <w:color w:val="87189D"/>
          <w:sz w:val="60"/>
          <w:szCs w:val="60"/>
        </w:rPr>
        <w:t>7</w:t>
      </w:r>
      <w:r w:rsidRPr="00535C6E">
        <w:rPr>
          <w:rFonts w:eastAsia="Times New Roman"/>
          <w:b/>
          <w:color w:val="87189D"/>
          <w:sz w:val="60"/>
          <w:szCs w:val="60"/>
        </w:rPr>
        <w:t>:</w:t>
      </w:r>
      <w:r w:rsidR="000A4D6A">
        <w:tab/>
      </w:r>
      <w:r w:rsidRPr="000A4D6A">
        <w:rPr>
          <w:b/>
          <w:szCs w:val="22"/>
        </w:rPr>
        <w:t>What kinds of public sector targets should be included in the regulations of the Gender Equality Bill?</w:t>
      </w:r>
      <w:r w:rsidRPr="000A4D6A">
        <w:rPr>
          <w:rFonts w:ascii="Calibri" w:hAnsi="Calibri" w:cs="Calibri"/>
          <w:b/>
          <w:bCs/>
          <w:szCs w:val="22"/>
        </w:rPr>
        <w:t xml:space="preserve"> </w:t>
      </w:r>
    </w:p>
    <w:p w:rsidR="001635F7" w:rsidRPr="000A4D6A" w:rsidRDefault="001635F7" w:rsidP="000A4D6A">
      <w:pPr>
        <w:pStyle w:val="DHHSbody"/>
        <w:pBdr>
          <w:top w:val="single" w:sz="4" w:space="1" w:color="auto"/>
          <w:left w:val="single" w:sz="4" w:space="4" w:color="auto"/>
          <w:bottom w:val="single" w:sz="4" w:space="1" w:color="auto"/>
          <w:right w:val="single" w:sz="4" w:space="4" w:color="auto"/>
        </w:pBdr>
        <w:ind w:left="1440" w:hanging="1440"/>
        <w:rPr>
          <w:rFonts w:cs="Arial"/>
          <w:b/>
          <w:bCs/>
          <w:szCs w:val="22"/>
        </w:rPr>
      </w:pPr>
      <w:r w:rsidRPr="000A4D6A">
        <w:rPr>
          <w:rFonts w:eastAsia="Times New Roman"/>
          <w:b/>
          <w:color w:val="87189D"/>
          <w:sz w:val="60"/>
          <w:szCs w:val="60"/>
        </w:rPr>
        <w:t>Q8:</w:t>
      </w:r>
      <w:r w:rsidRPr="000A4D6A">
        <w:rPr>
          <w:rFonts w:ascii="Calibri" w:hAnsi="Calibri" w:cs="Calibri"/>
          <w:b/>
          <w:bCs/>
          <w:szCs w:val="22"/>
        </w:rPr>
        <w:t xml:space="preserve"> </w:t>
      </w:r>
      <w:r w:rsidR="000A4D6A">
        <w:rPr>
          <w:rFonts w:ascii="Calibri" w:hAnsi="Calibri" w:cs="Calibri"/>
          <w:b/>
          <w:bCs/>
          <w:szCs w:val="22"/>
        </w:rPr>
        <w:tab/>
      </w:r>
      <w:r w:rsidRPr="000A4D6A">
        <w:rPr>
          <w:rFonts w:cs="Arial"/>
          <w:b/>
          <w:bCs/>
          <w:szCs w:val="22"/>
        </w:rPr>
        <w:t>What is needed to ensure representation of women from diverse backgrounds?</w:t>
      </w:r>
    </w:p>
    <w:p w:rsidR="001635F7" w:rsidRDefault="001635F7" w:rsidP="001635F7">
      <w:pPr>
        <w:rPr>
          <w:rFonts w:ascii="Arial" w:hAnsi="Arial"/>
          <w:bCs/>
          <w:color w:val="87189D"/>
          <w:sz w:val="44"/>
          <w:szCs w:val="44"/>
        </w:rPr>
      </w:pPr>
      <w:r>
        <w:br w:type="page"/>
      </w:r>
    </w:p>
    <w:p w:rsidR="001635F7" w:rsidRDefault="001635F7" w:rsidP="001635F7">
      <w:pPr>
        <w:pStyle w:val="Heading1"/>
      </w:pPr>
      <w:bookmarkStart w:id="32" w:name="_Toc522544280"/>
      <w:bookmarkStart w:id="33" w:name="_Toc522551292"/>
      <w:r>
        <w:t>Reporting against key indicators and targets</w:t>
      </w:r>
      <w:bookmarkEnd w:id="32"/>
      <w:bookmarkEnd w:id="33"/>
    </w:p>
    <w:p w:rsidR="001635F7" w:rsidRPr="000D157E" w:rsidRDefault="001635F7" w:rsidP="001635F7">
      <w:pPr>
        <w:pStyle w:val="Heading2"/>
      </w:pPr>
      <w:bookmarkStart w:id="34" w:name="_Toc522544281"/>
      <w:r>
        <w:t>What is being proposed</w:t>
      </w:r>
      <w:bookmarkEnd w:id="34"/>
    </w:p>
    <w:p w:rsidR="001635F7" w:rsidRDefault="001635F7" w:rsidP="001635F7">
      <w:pPr>
        <w:pStyle w:val="DHHSbody"/>
        <w:rPr>
          <w:szCs w:val="22"/>
        </w:rPr>
      </w:pPr>
      <w:r>
        <w:rPr>
          <w:szCs w:val="22"/>
        </w:rPr>
        <w:t xml:space="preserve">In the proposed Gender Equality Bill, public sector organisations </w:t>
      </w:r>
      <w:r w:rsidRPr="00E70F49">
        <w:rPr>
          <w:szCs w:val="22"/>
        </w:rPr>
        <w:t xml:space="preserve">will be </w:t>
      </w:r>
      <w:r w:rsidRPr="00EA6F03">
        <w:rPr>
          <w:szCs w:val="22"/>
        </w:rPr>
        <w:t xml:space="preserve">required to report on progress towards achieving targets </w:t>
      </w:r>
      <w:r>
        <w:rPr>
          <w:szCs w:val="22"/>
        </w:rPr>
        <w:t>and against key indicators of workplace gender equality, as well as progress on the implementation of Gender Equality Action Plans.</w:t>
      </w:r>
    </w:p>
    <w:p w:rsidR="001635F7" w:rsidRDefault="001635F7" w:rsidP="001635F7">
      <w:pPr>
        <w:pStyle w:val="DHHSbody"/>
        <w:rPr>
          <w:szCs w:val="22"/>
        </w:rPr>
      </w:pPr>
      <w:r>
        <w:rPr>
          <w:szCs w:val="22"/>
        </w:rPr>
        <w:t>In terms of implementation, organisations may be able to incorporate reporting into existing processes to minimise regulatory reporting burdens. In many public sector organisations required data is available through existing reporting systems; the impact of gender equality reporting may involve undertaking additional analysis on targets, as opposed to additional data gathering.</w:t>
      </w:r>
    </w:p>
    <w:p w:rsidR="001635F7" w:rsidRPr="004E5A9B" w:rsidRDefault="001635F7" w:rsidP="001635F7">
      <w:pPr>
        <w:pStyle w:val="Heading2"/>
      </w:pPr>
      <w:bookmarkStart w:id="35" w:name="_Toc522544282"/>
      <w:r>
        <w:t>Rationale</w:t>
      </w:r>
      <w:bookmarkEnd w:id="35"/>
    </w:p>
    <w:p w:rsidR="001635F7" w:rsidRPr="008960D6" w:rsidRDefault="001635F7" w:rsidP="001635F7">
      <w:pPr>
        <w:pStyle w:val="DHHSbody"/>
        <w:rPr>
          <w:szCs w:val="22"/>
        </w:rPr>
      </w:pPr>
      <w:r>
        <w:rPr>
          <w:szCs w:val="22"/>
        </w:rPr>
        <w:t>Evidence</w:t>
      </w:r>
      <w:r w:rsidRPr="008960D6">
        <w:rPr>
          <w:szCs w:val="22"/>
        </w:rPr>
        <w:t xml:space="preserve"> demonstrates that requiring organisational reporting against key measures ensures:</w:t>
      </w:r>
    </w:p>
    <w:p w:rsidR="001635F7" w:rsidRDefault="001635F7" w:rsidP="001635F7">
      <w:pPr>
        <w:pStyle w:val="DHHSbullet1"/>
        <w:rPr>
          <w:szCs w:val="22"/>
        </w:rPr>
      </w:pPr>
      <w:r>
        <w:rPr>
          <w:szCs w:val="22"/>
        </w:rPr>
        <w:t>t</w:t>
      </w:r>
      <w:r w:rsidRPr="008960D6">
        <w:rPr>
          <w:szCs w:val="22"/>
        </w:rPr>
        <w:t xml:space="preserve">here is consistent evidence </w:t>
      </w:r>
      <w:r>
        <w:rPr>
          <w:szCs w:val="22"/>
        </w:rPr>
        <w:t>demonstrating</w:t>
      </w:r>
      <w:r w:rsidRPr="008960D6">
        <w:rPr>
          <w:szCs w:val="22"/>
        </w:rPr>
        <w:t xml:space="preserve"> organisations</w:t>
      </w:r>
      <w:r>
        <w:rPr>
          <w:szCs w:val="22"/>
        </w:rPr>
        <w:t>’</w:t>
      </w:r>
      <w:r w:rsidRPr="008960D6">
        <w:rPr>
          <w:szCs w:val="22"/>
        </w:rPr>
        <w:t xml:space="preserve"> commitment to</w:t>
      </w:r>
      <w:r>
        <w:rPr>
          <w:szCs w:val="22"/>
        </w:rPr>
        <w:t xml:space="preserve"> achieving </w:t>
      </w:r>
      <w:r w:rsidRPr="008960D6">
        <w:rPr>
          <w:szCs w:val="22"/>
        </w:rPr>
        <w:t>gender</w:t>
      </w:r>
      <w:r>
        <w:rPr>
          <w:szCs w:val="22"/>
        </w:rPr>
        <w:t xml:space="preserve"> </w:t>
      </w:r>
      <w:r w:rsidRPr="008960D6">
        <w:rPr>
          <w:szCs w:val="22"/>
        </w:rPr>
        <w:t>equality</w:t>
      </w:r>
    </w:p>
    <w:p w:rsidR="001635F7" w:rsidRPr="008960D6" w:rsidRDefault="001635F7" w:rsidP="001635F7">
      <w:pPr>
        <w:pStyle w:val="DHHSbullet1"/>
        <w:rPr>
          <w:szCs w:val="22"/>
        </w:rPr>
      </w:pPr>
      <w:r w:rsidRPr="008960D6">
        <w:rPr>
          <w:szCs w:val="22"/>
        </w:rPr>
        <w:t xml:space="preserve">identification of practices that are effective at creating substantive change </w:t>
      </w:r>
    </w:p>
    <w:p w:rsidR="001635F7" w:rsidRPr="008960D6" w:rsidRDefault="001635F7" w:rsidP="001635F7">
      <w:pPr>
        <w:pStyle w:val="DHHSbullet1"/>
        <w:rPr>
          <w:szCs w:val="22"/>
        </w:rPr>
      </w:pPr>
      <w:r w:rsidRPr="008960D6">
        <w:rPr>
          <w:szCs w:val="22"/>
        </w:rPr>
        <w:t>organisations maintain a long-term and consistent focus on improving business practices that support increased gender equality</w:t>
      </w:r>
    </w:p>
    <w:p w:rsidR="001635F7" w:rsidRDefault="001635F7" w:rsidP="001635F7">
      <w:pPr>
        <w:pStyle w:val="DHHSbullet1"/>
        <w:spacing w:after="120"/>
        <w:rPr>
          <w:szCs w:val="22"/>
        </w:rPr>
      </w:pPr>
      <w:r w:rsidRPr="008960D6">
        <w:rPr>
          <w:szCs w:val="22"/>
        </w:rPr>
        <w:t>government can effectively identify where targeted support may be required as well as the nature of support needed</w:t>
      </w:r>
      <w:r>
        <w:rPr>
          <w:szCs w:val="22"/>
        </w:rPr>
        <w:t>.</w:t>
      </w:r>
    </w:p>
    <w:p w:rsidR="001635F7" w:rsidRDefault="001635F7" w:rsidP="001635F7">
      <w:pPr>
        <w:pStyle w:val="DHHSbody"/>
        <w:rPr>
          <w:szCs w:val="22"/>
        </w:rPr>
      </w:pPr>
      <w:r>
        <w:rPr>
          <w:szCs w:val="22"/>
        </w:rPr>
        <w:t xml:space="preserve">Internationally, reporting on targets is an approach taken by comparable OECD jurisdictions. For example, in Denmark, </w:t>
      </w:r>
      <w:r w:rsidRPr="00554737">
        <w:rPr>
          <w:szCs w:val="22"/>
        </w:rPr>
        <w:t>gender equality laws set out the requirement for government institutions of more than 50 employees to report every two years on gender equality policy and the gender distribution of occupational categories.</w:t>
      </w:r>
    </w:p>
    <w:p w:rsidR="001635F7" w:rsidRDefault="001635F7" w:rsidP="001635F7">
      <w:pPr>
        <w:pStyle w:val="DHHSbody"/>
        <w:rPr>
          <w:szCs w:val="22"/>
        </w:rPr>
      </w:pPr>
      <w:r>
        <w:rPr>
          <w:szCs w:val="22"/>
        </w:rPr>
        <w:t xml:space="preserve">Most </w:t>
      </w:r>
      <w:r w:rsidRPr="00554737">
        <w:rPr>
          <w:szCs w:val="22"/>
        </w:rPr>
        <w:t xml:space="preserve">stakeholders </w:t>
      </w:r>
      <w:r>
        <w:rPr>
          <w:szCs w:val="22"/>
        </w:rPr>
        <w:t xml:space="preserve">consulted in the development of the Gender Equality Bill also </w:t>
      </w:r>
      <w:r w:rsidRPr="00554737">
        <w:rPr>
          <w:szCs w:val="22"/>
        </w:rPr>
        <w:t xml:space="preserve">saw measurement of and reporting against key indicators as a critical component of any new regulatory framework for promoting gender equality, both as a means to gather evidence of whether Victoria’s gender equality targets were being met and to identify </w:t>
      </w:r>
      <w:r>
        <w:rPr>
          <w:szCs w:val="22"/>
        </w:rPr>
        <w:t>organisations or sectors</w:t>
      </w:r>
      <w:r w:rsidRPr="00554737">
        <w:rPr>
          <w:szCs w:val="22"/>
        </w:rPr>
        <w:t xml:space="preserve"> that may need further support.</w:t>
      </w:r>
      <w:r>
        <w:rPr>
          <w:szCs w:val="22"/>
        </w:rPr>
        <w:t xml:space="preserve"> </w:t>
      </w:r>
    </w:p>
    <w:p w:rsidR="001635F7" w:rsidRPr="00A545E4" w:rsidRDefault="001635F7" w:rsidP="001635F7">
      <w:pPr>
        <w:pStyle w:val="DHHSbullet1"/>
        <w:numPr>
          <w:ilvl w:val="0"/>
          <w:numId w:val="0"/>
        </w:numPr>
        <w:spacing w:after="120"/>
        <w:ind w:left="284"/>
        <w:rPr>
          <w:szCs w:val="22"/>
        </w:rPr>
      </w:pPr>
    </w:p>
    <w:p w:rsidR="001635F7" w:rsidRDefault="001635F7" w:rsidP="000A4D6A">
      <w:pPr>
        <w:pStyle w:val="DHHSbody"/>
        <w:pBdr>
          <w:top w:val="single" w:sz="4" w:space="1" w:color="auto"/>
          <w:left w:val="single" w:sz="4" w:space="4" w:color="auto"/>
          <w:bottom w:val="single" w:sz="4" w:space="0" w:color="auto"/>
          <w:right w:val="single" w:sz="4" w:space="4" w:color="auto"/>
        </w:pBdr>
        <w:ind w:left="1440" w:hanging="1440"/>
        <w:rPr>
          <w:rFonts w:cs="Arial"/>
          <w:bCs/>
          <w:szCs w:val="22"/>
        </w:rPr>
      </w:pPr>
      <w:r w:rsidRPr="00535C6E">
        <w:rPr>
          <w:rFonts w:eastAsia="Times New Roman"/>
          <w:b/>
          <w:color w:val="87189D"/>
          <w:sz w:val="60"/>
          <w:szCs w:val="60"/>
        </w:rPr>
        <w:t>Q</w:t>
      </w:r>
      <w:r>
        <w:rPr>
          <w:rFonts w:eastAsia="Times New Roman"/>
          <w:b/>
          <w:color w:val="87189D"/>
          <w:sz w:val="60"/>
          <w:szCs w:val="60"/>
        </w:rPr>
        <w:t>9</w:t>
      </w:r>
      <w:r w:rsidRPr="00535C6E">
        <w:rPr>
          <w:rFonts w:eastAsia="Times New Roman"/>
          <w:b/>
          <w:color w:val="87189D"/>
          <w:sz w:val="60"/>
          <w:szCs w:val="60"/>
        </w:rPr>
        <w:t>:</w:t>
      </w:r>
      <w:r>
        <w:rPr>
          <w:rFonts w:ascii="Calibri" w:hAnsi="Calibri" w:cs="Calibri"/>
          <w:b/>
          <w:bCs/>
          <w:szCs w:val="22"/>
        </w:rPr>
        <w:t xml:space="preserve"> </w:t>
      </w:r>
      <w:r w:rsidR="000A4D6A">
        <w:rPr>
          <w:rFonts w:ascii="Calibri" w:hAnsi="Calibri" w:cs="Calibri"/>
          <w:b/>
          <w:bCs/>
          <w:szCs w:val="22"/>
        </w:rPr>
        <w:tab/>
      </w:r>
      <w:r w:rsidRPr="000A4D6A">
        <w:rPr>
          <w:rFonts w:cs="Arial"/>
          <w:b/>
          <w:bCs/>
          <w:szCs w:val="22"/>
        </w:rPr>
        <w:t>What frequency or volume of reporting would strike a balance between transparency and accountability, whilst minimising regulatory burden?</w:t>
      </w:r>
    </w:p>
    <w:p w:rsidR="000A4D6A" w:rsidRDefault="000A4D6A">
      <w:pPr>
        <w:rPr>
          <w:rFonts w:ascii="Arial" w:hAnsi="Arial"/>
          <w:bCs/>
          <w:color w:val="87189D"/>
          <w:sz w:val="44"/>
          <w:szCs w:val="44"/>
        </w:rPr>
      </w:pPr>
      <w:bookmarkStart w:id="36" w:name="_Toc522544283"/>
      <w:bookmarkStart w:id="37" w:name="_Hlk514769718"/>
      <w:r>
        <w:br w:type="page"/>
      </w:r>
    </w:p>
    <w:p w:rsidR="001635F7" w:rsidRPr="0055507A" w:rsidRDefault="001635F7" w:rsidP="001635F7">
      <w:pPr>
        <w:pStyle w:val="Heading1"/>
      </w:pPr>
      <w:bookmarkStart w:id="38" w:name="_Toc522551293"/>
      <w:r>
        <w:t xml:space="preserve">Gender-ethical </w:t>
      </w:r>
      <w:r w:rsidRPr="0055507A">
        <w:t>procurement guidelines</w:t>
      </w:r>
      <w:bookmarkEnd w:id="36"/>
      <w:bookmarkEnd w:id="38"/>
    </w:p>
    <w:p w:rsidR="001635F7" w:rsidRDefault="001635F7" w:rsidP="001635F7">
      <w:pPr>
        <w:pStyle w:val="Heading2"/>
      </w:pPr>
      <w:bookmarkStart w:id="39" w:name="_Toc522544284"/>
      <w:bookmarkEnd w:id="37"/>
      <w:r>
        <w:t>Victoria’s Social Procurement Framework</w:t>
      </w:r>
      <w:bookmarkEnd w:id="39"/>
    </w:p>
    <w:p w:rsidR="001635F7" w:rsidRPr="000D735E" w:rsidRDefault="001635F7" w:rsidP="001635F7">
      <w:pPr>
        <w:pStyle w:val="DHHSbody"/>
        <w:rPr>
          <w:szCs w:val="22"/>
        </w:rPr>
      </w:pPr>
      <w:r w:rsidRPr="0055507A">
        <w:t>Victoria’s Social Procurement Framework (SPF) was launched on 26 April 2018 and will apply to all Government departments and agencies from 1 September 2018. It enables Government to leverage its significant buying power to achieve social and sustainable outcomes through the procurement of goods, services</w:t>
      </w:r>
      <w:r>
        <w:t xml:space="preserve"> and construction. The Social Procurement Framework aligns with other Victorian Governments policies, including </w:t>
      </w:r>
      <w:r w:rsidRPr="00E1757F">
        <w:rPr>
          <w:i/>
        </w:rPr>
        <w:t>Safe and Strong</w:t>
      </w:r>
      <w:r>
        <w:t xml:space="preserve">, and provides a flexible and scalable approach for Government buyers. It includes recommended actions for government buyers to drive supplier behaviour that addresses gender inequality and prevents </w:t>
      </w:r>
      <w:r w:rsidRPr="000D735E">
        <w:rPr>
          <w:szCs w:val="22"/>
        </w:rPr>
        <w:t>family violence, with a focus on:</w:t>
      </w:r>
    </w:p>
    <w:p w:rsidR="001635F7" w:rsidRPr="000D735E" w:rsidRDefault="001635F7" w:rsidP="001635F7">
      <w:pPr>
        <w:pStyle w:val="DHHSbullet1"/>
        <w:rPr>
          <w:szCs w:val="22"/>
        </w:rPr>
      </w:pPr>
      <w:r w:rsidRPr="000D735E">
        <w:rPr>
          <w:szCs w:val="22"/>
        </w:rPr>
        <w:t>the adoption of family violence leave; and</w:t>
      </w:r>
    </w:p>
    <w:p w:rsidR="001635F7" w:rsidRPr="000D735E" w:rsidRDefault="001635F7" w:rsidP="001635F7">
      <w:pPr>
        <w:pStyle w:val="DHHSbullet1lastline"/>
        <w:rPr>
          <w:szCs w:val="22"/>
        </w:rPr>
      </w:pPr>
      <w:r w:rsidRPr="000D735E">
        <w:rPr>
          <w:szCs w:val="22"/>
        </w:rPr>
        <w:t>initiatives that promote and improve gender equality within suppliers of all sizes to the Victoria Government</w:t>
      </w:r>
      <w:r>
        <w:rPr>
          <w:szCs w:val="22"/>
        </w:rPr>
        <w:t>.</w:t>
      </w:r>
    </w:p>
    <w:p w:rsidR="001635F7" w:rsidRPr="00175AA9" w:rsidRDefault="001635F7" w:rsidP="00175AA9">
      <w:pPr>
        <w:pStyle w:val="DHHSbody"/>
      </w:pPr>
      <w:r w:rsidRPr="00175AA9">
        <w:t>For more information, visit</w:t>
      </w:r>
      <w:r w:rsidR="00175AA9" w:rsidRPr="00175AA9">
        <w:t xml:space="preserve"> </w:t>
      </w:r>
      <w:hyperlink r:id="rId16" w:history="1">
        <w:r w:rsidR="00175AA9" w:rsidRPr="00175AA9">
          <w:rPr>
            <w:rStyle w:val="Hyperlink"/>
          </w:rPr>
          <w:t>Social Procurement Framework</w:t>
        </w:r>
      </w:hyperlink>
      <w:r w:rsidR="00175AA9" w:rsidRPr="00175AA9">
        <w:t xml:space="preserve"> &lt;</w:t>
      </w:r>
      <w:r w:rsidRPr="00175AA9">
        <w:t>http://www.procurement.vic.gov.au/Buyers/Social-Procurement-Framework</w:t>
      </w:r>
      <w:r w:rsidR="00175AA9" w:rsidRPr="00175AA9">
        <w:rPr>
          <w:rStyle w:val="Hyperlink"/>
          <w:color w:val="auto"/>
          <w:u w:val="none"/>
        </w:rPr>
        <w:t>&gt;</w:t>
      </w:r>
      <w:r w:rsidRPr="00175AA9">
        <w:t xml:space="preserve">. </w:t>
      </w:r>
    </w:p>
    <w:p w:rsidR="001635F7" w:rsidRPr="0055507A" w:rsidRDefault="001635F7" w:rsidP="001635F7">
      <w:pPr>
        <w:pStyle w:val="Heading2"/>
      </w:pPr>
      <w:bookmarkStart w:id="40" w:name="_Toc522544285"/>
      <w:r w:rsidRPr="0055507A">
        <w:t>What is being proposed</w:t>
      </w:r>
      <w:bookmarkEnd w:id="40"/>
    </w:p>
    <w:p w:rsidR="001635F7" w:rsidRPr="0055507A" w:rsidRDefault="001635F7" w:rsidP="001635F7">
      <w:pPr>
        <w:pStyle w:val="DHHSbody"/>
        <w:rPr>
          <w:szCs w:val="22"/>
        </w:rPr>
      </w:pPr>
      <w:r w:rsidRPr="0055507A">
        <w:rPr>
          <w:szCs w:val="22"/>
        </w:rPr>
        <w:t>Gender ethical procurement means committing to source goods and services from suppliers who meet certain gender equality criteria. For example, in Switzerland, the Federal Act on Public Procurement requires that procurement contracts include equal pay provisions. Where there is a discrepancy of more than five per cent, the supplier must explain the causes and correct the variance.</w:t>
      </w:r>
    </w:p>
    <w:p w:rsidR="001635F7" w:rsidRPr="0055507A" w:rsidRDefault="001635F7" w:rsidP="001635F7">
      <w:pPr>
        <w:pStyle w:val="DHHSbody"/>
        <w:rPr>
          <w:szCs w:val="22"/>
        </w:rPr>
      </w:pPr>
      <w:r>
        <w:rPr>
          <w:szCs w:val="22"/>
        </w:rPr>
        <w:t>The Gender Equality Bill</w:t>
      </w:r>
      <w:r w:rsidRPr="0055507A">
        <w:rPr>
          <w:szCs w:val="22"/>
        </w:rPr>
        <w:t xml:space="preserve"> </w:t>
      </w:r>
      <w:r>
        <w:rPr>
          <w:szCs w:val="22"/>
        </w:rPr>
        <w:t>proposes</w:t>
      </w:r>
      <w:r w:rsidRPr="0055507A">
        <w:rPr>
          <w:szCs w:val="22"/>
        </w:rPr>
        <w:t xml:space="preserve"> that guidelines will be developed to ensure that the Victorian Government promote gender equality through procurement and funding policies and practices. This will likely have a flow-on impact to businesses and organisations that are bidding for funding or contracts in a supply chain, as they change their practices to attract government funding.</w:t>
      </w:r>
      <w:r>
        <w:rPr>
          <w:szCs w:val="22"/>
        </w:rPr>
        <w:t xml:space="preserve"> The procurement guidelines would build on the existing Social Procurement Framework. It is proposed that the procurement guidelines would be introduced in approximately mid-2022, providing the opportunity to review and learn from the outcomes of the Social Procurement Framework.</w:t>
      </w:r>
    </w:p>
    <w:p w:rsidR="001635F7" w:rsidRPr="0055507A" w:rsidRDefault="001635F7" w:rsidP="001635F7">
      <w:pPr>
        <w:pStyle w:val="DHHSbody"/>
        <w:rPr>
          <w:szCs w:val="22"/>
        </w:rPr>
      </w:pPr>
      <w:r w:rsidRPr="0055507A">
        <w:rPr>
          <w:szCs w:val="22"/>
        </w:rPr>
        <w:t>To minimise the impact of complying with revised procurement guidelines, it is expected that increased support will be provided to suppliers through advice and online tools.</w:t>
      </w:r>
    </w:p>
    <w:p w:rsidR="001635F7" w:rsidRPr="0055507A" w:rsidRDefault="001635F7" w:rsidP="001635F7">
      <w:pPr>
        <w:pStyle w:val="Heading2"/>
      </w:pPr>
      <w:bookmarkStart w:id="41" w:name="_Toc522544286"/>
      <w:r w:rsidRPr="0055507A">
        <w:t>Rationale</w:t>
      </w:r>
      <w:bookmarkEnd w:id="41"/>
    </w:p>
    <w:p w:rsidR="001635F7" w:rsidRPr="0055507A" w:rsidRDefault="001635F7" w:rsidP="001635F7">
      <w:pPr>
        <w:pStyle w:val="DHHSbody"/>
        <w:rPr>
          <w:szCs w:val="22"/>
        </w:rPr>
      </w:pPr>
      <w:r w:rsidRPr="0055507A">
        <w:rPr>
          <w:szCs w:val="22"/>
        </w:rPr>
        <w:t>Each year, the Victorian Government provides $2 billion of funding support to the not-for-profit sector and spends over $10 billion on a variety of goods and services from the private sector. The Government has recognised that there is an opportunity to leverage this position, acknowledging that when used strategically, procurement is a powerful means to support social goals such as gender equality.</w:t>
      </w:r>
    </w:p>
    <w:p w:rsidR="001635F7" w:rsidRPr="0055507A" w:rsidRDefault="001635F7" w:rsidP="001635F7">
      <w:pPr>
        <w:pStyle w:val="DHHSbody"/>
        <w:rPr>
          <w:szCs w:val="22"/>
        </w:rPr>
      </w:pPr>
      <w:r w:rsidRPr="0055507A">
        <w:rPr>
          <w:szCs w:val="22"/>
        </w:rPr>
        <w:t>Enshrining the procurement guidelines in legislation is a key means of crystallising the Victorian Government’s long-term commitment to both preventing family violence and addressing gender inequality.</w:t>
      </w:r>
    </w:p>
    <w:p w:rsidR="001635F7" w:rsidRDefault="001635F7" w:rsidP="001635F7">
      <w:pPr>
        <w:pStyle w:val="DHHSbody"/>
        <w:rPr>
          <w:szCs w:val="22"/>
        </w:rPr>
      </w:pPr>
      <w:r w:rsidRPr="0055507A">
        <w:rPr>
          <w:szCs w:val="22"/>
        </w:rPr>
        <w:t xml:space="preserve">This practice is not new – the Australian Government currently links their procurement policy framework to the </w:t>
      </w:r>
      <w:r w:rsidRPr="0055507A">
        <w:rPr>
          <w:i/>
          <w:szCs w:val="22"/>
        </w:rPr>
        <w:t>Workplace Gender Equality Act 2012</w:t>
      </w:r>
      <w:r w:rsidRPr="0055507A">
        <w:rPr>
          <w:szCs w:val="22"/>
        </w:rPr>
        <w:t>. To compete for procurement contracts, relevant suppliers are required to demonstrate their compliance with the Act. Furthermore, both potential suppliers and Australian Government employees dealing with procurement processes are responsible for considering gender equality in the workplace as set out in Workplace Gender Equality Procurement Principles.</w:t>
      </w:r>
      <w:r w:rsidRPr="00576C37">
        <w:rPr>
          <w:szCs w:val="22"/>
        </w:rPr>
        <w:t xml:space="preserve"> </w:t>
      </w:r>
    </w:p>
    <w:p w:rsidR="001635F7" w:rsidRPr="00576C37" w:rsidRDefault="001635F7" w:rsidP="001635F7">
      <w:pPr>
        <w:pStyle w:val="DHHSbody"/>
        <w:rPr>
          <w:szCs w:val="22"/>
        </w:rPr>
      </w:pPr>
    </w:p>
    <w:p w:rsidR="001635F7" w:rsidRPr="00BF1DCA" w:rsidRDefault="001635F7" w:rsidP="00175AA9">
      <w:pPr>
        <w:pStyle w:val="DHHSbody"/>
        <w:pBdr>
          <w:top w:val="single" w:sz="4" w:space="1" w:color="auto"/>
          <w:left w:val="single" w:sz="4" w:space="4" w:color="auto"/>
          <w:bottom w:val="single" w:sz="4" w:space="1" w:color="auto"/>
          <w:right w:val="single" w:sz="4" w:space="4" w:color="auto"/>
        </w:pBdr>
        <w:ind w:left="1440" w:hanging="1440"/>
        <w:rPr>
          <w:rFonts w:cs="Arial"/>
          <w:szCs w:val="22"/>
        </w:rPr>
      </w:pPr>
      <w:r w:rsidRPr="00535C6E">
        <w:rPr>
          <w:rFonts w:eastAsia="Times New Roman"/>
          <w:b/>
          <w:color w:val="87189D"/>
          <w:sz w:val="60"/>
          <w:szCs w:val="60"/>
        </w:rPr>
        <w:t>Q</w:t>
      </w:r>
      <w:r>
        <w:rPr>
          <w:rFonts w:eastAsia="Times New Roman"/>
          <w:b/>
          <w:color w:val="87189D"/>
          <w:sz w:val="60"/>
          <w:szCs w:val="60"/>
        </w:rPr>
        <w:t>10</w:t>
      </w:r>
      <w:r w:rsidRPr="00535C6E">
        <w:rPr>
          <w:rFonts w:eastAsia="Times New Roman"/>
          <w:b/>
          <w:color w:val="87189D"/>
          <w:sz w:val="60"/>
          <w:szCs w:val="60"/>
        </w:rPr>
        <w:t>:</w:t>
      </w:r>
      <w:r w:rsidR="00175AA9">
        <w:rPr>
          <w:rFonts w:ascii="Calibri" w:hAnsi="Calibri" w:cs="Calibri"/>
          <w:b/>
          <w:bCs/>
          <w:szCs w:val="22"/>
        </w:rPr>
        <w:tab/>
      </w:r>
      <w:r w:rsidRPr="00175AA9">
        <w:rPr>
          <w:rFonts w:cs="Arial"/>
          <w:b/>
          <w:bCs/>
          <w:szCs w:val="22"/>
        </w:rPr>
        <w:t>How can the Victorian Government leverage procurement and funding practices to promote gender equality in the wider community?</w:t>
      </w:r>
    </w:p>
    <w:p w:rsidR="001635F7" w:rsidRDefault="001635F7" w:rsidP="001635F7">
      <w:pPr>
        <w:rPr>
          <w:rFonts w:ascii="Arial" w:hAnsi="Arial"/>
          <w:bCs/>
          <w:color w:val="87189D"/>
          <w:sz w:val="44"/>
          <w:szCs w:val="44"/>
        </w:rPr>
      </w:pPr>
      <w:r>
        <w:br w:type="page"/>
      </w:r>
    </w:p>
    <w:p w:rsidR="001635F7" w:rsidRDefault="001635F7" w:rsidP="001635F7">
      <w:pPr>
        <w:pStyle w:val="Heading1"/>
      </w:pPr>
      <w:bookmarkStart w:id="42" w:name="_Toc522544287"/>
      <w:bookmarkStart w:id="43" w:name="_Toc522551294"/>
      <w:r>
        <w:t>Monitoring and compliance</w:t>
      </w:r>
      <w:bookmarkEnd w:id="42"/>
      <w:bookmarkEnd w:id="43"/>
    </w:p>
    <w:p w:rsidR="001635F7" w:rsidRPr="000D157E" w:rsidRDefault="001635F7" w:rsidP="001635F7">
      <w:pPr>
        <w:pStyle w:val="Heading2"/>
      </w:pPr>
      <w:bookmarkStart w:id="44" w:name="_Toc522544288"/>
      <w:r>
        <w:t>What is being proposed</w:t>
      </w:r>
      <w:bookmarkEnd w:id="44"/>
    </w:p>
    <w:p w:rsidR="001635F7" w:rsidRDefault="001635F7" w:rsidP="000A4D6A">
      <w:pPr>
        <w:pStyle w:val="DHHSbody"/>
      </w:pPr>
      <w:r>
        <w:t>To facilitate public sector organisations’ alignment with the principles in the proposed Gender Equality Bill, a monitoring and compliance system will be established.</w:t>
      </w:r>
    </w:p>
    <w:p w:rsidR="001635F7" w:rsidRDefault="001635F7" w:rsidP="000A4D6A">
      <w:pPr>
        <w:pStyle w:val="DHHSbody"/>
      </w:pPr>
      <w:r>
        <w:t>T</w:t>
      </w:r>
      <w:r w:rsidRPr="00110832">
        <w:t xml:space="preserve">he Department of Health and Human Services </w:t>
      </w:r>
      <w:r>
        <w:t xml:space="preserve">(DHHS) proposes that it </w:t>
      </w:r>
      <w:r w:rsidRPr="00110832">
        <w:t xml:space="preserve">would </w:t>
      </w:r>
      <w:r>
        <w:t xml:space="preserve">undertake the task of </w:t>
      </w:r>
      <w:r w:rsidRPr="00110832">
        <w:t>monitor</w:t>
      </w:r>
      <w:r>
        <w:t>ing</w:t>
      </w:r>
      <w:r w:rsidRPr="00110832">
        <w:t xml:space="preserve"> </w:t>
      </w:r>
      <w:r>
        <w:t xml:space="preserve">implementation of the legislation, primarily through the Office for Women </w:t>
      </w:r>
      <w:r w:rsidRPr="000720B9">
        <w:t xml:space="preserve">. </w:t>
      </w:r>
      <w:r>
        <w:t xml:space="preserve">The </w:t>
      </w:r>
      <w:r w:rsidRPr="000720B9">
        <w:t>Office is</w:t>
      </w:r>
      <w:r>
        <w:t xml:space="preserve"> already</w:t>
      </w:r>
      <w:r w:rsidRPr="000720B9">
        <w:t xml:space="preserve"> charged with</w:t>
      </w:r>
      <w:r>
        <w:t xml:space="preserve"> whole of government implementation and</w:t>
      </w:r>
      <w:r w:rsidRPr="000720B9">
        <w:t xml:space="preserve"> monitoring progress across sectors under the </w:t>
      </w:r>
      <w:r w:rsidRPr="00864146">
        <w:rPr>
          <w:i/>
        </w:rPr>
        <w:t>Safe and Strong</w:t>
      </w:r>
      <w:r w:rsidRPr="000720B9">
        <w:t xml:space="preserve"> </w:t>
      </w:r>
      <w:r>
        <w:t xml:space="preserve">and </w:t>
      </w:r>
      <w:r w:rsidRPr="00864146">
        <w:rPr>
          <w:i/>
        </w:rPr>
        <w:t>Free from Violence</w:t>
      </w:r>
      <w:r>
        <w:rPr>
          <w:i/>
        </w:rPr>
        <w:t xml:space="preserve"> </w:t>
      </w:r>
      <w:r w:rsidRPr="00864146">
        <w:t>strategies</w:t>
      </w:r>
      <w:r w:rsidRPr="000720B9">
        <w:t>.</w:t>
      </w:r>
    </w:p>
    <w:p w:rsidR="001635F7" w:rsidRDefault="001635F7" w:rsidP="000A4D6A">
      <w:pPr>
        <w:pStyle w:val="DHHSbody"/>
      </w:pPr>
      <w:r>
        <w:t>DHHS will</w:t>
      </w:r>
      <w:r w:rsidRPr="00110832">
        <w:t xml:space="preserve"> advise the Minister for Women on </w:t>
      </w:r>
      <w:r>
        <w:t xml:space="preserve">the </w:t>
      </w:r>
      <w:r w:rsidRPr="00110832">
        <w:t xml:space="preserve">compliance </w:t>
      </w:r>
      <w:r>
        <w:t>of all affected organisations</w:t>
      </w:r>
      <w:r w:rsidRPr="00110832">
        <w:t>.</w:t>
      </w:r>
      <w:r>
        <w:t xml:space="preserve"> Critically, it is proposed that t</w:t>
      </w:r>
      <w:r w:rsidRPr="000720B9">
        <w:t xml:space="preserve">he Minister for Women has the discretion to name </w:t>
      </w:r>
      <w:r>
        <w:t>public sector organisations</w:t>
      </w:r>
      <w:r w:rsidRPr="000720B9">
        <w:t xml:space="preserve"> that do not comply with their obligations in her annual report on gender equality.</w:t>
      </w:r>
      <w:r>
        <w:t xml:space="preserve"> </w:t>
      </w:r>
    </w:p>
    <w:p w:rsidR="001635F7" w:rsidRPr="000720B9" w:rsidRDefault="001635F7" w:rsidP="000A4D6A">
      <w:pPr>
        <w:pStyle w:val="DHHSbody"/>
      </w:pPr>
      <w:r>
        <w:t xml:space="preserve">It is proposed that the legislation will be supported by </w:t>
      </w:r>
      <w:r w:rsidRPr="00C31AEF">
        <w:t>provisions to ensure there is procedural fairness for entities proposed to be published as non-compliant. These inc</w:t>
      </w:r>
      <w:r>
        <w:t>l</w:t>
      </w:r>
      <w:r w:rsidRPr="00C31AEF">
        <w:t xml:space="preserve">ude giving the prescribed entity </w:t>
      </w:r>
      <w:r>
        <w:t xml:space="preserve">adequate </w:t>
      </w:r>
      <w:r w:rsidRPr="00C31AEF">
        <w:t>notice in writing</w:t>
      </w:r>
      <w:r>
        <w:t xml:space="preserve"> before publishing them as non-compliant and inviting the prescribed entity to respond prior to the proposed publishing as non-compliant.</w:t>
      </w:r>
    </w:p>
    <w:p w:rsidR="001635F7" w:rsidRPr="002B6176" w:rsidRDefault="001635F7" w:rsidP="001635F7">
      <w:pPr>
        <w:pStyle w:val="Heading2"/>
      </w:pPr>
      <w:bookmarkStart w:id="45" w:name="_Toc522544289"/>
      <w:r>
        <w:t>Rationale</w:t>
      </w:r>
      <w:bookmarkEnd w:id="45"/>
    </w:p>
    <w:p w:rsidR="001635F7" w:rsidRDefault="001635F7" w:rsidP="000A4D6A">
      <w:pPr>
        <w:pStyle w:val="DHHSbody"/>
      </w:pPr>
      <w:r>
        <w:t>F</w:t>
      </w:r>
      <w:r w:rsidRPr="00181889">
        <w:t>or Victoria to make greater progress towards gender equality, there is a need for greater transparency at the state level about what is working and what needs to change</w:t>
      </w:r>
      <w:r>
        <w:t xml:space="preserve">, especially </w:t>
      </w:r>
      <w:r w:rsidRPr="00181889">
        <w:t xml:space="preserve">in areas of slow progress. </w:t>
      </w:r>
      <w:r w:rsidRPr="00BD7867">
        <w:t xml:space="preserve">Most stakeholders </w:t>
      </w:r>
      <w:r>
        <w:t xml:space="preserve">consulted </w:t>
      </w:r>
      <w:r w:rsidRPr="00BD7867">
        <w:t>felt that the alternative – self-monitoring by organisations – was not going to be as effective in driving change.</w:t>
      </w:r>
    </w:p>
    <w:p w:rsidR="001635F7" w:rsidRDefault="001635F7" w:rsidP="000A4D6A">
      <w:pPr>
        <w:pStyle w:val="DHHSbody"/>
      </w:pPr>
      <w:r>
        <w:t>As the proposed Gender Equality Bill applies to public sector organisations, i</w:t>
      </w:r>
      <w:r w:rsidRPr="00181889">
        <w:t xml:space="preserve">t would be advantageous for the monitoring function to remain within an enduring government structure, allowing for </w:t>
      </w:r>
      <w:r>
        <w:t xml:space="preserve">long term </w:t>
      </w:r>
      <w:r w:rsidRPr="00181889">
        <w:t>monitoring and analysis</w:t>
      </w:r>
      <w:r>
        <w:t>.</w:t>
      </w:r>
    </w:p>
    <w:p w:rsidR="001635F7" w:rsidRDefault="001635F7" w:rsidP="000A4D6A">
      <w:pPr>
        <w:pStyle w:val="DHHSbody"/>
      </w:pPr>
      <w:r>
        <w:t>The ability for the Minister for Women to publish in Parliament the names of public sector organisations that fall short of their obligations provides an incentive for compliance.</w:t>
      </w:r>
    </w:p>
    <w:p w:rsidR="001635F7" w:rsidRDefault="001635F7" w:rsidP="001635F7">
      <w:pPr>
        <w:spacing w:after="120"/>
        <w:rPr>
          <w:rFonts w:ascii="Arial" w:hAnsi="Arial" w:cs="Arial"/>
          <w:sz w:val="22"/>
          <w:szCs w:val="22"/>
        </w:rPr>
      </w:pPr>
    </w:p>
    <w:p w:rsidR="001635F7" w:rsidRPr="00BF1DCA" w:rsidRDefault="001635F7" w:rsidP="00175AA9">
      <w:pPr>
        <w:pStyle w:val="DHHSbody"/>
        <w:pBdr>
          <w:top w:val="single" w:sz="4" w:space="1" w:color="auto"/>
          <w:left w:val="single" w:sz="4" w:space="4" w:color="auto"/>
          <w:bottom w:val="single" w:sz="4" w:space="1" w:color="auto"/>
          <w:right w:val="single" w:sz="4" w:space="4" w:color="auto"/>
        </w:pBdr>
        <w:ind w:left="1440" w:hanging="1440"/>
        <w:rPr>
          <w:rFonts w:cs="Arial"/>
          <w:szCs w:val="22"/>
        </w:rPr>
      </w:pPr>
      <w:r w:rsidRPr="00535C6E">
        <w:rPr>
          <w:rFonts w:eastAsia="Times New Roman"/>
          <w:b/>
          <w:color w:val="87189D"/>
          <w:sz w:val="60"/>
          <w:szCs w:val="60"/>
        </w:rPr>
        <w:t>Q</w:t>
      </w:r>
      <w:r>
        <w:rPr>
          <w:rFonts w:eastAsia="Times New Roman"/>
          <w:b/>
          <w:color w:val="87189D"/>
          <w:sz w:val="60"/>
          <w:szCs w:val="60"/>
        </w:rPr>
        <w:t>11</w:t>
      </w:r>
      <w:r w:rsidRPr="00535C6E">
        <w:rPr>
          <w:rFonts w:eastAsia="Times New Roman"/>
          <w:b/>
          <w:color w:val="87189D"/>
          <w:sz w:val="60"/>
          <w:szCs w:val="60"/>
        </w:rPr>
        <w:t>:</w:t>
      </w:r>
      <w:r w:rsidR="00175AA9">
        <w:rPr>
          <w:rFonts w:ascii="Calibri" w:hAnsi="Calibri" w:cs="Calibri"/>
          <w:b/>
          <w:bCs/>
          <w:szCs w:val="22"/>
        </w:rPr>
        <w:tab/>
      </w:r>
      <w:r w:rsidRPr="00175AA9">
        <w:rPr>
          <w:rFonts w:cs="Arial"/>
          <w:b/>
          <w:bCs/>
          <w:szCs w:val="22"/>
        </w:rPr>
        <w:t>Do you think that the proposal for monitoring and compliance of the Bill is fair and balanced?</w:t>
      </w:r>
      <w:r w:rsidRPr="00BF1DCA">
        <w:rPr>
          <w:rFonts w:cs="Arial"/>
          <w:szCs w:val="22"/>
        </w:rPr>
        <w:t xml:space="preserve"> </w:t>
      </w:r>
    </w:p>
    <w:p w:rsidR="001635F7" w:rsidRDefault="001635F7" w:rsidP="001635F7">
      <w:pPr>
        <w:rPr>
          <w:rFonts w:ascii="Arial" w:hAnsi="Arial"/>
          <w:bCs/>
          <w:color w:val="87189D"/>
          <w:sz w:val="44"/>
          <w:szCs w:val="44"/>
        </w:rPr>
      </w:pPr>
      <w:r>
        <w:br w:type="page"/>
      </w:r>
    </w:p>
    <w:p w:rsidR="001635F7" w:rsidRDefault="001635F7" w:rsidP="001635F7">
      <w:pPr>
        <w:pStyle w:val="Heading1"/>
      </w:pPr>
      <w:bookmarkStart w:id="46" w:name="_Toc522544290"/>
      <w:bookmarkStart w:id="47" w:name="_Toc522551295"/>
      <w:r>
        <w:t>Ministerial Council on Women’s Equality</w:t>
      </w:r>
      <w:bookmarkEnd w:id="46"/>
      <w:bookmarkEnd w:id="47"/>
    </w:p>
    <w:p w:rsidR="001635F7" w:rsidRPr="000D157E" w:rsidRDefault="001635F7" w:rsidP="001635F7">
      <w:pPr>
        <w:pStyle w:val="Heading2"/>
      </w:pPr>
      <w:bookmarkStart w:id="48" w:name="_Toc522544291"/>
      <w:r>
        <w:t>What is being proposed</w:t>
      </w:r>
      <w:bookmarkEnd w:id="48"/>
    </w:p>
    <w:p w:rsidR="001635F7" w:rsidRPr="00576C37" w:rsidRDefault="001635F7" w:rsidP="001635F7">
      <w:pPr>
        <w:pStyle w:val="DHHSbody"/>
        <w:rPr>
          <w:szCs w:val="22"/>
        </w:rPr>
      </w:pPr>
      <w:r>
        <w:rPr>
          <w:szCs w:val="22"/>
        </w:rPr>
        <w:t xml:space="preserve">To govern the implementation of the legislation, </w:t>
      </w:r>
      <w:r w:rsidRPr="00576C37">
        <w:rPr>
          <w:szCs w:val="22"/>
        </w:rPr>
        <w:t>a Ministerial Council on Women’s Equality (</w:t>
      </w:r>
      <w:r>
        <w:rPr>
          <w:szCs w:val="22"/>
        </w:rPr>
        <w:t xml:space="preserve">the </w:t>
      </w:r>
      <w:r w:rsidRPr="00576C37">
        <w:rPr>
          <w:szCs w:val="22"/>
        </w:rPr>
        <w:t>Council)</w:t>
      </w:r>
      <w:r>
        <w:rPr>
          <w:szCs w:val="22"/>
        </w:rPr>
        <w:t xml:space="preserve"> will be established</w:t>
      </w:r>
      <w:r w:rsidRPr="00576C37">
        <w:rPr>
          <w:szCs w:val="22"/>
        </w:rPr>
        <w:t xml:space="preserve">. The role of the Council will be to </w:t>
      </w:r>
      <w:r>
        <w:rPr>
          <w:szCs w:val="22"/>
        </w:rPr>
        <w:t>advise on</w:t>
      </w:r>
      <w:r w:rsidRPr="00576C37">
        <w:rPr>
          <w:szCs w:val="22"/>
        </w:rPr>
        <w:t>:</w:t>
      </w:r>
    </w:p>
    <w:p w:rsidR="001635F7" w:rsidRPr="00576C37" w:rsidRDefault="001635F7" w:rsidP="00175AA9">
      <w:pPr>
        <w:pStyle w:val="DHHSbullet1"/>
      </w:pPr>
      <w:r>
        <w:t>f</w:t>
      </w:r>
      <w:r w:rsidRPr="00576C37">
        <w:t>uture priorities and government action to achieve gender equality in Victoria</w:t>
      </w:r>
    </w:p>
    <w:p w:rsidR="001635F7" w:rsidRPr="00576C37" w:rsidRDefault="001635F7" w:rsidP="00175AA9">
      <w:pPr>
        <w:pStyle w:val="DHHSbullet1"/>
      </w:pPr>
      <w:r>
        <w:t>t</w:t>
      </w:r>
      <w:r w:rsidRPr="00576C37">
        <w:t xml:space="preserve">he development of strategies to build the capacity of </w:t>
      </w:r>
      <w:r>
        <w:t>public sector organisations</w:t>
      </w:r>
      <w:r w:rsidRPr="00576C37">
        <w:t xml:space="preserve"> subject to the Bill and the wider community to support gender equality</w:t>
      </w:r>
    </w:p>
    <w:p w:rsidR="001635F7" w:rsidRPr="00576C37" w:rsidRDefault="001635F7" w:rsidP="00175AA9">
      <w:pPr>
        <w:pStyle w:val="DHHSbullet1"/>
      </w:pPr>
      <w:r>
        <w:t>b</w:t>
      </w:r>
      <w:r w:rsidRPr="00576C37">
        <w:t xml:space="preserve">est practice examples of initiatives advancing gender equality, and how to promote these initiatives to </w:t>
      </w:r>
      <w:r>
        <w:t xml:space="preserve">public sector organisations </w:t>
      </w:r>
      <w:r w:rsidRPr="00576C37">
        <w:t>and the Victorian community</w:t>
      </w:r>
    </w:p>
    <w:p w:rsidR="001635F7" w:rsidRPr="00576C37" w:rsidRDefault="001635F7" w:rsidP="00175AA9">
      <w:pPr>
        <w:pStyle w:val="DHHSbullet1"/>
      </w:pPr>
      <w:r>
        <w:t>a</w:t>
      </w:r>
      <w:r w:rsidRPr="00576C37">
        <w:t>ny other matter prescribed by regulations.</w:t>
      </w:r>
    </w:p>
    <w:p w:rsidR="001635F7" w:rsidRDefault="001635F7" w:rsidP="001635F7">
      <w:pPr>
        <w:pStyle w:val="DHHSbody"/>
        <w:rPr>
          <w:szCs w:val="22"/>
        </w:rPr>
      </w:pPr>
      <w:r>
        <w:rPr>
          <w:szCs w:val="22"/>
        </w:rPr>
        <w:t xml:space="preserve">The Council will consist of between 8 to 14 members, all appointed by the Minister for Women. In appointing members to the Council, </w:t>
      </w:r>
      <w:r w:rsidRPr="00B14AD5">
        <w:rPr>
          <w:szCs w:val="22"/>
        </w:rPr>
        <w:t>the Minister must ensure that the composition of members reflects the diversity of the Victorian community</w:t>
      </w:r>
      <w:r>
        <w:rPr>
          <w:szCs w:val="22"/>
        </w:rPr>
        <w:t xml:space="preserve"> and that Aboriginal Victorians are represented. </w:t>
      </w:r>
    </w:p>
    <w:p w:rsidR="00D61EFC" w:rsidRDefault="00D61EFC" w:rsidP="001635F7">
      <w:pPr>
        <w:pStyle w:val="DHHSbody"/>
        <w:rPr>
          <w:szCs w:val="22"/>
        </w:rPr>
      </w:pPr>
    </w:p>
    <w:p w:rsidR="001635F7" w:rsidRPr="00C31AEF" w:rsidRDefault="001635F7" w:rsidP="00175AA9">
      <w:pPr>
        <w:pStyle w:val="DHHSbody"/>
        <w:pBdr>
          <w:top w:val="single" w:sz="4" w:space="1" w:color="auto"/>
          <w:left w:val="single" w:sz="4" w:space="4" w:color="auto"/>
          <w:bottom w:val="single" w:sz="4" w:space="1" w:color="auto"/>
          <w:right w:val="single" w:sz="4" w:space="4" w:color="auto"/>
        </w:pBdr>
        <w:ind w:left="1440" w:hanging="1440"/>
        <w:rPr>
          <w:szCs w:val="22"/>
        </w:rPr>
      </w:pPr>
      <w:r w:rsidRPr="00535C6E">
        <w:rPr>
          <w:rFonts w:eastAsia="Times New Roman"/>
          <w:b/>
          <w:color w:val="87189D"/>
          <w:sz w:val="60"/>
          <w:szCs w:val="60"/>
        </w:rPr>
        <w:t>Q</w:t>
      </w:r>
      <w:r>
        <w:rPr>
          <w:rFonts w:eastAsia="Times New Roman"/>
          <w:b/>
          <w:color w:val="87189D"/>
          <w:sz w:val="60"/>
          <w:szCs w:val="60"/>
        </w:rPr>
        <w:t>12</w:t>
      </w:r>
      <w:r w:rsidRPr="00535C6E">
        <w:rPr>
          <w:rFonts w:eastAsia="Times New Roman"/>
          <w:b/>
          <w:color w:val="87189D"/>
          <w:sz w:val="60"/>
          <w:szCs w:val="60"/>
        </w:rPr>
        <w:t>:</w:t>
      </w:r>
      <w:r w:rsidR="00175AA9">
        <w:rPr>
          <w:rFonts w:ascii="Calibri" w:hAnsi="Calibri" w:cs="Calibri"/>
          <w:b/>
          <w:bCs/>
          <w:szCs w:val="22"/>
        </w:rPr>
        <w:tab/>
      </w:r>
      <w:r w:rsidRPr="00175AA9">
        <w:rPr>
          <w:b/>
        </w:rPr>
        <w:t>It is clear that the impact of gender equality is compounded by the way that gendered barriers interact with other forms of disadvantage and discrimination. What is needed to ensure that the advice of the Ministerial Council is considered in other policy areas that may compound or contribute to gender inequality?</w:t>
      </w:r>
    </w:p>
    <w:p w:rsidR="001635F7" w:rsidRDefault="001635F7" w:rsidP="001635F7">
      <w:pPr>
        <w:rPr>
          <w:rFonts w:ascii="Arial" w:hAnsi="Arial"/>
          <w:bCs/>
          <w:color w:val="87189D"/>
          <w:sz w:val="44"/>
          <w:szCs w:val="44"/>
        </w:rPr>
      </w:pPr>
      <w:r>
        <w:br w:type="page"/>
      </w:r>
    </w:p>
    <w:p w:rsidR="001635F7" w:rsidRDefault="001635F7" w:rsidP="001635F7">
      <w:pPr>
        <w:pStyle w:val="Heading1"/>
      </w:pPr>
      <w:bookmarkStart w:id="49" w:name="_Toc522544292"/>
      <w:bookmarkStart w:id="50" w:name="_Toc522551296"/>
      <w:r>
        <w:t>Proposed roll out of the Gender Equality Bill</w:t>
      </w:r>
      <w:bookmarkEnd w:id="49"/>
      <w:bookmarkEnd w:id="50"/>
    </w:p>
    <w:p w:rsidR="001635F7" w:rsidRDefault="001635F7" w:rsidP="001635F7">
      <w:pPr>
        <w:pStyle w:val="DHHSbody"/>
        <w:rPr>
          <w:szCs w:val="22"/>
        </w:rPr>
      </w:pPr>
      <w:r w:rsidRPr="00576C37">
        <w:rPr>
          <w:szCs w:val="22"/>
        </w:rPr>
        <w:t xml:space="preserve">Implementation of the </w:t>
      </w:r>
      <w:r>
        <w:rPr>
          <w:szCs w:val="22"/>
        </w:rPr>
        <w:t xml:space="preserve">Gender Equality Bill </w:t>
      </w:r>
      <w:r w:rsidRPr="00576C37">
        <w:rPr>
          <w:szCs w:val="22"/>
        </w:rPr>
        <w:t xml:space="preserve">is proposed to take place over three phases, with each phase increasing the number of </w:t>
      </w:r>
      <w:r>
        <w:rPr>
          <w:szCs w:val="22"/>
        </w:rPr>
        <w:t>organisations</w:t>
      </w:r>
      <w:r w:rsidRPr="00576C37">
        <w:rPr>
          <w:szCs w:val="22"/>
        </w:rPr>
        <w:t xml:space="preserve"> required to comply with the Bill</w:t>
      </w:r>
      <w:r>
        <w:rPr>
          <w:szCs w:val="22"/>
        </w:rPr>
        <w:t>.</w:t>
      </w:r>
    </w:p>
    <w:p w:rsidR="000A4D6A" w:rsidRPr="007B7F56" w:rsidRDefault="001635F7" w:rsidP="00175AA9">
      <w:pPr>
        <w:pStyle w:val="DHHSbody"/>
        <w:rPr>
          <w:szCs w:val="22"/>
        </w:rPr>
      </w:pPr>
      <w:r>
        <w:rPr>
          <w:szCs w:val="22"/>
        </w:rPr>
        <w:t>It’s worth re-emphasising that the Bill applies only to public sector organisations, so the principles, actions and obligations listed throughout this document will be adopted by the Victorian Government first.</w:t>
      </w:r>
      <w:r w:rsidR="00175AA9" w:rsidRPr="007B7F56">
        <w:rPr>
          <w:szCs w:val="22"/>
        </w:rPr>
        <w:t xml:space="preserve"> </w:t>
      </w:r>
    </w:p>
    <w:p w:rsidR="00175AA9" w:rsidRDefault="00175AA9" w:rsidP="00175AA9">
      <w:pPr>
        <w:pStyle w:val="Heading2"/>
      </w:pPr>
      <w:r>
        <w:t>2019</w:t>
      </w:r>
    </w:p>
    <w:p w:rsidR="00175AA9" w:rsidRPr="00175AA9" w:rsidRDefault="00175AA9" w:rsidP="00175AA9">
      <w:pPr>
        <w:pStyle w:val="DHHSbody"/>
      </w:pPr>
      <w:r w:rsidRPr="00175AA9">
        <w:t>May 2019 – Gender Equality Bill introduced to Parliament</w:t>
      </w:r>
    </w:p>
    <w:p w:rsidR="00175AA9" w:rsidRPr="00175AA9" w:rsidRDefault="00175AA9" w:rsidP="00175AA9">
      <w:pPr>
        <w:pStyle w:val="DHHSbody"/>
      </w:pPr>
      <w:r w:rsidRPr="00175AA9">
        <w:t>June 2019 – Gender Equality Bill passes through Parliament</w:t>
      </w:r>
    </w:p>
    <w:p w:rsidR="00175AA9" w:rsidRDefault="00175AA9" w:rsidP="00175AA9">
      <w:pPr>
        <w:pStyle w:val="Heading2"/>
      </w:pPr>
      <w:r>
        <w:t>2020</w:t>
      </w:r>
    </w:p>
    <w:p w:rsidR="00175AA9" w:rsidRPr="00576C37" w:rsidRDefault="00175AA9" w:rsidP="00175AA9">
      <w:pPr>
        <w:pStyle w:val="DHHSbody"/>
      </w:pPr>
      <w:r w:rsidRPr="00576C37">
        <w:t>Act to take effect starting with the Victorian Government departments and large public service employers</w:t>
      </w:r>
      <w:r>
        <w:t xml:space="preserve"> </w:t>
      </w:r>
      <w:r w:rsidRPr="00576C37">
        <w:t>including Victoria Police and Court Services Victoria</w:t>
      </w:r>
    </w:p>
    <w:p w:rsidR="00175AA9" w:rsidRPr="00175AA9" w:rsidRDefault="00175AA9" w:rsidP="00175AA9">
      <w:pPr>
        <w:pStyle w:val="Heading3"/>
      </w:pPr>
      <w:r w:rsidRPr="00175AA9">
        <w:t>Victorian Government departments:</w:t>
      </w:r>
    </w:p>
    <w:p w:rsidR="00175AA9" w:rsidRDefault="00175AA9" w:rsidP="00175AA9">
      <w:pPr>
        <w:pStyle w:val="DHHSbullet1"/>
      </w:pPr>
      <w:r>
        <w:t>Department of Health and Human Services</w:t>
      </w:r>
    </w:p>
    <w:p w:rsidR="00175AA9" w:rsidRDefault="00175AA9" w:rsidP="00175AA9">
      <w:pPr>
        <w:pStyle w:val="DHHSbullet1"/>
      </w:pPr>
      <w:r>
        <w:t>Department of Justice and Regulation</w:t>
      </w:r>
    </w:p>
    <w:p w:rsidR="00175AA9" w:rsidRDefault="00175AA9" w:rsidP="00175AA9">
      <w:pPr>
        <w:pStyle w:val="DHHSbullet1"/>
      </w:pPr>
      <w:r>
        <w:t>Department of Education and Training</w:t>
      </w:r>
    </w:p>
    <w:p w:rsidR="00175AA9" w:rsidRDefault="00175AA9" w:rsidP="00175AA9">
      <w:pPr>
        <w:pStyle w:val="DHHSbullet1"/>
      </w:pPr>
      <w:r>
        <w:t>Department of Premier and Cabinet</w:t>
      </w:r>
    </w:p>
    <w:p w:rsidR="00175AA9" w:rsidRDefault="00175AA9" w:rsidP="00175AA9">
      <w:pPr>
        <w:pStyle w:val="DHHSbullet1"/>
      </w:pPr>
      <w:r>
        <w:t>Department of Treasury and Finance</w:t>
      </w:r>
    </w:p>
    <w:p w:rsidR="00175AA9" w:rsidRDefault="00175AA9" w:rsidP="00175AA9">
      <w:pPr>
        <w:pStyle w:val="DHHSbullet1"/>
      </w:pPr>
      <w:r>
        <w:t>Department of Environment, Land, Water and Planning</w:t>
      </w:r>
    </w:p>
    <w:p w:rsidR="00175AA9" w:rsidRPr="00694A59" w:rsidRDefault="00175AA9" w:rsidP="00175AA9">
      <w:pPr>
        <w:pStyle w:val="DHHSbullet1lastline"/>
      </w:pPr>
      <w:r>
        <w:t>Department of Economic Development, Jobs, Transport and Resources</w:t>
      </w:r>
    </w:p>
    <w:p w:rsidR="00175AA9" w:rsidRPr="00175AA9" w:rsidRDefault="00175AA9" w:rsidP="00175AA9">
      <w:pPr>
        <w:pStyle w:val="Heading3"/>
      </w:pPr>
      <w:r w:rsidRPr="00175AA9">
        <w:t>Large public service employers:</w:t>
      </w:r>
    </w:p>
    <w:p w:rsidR="00175AA9" w:rsidRDefault="00175AA9" w:rsidP="00175AA9">
      <w:pPr>
        <w:pStyle w:val="DHHSbullet1"/>
      </w:pPr>
      <w:r>
        <w:t>Victoria Police</w:t>
      </w:r>
    </w:p>
    <w:p w:rsidR="00175AA9" w:rsidRDefault="00175AA9" w:rsidP="00175AA9">
      <w:pPr>
        <w:pStyle w:val="DHHSbullet1"/>
      </w:pPr>
      <w:r>
        <w:t>Court Services Victoria</w:t>
      </w:r>
    </w:p>
    <w:p w:rsidR="00175AA9" w:rsidRPr="00606206" w:rsidRDefault="00175AA9" w:rsidP="00175AA9">
      <w:pPr>
        <w:pStyle w:val="Heading2"/>
      </w:pPr>
      <w:r w:rsidRPr="00606206">
        <w:t>2021</w:t>
      </w:r>
    </w:p>
    <w:p w:rsidR="00175AA9" w:rsidRDefault="00175AA9" w:rsidP="00175AA9">
      <w:pPr>
        <w:pStyle w:val="DHHSbody"/>
        <w:rPr>
          <w:rFonts w:eastAsia="Arial"/>
        </w:rPr>
      </w:pPr>
      <w:r>
        <w:rPr>
          <w:rFonts w:eastAsia="Arial"/>
        </w:rPr>
        <w:t xml:space="preserve">Within 12 months of the commencement of the Bill, it will extend to </w:t>
      </w:r>
      <w:r w:rsidRPr="00576C37">
        <w:t>local government</w:t>
      </w:r>
      <w:r>
        <w:t>, universities</w:t>
      </w:r>
      <w:r w:rsidRPr="00576C37">
        <w:t xml:space="preserve"> and public entities, </w:t>
      </w:r>
      <w:r>
        <w:t xml:space="preserve">and all </w:t>
      </w:r>
      <w:r w:rsidRPr="00576C37">
        <w:t xml:space="preserve">remaining public service employers and administrative offices that employ more than 100 </w:t>
      </w:r>
      <w:r>
        <w:t xml:space="preserve">full time </w:t>
      </w:r>
      <w:r w:rsidRPr="00576C37">
        <w:t>staff</w:t>
      </w:r>
    </w:p>
    <w:p w:rsidR="00175AA9" w:rsidRDefault="00175AA9" w:rsidP="00175AA9">
      <w:pPr>
        <w:pStyle w:val="Heading3"/>
      </w:pPr>
      <w:r>
        <w:t>Local government</w:t>
      </w:r>
    </w:p>
    <w:p w:rsidR="00175AA9" w:rsidRPr="00175AA9" w:rsidRDefault="00175AA9" w:rsidP="00175AA9">
      <w:pPr>
        <w:pStyle w:val="DHHSbody"/>
        <w:rPr>
          <w:rFonts w:eastAsia="Arial"/>
          <w:b/>
        </w:rPr>
      </w:pPr>
      <w:r w:rsidRPr="00175AA9">
        <w:rPr>
          <w:rFonts w:eastAsia="Arial"/>
          <w:b/>
        </w:rPr>
        <w:t>Public entities, for example:</w:t>
      </w:r>
    </w:p>
    <w:p w:rsidR="00175AA9" w:rsidRDefault="00175AA9" w:rsidP="00175AA9">
      <w:pPr>
        <w:pStyle w:val="DHHSbullet1"/>
      </w:pPr>
      <w:r>
        <w:t>Melbourne Polytechnic</w:t>
      </w:r>
    </w:p>
    <w:p w:rsidR="00175AA9" w:rsidRDefault="00175AA9" w:rsidP="00175AA9">
      <w:pPr>
        <w:pStyle w:val="DHHSbullet1"/>
      </w:pPr>
      <w:r>
        <w:t>Ballarat Health Services</w:t>
      </w:r>
    </w:p>
    <w:p w:rsidR="00175AA9" w:rsidRDefault="00175AA9" w:rsidP="00175AA9">
      <w:pPr>
        <w:pStyle w:val="DHHSbullet1"/>
      </w:pPr>
      <w:r>
        <w:t>Monash Health</w:t>
      </w:r>
    </w:p>
    <w:p w:rsidR="00175AA9" w:rsidRDefault="00175AA9" w:rsidP="00175AA9">
      <w:pPr>
        <w:pStyle w:val="DHHSbullet1"/>
      </w:pPr>
      <w:r>
        <w:t>Ambulance Victoria</w:t>
      </w:r>
    </w:p>
    <w:p w:rsidR="00175AA9" w:rsidRDefault="00175AA9" w:rsidP="00175AA9">
      <w:pPr>
        <w:pStyle w:val="DHHSbullet1"/>
      </w:pPr>
      <w:r>
        <w:t>Goulburn Murray Rural Water Corporation</w:t>
      </w:r>
    </w:p>
    <w:p w:rsidR="00175AA9" w:rsidRDefault="00175AA9" w:rsidP="00175AA9">
      <w:pPr>
        <w:pStyle w:val="DHHSbullet1"/>
      </w:pPr>
      <w:r>
        <w:t>National Gallery of Victoria</w:t>
      </w:r>
    </w:p>
    <w:p w:rsidR="00175AA9" w:rsidRDefault="00175AA9" w:rsidP="00175AA9">
      <w:pPr>
        <w:pStyle w:val="DHHSbullet1"/>
      </w:pPr>
      <w:r>
        <w:t>Transport Accident Commission</w:t>
      </w:r>
    </w:p>
    <w:p w:rsidR="00175AA9" w:rsidRPr="000A4D6A" w:rsidRDefault="00175AA9" w:rsidP="00175AA9">
      <w:pPr>
        <w:pStyle w:val="DHHSbullet1lastline"/>
      </w:pPr>
      <w:r>
        <w:t>V-Line Authority</w:t>
      </w:r>
    </w:p>
    <w:p w:rsidR="00175AA9" w:rsidRPr="00175AA9" w:rsidRDefault="00175AA9" w:rsidP="00175AA9">
      <w:pPr>
        <w:pStyle w:val="DHHSbody"/>
        <w:rPr>
          <w:b/>
        </w:rPr>
      </w:pPr>
      <w:r w:rsidRPr="00175AA9">
        <w:rPr>
          <w:b/>
        </w:rPr>
        <w:t>Public service employers and administrative offices, for example:</w:t>
      </w:r>
    </w:p>
    <w:p w:rsidR="00175AA9" w:rsidRDefault="00175AA9" w:rsidP="00175AA9">
      <w:pPr>
        <w:pStyle w:val="DHHSbullet1"/>
      </w:pPr>
      <w:r>
        <w:t>Victorian Liquor and Gambling Commission</w:t>
      </w:r>
    </w:p>
    <w:p w:rsidR="00175AA9" w:rsidRDefault="00175AA9" w:rsidP="00175AA9">
      <w:pPr>
        <w:pStyle w:val="DHHSbullet1"/>
      </w:pPr>
      <w:r>
        <w:t>Taxi Services Commission</w:t>
      </w:r>
    </w:p>
    <w:p w:rsidR="00175AA9" w:rsidRPr="000A4D6A" w:rsidRDefault="00175AA9" w:rsidP="00175AA9">
      <w:pPr>
        <w:pStyle w:val="DHHSbullet1lastline"/>
      </w:pPr>
      <w:r>
        <w:t>Melbourne Metro Rail Authority Office of Public Prosecutions</w:t>
      </w:r>
    </w:p>
    <w:p w:rsidR="00175AA9" w:rsidRPr="00175AA9" w:rsidRDefault="00175AA9" w:rsidP="00175AA9">
      <w:pPr>
        <w:pStyle w:val="DHHSbody"/>
        <w:rPr>
          <w:b/>
        </w:rPr>
      </w:pPr>
      <w:r w:rsidRPr="00175AA9">
        <w:rPr>
          <w:b/>
        </w:rPr>
        <w:t>Universities established by a Victorian Act of Parliament, such as:</w:t>
      </w:r>
    </w:p>
    <w:p w:rsidR="00175AA9" w:rsidRDefault="00175AA9" w:rsidP="00175AA9">
      <w:pPr>
        <w:pStyle w:val="DHHSbullet1"/>
      </w:pPr>
      <w:r>
        <w:t>RMIT</w:t>
      </w:r>
    </w:p>
    <w:p w:rsidR="00175AA9" w:rsidRDefault="00175AA9" w:rsidP="00175AA9">
      <w:pPr>
        <w:pStyle w:val="DHHSbullet1"/>
      </w:pPr>
      <w:r>
        <w:t>University of Melbourne</w:t>
      </w:r>
    </w:p>
    <w:p w:rsidR="00175AA9" w:rsidRPr="000A4D6A" w:rsidRDefault="00175AA9" w:rsidP="00175AA9">
      <w:pPr>
        <w:pStyle w:val="DHHSbullet1"/>
      </w:pPr>
      <w:r>
        <w:t>Monash University</w:t>
      </w:r>
    </w:p>
    <w:p w:rsidR="00175AA9" w:rsidRPr="00606206" w:rsidRDefault="00175AA9" w:rsidP="00175AA9">
      <w:pPr>
        <w:pStyle w:val="Heading2"/>
      </w:pPr>
      <w:r w:rsidRPr="00606206">
        <w:t>2022</w:t>
      </w:r>
    </w:p>
    <w:p w:rsidR="00175AA9" w:rsidRPr="00576C37" w:rsidRDefault="00175AA9" w:rsidP="00175AA9">
      <w:pPr>
        <w:pStyle w:val="DHHSbody"/>
      </w:pPr>
      <w:r w:rsidRPr="00576C37">
        <w:t xml:space="preserve">Procurement guidelines </w:t>
      </w:r>
      <w:r>
        <w:t>to take effect. These guidelines will influence not-for-profit and private suppliers.</w:t>
      </w:r>
    </w:p>
    <w:p w:rsidR="001635F7" w:rsidRDefault="001635F7" w:rsidP="00175AA9">
      <w:pPr>
        <w:pStyle w:val="DHHSbody"/>
      </w:pPr>
    </w:p>
    <w:p w:rsidR="001635F7" w:rsidRPr="000A4D6A" w:rsidRDefault="001635F7" w:rsidP="000A4D6A">
      <w:pPr>
        <w:pStyle w:val="DHHSbody"/>
        <w:pBdr>
          <w:top w:val="single" w:sz="4" w:space="1" w:color="auto"/>
          <w:left w:val="single" w:sz="4" w:space="4" w:color="auto"/>
          <w:bottom w:val="single" w:sz="4" w:space="1" w:color="auto"/>
          <w:right w:val="single" w:sz="4" w:space="4" w:color="auto"/>
        </w:pBdr>
        <w:ind w:left="720" w:hanging="720"/>
        <w:rPr>
          <w:rFonts w:cs="Arial"/>
          <w:b/>
          <w:bCs/>
          <w:szCs w:val="22"/>
        </w:rPr>
      </w:pPr>
      <w:r w:rsidRPr="000A4D6A">
        <w:rPr>
          <w:rFonts w:eastAsia="Times New Roman"/>
          <w:b/>
          <w:color w:val="87189D"/>
          <w:sz w:val="60"/>
          <w:szCs w:val="60"/>
        </w:rPr>
        <w:t>Q13:</w:t>
      </w:r>
      <w:r w:rsidR="000A4D6A" w:rsidRPr="000A4D6A">
        <w:rPr>
          <w:rFonts w:ascii="Calibri" w:hAnsi="Calibri" w:cs="Calibri"/>
          <w:b/>
          <w:bCs/>
          <w:szCs w:val="22"/>
        </w:rPr>
        <w:tab/>
      </w:r>
      <w:r w:rsidRPr="000A4D6A">
        <w:rPr>
          <w:rFonts w:cs="Arial"/>
          <w:b/>
          <w:bCs/>
          <w:szCs w:val="22"/>
        </w:rPr>
        <w:t xml:space="preserve">Do you think this timeline is appropriate for the proposed roll out? </w:t>
      </w:r>
    </w:p>
    <w:p w:rsidR="001635F7" w:rsidRPr="000A4D6A" w:rsidRDefault="001635F7" w:rsidP="000A4D6A">
      <w:pPr>
        <w:pStyle w:val="DHHSbody"/>
        <w:pBdr>
          <w:top w:val="single" w:sz="4" w:space="1" w:color="auto"/>
          <w:left w:val="single" w:sz="4" w:space="4" w:color="auto"/>
          <w:bottom w:val="single" w:sz="4" w:space="1" w:color="auto"/>
          <w:right w:val="single" w:sz="4" w:space="4" w:color="auto"/>
        </w:pBdr>
        <w:ind w:left="1440" w:hanging="1440"/>
        <w:rPr>
          <w:rFonts w:cs="Arial"/>
          <w:b/>
          <w:bCs/>
          <w:szCs w:val="22"/>
        </w:rPr>
      </w:pPr>
      <w:r w:rsidRPr="000A4D6A">
        <w:rPr>
          <w:rFonts w:eastAsia="Times New Roman"/>
          <w:b/>
          <w:color w:val="87189D"/>
          <w:sz w:val="60"/>
          <w:szCs w:val="60"/>
        </w:rPr>
        <w:t>Q14:</w:t>
      </w:r>
      <w:r w:rsidR="000A4D6A" w:rsidRPr="000A4D6A">
        <w:rPr>
          <w:rFonts w:ascii="Calibri" w:hAnsi="Calibri" w:cs="Calibri"/>
          <w:b/>
          <w:bCs/>
          <w:szCs w:val="22"/>
        </w:rPr>
        <w:tab/>
      </w:r>
      <w:r w:rsidRPr="000A4D6A">
        <w:rPr>
          <w:rFonts w:cs="Arial"/>
          <w:b/>
          <w:bCs/>
          <w:szCs w:val="22"/>
        </w:rPr>
        <w:t xml:space="preserve">What preparations are needed to ensure readiness of impacted organisations before legislation takes effect? </w:t>
      </w:r>
    </w:p>
    <w:p w:rsidR="001635F7" w:rsidRPr="000A4D6A" w:rsidRDefault="001635F7" w:rsidP="000A4D6A">
      <w:pPr>
        <w:pStyle w:val="DHHSbody"/>
        <w:pBdr>
          <w:top w:val="single" w:sz="4" w:space="1" w:color="auto"/>
          <w:left w:val="single" w:sz="4" w:space="4" w:color="auto"/>
          <w:bottom w:val="single" w:sz="4" w:space="1" w:color="auto"/>
          <w:right w:val="single" w:sz="4" w:space="4" w:color="auto"/>
        </w:pBdr>
        <w:ind w:left="1440" w:hanging="1440"/>
        <w:rPr>
          <w:rFonts w:cs="Arial"/>
          <w:b/>
          <w:szCs w:val="22"/>
        </w:rPr>
      </w:pPr>
      <w:r w:rsidRPr="000A4D6A">
        <w:rPr>
          <w:rFonts w:eastAsia="Times New Roman"/>
          <w:b/>
          <w:color w:val="87189D"/>
          <w:sz w:val="60"/>
          <w:szCs w:val="60"/>
        </w:rPr>
        <w:t>Q15:</w:t>
      </w:r>
      <w:r w:rsidR="000A4D6A" w:rsidRPr="000A4D6A">
        <w:rPr>
          <w:rFonts w:ascii="Calibri" w:hAnsi="Calibri" w:cs="Calibri"/>
          <w:b/>
          <w:bCs/>
          <w:szCs w:val="22"/>
        </w:rPr>
        <w:tab/>
      </w:r>
      <w:r w:rsidRPr="000A4D6A">
        <w:rPr>
          <w:rFonts w:cs="Arial"/>
          <w:b/>
          <w:bCs/>
          <w:szCs w:val="22"/>
        </w:rPr>
        <w:t>What should be done to encourage or incentivise broader sectors or organisations to voluntarily comply with the principles, even if they are not obliged to do so?</w:t>
      </w:r>
    </w:p>
    <w:p w:rsidR="001635F7" w:rsidRDefault="001635F7" w:rsidP="001635F7">
      <w:pPr>
        <w:rPr>
          <w:rFonts w:ascii="Arial" w:hAnsi="Arial"/>
          <w:bCs/>
          <w:color w:val="87189D"/>
          <w:sz w:val="44"/>
          <w:szCs w:val="44"/>
        </w:rPr>
      </w:pPr>
      <w:r>
        <w:br w:type="page"/>
      </w:r>
    </w:p>
    <w:p w:rsidR="001635F7" w:rsidRDefault="001635F7" w:rsidP="001635F7">
      <w:pPr>
        <w:pStyle w:val="Heading1"/>
      </w:pPr>
      <w:bookmarkStart w:id="51" w:name="_Toc522544293"/>
      <w:bookmarkStart w:id="52" w:name="_Toc522551297"/>
      <w:r>
        <w:t>Gender Equality Bill Consultations 2018</w:t>
      </w:r>
      <w:bookmarkEnd w:id="51"/>
      <w:bookmarkEnd w:id="52"/>
    </w:p>
    <w:p w:rsidR="001635F7" w:rsidRPr="005223A7" w:rsidRDefault="001635F7" w:rsidP="00175AA9">
      <w:pPr>
        <w:pStyle w:val="DHHSbody"/>
      </w:pPr>
      <w:r w:rsidRPr="005223A7">
        <w:t xml:space="preserve">Between </w:t>
      </w:r>
      <w:r>
        <w:t>20 August</w:t>
      </w:r>
      <w:r w:rsidRPr="005223A7">
        <w:t xml:space="preserve"> and </w:t>
      </w:r>
      <w:r w:rsidRPr="0040366A">
        <w:t>28 September</w:t>
      </w:r>
      <w:r w:rsidRPr="005223A7">
        <w:t xml:space="preserve"> 2018 the Victorian Government </w:t>
      </w:r>
      <w:r>
        <w:t xml:space="preserve">is seeking to consult and engage with </w:t>
      </w:r>
      <w:r w:rsidRPr="005223A7">
        <w:t>community to gather views on the</w:t>
      </w:r>
      <w:r>
        <w:t xml:space="preserve"> key elements and practical aspects of the</w:t>
      </w:r>
      <w:r w:rsidRPr="005223A7">
        <w:t xml:space="preserve"> Gender Equality Bill Exposure Draft. The</w:t>
      </w:r>
      <w:r>
        <w:t>se include</w:t>
      </w:r>
      <w:r w:rsidRPr="005223A7">
        <w:t>:</w:t>
      </w:r>
    </w:p>
    <w:p w:rsidR="001635F7" w:rsidRPr="005223A7" w:rsidRDefault="001635F7" w:rsidP="00175AA9">
      <w:pPr>
        <w:pStyle w:val="Heading2"/>
      </w:pPr>
      <w:r w:rsidRPr="005223A7">
        <w:t xml:space="preserve">Public </w:t>
      </w:r>
      <w:r w:rsidR="00175AA9">
        <w:t>s</w:t>
      </w:r>
      <w:r w:rsidRPr="005223A7">
        <w:t xml:space="preserve">ubmissions </w:t>
      </w:r>
    </w:p>
    <w:p w:rsidR="001635F7" w:rsidRPr="005223A7" w:rsidRDefault="001635F7" w:rsidP="00175AA9">
      <w:pPr>
        <w:pStyle w:val="DHHSbody"/>
      </w:pPr>
      <w:r w:rsidRPr="005223A7">
        <w:t>This Discussion Paper will be publicly released to enable members of the community with an interest in the Gender Equality Bill to have their say.</w:t>
      </w:r>
    </w:p>
    <w:p w:rsidR="001635F7" w:rsidRDefault="001635F7" w:rsidP="00175AA9">
      <w:pPr>
        <w:pStyle w:val="DHHSbody"/>
        <w:rPr>
          <w:rFonts w:ascii="Helv" w:hAnsi="Helv" w:cs="Helv"/>
          <w:b/>
          <w:bCs/>
          <w:color w:val="000000"/>
        </w:rPr>
      </w:pPr>
      <w:r w:rsidRPr="005223A7">
        <w:t xml:space="preserve">Individuals or organisations are encouraged to submit feedback and suggestions via </w:t>
      </w:r>
      <w:hyperlink r:id="rId17" w:history="1">
        <w:r w:rsidR="00175AA9" w:rsidRPr="00EA758B">
          <w:rPr>
            <w:rStyle w:val="Hyperlink"/>
            <w:szCs w:val="19"/>
          </w:rPr>
          <w:t>Engage Victoria</w:t>
        </w:r>
      </w:hyperlink>
      <w:r w:rsidR="00175AA9">
        <w:rPr>
          <w:szCs w:val="19"/>
        </w:rPr>
        <w:t xml:space="preserve"> &lt;</w:t>
      </w:r>
      <w:r w:rsidR="00175AA9" w:rsidRPr="00EA758B">
        <w:rPr>
          <w:szCs w:val="19"/>
        </w:rPr>
        <w:t>engage.vic.gov.au/gender-equality</w:t>
      </w:r>
      <w:r w:rsidR="00175AA9">
        <w:rPr>
          <w:szCs w:val="19"/>
        </w:rPr>
        <w:t>&gt;.</w:t>
      </w:r>
    </w:p>
    <w:p w:rsidR="001635F7" w:rsidRPr="005223A7" w:rsidRDefault="001635F7" w:rsidP="00175AA9">
      <w:pPr>
        <w:pStyle w:val="DHHSbody"/>
      </w:pPr>
      <w:r>
        <w:t xml:space="preserve">We encourage you to </w:t>
      </w:r>
      <w:r w:rsidRPr="005223A7">
        <w:t>use this Discussion Paper to ‘host a community consultation’ with your colleagues or stakeholders using the questions we have provided as discussion starters.</w:t>
      </w:r>
    </w:p>
    <w:p w:rsidR="001635F7" w:rsidRPr="005223A7" w:rsidRDefault="001635F7" w:rsidP="00175AA9">
      <w:pPr>
        <w:pStyle w:val="Heading2"/>
      </w:pPr>
      <w:r w:rsidRPr="005223A7">
        <w:t xml:space="preserve">Stakeholder </w:t>
      </w:r>
      <w:r w:rsidR="00175AA9">
        <w:t>w</w:t>
      </w:r>
      <w:r w:rsidRPr="005223A7">
        <w:t>orkshops</w:t>
      </w:r>
    </w:p>
    <w:p w:rsidR="001635F7" w:rsidRPr="005223A7" w:rsidRDefault="001635F7" w:rsidP="00175AA9">
      <w:pPr>
        <w:pStyle w:val="DHHSbody"/>
      </w:pPr>
      <w:r w:rsidRPr="005223A7">
        <w:t xml:space="preserve">The Victorian Government will be holding face-to-face workshops with representatives from sectors that are proposed to be impacted by the Gender Equality Bill. These include workshops in metropolitan and regional locations. </w:t>
      </w:r>
    </w:p>
    <w:p w:rsidR="001635F7" w:rsidRPr="005223A7" w:rsidRDefault="001635F7" w:rsidP="00175AA9">
      <w:pPr>
        <w:pStyle w:val="DHHSbody"/>
      </w:pPr>
      <w:r w:rsidRPr="005223A7">
        <w:t>If you would like to know more about the stakeholder workshops or register for your organisation to attend then please contact gender.equality@dhhs.vic.gov.au</w:t>
      </w:r>
    </w:p>
    <w:p w:rsidR="001635F7" w:rsidRPr="005223A7" w:rsidRDefault="001635F7" w:rsidP="00175AA9">
      <w:pPr>
        <w:pStyle w:val="Heading2"/>
      </w:pPr>
      <w:r>
        <w:t xml:space="preserve">A </w:t>
      </w:r>
      <w:r w:rsidR="00175AA9">
        <w:t>c</w:t>
      </w:r>
      <w:r w:rsidRPr="005223A7">
        <w:t>itizens</w:t>
      </w:r>
      <w:r>
        <w:t>’</w:t>
      </w:r>
      <w:r w:rsidRPr="005223A7">
        <w:t xml:space="preserve"> </w:t>
      </w:r>
      <w:r w:rsidR="00175AA9">
        <w:t>jury</w:t>
      </w:r>
      <w:r w:rsidR="000A4D6A">
        <w:t xml:space="preserve"> </w:t>
      </w:r>
    </w:p>
    <w:p w:rsidR="001635F7" w:rsidRPr="005223A7" w:rsidRDefault="001635F7" w:rsidP="001635F7">
      <w:pPr>
        <w:pStyle w:val="DHHSbody"/>
        <w:rPr>
          <w:rFonts w:cs="Arial"/>
          <w:szCs w:val="22"/>
        </w:rPr>
      </w:pPr>
      <w:r w:rsidRPr="005223A7">
        <w:rPr>
          <w:rFonts w:cs="Arial"/>
          <w:szCs w:val="22"/>
        </w:rPr>
        <w:t xml:space="preserve">The Victorian Government will be running a Citizen Jury </w:t>
      </w:r>
      <w:r>
        <w:rPr>
          <w:rFonts w:cs="Arial"/>
          <w:szCs w:val="22"/>
        </w:rPr>
        <w:t xml:space="preserve">over the weekend of 15-16 September with a </w:t>
      </w:r>
      <w:r w:rsidRPr="005223A7">
        <w:rPr>
          <w:rFonts w:cs="Arial"/>
          <w:szCs w:val="22"/>
        </w:rPr>
        <w:t>focus on the setting of targets within the Gender Equality Bill. The Citizens Jury will be asked to consider a key question that relates to</w:t>
      </w:r>
      <w:r>
        <w:rPr>
          <w:rFonts w:cs="Arial"/>
          <w:szCs w:val="22"/>
        </w:rPr>
        <w:t xml:space="preserve"> the Exposure Draft of the Gender Equality Bill and</w:t>
      </w:r>
      <w:r w:rsidRPr="005223A7">
        <w:rPr>
          <w:rFonts w:cs="Arial"/>
          <w:szCs w:val="22"/>
        </w:rPr>
        <w:t xml:space="preserve"> the scope and implementation of targets as related to the Gender Equality Bill.</w:t>
      </w:r>
    </w:p>
    <w:p w:rsidR="001635F7" w:rsidRPr="005223A7" w:rsidRDefault="001635F7" w:rsidP="001635F7">
      <w:pPr>
        <w:pStyle w:val="DHHSbody"/>
        <w:rPr>
          <w:rFonts w:cs="Arial"/>
          <w:szCs w:val="22"/>
        </w:rPr>
      </w:pPr>
      <w:r w:rsidRPr="005223A7">
        <w:rPr>
          <w:rFonts w:cs="Arial"/>
          <w:szCs w:val="22"/>
        </w:rPr>
        <w:t xml:space="preserve">A Citizens’ Jury is a form of engagement where a cross-section of people from the public are directly involved in the decision making process. A Citizen Jury has numerous benefits, including a more in-depth public dialogue </w:t>
      </w:r>
    </w:p>
    <w:p w:rsidR="001635F7" w:rsidRPr="005223A7" w:rsidRDefault="001635F7" w:rsidP="001635F7">
      <w:pPr>
        <w:pStyle w:val="DHHSbody"/>
        <w:rPr>
          <w:rFonts w:cs="Arial"/>
          <w:szCs w:val="22"/>
        </w:rPr>
      </w:pPr>
      <w:r w:rsidRPr="005223A7">
        <w:rPr>
          <w:rFonts w:cs="Arial"/>
          <w:szCs w:val="22"/>
        </w:rPr>
        <w:t>Citizens’ Jury is normally done by random selection to find a representative sample of the community. Invitations are sent to people, who are then asked to register online for possible selection, with a second random draw finalising the jury.</w:t>
      </w:r>
    </w:p>
    <w:p w:rsidR="001635F7" w:rsidRPr="005223A7" w:rsidRDefault="001635F7" w:rsidP="001635F7">
      <w:pPr>
        <w:pStyle w:val="DHHSbody"/>
        <w:rPr>
          <w:rFonts w:cs="Arial"/>
          <w:szCs w:val="22"/>
        </w:rPr>
      </w:pPr>
      <w:r w:rsidRPr="005223A7">
        <w:rPr>
          <w:rFonts w:cs="Arial"/>
          <w:szCs w:val="22"/>
        </w:rPr>
        <w:t>The Citizens’ Jury is briefed on the background and detail of a particular issue and asked to discuss a solution or outcome.</w:t>
      </w:r>
      <w:r w:rsidR="000A4D6A">
        <w:rPr>
          <w:rFonts w:cs="Arial"/>
          <w:szCs w:val="22"/>
        </w:rPr>
        <w:t xml:space="preserve"> </w:t>
      </w:r>
      <w:r w:rsidRPr="005223A7">
        <w:rPr>
          <w:rFonts w:cs="Arial"/>
          <w:szCs w:val="22"/>
        </w:rPr>
        <w:t xml:space="preserve">Citizen Juries are increasingly recognised and used in public engagement processes. </w:t>
      </w:r>
    </w:p>
    <w:p w:rsidR="001635F7" w:rsidRPr="005223A7" w:rsidRDefault="001635F7" w:rsidP="001635F7">
      <w:pPr>
        <w:pStyle w:val="DHHSbody"/>
        <w:rPr>
          <w:rFonts w:cs="Arial"/>
          <w:szCs w:val="22"/>
        </w:rPr>
      </w:pPr>
      <w:r w:rsidRPr="005223A7">
        <w:rPr>
          <w:rFonts w:cs="Arial"/>
          <w:szCs w:val="22"/>
        </w:rPr>
        <w:t>Recent examples of Citizen Juries include Infrastructure Victoria’s development of a 30 Year Plan and the process for electing a new Greater Geelong City Council.</w:t>
      </w:r>
    </w:p>
    <w:p w:rsidR="001635F7" w:rsidRDefault="001635F7" w:rsidP="001635F7">
      <w:pPr>
        <w:rPr>
          <w:rFonts w:ascii="Arial" w:hAnsi="Arial"/>
          <w:bCs/>
          <w:color w:val="87189D"/>
          <w:sz w:val="44"/>
          <w:szCs w:val="44"/>
        </w:rPr>
      </w:pPr>
      <w:r>
        <w:br w:type="page"/>
      </w:r>
    </w:p>
    <w:p w:rsidR="001635F7" w:rsidRDefault="001635F7" w:rsidP="001635F7">
      <w:pPr>
        <w:pStyle w:val="Heading1"/>
      </w:pPr>
      <w:bookmarkStart w:id="53" w:name="_Toc522544294"/>
      <w:bookmarkStart w:id="54" w:name="_Toc522551298"/>
      <w:r>
        <w:t>Get involved</w:t>
      </w:r>
      <w:bookmarkEnd w:id="53"/>
      <w:bookmarkEnd w:id="54"/>
    </w:p>
    <w:p w:rsidR="001635F7" w:rsidRDefault="001635F7" w:rsidP="00175AA9">
      <w:pPr>
        <w:pStyle w:val="DHHSbody"/>
      </w:pPr>
      <w:r>
        <w:t>The government invites all Victorians to get involved by making a submission about the proposed Gender Equality Bill. All submissions will be made publicly available, unless a specific request is made to the Department of Health and Human Services to consider a confidential submission.</w:t>
      </w:r>
    </w:p>
    <w:p w:rsidR="001635F7" w:rsidRDefault="001635F7" w:rsidP="00175AA9">
      <w:pPr>
        <w:pStyle w:val="DHHSbody"/>
      </w:pPr>
      <w:r>
        <w:t>Please make a submission in one of the following ways:</w:t>
      </w:r>
    </w:p>
    <w:p w:rsidR="00175AA9" w:rsidRDefault="001635F7" w:rsidP="00175AA9">
      <w:pPr>
        <w:pStyle w:val="DHHSbody"/>
        <w:rPr>
          <w:rFonts w:ascii="Helv" w:hAnsi="Helv" w:cs="Helv"/>
          <w:b/>
          <w:bCs/>
          <w:color w:val="000000"/>
        </w:rPr>
      </w:pPr>
      <w:r w:rsidRPr="00017EED">
        <w:rPr>
          <w:b/>
        </w:rPr>
        <w:t xml:space="preserve">Online: </w:t>
      </w:r>
      <w:r w:rsidRPr="00900D8E">
        <w:t xml:space="preserve">via the </w:t>
      </w:r>
      <w:hyperlink r:id="rId18" w:history="1">
        <w:r w:rsidR="00175AA9" w:rsidRPr="00EA758B">
          <w:rPr>
            <w:rStyle w:val="Hyperlink"/>
            <w:szCs w:val="19"/>
          </w:rPr>
          <w:t>Engage Victoria</w:t>
        </w:r>
      </w:hyperlink>
      <w:r w:rsidR="00175AA9">
        <w:rPr>
          <w:szCs w:val="19"/>
        </w:rPr>
        <w:t xml:space="preserve"> &lt;</w:t>
      </w:r>
      <w:r w:rsidR="00175AA9" w:rsidRPr="00EA758B">
        <w:rPr>
          <w:szCs w:val="19"/>
        </w:rPr>
        <w:t>engage.vic.gov.au/gender-equality</w:t>
      </w:r>
      <w:r w:rsidR="00175AA9">
        <w:rPr>
          <w:szCs w:val="19"/>
        </w:rPr>
        <w:t>&gt;.</w:t>
      </w:r>
    </w:p>
    <w:p w:rsidR="001635F7" w:rsidRDefault="00771D41" w:rsidP="00175AA9">
      <w:pPr>
        <w:pStyle w:val="DHHSbody"/>
      </w:pPr>
      <w:hyperlink r:id="rId19" w:history="1">
        <w:r w:rsidR="001635F7" w:rsidRPr="00175AA9">
          <w:rPr>
            <w:rStyle w:val="Hyperlink"/>
            <w:b/>
          </w:rPr>
          <w:t>Email:</w:t>
        </w:r>
        <w:r w:rsidR="001635F7" w:rsidRPr="00175AA9">
          <w:rPr>
            <w:rStyle w:val="Hyperlink"/>
          </w:rPr>
          <w:t xml:space="preserve"> </w:t>
        </w:r>
        <w:r w:rsidR="00175AA9" w:rsidRPr="00175AA9">
          <w:rPr>
            <w:rStyle w:val="Hyperlink"/>
          </w:rPr>
          <w:t>Gender Equality unit</w:t>
        </w:r>
      </w:hyperlink>
      <w:r w:rsidR="00175AA9">
        <w:t xml:space="preserve"> &lt;gender.equality@dhhs.vic.gov.</w:t>
      </w:r>
      <w:r w:rsidR="001635F7">
        <w:t>au</w:t>
      </w:r>
      <w:r w:rsidR="00175AA9">
        <w:t>&gt;</w:t>
      </w:r>
    </w:p>
    <w:p w:rsidR="001635F7" w:rsidRDefault="001635F7" w:rsidP="00175AA9">
      <w:pPr>
        <w:pStyle w:val="DHHSbody"/>
      </w:pPr>
      <w:r w:rsidRPr="00017EED">
        <w:rPr>
          <w:b/>
        </w:rPr>
        <w:t>Post:</w:t>
      </w:r>
      <w:r>
        <w:t xml:space="preserve"> </w:t>
      </w:r>
    </w:p>
    <w:p w:rsidR="001635F7" w:rsidRDefault="001635F7" w:rsidP="00175AA9">
      <w:pPr>
        <w:pStyle w:val="DHHSbody"/>
      </w:pPr>
      <w:r>
        <w:t xml:space="preserve">Gender Equality </w:t>
      </w:r>
      <w:r w:rsidR="00175AA9">
        <w:t>unit</w:t>
      </w:r>
      <w:r w:rsidR="00175AA9">
        <w:br/>
      </w:r>
      <w:r>
        <w:t>Office for Women</w:t>
      </w:r>
      <w:r w:rsidR="00175AA9">
        <w:br/>
      </w:r>
      <w:r>
        <w:t>Department of Health and Human Services</w:t>
      </w:r>
      <w:r w:rsidR="00175AA9">
        <w:br/>
        <w:t>50 Lonsdale Street</w:t>
      </w:r>
      <w:r w:rsidR="00175AA9">
        <w:br/>
      </w:r>
      <w:r>
        <w:t>Melbourne Victoria 3000</w:t>
      </w:r>
    </w:p>
    <w:p w:rsidR="001635F7" w:rsidRDefault="001635F7" w:rsidP="00175AA9">
      <w:pPr>
        <w:pStyle w:val="DHHSbody"/>
      </w:pPr>
      <w:r>
        <w:t>Submissions in other formats will also be accepted.</w:t>
      </w:r>
    </w:p>
    <w:p w:rsidR="001635F7" w:rsidRDefault="001635F7" w:rsidP="00175AA9">
      <w:pPr>
        <w:pStyle w:val="DHHSbody"/>
      </w:pPr>
      <w:r>
        <w:t>To contact the Office for Women:</w:t>
      </w:r>
    </w:p>
    <w:p w:rsidR="00175AA9" w:rsidRDefault="001635F7" w:rsidP="00175AA9">
      <w:pPr>
        <w:pStyle w:val="DHHSbody"/>
      </w:pPr>
      <w:r>
        <w:t xml:space="preserve">Visit: </w:t>
      </w:r>
      <w:hyperlink r:id="rId20" w:history="1">
        <w:r w:rsidR="00175AA9" w:rsidRPr="00175AA9">
          <w:rPr>
            <w:rStyle w:val="Hyperlink"/>
          </w:rPr>
          <w:t>Women Victoria</w:t>
        </w:r>
      </w:hyperlink>
      <w:r w:rsidR="00175AA9">
        <w:t xml:space="preserve"> &lt;</w:t>
      </w:r>
      <w:r w:rsidR="00175AA9" w:rsidRPr="00175AA9">
        <w:t>https://www.vic.gov.au/women.html</w:t>
      </w:r>
      <w:r w:rsidR="00175AA9">
        <w:t>&gt;</w:t>
      </w:r>
    </w:p>
    <w:p w:rsidR="00175AA9" w:rsidRDefault="00771D41" w:rsidP="00175AA9">
      <w:pPr>
        <w:pStyle w:val="DHHSbody"/>
      </w:pPr>
      <w:hyperlink r:id="rId21" w:history="1">
        <w:r w:rsidR="00175AA9" w:rsidRPr="00175AA9">
          <w:rPr>
            <w:rStyle w:val="Hyperlink"/>
            <w:b/>
          </w:rPr>
          <w:t>Email:</w:t>
        </w:r>
        <w:r w:rsidR="00175AA9" w:rsidRPr="00175AA9">
          <w:rPr>
            <w:rStyle w:val="Hyperlink"/>
          </w:rPr>
          <w:t xml:space="preserve"> Gender Equality unit</w:t>
        </w:r>
      </w:hyperlink>
      <w:r w:rsidR="00175AA9">
        <w:t xml:space="preserve"> &lt;gender.equality@dhhs.vic.gov.au&gt;</w:t>
      </w:r>
    </w:p>
    <w:p w:rsidR="001635F7" w:rsidRDefault="001635F7" w:rsidP="00175AA9">
      <w:pPr>
        <w:pStyle w:val="DHHSbody"/>
      </w:pPr>
      <w:r>
        <w:t xml:space="preserve">Submissions in response to the </w:t>
      </w:r>
      <w:r w:rsidR="00175AA9">
        <w:t>d</w:t>
      </w:r>
      <w:r>
        <w:t xml:space="preserve">raft Bill close </w:t>
      </w:r>
      <w:r w:rsidRPr="0040366A">
        <w:t>28 September</w:t>
      </w:r>
      <w:r>
        <w:t xml:space="preserve"> 2018 at 5</w:t>
      </w:r>
      <w:r w:rsidR="00175AA9">
        <w:t xml:space="preserve">.00 </w:t>
      </w:r>
      <w:r>
        <w:t>pm.</w:t>
      </w:r>
    </w:p>
    <w:p w:rsidR="00D61EFC" w:rsidRDefault="00D61EFC">
      <w:pPr>
        <w:rPr>
          <w:rFonts w:ascii="Arial" w:hAnsi="Arial"/>
          <w:bCs/>
          <w:color w:val="87189D"/>
          <w:sz w:val="44"/>
          <w:szCs w:val="44"/>
        </w:rPr>
      </w:pPr>
      <w:bookmarkStart w:id="55" w:name="_Toc522544295"/>
      <w:r>
        <w:br w:type="page"/>
      </w:r>
    </w:p>
    <w:p w:rsidR="001635F7" w:rsidRDefault="001635F7" w:rsidP="001635F7">
      <w:pPr>
        <w:pStyle w:val="Heading1"/>
      </w:pPr>
      <w:bookmarkStart w:id="56" w:name="_Toc522551299"/>
      <w:r>
        <w:t>Next steps</w:t>
      </w:r>
      <w:bookmarkEnd w:id="55"/>
      <w:bookmarkEnd w:id="56"/>
    </w:p>
    <w:p w:rsidR="001635F7" w:rsidRPr="00C31AEF" w:rsidRDefault="001635F7" w:rsidP="001635F7">
      <w:pPr>
        <w:pStyle w:val="DHHSbody"/>
        <w:rPr>
          <w:szCs w:val="22"/>
        </w:rPr>
      </w:pPr>
      <w:r w:rsidRPr="00C31AEF">
        <w:rPr>
          <w:szCs w:val="22"/>
        </w:rPr>
        <w:t xml:space="preserve">The </w:t>
      </w:r>
      <w:r w:rsidR="00175AA9">
        <w:rPr>
          <w:szCs w:val="22"/>
        </w:rPr>
        <w:t>Victorian Government</w:t>
      </w:r>
      <w:r w:rsidRPr="00C31AEF">
        <w:rPr>
          <w:szCs w:val="22"/>
        </w:rPr>
        <w:t xml:space="preserve"> is committed to reviewing all submissions and feedback that fall within the scope of the Gender Equality Bill</w:t>
      </w:r>
      <w:r w:rsidR="00175AA9">
        <w:rPr>
          <w:szCs w:val="22"/>
        </w:rPr>
        <w:t xml:space="preserve"> e</w:t>
      </w:r>
      <w:r w:rsidRPr="00C31AEF">
        <w:rPr>
          <w:szCs w:val="22"/>
        </w:rPr>
        <w:t xml:space="preserve">xposure </w:t>
      </w:r>
      <w:r w:rsidR="00175AA9">
        <w:rPr>
          <w:szCs w:val="22"/>
        </w:rPr>
        <w:t>d</w:t>
      </w:r>
      <w:r w:rsidRPr="00C31AEF">
        <w:rPr>
          <w:szCs w:val="22"/>
        </w:rPr>
        <w:t xml:space="preserve">raft consultation as outlined in this paper. </w:t>
      </w:r>
    </w:p>
    <w:p w:rsidR="001635F7" w:rsidRPr="00C31AEF" w:rsidRDefault="001635F7" w:rsidP="001635F7">
      <w:pPr>
        <w:pStyle w:val="DHHSbody"/>
        <w:rPr>
          <w:szCs w:val="22"/>
        </w:rPr>
      </w:pPr>
      <w:r w:rsidRPr="00C31AEF">
        <w:rPr>
          <w:szCs w:val="22"/>
        </w:rPr>
        <w:t xml:space="preserve">All submissions and consultation findings will be thoroughly reviewed by the Department of Health and Human Services. </w:t>
      </w:r>
    </w:p>
    <w:p w:rsidR="001635F7" w:rsidRPr="00C31AEF" w:rsidRDefault="001635F7" w:rsidP="001635F7">
      <w:pPr>
        <w:pStyle w:val="DHHSbody"/>
        <w:rPr>
          <w:szCs w:val="22"/>
        </w:rPr>
      </w:pPr>
      <w:r w:rsidRPr="00C31AEF">
        <w:rPr>
          <w:szCs w:val="22"/>
        </w:rPr>
        <w:t xml:space="preserve">A </w:t>
      </w:r>
      <w:r w:rsidR="00175AA9">
        <w:rPr>
          <w:szCs w:val="22"/>
        </w:rPr>
        <w:t>s</w:t>
      </w:r>
      <w:r w:rsidRPr="00C31AEF">
        <w:rPr>
          <w:szCs w:val="22"/>
        </w:rPr>
        <w:t xml:space="preserve">ummary </w:t>
      </w:r>
      <w:r w:rsidR="00175AA9">
        <w:rPr>
          <w:szCs w:val="22"/>
        </w:rPr>
        <w:t>r</w:t>
      </w:r>
      <w:r w:rsidRPr="00C31AEF">
        <w:rPr>
          <w:szCs w:val="22"/>
        </w:rPr>
        <w:t>epo</w:t>
      </w:r>
      <w:r w:rsidR="00175AA9">
        <w:rPr>
          <w:szCs w:val="22"/>
        </w:rPr>
        <w:t>rt on the Gender Equality Bill e</w:t>
      </w:r>
      <w:r w:rsidRPr="00C31AEF">
        <w:rPr>
          <w:szCs w:val="22"/>
        </w:rPr>
        <w:t xml:space="preserve">xposure </w:t>
      </w:r>
      <w:r w:rsidR="00175AA9">
        <w:rPr>
          <w:szCs w:val="22"/>
        </w:rPr>
        <w:t>d</w:t>
      </w:r>
      <w:r w:rsidRPr="00C31AEF">
        <w:rPr>
          <w:szCs w:val="22"/>
        </w:rPr>
        <w:t xml:space="preserve">raft consultation will be released in early 2019. </w:t>
      </w:r>
    </w:p>
    <w:p w:rsidR="001635F7" w:rsidRPr="00C31AEF" w:rsidRDefault="001635F7" w:rsidP="001635F7">
      <w:pPr>
        <w:pStyle w:val="DHHSbody"/>
        <w:rPr>
          <w:szCs w:val="22"/>
        </w:rPr>
      </w:pPr>
      <w:r w:rsidRPr="00C31AEF">
        <w:rPr>
          <w:szCs w:val="22"/>
        </w:rPr>
        <w:t>Additional consultations may be held on key implementation aspects of the Bill, such as reporting, targets and indicators.</w:t>
      </w:r>
    </w:p>
    <w:sectPr w:rsidR="001635F7" w:rsidRPr="00C31AEF" w:rsidSect="00EA758B">
      <w:footerReference w:type="even" r:id="rId22"/>
      <w:pgSz w:w="11906" w:h="16838"/>
      <w:pgMar w:top="1701" w:right="1304" w:bottom="993" w:left="1304" w:header="454"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58B" w:rsidRDefault="00EA758B">
      <w:r>
        <w:separator/>
      </w:r>
    </w:p>
  </w:endnote>
  <w:endnote w:type="continuationSeparator" w:id="0">
    <w:p w:rsidR="00EA758B" w:rsidRDefault="00EA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58B" w:rsidRDefault="00EA758B" w:rsidP="001635F7">
    <w:pPr>
      <w:pStyle w:val="DHHSfooter"/>
    </w:pPr>
    <w:r>
      <w:t>Gender Equality Bill exposure d</w:t>
    </w:r>
    <w:r w:rsidRPr="008A0C3B">
      <w:t>raft: discussion paper</w:t>
    </w:r>
    <w:r w:rsidRPr="0031753A">
      <w:tab/>
      <w:t xml:space="preserve">Page </w:t>
    </w:r>
    <w:r w:rsidRPr="0031753A">
      <w:fldChar w:fldCharType="begin"/>
    </w:r>
    <w:r w:rsidRPr="0031753A">
      <w:instrText xml:space="preserve"> PAGE </w:instrText>
    </w:r>
    <w:r w:rsidRPr="0031753A">
      <w:fldChar w:fldCharType="separate"/>
    </w:r>
    <w:r w:rsidR="00771D41">
      <w:rPr>
        <w:noProof/>
      </w:rPr>
      <w:t>1</w:t>
    </w:r>
    <w:r w:rsidRPr="0031753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58B" w:rsidRPr="008A0C3B" w:rsidRDefault="00EA758B" w:rsidP="00EA758B">
    <w:pPr>
      <w:pStyle w:val="DHHSfooter"/>
    </w:pPr>
    <w:r>
      <w:t xml:space="preserve">Page </w:t>
    </w:r>
    <w:r w:rsidRPr="005A39EC">
      <w:fldChar w:fldCharType="begin"/>
    </w:r>
    <w:r w:rsidRPr="005A39EC">
      <w:instrText xml:space="preserve"> PAGE </w:instrText>
    </w:r>
    <w:r w:rsidRPr="005A39EC">
      <w:fldChar w:fldCharType="separate"/>
    </w:r>
    <w:r w:rsidR="00771D41">
      <w:rPr>
        <w:noProof/>
      </w:rPr>
      <w:t>8</w:t>
    </w:r>
    <w:r w:rsidRPr="005A39EC">
      <w:fldChar w:fldCharType="end"/>
    </w:r>
    <w:r>
      <w:tab/>
    </w:r>
    <w:r w:rsidRPr="008A0C3B">
      <w:t>Gender Equality Bill Exposure Draft: discussion paper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58B" w:rsidRDefault="00EA758B">
      <w:r>
        <w:separator/>
      </w:r>
    </w:p>
  </w:footnote>
  <w:footnote w:type="continuationSeparator" w:id="0">
    <w:p w:rsidR="00EA758B" w:rsidRDefault="00EA7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
    <w:nsid w:val="03115A39"/>
    <w:multiLevelType w:val="hybridMultilevel"/>
    <w:tmpl w:val="0E760F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05199A"/>
    <w:multiLevelType w:val="hybridMultilevel"/>
    <w:tmpl w:val="CBD2C7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7917367"/>
    <w:multiLevelType w:val="hybridMultilevel"/>
    <w:tmpl w:val="F948F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F846E1C"/>
    <w:multiLevelType w:val="hybridMultilevel"/>
    <w:tmpl w:val="C8A2A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B8D1D86"/>
    <w:multiLevelType w:val="hybridMultilevel"/>
    <w:tmpl w:val="BAB41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2D62596"/>
    <w:multiLevelType w:val="hybridMultilevel"/>
    <w:tmpl w:val="31481C16"/>
    <w:lvl w:ilvl="0" w:tplc="0C090001">
      <w:start w:val="1"/>
      <w:numFmt w:val="bullet"/>
      <w:lvlText w:val=""/>
      <w:lvlJc w:val="left"/>
      <w:pPr>
        <w:ind w:left="896" w:hanging="360"/>
      </w:pPr>
      <w:rPr>
        <w:rFonts w:ascii="Symbol" w:hAnsi="Symbol" w:hint="default"/>
      </w:rPr>
    </w:lvl>
    <w:lvl w:ilvl="1" w:tplc="0C090003" w:tentative="1">
      <w:start w:val="1"/>
      <w:numFmt w:val="bullet"/>
      <w:lvlText w:val="o"/>
      <w:lvlJc w:val="left"/>
      <w:pPr>
        <w:ind w:left="1616" w:hanging="360"/>
      </w:pPr>
      <w:rPr>
        <w:rFonts w:ascii="Courier New" w:hAnsi="Courier New" w:cs="Courier New" w:hint="default"/>
      </w:rPr>
    </w:lvl>
    <w:lvl w:ilvl="2" w:tplc="0C090005" w:tentative="1">
      <w:start w:val="1"/>
      <w:numFmt w:val="bullet"/>
      <w:lvlText w:val=""/>
      <w:lvlJc w:val="left"/>
      <w:pPr>
        <w:ind w:left="2336" w:hanging="360"/>
      </w:pPr>
      <w:rPr>
        <w:rFonts w:ascii="Wingdings" w:hAnsi="Wingdings" w:hint="default"/>
      </w:rPr>
    </w:lvl>
    <w:lvl w:ilvl="3" w:tplc="0C090001" w:tentative="1">
      <w:start w:val="1"/>
      <w:numFmt w:val="bullet"/>
      <w:lvlText w:val=""/>
      <w:lvlJc w:val="left"/>
      <w:pPr>
        <w:ind w:left="3056" w:hanging="360"/>
      </w:pPr>
      <w:rPr>
        <w:rFonts w:ascii="Symbol" w:hAnsi="Symbol" w:hint="default"/>
      </w:rPr>
    </w:lvl>
    <w:lvl w:ilvl="4" w:tplc="0C090003" w:tentative="1">
      <w:start w:val="1"/>
      <w:numFmt w:val="bullet"/>
      <w:lvlText w:val="o"/>
      <w:lvlJc w:val="left"/>
      <w:pPr>
        <w:ind w:left="3776" w:hanging="360"/>
      </w:pPr>
      <w:rPr>
        <w:rFonts w:ascii="Courier New" w:hAnsi="Courier New" w:cs="Courier New" w:hint="default"/>
      </w:rPr>
    </w:lvl>
    <w:lvl w:ilvl="5" w:tplc="0C090005" w:tentative="1">
      <w:start w:val="1"/>
      <w:numFmt w:val="bullet"/>
      <w:lvlText w:val=""/>
      <w:lvlJc w:val="left"/>
      <w:pPr>
        <w:ind w:left="4496" w:hanging="360"/>
      </w:pPr>
      <w:rPr>
        <w:rFonts w:ascii="Wingdings" w:hAnsi="Wingdings" w:hint="default"/>
      </w:rPr>
    </w:lvl>
    <w:lvl w:ilvl="6" w:tplc="0C090001" w:tentative="1">
      <w:start w:val="1"/>
      <w:numFmt w:val="bullet"/>
      <w:lvlText w:val=""/>
      <w:lvlJc w:val="left"/>
      <w:pPr>
        <w:ind w:left="5216" w:hanging="360"/>
      </w:pPr>
      <w:rPr>
        <w:rFonts w:ascii="Symbol" w:hAnsi="Symbol" w:hint="default"/>
      </w:rPr>
    </w:lvl>
    <w:lvl w:ilvl="7" w:tplc="0C090003" w:tentative="1">
      <w:start w:val="1"/>
      <w:numFmt w:val="bullet"/>
      <w:lvlText w:val="o"/>
      <w:lvlJc w:val="left"/>
      <w:pPr>
        <w:ind w:left="5936" w:hanging="360"/>
      </w:pPr>
      <w:rPr>
        <w:rFonts w:ascii="Courier New" w:hAnsi="Courier New" w:cs="Courier New" w:hint="default"/>
      </w:rPr>
    </w:lvl>
    <w:lvl w:ilvl="8" w:tplc="0C090005" w:tentative="1">
      <w:start w:val="1"/>
      <w:numFmt w:val="bullet"/>
      <w:lvlText w:val=""/>
      <w:lvlJc w:val="left"/>
      <w:pPr>
        <w:ind w:left="6656" w:hanging="360"/>
      </w:pPr>
      <w:rPr>
        <w:rFonts w:ascii="Wingdings" w:hAnsi="Wingdings" w:hint="default"/>
      </w:rPr>
    </w:lvl>
  </w:abstractNum>
  <w:abstractNum w:abstractNumId="7">
    <w:nsid w:val="28D51B47"/>
    <w:multiLevelType w:val="multilevel"/>
    <w:tmpl w:val="4B4E7622"/>
    <w:numStyleLink w:val="ZZNumbers"/>
  </w:abstractNum>
  <w:abstractNum w:abstractNumId="8">
    <w:nsid w:val="2BF631EE"/>
    <w:multiLevelType w:val="hybridMultilevel"/>
    <w:tmpl w:val="7D189A78"/>
    <w:lvl w:ilvl="0" w:tplc="79B44D8C">
      <w:start w:val="1"/>
      <w:numFmt w:val="decimal"/>
      <w:lvlText w:val="%1."/>
      <w:lvlJc w:val="left"/>
      <w:pPr>
        <w:ind w:left="1069" w:hanging="360"/>
      </w:pPr>
      <w:rPr>
        <w:b w:val="0"/>
        <w:i w:val="0"/>
        <w:color w:val="auto"/>
      </w:rPr>
    </w:lvl>
    <w:lvl w:ilvl="1" w:tplc="0C090019">
      <w:start w:val="1"/>
      <w:numFmt w:val="lowerLetter"/>
      <w:lvlText w:val="%2."/>
      <w:lvlJc w:val="left"/>
      <w:pPr>
        <w:ind w:left="742" w:hanging="360"/>
      </w:pPr>
      <w:rPr>
        <w:rFonts w:cs="Times New Roman"/>
      </w:rPr>
    </w:lvl>
    <w:lvl w:ilvl="2" w:tplc="0C09001B" w:tentative="1">
      <w:start w:val="1"/>
      <w:numFmt w:val="lowerRoman"/>
      <w:lvlText w:val="%3."/>
      <w:lvlJc w:val="right"/>
      <w:pPr>
        <w:ind w:left="1462" w:hanging="180"/>
      </w:pPr>
      <w:rPr>
        <w:rFonts w:cs="Times New Roman"/>
      </w:rPr>
    </w:lvl>
    <w:lvl w:ilvl="3" w:tplc="0C09000F" w:tentative="1">
      <w:start w:val="1"/>
      <w:numFmt w:val="decimal"/>
      <w:lvlText w:val="%4."/>
      <w:lvlJc w:val="left"/>
      <w:pPr>
        <w:ind w:left="2182" w:hanging="360"/>
      </w:pPr>
      <w:rPr>
        <w:rFonts w:cs="Times New Roman"/>
      </w:rPr>
    </w:lvl>
    <w:lvl w:ilvl="4" w:tplc="0C090019" w:tentative="1">
      <w:start w:val="1"/>
      <w:numFmt w:val="lowerLetter"/>
      <w:lvlText w:val="%5."/>
      <w:lvlJc w:val="left"/>
      <w:pPr>
        <w:ind w:left="2902" w:hanging="360"/>
      </w:pPr>
      <w:rPr>
        <w:rFonts w:cs="Times New Roman"/>
      </w:rPr>
    </w:lvl>
    <w:lvl w:ilvl="5" w:tplc="0C09001B" w:tentative="1">
      <w:start w:val="1"/>
      <w:numFmt w:val="lowerRoman"/>
      <w:lvlText w:val="%6."/>
      <w:lvlJc w:val="right"/>
      <w:pPr>
        <w:ind w:left="3622" w:hanging="180"/>
      </w:pPr>
      <w:rPr>
        <w:rFonts w:cs="Times New Roman"/>
      </w:rPr>
    </w:lvl>
    <w:lvl w:ilvl="6" w:tplc="0C09000F" w:tentative="1">
      <w:start w:val="1"/>
      <w:numFmt w:val="decimal"/>
      <w:lvlText w:val="%7."/>
      <w:lvlJc w:val="left"/>
      <w:pPr>
        <w:ind w:left="4342" w:hanging="360"/>
      </w:pPr>
      <w:rPr>
        <w:rFonts w:cs="Times New Roman"/>
      </w:rPr>
    </w:lvl>
    <w:lvl w:ilvl="7" w:tplc="0C090019" w:tentative="1">
      <w:start w:val="1"/>
      <w:numFmt w:val="lowerLetter"/>
      <w:lvlText w:val="%8."/>
      <w:lvlJc w:val="left"/>
      <w:pPr>
        <w:ind w:left="5062" w:hanging="360"/>
      </w:pPr>
      <w:rPr>
        <w:rFonts w:cs="Times New Roman"/>
      </w:rPr>
    </w:lvl>
    <w:lvl w:ilvl="8" w:tplc="0C09001B" w:tentative="1">
      <w:start w:val="1"/>
      <w:numFmt w:val="lowerRoman"/>
      <w:lvlText w:val="%9."/>
      <w:lvlJc w:val="right"/>
      <w:pPr>
        <w:ind w:left="5782" w:hanging="180"/>
      </w:pPr>
      <w:rPr>
        <w:rFonts w:cs="Times New Roman"/>
      </w:rPr>
    </w:lvl>
  </w:abstractNum>
  <w:abstractNum w:abstractNumId="9">
    <w:nsid w:val="36D7071E"/>
    <w:multiLevelType w:val="hybridMultilevel"/>
    <w:tmpl w:val="06347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1">
    <w:nsid w:val="3C6824A5"/>
    <w:multiLevelType w:val="hybridMultilevel"/>
    <w:tmpl w:val="1EEA6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237528"/>
    <w:multiLevelType w:val="hybridMultilevel"/>
    <w:tmpl w:val="AA84FC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424232B9"/>
    <w:multiLevelType w:val="hybridMultilevel"/>
    <w:tmpl w:val="62DCF6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60918EB"/>
    <w:multiLevelType w:val="hybridMultilevel"/>
    <w:tmpl w:val="37C02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6F905B9"/>
    <w:multiLevelType w:val="hybridMultilevel"/>
    <w:tmpl w:val="998AE2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B734DB1"/>
    <w:multiLevelType w:val="hybridMultilevel"/>
    <w:tmpl w:val="74C41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nsid w:val="58DC259A"/>
    <w:multiLevelType w:val="hybridMultilevel"/>
    <w:tmpl w:val="0CB0F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9427516"/>
    <w:multiLevelType w:val="hybridMultilevel"/>
    <w:tmpl w:val="1EC4C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0265083"/>
    <w:multiLevelType w:val="hybridMultilevel"/>
    <w:tmpl w:val="C28E4698"/>
    <w:lvl w:ilvl="0" w:tplc="0972976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60E75958"/>
    <w:multiLevelType w:val="hybridMultilevel"/>
    <w:tmpl w:val="774C1E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67DA7232"/>
    <w:multiLevelType w:val="hybridMultilevel"/>
    <w:tmpl w:val="898A0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84E3BF6"/>
    <w:multiLevelType w:val="hybridMultilevel"/>
    <w:tmpl w:val="0CE63D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6B3D5898"/>
    <w:multiLevelType w:val="hybridMultilevel"/>
    <w:tmpl w:val="05109914"/>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25">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D15F6D"/>
    <w:multiLevelType w:val="hybridMultilevel"/>
    <w:tmpl w:val="D06EABF0"/>
    <w:lvl w:ilvl="0" w:tplc="0C09000F">
      <w:start w:val="1"/>
      <w:numFmt w:val="decimal"/>
      <w:lvlText w:val="%1."/>
      <w:lvlJc w:val="left"/>
      <w:pPr>
        <w:tabs>
          <w:tab w:val="num" w:pos="536"/>
        </w:tabs>
        <w:ind w:left="536" w:hanging="360"/>
      </w:pPr>
    </w:lvl>
    <w:lvl w:ilvl="1" w:tplc="9BDCF0CE">
      <w:start w:val="1"/>
      <w:numFmt w:val="lowerLetter"/>
      <w:lvlText w:val="%2."/>
      <w:lvlJc w:val="left"/>
      <w:pPr>
        <w:tabs>
          <w:tab w:val="num" w:pos="1256"/>
        </w:tabs>
        <w:ind w:left="1256" w:hanging="360"/>
      </w:pPr>
      <w:rPr>
        <w:b w:val="0"/>
      </w:rPr>
    </w:lvl>
    <w:lvl w:ilvl="2" w:tplc="0C09001B" w:tentative="1">
      <w:start w:val="1"/>
      <w:numFmt w:val="lowerRoman"/>
      <w:lvlText w:val="%3."/>
      <w:lvlJc w:val="right"/>
      <w:pPr>
        <w:tabs>
          <w:tab w:val="num" w:pos="1976"/>
        </w:tabs>
        <w:ind w:left="1976" w:hanging="180"/>
      </w:pPr>
    </w:lvl>
    <w:lvl w:ilvl="3" w:tplc="0C09000F" w:tentative="1">
      <w:start w:val="1"/>
      <w:numFmt w:val="decimal"/>
      <w:lvlText w:val="%4."/>
      <w:lvlJc w:val="left"/>
      <w:pPr>
        <w:tabs>
          <w:tab w:val="num" w:pos="2696"/>
        </w:tabs>
        <w:ind w:left="2696" w:hanging="360"/>
      </w:pPr>
    </w:lvl>
    <w:lvl w:ilvl="4" w:tplc="0C090019" w:tentative="1">
      <w:start w:val="1"/>
      <w:numFmt w:val="lowerLetter"/>
      <w:lvlText w:val="%5."/>
      <w:lvlJc w:val="left"/>
      <w:pPr>
        <w:tabs>
          <w:tab w:val="num" w:pos="3416"/>
        </w:tabs>
        <w:ind w:left="3416" w:hanging="360"/>
      </w:pPr>
    </w:lvl>
    <w:lvl w:ilvl="5" w:tplc="0C09001B" w:tentative="1">
      <w:start w:val="1"/>
      <w:numFmt w:val="lowerRoman"/>
      <w:lvlText w:val="%6."/>
      <w:lvlJc w:val="right"/>
      <w:pPr>
        <w:tabs>
          <w:tab w:val="num" w:pos="4136"/>
        </w:tabs>
        <w:ind w:left="4136" w:hanging="180"/>
      </w:pPr>
    </w:lvl>
    <w:lvl w:ilvl="6" w:tplc="0C09000F" w:tentative="1">
      <w:start w:val="1"/>
      <w:numFmt w:val="decimal"/>
      <w:lvlText w:val="%7."/>
      <w:lvlJc w:val="left"/>
      <w:pPr>
        <w:tabs>
          <w:tab w:val="num" w:pos="4856"/>
        </w:tabs>
        <w:ind w:left="4856" w:hanging="360"/>
      </w:pPr>
    </w:lvl>
    <w:lvl w:ilvl="7" w:tplc="0C090019" w:tentative="1">
      <w:start w:val="1"/>
      <w:numFmt w:val="lowerLetter"/>
      <w:lvlText w:val="%8."/>
      <w:lvlJc w:val="left"/>
      <w:pPr>
        <w:tabs>
          <w:tab w:val="num" w:pos="5576"/>
        </w:tabs>
        <w:ind w:left="5576" w:hanging="360"/>
      </w:pPr>
    </w:lvl>
    <w:lvl w:ilvl="8" w:tplc="0C09001B" w:tentative="1">
      <w:start w:val="1"/>
      <w:numFmt w:val="lowerRoman"/>
      <w:lvlText w:val="%9."/>
      <w:lvlJc w:val="right"/>
      <w:pPr>
        <w:tabs>
          <w:tab w:val="num" w:pos="6296"/>
        </w:tabs>
        <w:ind w:left="6296" w:hanging="180"/>
      </w:pPr>
    </w:lvl>
  </w:abstractNum>
  <w:num w:numId="1">
    <w:abstractNumId w:val="25"/>
  </w:num>
  <w:num w:numId="2">
    <w:abstractNumId w:val="17"/>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8"/>
  </w:num>
  <w:num w:numId="17">
    <w:abstractNumId w:val="13"/>
  </w:num>
  <w:num w:numId="18">
    <w:abstractNumId w:val="21"/>
  </w:num>
  <w:num w:numId="19">
    <w:abstractNumId w:val="9"/>
  </w:num>
  <w:num w:numId="20">
    <w:abstractNumId w:val="11"/>
  </w:num>
  <w:num w:numId="21">
    <w:abstractNumId w:val="15"/>
  </w:num>
  <w:num w:numId="22">
    <w:abstractNumId w:val="14"/>
  </w:num>
  <w:num w:numId="23">
    <w:abstractNumId w:val="19"/>
  </w:num>
  <w:num w:numId="24">
    <w:abstractNumId w:val="18"/>
  </w:num>
  <w:num w:numId="25">
    <w:abstractNumId w:val="16"/>
  </w:num>
  <w:num w:numId="26">
    <w:abstractNumId w:val="0"/>
  </w:num>
  <w:num w:numId="27">
    <w:abstractNumId w:val="22"/>
  </w:num>
  <w:num w:numId="28">
    <w:abstractNumId w:val="4"/>
  </w:num>
  <w:num w:numId="29">
    <w:abstractNumId w:val="24"/>
  </w:num>
  <w:num w:numId="30">
    <w:abstractNumId w:val="2"/>
  </w:num>
  <w:num w:numId="31">
    <w:abstractNumId w:val="3"/>
  </w:num>
  <w:num w:numId="32">
    <w:abstractNumId w:val="20"/>
  </w:num>
  <w:num w:numId="33">
    <w:abstractNumId w:val="5"/>
  </w:num>
  <w:num w:numId="34">
    <w:abstractNumId w:val="23"/>
  </w:num>
  <w:num w:numId="35">
    <w:abstractNumId w:val="12"/>
  </w:num>
  <w:num w:numId="36">
    <w:abstractNumId w:val="26"/>
  </w:num>
  <w:num w:numId="3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mirrorMargins/>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5F7"/>
    <w:rsid w:val="00002990"/>
    <w:rsid w:val="000048AC"/>
    <w:rsid w:val="00014FC4"/>
    <w:rsid w:val="00020AAB"/>
    <w:rsid w:val="000223A4"/>
    <w:rsid w:val="00022E60"/>
    <w:rsid w:val="00026C19"/>
    <w:rsid w:val="00031263"/>
    <w:rsid w:val="00060E93"/>
    <w:rsid w:val="00064936"/>
    <w:rsid w:val="000734F8"/>
    <w:rsid w:val="000736B8"/>
    <w:rsid w:val="000817CB"/>
    <w:rsid w:val="000873EF"/>
    <w:rsid w:val="000A4D6A"/>
    <w:rsid w:val="000B3792"/>
    <w:rsid w:val="000C6242"/>
    <w:rsid w:val="000C68DB"/>
    <w:rsid w:val="000D2C32"/>
    <w:rsid w:val="000E6F72"/>
    <w:rsid w:val="000F0478"/>
    <w:rsid w:val="000F0A50"/>
    <w:rsid w:val="00103D5E"/>
    <w:rsid w:val="00104EA7"/>
    <w:rsid w:val="00105FAD"/>
    <w:rsid w:val="0011155B"/>
    <w:rsid w:val="00111A6A"/>
    <w:rsid w:val="00121BF1"/>
    <w:rsid w:val="00127A8B"/>
    <w:rsid w:val="00134BE5"/>
    <w:rsid w:val="001412D1"/>
    <w:rsid w:val="001423E3"/>
    <w:rsid w:val="001475EA"/>
    <w:rsid w:val="001504F5"/>
    <w:rsid w:val="001517BD"/>
    <w:rsid w:val="001635F7"/>
    <w:rsid w:val="0017248D"/>
    <w:rsid w:val="00173626"/>
    <w:rsid w:val="00175AA9"/>
    <w:rsid w:val="0017614A"/>
    <w:rsid w:val="001817CD"/>
    <w:rsid w:val="0018235E"/>
    <w:rsid w:val="0018768C"/>
    <w:rsid w:val="00192BA0"/>
    <w:rsid w:val="00197303"/>
    <w:rsid w:val="001A17EA"/>
    <w:rsid w:val="001A1D17"/>
    <w:rsid w:val="001A22AA"/>
    <w:rsid w:val="001A7A18"/>
    <w:rsid w:val="001B1565"/>
    <w:rsid w:val="001B166D"/>
    <w:rsid w:val="001B28B5"/>
    <w:rsid w:val="001B2975"/>
    <w:rsid w:val="001C122D"/>
    <w:rsid w:val="001D2A82"/>
    <w:rsid w:val="001D569B"/>
    <w:rsid w:val="001E0EA3"/>
    <w:rsid w:val="001E4995"/>
    <w:rsid w:val="001E7A42"/>
    <w:rsid w:val="001F09DC"/>
    <w:rsid w:val="001F43E6"/>
    <w:rsid w:val="00213772"/>
    <w:rsid w:val="00220749"/>
    <w:rsid w:val="0022422C"/>
    <w:rsid w:val="0022724E"/>
    <w:rsid w:val="00230666"/>
    <w:rsid w:val="00231153"/>
    <w:rsid w:val="0023252E"/>
    <w:rsid w:val="00241C31"/>
    <w:rsid w:val="002679D5"/>
    <w:rsid w:val="002714FD"/>
    <w:rsid w:val="00275F94"/>
    <w:rsid w:val="00281B9C"/>
    <w:rsid w:val="00284C9B"/>
    <w:rsid w:val="002A141B"/>
    <w:rsid w:val="002A26B6"/>
    <w:rsid w:val="002A6A4E"/>
    <w:rsid w:val="002B5A85"/>
    <w:rsid w:val="002B63A7"/>
    <w:rsid w:val="002C5543"/>
    <w:rsid w:val="002D0F7F"/>
    <w:rsid w:val="002E0198"/>
    <w:rsid w:val="002E1D7C"/>
    <w:rsid w:val="002F449B"/>
    <w:rsid w:val="002F4D86"/>
    <w:rsid w:val="002F5D69"/>
    <w:rsid w:val="002F7C77"/>
    <w:rsid w:val="00300CB3"/>
    <w:rsid w:val="0030394B"/>
    <w:rsid w:val="003072C6"/>
    <w:rsid w:val="00310D8E"/>
    <w:rsid w:val="00315BBD"/>
    <w:rsid w:val="0031753A"/>
    <w:rsid w:val="00320293"/>
    <w:rsid w:val="00322CC2"/>
    <w:rsid w:val="003271DC"/>
    <w:rsid w:val="00334B54"/>
    <w:rsid w:val="0033739E"/>
    <w:rsid w:val="00343733"/>
    <w:rsid w:val="00355886"/>
    <w:rsid w:val="00356814"/>
    <w:rsid w:val="0038019F"/>
    <w:rsid w:val="00382071"/>
    <w:rsid w:val="003A2F25"/>
    <w:rsid w:val="003B2807"/>
    <w:rsid w:val="003C68F2"/>
    <w:rsid w:val="003D58B8"/>
    <w:rsid w:val="003D5CFB"/>
    <w:rsid w:val="003E2636"/>
    <w:rsid w:val="003E2E12"/>
    <w:rsid w:val="003F39CE"/>
    <w:rsid w:val="00401108"/>
    <w:rsid w:val="00402927"/>
    <w:rsid w:val="00407993"/>
    <w:rsid w:val="00411833"/>
    <w:rsid w:val="00412F64"/>
    <w:rsid w:val="00417BEB"/>
    <w:rsid w:val="004324FF"/>
    <w:rsid w:val="00432A55"/>
    <w:rsid w:val="0044260A"/>
    <w:rsid w:val="00444D82"/>
    <w:rsid w:val="004564C6"/>
    <w:rsid w:val="004610CC"/>
    <w:rsid w:val="00465464"/>
    <w:rsid w:val="00465E87"/>
    <w:rsid w:val="0047786A"/>
    <w:rsid w:val="00477A65"/>
    <w:rsid w:val="00482DB3"/>
    <w:rsid w:val="004A0236"/>
    <w:rsid w:val="004A369A"/>
    <w:rsid w:val="004A3B3E"/>
    <w:rsid w:val="004C5777"/>
    <w:rsid w:val="004D0173"/>
    <w:rsid w:val="004D1056"/>
    <w:rsid w:val="004E1EDE"/>
    <w:rsid w:val="004E21E2"/>
    <w:rsid w:val="004E293F"/>
    <w:rsid w:val="004E380D"/>
    <w:rsid w:val="004E7922"/>
    <w:rsid w:val="004F0DFC"/>
    <w:rsid w:val="004F3441"/>
    <w:rsid w:val="004F41B2"/>
    <w:rsid w:val="004F4AFC"/>
    <w:rsid w:val="004F52A5"/>
    <w:rsid w:val="00500C8C"/>
    <w:rsid w:val="00501375"/>
    <w:rsid w:val="00501D3B"/>
    <w:rsid w:val="005022C9"/>
    <w:rsid w:val="0050779D"/>
    <w:rsid w:val="005139EA"/>
    <w:rsid w:val="00520BBB"/>
    <w:rsid w:val="00525456"/>
    <w:rsid w:val="00532236"/>
    <w:rsid w:val="00541DFE"/>
    <w:rsid w:val="00543E6C"/>
    <w:rsid w:val="00544184"/>
    <w:rsid w:val="005552FD"/>
    <w:rsid w:val="005600E5"/>
    <w:rsid w:val="00564E8F"/>
    <w:rsid w:val="005728A4"/>
    <w:rsid w:val="005763FC"/>
    <w:rsid w:val="00576EB4"/>
    <w:rsid w:val="00577B30"/>
    <w:rsid w:val="00582768"/>
    <w:rsid w:val="00583461"/>
    <w:rsid w:val="005856A4"/>
    <w:rsid w:val="00590730"/>
    <w:rsid w:val="005A3051"/>
    <w:rsid w:val="005A53FE"/>
    <w:rsid w:val="005B7D22"/>
    <w:rsid w:val="005C029E"/>
    <w:rsid w:val="005E085D"/>
    <w:rsid w:val="005E3FA7"/>
    <w:rsid w:val="005E7963"/>
    <w:rsid w:val="005F218C"/>
    <w:rsid w:val="005F4523"/>
    <w:rsid w:val="00601D4D"/>
    <w:rsid w:val="006021B4"/>
    <w:rsid w:val="00605B5B"/>
    <w:rsid w:val="006062D8"/>
    <w:rsid w:val="00606827"/>
    <w:rsid w:val="00620262"/>
    <w:rsid w:val="00621B4C"/>
    <w:rsid w:val="00627C52"/>
    <w:rsid w:val="00630937"/>
    <w:rsid w:val="00653B84"/>
    <w:rsid w:val="00653E0D"/>
    <w:rsid w:val="006865C8"/>
    <w:rsid w:val="00686B48"/>
    <w:rsid w:val="00687038"/>
    <w:rsid w:val="0068714E"/>
    <w:rsid w:val="006929F7"/>
    <w:rsid w:val="0069374A"/>
    <w:rsid w:val="00694AB8"/>
    <w:rsid w:val="00695EF7"/>
    <w:rsid w:val="0069699D"/>
    <w:rsid w:val="006B2C51"/>
    <w:rsid w:val="006B6361"/>
    <w:rsid w:val="006D360C"/>
    <w:rsid w:val="006D5AC9"/>
    <w:rsid w:val="006D66ED"/>
    <w:rsid w:val="006E786B"/>
    <w:rsid w:val="007002B1"/>
    <w:rsid w:val="00704EB7"/>
    <w:rsid w:val="00705742"/>
    <w:rsid w:val="007104FE"/>
    <w:rsid w:val="00711B0C"/>
    <w:rsid w:val="007121A2"/>
    <w:rsid w:val="00713981"/>
    <w:rsid w:val="007176D6"/>
    <w:rsid w:val="00727D54"/>
    <w:rsid w:val="00731EF2"/>
    <w:rsid w:val="007344C5"/>
    <w:rsid w:val="00734959"/>
    <w:rsid w:val="00735137"/>
    <w:rsid w:val="0073520D"/>
    <w:rsid w:val="00771D41"/>
    <w:rsid w:val="00780226"/>
    <w:rsid w:val="00781AB4"/>
    <w:rsid w:val="007923B7"/>
    <w:rsid w:val="00792616"/>
    <w:rsid w:val="007926BB"/>
    <w:rsid w:val="0079344C"/>
    <w:rsid w:val="007968AE"/>
    <w:rsid w:val="007A0283"/>
    <w:rsid w:val="007C02C7"/>
    <w:rsid w:val="007C21EE"/>
    <w:rsid w:val="007D3A2E"/>
    <w:rsid w:val="007D6652"/>
    <w:rsid w:val="007E343D"/>
    <w:rsid w:val="007F4383"/>
    <w:rsid w:val="00801601"/>
    <w:rsid w:val="00810991"/>
    <w:rsid w:val="00814A9B"/>
    <w:rsid w:val="00814F66"/>
    <w:rsid w:val="00817C9E"/>
    <w:rsid w:val="008205AF"/>
    <w:rsid w:val="008225E5"/>
    <w:rsid w:val="00831053"/>
    <w:rsid w:val="008314D2"/>
    <w:rsid w:val="0083254D"/>
    <w:rsid w:val="00836249"/>
    <w:rsid w:val="00836F00"/>
    <w:rsid w:val="00846192"/>
    <w:rsid w:val="00850806"/>
    <w:rsid w:val="00856A1B"/>
    <w:rsid w:val="008621C3"/>
    <w:rsid w:val="00865486"/>
    <w:rsid w:val="00876275"/>
    <w:rsid w:val="00882B99"/>
    <w:rsid w:val="00886121"/>
    <w:rsid w:val="008A295B"/>
    <w:rsid w:val="008A6604"/>
    <w:rsid w:val="008B1C73"/>
    <w:rsid w:val="008B5482"/>
    <w:rsid w:val="008C11F4"/>
    <w:rsid w:val="008C2BEC"/>
    <w:rsid w:val="008C6523"/>
    <w:rsid w:val="008C6D0E"/>
    <w:rsid w:val="008D09D2"/>
    <w:rsid w:val="008D39C5"/>
    <w:rsid w:val="008E1D89"/>
    <w:rsid w:val="008E3E3E"/>
    <w:rsid w:val="008F5F87"/>
    <w:rsid w:val="00900A34"/>
    <w:rsid w:val="00907073"/>
    <w:rsid w:val="009208F5"/>
    <w:rsid w:val="00927D51"/>
    <w:rsid w:val="00932272"/>
    <w:rsid w:val="00932862"/>
    <w:rsid w:val="00935D60"/>
    <w:rsid w:val="009447BB"/>
    <w:rsid w:val="00944C48"/>
    <w:rsid w:val="00946335"/>
    <w:rsid w:val="009513C4"/>
    <w:rsid w:val="00955E55"/>
    <w:rsid w:val="00962200"/>
    <w:rsid w:val="00966F54"/>
    <w:rsid w:val="00975E61"/>
    <w:rsid w:val="00976E31"/>
    <w:rsid w:val="00977C63"/>
    <w:rsid w:val="00980087"/>
    <w:rsid w:val="00980C0B"/>
    <w:rsid w:val="0098524F"/>
    <w:rsid w:val="00987ABE"/>
    <w:rsid w:val="009906C7"/>
    <w:rsid w:val="009963CD"/>
    <w:rsid w:val="009B266D"/>
    <w:rsid w:val="009B5CBF"/>
    <w:rsid w:val="009C184A"/>
    <w:rsid w:val="009C2CA5"/>
    <w:rsid w:val="009D3E45"/>
    <w:rsid w:val="009F351F"/>
    <w:rsid w:val="009F3F89"/>
    <w:rsid w:val="009F480E"/>
    <w:rsid w:val="00A022A2"/>
    <w:rsid w:val="00A02D15"/>
    <w:rsid w:val="00A11403"/>
    <w:rsid w:val="00A26B0D"/>
    <w:rsid w:val="00A3735A"/>
    <w:rsid w:val="00A42F1B"/>
    <w:rsid w:val="00A546BC"/>
    <w:rsid w:val="00A55989"/>
    <w:rsid w:val="00A5694A"/>
    <w:rsid w:val="00A63DA4"/>
    <w:rsid w:val="00A75CD5"/>
    <w:rsid w:val="00A83DF3"/>
    <w:rsid w:val="00A85915"/>
    <w:rsid w:val="00A952AB"/>
    <w:rsid w:val="00A9783D"/>
    <w:rsid w:val="00AA45E6"/>
    <w:rsid w:val="00AA5A37"/>
    <w:rsid w:val="00AB489C"/>
    <w:rsid w:val="00AB50C1"/>
    <w:rsid w:val="00AB6936"/>
    <w:rsid w:val="00AC0C3B"/>
    <w:rsid w:val="00AC2D63"/>
    <w:rsid w:val="00AD03D8"/>
    <w:rsid w:val="00AD0711"/>
    <w:rsid w:val="00AD704E"/>
    <w:rsid w:val="00AE5FE0"/>
    <w:rsid w:val="00AE60B7"/>
    <w:rsid w:val="00AF2AB7"/>
    <w:rsid w:val="00AF2B1C"/>
    <w:rsid w:val="00AF4D3F"/>
    <w:rsid w:val="00B0300B"/>
    <w:rsid w:val="00B05457"/>
    <w:rsid w:val="00B057F5"/>
    <w:rsid w:val="00B128A0"/>
    <w:rsid w:val="00B20240"/>
    <w:rsid w:val="00B23281"/>
    <w:rsid w:val="00B27571"/>
    <w:rsid w:val="00B4164B"/>
    <w:rsid w:val="00B5409A"/>
    <w:rsid w:val="00B55574"/>
    <w:rsid w:val="00B6525D"/>
    <w:rsid w:val="00B65ABA"/>
    <w:rsid w:val="00B6790F"/>
    <w:rsid w:val="00B71B3B"/>
    <w:rsid w:val="00B853DB"/>
    <w:rsid w:val="00B87D61"/>
    <w:rsid w:val="00B93948"/>
    <w:rsid w:val="00BA4BC7"/>
    <w:rsid w:val="00BA55B7"/>
    <w:rsid w:val="00BA5E47"/>
    <w:rsid w:val="00BA7D57"/>
    <w:rsid w:val="00BB156E"/>
    <w:rsid w:val="00BB3330"/>
    <w:rsid w:val="00BB47D7"/>
    <w:rsid w:val="00BB4A62"/>
    <w:rsid w:val="00BC01C1"/>
    <w:rsid w:val="00BC45A1"/>
    <w:rsid w:val="00BC5A34"/>
    <w:rsid w:val="00BD17F5"/>
    <w:rsid w:val="00BD6E05"/>
    <w:rsid w:val="00BE54D0"/>
    <w:rsid w:val="00BF6B6C"/>
    <w:rsid w:val="00BF7251"/>
    <w:rsid w:val="00BF7F28"/>
    <w:rsid w:val="00C01909"/>
    <w:rsid w:val="00C05787"/>
    <w:rsid w:val="00C13059"/>
    <w:rsid w:val="00C156D4"/>
    <w:rsid w:val="00C167A3"/>
    <w:rsid w:val="00C2181C"/>
    <w:rsid w:val="00C2657D"/>
    <w:rsid w:val="00C416E1"/>
    <w:rsid w:val="00C47BF8"/>
    <w:rsid w:val="00C51B1C"/>
    <w:rsid w:val="00C53DCE"/>
    <w:rsid w:val="00C655F2"/>
    <w:rsid w:val="00C65B4C"/>
    <w:rsid w:val="00C65B61"/>
    <w:rsid w:val="00C70E53"/>
    <w:rsid w:val="00C72979"/>
    <w:rsid w:val="00C81529"/>
    <w:rsid w:val="00C81BA6"/>
    <w:rsid w:val="00C8377C"/>
    <w:rsid w:val="00C877CD"/>
    <w:rsid w:val="00C902E9"/>
    <w:rsid w:val="00C908B7"/>
    <w:rsid w:val="00C91D81"/>
    <w:rsid w:val="00C92A42"/>
    <w:rsid w:val="00CA18F2"/>
    <w:rsid w:val="00CA4871"/>
    <w:rsid w:val="00CA6722"/>
    <w:rsid w:val="00CA6D4E"/>
    <w:rsid w:val="00CA7B4B"/>
    <w:rsid w:val="00CB36A8"/>
    <w:rsid w:val="00CC139A"/>
    <w:rsid w:val="00CC1E7A"/>
    <w:rsid w:val="00CC4F64"/>
    <w:rsid w:val="00CD058C"/>
    <w:rsid w:val="00CD3B98"/>
    <w:rsid w:val="00CD4216"/>
    <w:rsid w:val="00CD518C"/>
    <w:rsid w:val="00CD733F"/>
    <w:rsid w:val="00CE0942"/>
    <w:rsid w:val="00CE7CA5"/>
    <w:rsid w:val="00CF1D81"/>
    <w:rsid w:val="00CF2DC9"/>
    <w:rsid w:val="00CF7CB6"/>
    <w:rsid w:val="00D311AB"/>
    <w:rsid w:val="00D325A8"/>
    <w:rsid w:val="00D442AD"/>
    <w:rsid w:val="00D5618A"/>
    <w:rsid w:val="00D5784B"/>
    <w:rsid w:val="00D61EFC"/>
    <w:rsid w:val="00D63EFB"/>
    <w:rsid w:val="00D658AF"/>
    <w:rsid w:val="00D83DE9"/>
    <w:rsid w:val="00D8450D"/>
    <w:rsid w:val="00D95AF9"/>
    <w:rsid w:val="00DA09C9"/>
    <w:rsid w:val="00DA1822"/>
    <w:rsid w:val="00DB5E1F"/>
    <w:rsid w:val="00DC19D8"/>
    <w:rsid w:val="00DC2613"/>
    <w:rsid w:val="00DC4512"/>
    <w:rsid w:val="00DD3691"/>
    <w:rsid w:val="00DD4B55"/>
    <w:rsid w:val="00DE1E90"/>
    <w:rsid w:val="00DE24E6"/>
    <w:rsid w:val="00DF07AD"/>
    <w:rsid w:val="00DF3364"/>
    <w:rsid w:val="00E055BB"/>
    <w:rsid w:val="00E11988"/>
    <w:rsid w:val="00E15DA9"/>
    <w:rsid w:val="00E2095D"/>
    <w:rsid w:val="00E30414"/>
    <w:rsid w:val="00E40769"/>
    <w:rsid w:val="00E42E8B"/>
    <w:rsid w:val="00E60F12"/>
    <w:rsid w:val="00E652FB"/>
    <w:rsid w:val="00E66C20"/>
    <w:rsid w:val="00E71C46"/>
    <w:rsid w:val="00E75ED2"/>
    <w:rsid w:val="00E8280C"/>
    <w:rsid w:val="00E83E4C"/>
    <w:rsid w:val="00E91933"/>
    <w:rsid w:val="00E92A81"/>
    <w:rsid w:val="00E969B1"/>
    <w:rsid w:val="00EA758B"/>
    <w:rsid w:val="00EB6552"/>
    <w:rsid w:val="00EC18E6"/>
    <w:rsid w:val="00EC1984"/>
    <w:rsid w:val="00EC234C"/>
    <w:rsid w:val="00ED3529"/>
    <w:rsid w:val="00ED4D17"/>
    <w:rsid w:val="00EE6CD3"/>
    <w:rsid w:val="00EF20D7"/>
    <w:rsid w:val="00EF3419"/>
    <w:rsid w:val="00F0119C"/>
    <w:rsid w:val="00F02BDB"/>
    <w:rsid w:val="00F0441B"/>
    <w:rsid w:val="00F07623"/>
    <w:rsid w:val="00F3136B"/>
    <w:rsid w:val="00F314F1"/>
    <w:rsid w:val="00F327EA"/>
    <w:rsid w:val="00F33641"/>
    <w:rsid w:val="00F42842"/>
    <w:rsid w:val="00F43EE0"/>
    <w:rsid w:val="00F46E40"/>
    <w:rsid w:val="00F4760A"/>
    <w:rsid w:val="00F52B8E"/>
    <w:rsid w:val="00F53CFD"/>
    <w:rsid w:val="00F54AF5"/>
    <w:rsid w:val="00F557E3"/>
    <w:rsid w:val="00F61E78"/>
    <w:rsid w:val="00F635C5"/>
    <w:rsid w:val="00F736E3"/>
    <w:rsid w:val="00F767E8"/>
    <w:rsid w:val="00F86A3F"/>
    <w:rsid w:val="00F91297"/>
    <w:rsid w:val="00F9133B"/>
    <w:rsid w:val="00F97730"/>
    <w:rsid w:val="00FB32A4"/>
    <w:rsid w:val="00FB594D"/>
    <w:rsid w:val="00FC49BB"/>
    <w:rsid w:val="00FD616B"/>
    <w:rsid w:val="00FE367F"/>
    <w:rsid w:val="00FF29DC"/>
  </w:rsids>
  <m:mathPr>
    <m:mathFont m:val="Cambria Math"/>
    <m:brkBin m:val="before"/>
    <m:brkBinSub m:val="--"/>
    <m:smallFrac m:val="0"/>
    <m:dispDef m:val="0"/>
    <m:lMargin m:val="0"/>
    <m:rMargin m:val="0"/>
    <m:defJc m:val="centerGroup"/>
    <m:wrapRight/>
    <m:intLim m:val="subSup"/>
    <m:naryLim m:val="subSup"/>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header" w:uiPriority="98"/>
    <w:lsdException w:name="footer" w:uiPriority="98"/>
    <w:lsdException w:name="caption" w:uiPriority="35" w:qFormat="1"/>
    <w:lsdException w:name="page number" w:uiPriority="0"/>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34"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711B0C"/>
    <w:pPr>
      <w:keepNext/>
      <w:keepLines/>
      <w:spacing w:before="520" w:after="440" w:line="440" w:lineRule="atLeast"/>
      <w:outlineLvl w:val="0"/>
    </w:pPr>
    <w:rPr>
      <w:rFonts w:ascii="Arial" w:hAnsi="Arial"/>
      <w:bCs/>
      <w:color w:val="87189D"/>
      <w:sz w:val="44"/>
      <w:szCs w:val="44"/>
      <w:lang w:eastAsia="en-US"/>
    </w:rPr>
  </w:style>
  <w:style w:type="paragraph" w:styleId="Heading2">
    <w:name w:val="heading 2"/>
    <w:next w:val="DHHSbody"/>
    <w:link w:val="Heading2Char"/>
    <w:uiPriority w:val="1"/>
    <w:qFormat/>
    <w:rsid w:val="00711B0C"/>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711B0C"/>
    <w:rPr>
      <w:rFonts w:ascii="Arial" w:hAnsi="Arial"/>
      <w:bCs/>
      <w:color w:val="87189D"/>
      <w:sz w:val="44"/>
      <w:szCs w:val="44"/>
      <w:lang w:eastAsia="en-US"/>
    </w:rPr>
  </w:style>
  <w:style w:type="character" w:customStyle="1" w:styleId="Heading2Char">
    <w:name w:val="Heading 2 Char"/>
    <w:link w:val="Heading2"/>
    <w:uiPriority w:val="1"/>
    <w:rsid w:val="00711B0C"/>
    <w:rPr>
      <w:rFonts w:ascii="Arial" w:hAnsi="Arial"/>
      <w:b/>
      <w:color w:val="87189D"/>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uiPriority w:val="99"/>
    <w:rsid w:val="00EA6F2B"/>
    <w:rPr>
      <w:sz w:val="24"/>
      <w:szCs w:val="24"/>
    </w:rPr>
  </w:style>
  <w:style w:type="character" w:styleId="EndnoteReference">
    <w:name w:val="endnote reference"/>
    <w:aliases w:val="Endnote Text Char"/>
    <w:uiPriority w:val="99"/>
    <w:rsid w:val="00923608"/>
    <w:rPr>
      <w:rFonts w:ascii="Arial" w:hAnsi="Arial"/>
      <w:sz w:val="20"/>
      <w:vertAlign w:val="superscript"/>
    </w:rPr>
  </w:style>
  <w:style w:type="table" w:styleId="TableGrid">
    <w:name w:val="Table Grid"/>
    <w:basedOn w:val="TableNormal"/>
    <w:uiPriority w:val="59"/>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aliases w:val="Footnotes refss"/>
    <w:uiPriority w:val="99"/>
    <w:rsid w:val="00D869F2"/>
    <w:rPr>
      <w:vertAlign w:val="superscript"/>
    </w:rPr>
  </w:style>
  <w:style w:type="paragraph" w:customStyle="1" w:styleId="DHHSreportmaintitle">
    <w:name w:val="DHHS report main title"/>
    <w:uiPriority w:val="4"/>
    <w:rsid w:val="00711B0C"/>
    <w:pPr>
      <w:keepLines/>
      <w:spacing w:after="240" w:line="580" w:lineRule="atLeast"/>
    </w:pPr>
    <w:rPr>
      <w:rFonts w:ascii="Arial" w:hAnsi="Arial"/>
      <w:color w:val="87189D"/>
      <w:sz w:val="50"/>
      <w:szCs w:val="24"/>
      <w:lang w:eastAsia="en-US"/>
    </w:rPr>
  </w:style>
  <w:style w:type="paragraph" w:styleId="FootnoteText">
    <w:name w:val="footnote text"/>
    <w:basedOn w:val="Normal"/>
    <w:link w:val="FootnoteTextChar"/>
    <w:uiPriority w:val="99"/>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0A4D6A"/>
    <w:pPr>
      <w:spacing w:after="120" w:line="280" w:lineRule="atLeast"/>
    </w:pPr>
    <w:rPr>
      <w:rFonts w:ascii="Arial" w:eastAsia="Times" w:hAnsi="Arial"/>
      <w:sz w:val="22"/>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711B0C"/>
    <w:pPr>
      <w:spacing w:before="80" w:after="60"/>
    </w:pPr>
    <w:rPr>
      <w:rFonts w:ascii="Arial" w:hAnsi="Arial"/>
      <w:b/>
      <w:color w:val="87189D"/>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711B0C"/>
    <w:pPr>
      <w:spacing w:before="0"/>
      <w:outlineLvl w:val="9"/>
    </w:pPr>
  </w:style>
  <w:style w:type="character" w:customStyle="1" w:styleId="DHHSTOCheadingreportChar">
    <w:name w:val="DHHS TOC heading report Char"/>
    <w:link w:val="DHHSTOCheadingreport"/>
    <w:uiPriority w:val="5"/>
    <w:rsid w:val="00711B0C"/>
    <w:rPr>
      <w:rFonts w:ascii="Arial" w:hAnsi="Arial"/>
      <w:bCs/>
      <w:color w:val="87189D"/>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styleId="BalloonText">
    <w:name w:val="Balloon Text"/>
    <w:basedOn w:val="Normal"/>
    <w:link w:val="BalloonTextChar"/>
    <w:uiPriority w:val="99"/>
    <w:semiHidden/>
    <w:unhideWhenUsed/>
    <w:rsid w:val="001635F7"/>
    <w:rPr>
      <w:rFonts w:ascii="Tahoma" w:hAnsi="Tahoma" w:cs="Tahoma"/>
      <w:sz w:val="16"/>
      <w:szCs w:val="16"/>
    </w:rPr>
  </w:style>
  <w:style w:type="character" w:customStyle="1" w:styleId="BalloonTextChar">
    <w:name w:val="Balloon Text Char"/>
    <w:basedOn w:val="DefaultParagraphFont"/>
    <w:link w:val="BalloonText"/>
    <w:uiPriority w:val="99"/>
    <w:semiHidden/>
    <w:rsid w:val="001635F7"/>
    <w:rPr>
      <w:rFonts w:ascii="Tahoma" w:hAnsi="Tahoma" w:cs="Tahoma"/>
      <w:sz w:val="16"/>
      <w:szCs w:val="16"/>
      <w:lang w:eastAsia="en-US"/>
    </w:rPr>
  </w:style>
  <w:style w:type="paragraph" w:styleId="ListParagraph">
    <w:name w:val="List Paragraph"/>
    <w:aliases w:val="Recommendation,List Paragraph1,List Paragraph11,L,Number,Bullet,Bullet point,DDM Gen Text,List Paragraph - bullets,NFP GP Bulleted List,bullet point list,Bullet points,Content descriptions,Bullet Point,NAST Quote,CV text,Numbe"/>
    <w:basedOn w:val="Normal"/>
    <w:link w:val="ListParagraphChar"/>
    <w:uiPriority w:val="34"/>
    <w:qFormat/>
    <w:rsid w:val="001635F7"/>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Recommendation Char,List Paragraph1 Char,List Paragraph11 Char,L Char,Number Char,Bullet Char,Bullet point Char,DDM Gen Text Char,List Paragraph - bullets Char,NFP GP Bulleted List Char,bullet point list Char,Bullet points Char"/>
    <w:link w:val="ListParagraph"/>
    <w:uiPriority w:val="34"/>
    <w:qFormat/>
    <w:locked/>
    <w:rsid w:val="001635F7"/>
    <w:rPr>
      <w:rFonts w:ascii="Calibri" w:eastAsia="Calibri" w:hAnsi="Calibri"/>
      <w:sz w:val="22"/>
      <w:szCs w:val="22"/>
      <w:lang w:eastAsia="en-US"/>
    </w:rPr>
  </w:style>
  <w:style w:type="table" w:customStyle="1" w:styleId="TableGrid1">
    <w:name w:val="Table Grid1"/>
    <w:basedOn w:val="TableNormal"/>
    <w:next w:val="TableGrid"/>
    <w:uiPriority w:val="59"/>
    <w:rsid w:val="001635F7"/>
    <w:rPr>
      <w:lang w:eastAsia="en-AU"/>
    </w:rPr>
    <w:tblPr>
      <w:tblInd w:w="108" w:type="dxa"/>
      <w:tblBorders>
        <w:top w:val="single" w:sz="4" w:space="0" w:color="auto"/>
        <w:bottom w:val="single" w:sz="4" w:space="0" w:color="auto"/>
        <w:insideH w:val="single" w:sz="4" w:space="0" w:color="auto"/>
      </w:tblBorders>
    </w:tblPr>
  </w:style>
  <w:style w:type="character" w:customStyle="1" w:styleId="FootnoteTextChar">
    <w:name w:val="Footnote Text Char"/>
    <w:link w:val="FootnoteText"/>
    <w:uiPriority w:val="99"/>
    <w:rsid w:val="001635F7"/>
    <w:rPr>
      <w:rFonts w:ascii="Arial" w:eastAsia="MS Gothic" w:hAnsi="Arial" w:cs="Arial"/>
      <w:sz w:val="16"/>
      <w:szCs w:val="16"/>
      <w:lang w:eastAsia="en-US"/>
    </w:rPr>
  </w:style>
  <w:style w:type="character" w:styleId="CommentReference">
    <w:name w:val="annotation reference"/>
    <w:uiPriority w:val="99"/>
    <w:semiHidden/>
    <w:unhideWhenUsed/>
    <w:rsid w:val="001635F7"/>
    <w:rPr>
      <w:sz w:val="16"/>
      <w:szCs w:val="16"/>
    </w:rPr>
  </w:style>
  <w:style w:type="paragraph" w:styleId="CommentText">
    <w:name w:val="annotation text"/>
    <w:basedOn w:val="Normal"/>
    <w:link w:val="CommentTextChar"/>
    <w:uiPriority w:val="99"/>
    <w:unhideWhenUsed/>
    <w:rsid w:val="001635F7"/>
  </w:style>
  <w:style w:type="character" w:customStyle="1" w:styleId="CommentTextChar">
    <w:name w:val="Comment Text Char"/>
    <w:basedOn w:val="DefaultParagraphFont"/>
    <w:link w:val="CommentText"/>
    <w:uiPriority w:val="99"/>
    <w:rsid w:val="001635F7"/>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1635F7"/>
    <w:rPr>
      <w:b/>
      <w:bCs/>
    </w:rPr>
  </w:style>
  <w:style w:type="character" w:customStyle="1" w:styleId="CommentSubjectChar">
    <w:name w:val="Comment Subject Char"/>
    <w:basedOn w:val="CommentTextChar"/>
    <w:link w:val="CommentSubject"/>
    <w:uiPriority w:val="99"/>
    <w:semiHidden/>
    <w:rsid w:val="001635F7"/>
    <w:rPr>
      <w:rFonts w:ascii="Cambria" w:hAnsi="Cambria"/>
      <w:b/>
      <w:bCs/>
      <w:lang w:eastAsia="en-US"/>
    </w:rPr>
  </w:style>
  <w:style w:type="character" w:customStyle="1" w:styleId="UnresolvedMention1">
    <w:name w:val="Unresolved Mention1"/>
    <w:uiPriority w:val="99"/>
    <w:semiHidden/>
    <w:unhideWhenUsed/>
    <w:rsid w:val="001635F7"/>
    <w:rPr>
      <w:color w:val="808080"/>
      <w:shd w:val="clear" w:color="auto" w:fill="E6E6E6"/>
    </w:rPr>
  </w:style>
  <w:style w:type="paragraph" w:customStyle="1" w:styleId="DPCbody">
    <w:name w:val="DPC body"/>
    <w:qFormat/>
    <w:rsid w:val="001635F7"/>
    <w:pPr>
      <w:spacing w:after="160" w:line="300" w:lineRule="atLeast"/>
    </w:pPr>
    <w:rPr>
      <w:rFonts w:ascii="Calibri" w:eastAsia="Times" w:hAnsi="Calibri" w:cs="Arial"/>
      <w:color w:val="000000"/>
      <w:sz w:val="22"/>
      <w:szCs w:val="22"/>
      <w:lang w:eastAsia="en-US"/>
    </w:rPr>
  </w:style>
  <w:style w:type="character" w:customStyle="1" w:styleId="HyperlinkCoolGray11C">
    <w:name w:val="Hyperlink Cool Gray 11 C"/>
    <w:uiPriority w:val="99"/>
    <w:rsid w:val="001635F7"/>
    <w:rPr>
      <w:color w:val="5D1869"/>
    </w:rPr>
  </w:style>
  <w:style w:type="paragraph" w:styleId="NormalWeb">
    <w:name w:val="Normal (Web)"/>
    <w:basedOn w:val="Normal"/>
    <w:uiPriority w:val="99"/>
    <w:unhideWhenUsed/>
    <w:rsid w:val="001635F7"/>
    <w:pPr>
      <w:spacing w:after="360" w:line="360" w:lineRule="atLeast"/>
    </w:pPr>
    <w:rPr>
      <w:rFonts w:ascii="Times New Roman" w:hAnsi="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header" w:uiPriority="98"/>
    <w:lsdException w:name="footer" w:uiPriority="98"/>
    <w:lsdException w:name="caption" w:uiPriority="35" w:qFormat="1"/>
    <w:lsdException w:name="page number" w:uiPriority="0"/>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34"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711B0C"/>
    <w:pPr>
      <w:keepNext/>
      <w:keepLines/>
      <w:spacing w:before="520" w:after="440" w:line="440" w:lineRule="atLeast"/>
      <w:outlineLvl w:val="0"/>
    </w:pPr>
    <w:rPr>
      <w:rFonts w:ascii="Arial" w:hAnsi="Arial"/>
      <w:bCs/>
      <w:color w:val="87189D"/>
      <w:sz w:val="44"/>
      <w:szCs w:val="44"/>
      <w:lang w:eastAsia="en-US"/>
    </w:rPr>
  </w:style>
  <w:style w:type="paragraph" w:styleId="Heading2">
    <w:name w:val="heading 2"/>
    <w:next w:val="DHHSbody"/>
    <w:link w:val="Heading2Char"/>
    <w:uiPriority w:val="1"/>
    <w:qFormat/>
    <w:rsid w:val="00711B0C"/>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711B0C"/>
    <w:rPr>
      <w:rFonts w:ascii="Arial" w:hAnsi="Arial"/>
      <w:bCs/>
      <w:color w:val="87189D"/>
      <w:sz w:val="44"/>
      <w:szCs w:val="44"/>
      <w:lang w:eastAsia="en-US"/>
    </w:rPr>
  </w:style>
  <w:style w:type="character" w:customStyle="1" w:styleId="Heading2Char">
    <w:name w:val="Heading 2 Char"/>
    <w:link w:val="Heading2"/>
    <w:uiPriority w:val="1"/>
    <w:rsid w:val="00711B0C"/>
    <w:rPr>
      <w:rFonts w:ascii="Arial" w:hAnsi="Arial"/>
      <w:b/>
      <w:color w:val="87189D"/>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uiPriority w:val="99"/>
    <w:rsid w:val="00EA6F2B"/>
    <w:rPr>
      <w:sz w:val="24"/>
      <w:szCs w:val="24"/>
    </w:rPr>
  </w:style>
  <w:style w:type="character" w:styleId="EndnoteReference">
    <w:name w:val="endnote reference"/>
    <w:aliases w:val="Endnote Text Char"/>
    <w:uiPriority w:val="99"/>
    <w:rsid w:val="00923608"/>
    <w:rPr>
      <w:rFonts w:ascii="Arial" w:hAnsi="Arial"/>
      <w:sz w:val="20"/>
      <w:vertAlign w:val="superscript"/>
    </w:rPr>
  </w:style>
  <w:style w:type="table" w:styleId="TableGrid">
    <w:name w:val="Table Grid"/>
    <w:basedOn w:val="TableNormal"/>
    <w:uiPriority w:val="59"/>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aliases w:val="Footnotes refss"/>
    <w:uiPriority w:val="99"/>
    <w:rsid w:val="00D869F2"/>
    <w:rPr>
      <w:vertAlign w:val="superscript"/>
    </w:rPr>
  </w:style>
  <w:style w:type="paragraph" w:customStyle="1" w:styleId="DHHSreportmaintitle">
    <w:name w:val="DHHS report main title"/>
    <w:uiPriority w:val="4"/>
    <w:rsid w:val="00711B0C"/>
    <w:pPr>
      <w:keepLines/>
      <w:spacing w:after="240" w:line="580" w:lineRule="atLeast"/>
    </w:pPr>
    <w:rPr>
      <w:rFonts w:ascii="Arial" w:hAnsi="Arial"/>
      <w:color w:val="87189D"/>
      <w:sz w:val="50"/>
      <w:szCs w:val="24"/>
      <w:lang w:eastAsia="en-US"/>
    </w:rPr>
  </w:style>
  <w:style w:type="paragraph" w:styleId="FootnoteText">
    <w:name w:val="footnote text"/>
    <w:basedOn w:val="Normal"/>
    <w:link w:val="FootnoteTextChar"/>
    <w:uiPriority w:val="99"/>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0A4D6A"/>
    <w:pPr>
      <w:spacing w:after="120" w:line="280" w:lineRule="atLeast"/>
    </w:pPr>
    <w:rPr>
      <w:rFonts w:ascii="Arial" w:eastAsia="Times" w:hAnsi="Arial"/>
      <w:sz w:val="22"/>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711B0C"/>
    <w:pPr>
      <w:spacing w:before="80" w:after="60"/>
    </w:pPr>
    <w:rPr>
      <w:rFonts w:ascii="Arial" w:hAnsi="Arial"/>
      <w:b/>
      <w:color w:val="87189D"/>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711B0C"/>
    <w:pPr>
      <w:spacing w:before="0"/>
      <w:outlineLvl w:val="9"/>
    </w:pPr>
  </w:style>
  <w:style w:type="character" w:customStyle="1" w:styleId="DHHSTOCheadingreportChar">
    <w:name w:val="DHHS TOC heading report Char"/>
    <w:link w:val="DHHSTOCheadingreport"/>
    <w:uiPriority w:val="5"/>
    <w:rsid w:val="00711B0C"/>
    <w:rPr>
      <w:rFonts w:ascii="Arial" w:hAnsi="Arial"/>
      <w:bCs/>
      <w:color w:val="87189D"/>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styleId="BalloonText">
    <w:name w:val="Balloon Text"/>
    <w:basedOn w:val="Normal"/>
    <w:link w:val="BalloonTextChar"/>
    <w:uiPriority w:val="99"/>
    <w:semiHidden/>
    <w:unhideWhenUsed/>
    <w:rsid w:val="001635F7"/>
    <w:rPr>
      <w:rFonts w:ascii="Tahoma" w:hAnsi="Tahoma" w:cs="Tahoma"/>
      <w:sz w:val="16"/>
      <w:szCs w:val="16"/>
    </w:rPr>
  </w:style>
  <w:style w:type="character" w:customStyle="1" w:styleId="BalloonTextChar">
    <w:name w:val="Balloon Text Char"/>
    <w:basedOn w:val="DefaultParagraphFont"/>
    <w:link w:val="BalloonText"/>
    <w:uiPriority w:val="99"/>
    <w:semiHidden/>
    <w:rsid w:val="001635F7"/>
    <w:rPr>
      <w:rFonts w:ascii="Tahoma" w:hAnsi="Tahoma" w:cs="Tahoma"/>
      <w:sz w:val="16"/>
      <w:szCs w:val="16"/>
      <w:lang w:eastAsia="en-US"/>
    </w:rPr>
  </w:style>
  <w:style w:type="paragraph" w:styleId="ListParagraph">
    <w:name w:val="List Paragraph"/>
    <w:aliases w:val="Recommendation,List Paragraph1,List Paragraph11,L,Number,Bullet,Bullet point,DDM Gen Text,List Paragraph - bullets,NFP GP Bulleted List,bullet point list,Bullet points,Content descriptions,Bullet Point,NAST Quote,CV text,Numbe"/>
    <w:basedOn w:val="Normal"/>
    <w:link w:val="ListParagraphChar"/>
    <w:uiPriority w:val="34"/>
    <w:qFormat/>
    <w:rsid w:val="001635F7"/>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Recommendation Char,List Paragraph1 Char,List Paragraph11 Char,L Char,Number Char,Bullet Char,Bullet point Char,DDM Gen Text Char,List Paragraph - bullets Char,NFP GP Bulleted List Char,bullet point list Char,Bullet points Char"/>
    <w:link w:val="ListParagraph"/>
    <w:uiPriority w:val="34"/>
    <w:qFormat/>
    <w:locked/>
    <w:rsid w:val="001635F7"/>
    <w:rPr>
      <w:rFonts w:ascii="Calibri" w:eastAsia="Calibri" w:hAnsi="Calibri"/>
      <w:sz w:val="22"/>
      <w:szCs w:val="22"/>
      <w:lang w:eastAsia="en-US"/>
    </w:rPr>
  </w:style>
  <w:style w:type="table" w:customStyle="1" w:styleId="TableGrid1">
    <w:name w:val="Table Grid1"/>
    <w:basedOn w:val="TableNormal"/>
    <w:next w:val="TableGrid"/>
    <w:uiPriority w:val="59"/>
    <w:rsid w:val="001635F7"/>
    <w:rPr>
      <w:lang w:eastAsia="en-AU"/>
    </w:rPr>
    <w:tblPr>
      <w:tblInd w:w="108" w:type="dxa"/>
      <w:tblBorders>
        <w:top w:val="single" w:sz="4" w:space="0" w:color="auto"/>
        <w:bottom w:val="single" w:sz="4" w:space="0" w:color="auto"/>
        <w:insideH w:val="single" w:sz="4" w:space="0" w:color="auto"/>
      </w:tblBorders>
    </w:tblPr>
  </w:style>
  <w:style w:type="character" w:customStyle="1" w:styleId="FootnoteTextChar">
    <w:name w:val="Footnote Text Char"/>
    <w:link w:val="FootnoteText"/>
    <w:uiPriority w:val="99"/>
    <w:rsid w:val="001635F7"/>
    <w:rPr>
      <w:rFonts w:ascii="Arial" w:eastAsia="MS Gothic" w:hAnsi="Arial" w:cs="Arial"/>
      <w:sz w:val="16"/>
      <w:szCs w:val="16"/>
      <w:lang w:eastAsia="en-US"/>
    </w:rPr>
  </w:style>
  <w:style w:type="character" w:styleId="CommentReference">
    <w:name w:val="annotation reference"/>
    <w:uiPriority w:val="99"/>
    <w:semiHidden/>
    <w:unhideWhenUsed/>
    <w:rsid w:val="001635F7"/>
    <w:rPr>
      <w:sz w:val="16"/>
      <w:szCs w:val="16"/>
    </w:rPr>
  </w:style>
  <w:style w:type="paragraph" w:styleId="CommentText">
    <w:name w:val="annotation text"/>
    <w:basedOn w:val="Normal"/>
    <w:link w:val="CommentTextChar"/>
    <w:uiPriority w:val="99"/>
    <w:unhideWhenUsed/>
    <w:rsid w:val="001635F7"/>
  </w:style>
  <w:style w:type="character" w:customStyle="1" w:styleId="CommentTextChar">
    <w:name w:val="Comment Text Char"/>
    <w:basedOn w:val="DefaultParagraphFont"/>
    <w:link w:val="CommentText"/>
    <w:uiPriority w:val="99"/>
    <w:rsid w:val="001635F7"/>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1635F7"/>
    <w:rPr>
      <w:b/>
      <w:bCs/>
    </w:rPr>
  </w:style>
  <w:style w:type="character" w:customStyle="1" w:styleId="CommentSubjectChar">
    <w:name w:val="Comment Subject Char"/>
    <w:basedOn w:val="CommentTextChar"/>
    <w:link w:val="CommentSubject"/>
    <w:uiPriority w:val="99"/>
    <w:semiHidden/>
    <w:rsid w:val="001635F7"/>
    <w:rPr>
      <w:rFonts w:ascii="Cambria" w:hAnsi="Cambria"/>
      <w:b/>
      <w:bCs/>
      <w:lang w:eastAsia="en-US"/>
    </w:rPr>
  </w:style>
  <w:style w:type="character" w:customStyle="1" w:styleId="UnresolvedMention1">
    <w:name w:val="Unresolved Mention1"/>
    <w:uiPriority w:val="99"/>
    <w:semiHidden/>
    <w:unhideWhenUsed/>
    <w:rsid w:val="001635F7"/>
    <w:rPr>
      <w:color w:val="808080"/>
      <w:shd w:val="clear" w:color="auto" w:fill="E6E6E6"/>
    </w:rPr>
  </w:style>
  <w:style w:type="paragraph" w:customStyle="1" w:styleId="DPCbody">
    <w:name w:val="DPC body"/>
    <w:qFormat/>
    <w:rsid w:val="001635F7"/>
    <w:pPr>
      <w:spacing w:after="160" w:line="300" w:lineRule="atLeast"/>
    </w:pPr>
    <w:rPr>
      <w:rFonts w:ascii="Calibri" w:eastAsia="Times" w:hAnsi="Calibri" w:cs="Arial"/>
      <w:color w:val="000000"/>
      <w:sz w:val="22"/>
      <w:szCs w:val="22"/>
      <w:lang w:eastAsia="en-US"/>
    </w:rPr>
  </w:style>
  <w:style w:type="character" w:customStyle="1" w:styleId="HyperlinkCoolGray11C">
    <w:name w:val="Hyperlink Cool Gray 11 C"/>
    <w:uiPriority w:val="99"/>
    <w:rsid w:val="001635F7"/>
    <w:rPr>
      <w:color w:val="5D1869"/>
    </w:rPr>
  </w:style>
  <w:style w:type="paragraph" w:styleId="NormalWeb">
    <w:name w:val="Normal (Web)"/>
    <w:basedOn w:val="Normal"/>
    <w:uiPriority w:val="99"/>
    <w:unhideWhenUsed/>
    <w:rsid w:val="001635F7"/>
    <w:pPr>
      <w:spacing w:after="360" w:line="360" w:lineRule="atLeast"/>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vic.gov.au/women" TargetMode="External"/><Relationship Id="rId18" Type="http://schemas.openxmlformats.org/officeDocument/2006/relationships/hyperlink" Target="file:///\\n075\group\DHHS%20Comms\PUBLISHING\DHHS%20Microsoft%20publications\DHHS%20Word%20publications%202018\engage.vic.gov.au\gender-equality" TargetMode="External"/><Relationship Id="rId3" Type="http://schemas.openxmlformats.org/officeDocument/2006/relationships/styles" Target="styles.xml"/><Relationship Id="rId21" Type="http://schemas.openxmlformats.org/officeDocument/2006/relationships/hyperlink" Target="mailto:gender.equality@dhhs.vic.gov.au" TargetMode="External"/><Relationship Id="rId7" Type="http://schemas.openxmlformats.org/officeDocument/2006/relationships/footnotes" Target="footnotes.xml"/><Relationship Id="rId12" Type="http://schemas.openxmlformats.org/officeDocument/2006/relationships/hyperlink" Target="file:///C:\Users\agre2611\AppData\Local\Temp\notesA9CDAE\engage.vic.gov.au\gender-equality" TargetMode="External"/><Relationship Id="rId17" Type="http://schemas.openxmlformats.org/officeDocument/2006/relationships/hyperlink" Target="file:///\\n075\group\DHHS%20Comms\PUBLISHING\DHHS%20Microsoft%20publications\DHHS%20Word%20publications%202018\engage.vic.gov.au\gender-equality" TargetMode="External"/><Relationship Id="rId2" Type="http://schemas.openxmlformats.org/officeDocument/2006/relationships/numbering" Target="numbering.xml"/><Relationship Id="rId16" Type="http://schemas.openxmlformats.org/officeDocument/2006/relationships/hyperlink" Target="http://www.procurement.vic.gov.au/Buyers/Social-Procurement-Framework" TargetMode="External"/><Relationship Id="rId20" Type="http://schemas.openxmlformats.org/officeDocument/2006/relationships/hyperlink" Target="https://www.vic.gov.au/women.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ender.equality@dhhs.vic.gov.a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n075\group\DHHS%20Comms\PUBLISHING\DHHS%20Microsoft%20publications\DHHS%20Word%20publications%202018\engage.vic.gov.au\gender-equality"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gender.equality@dhhs.vic.gov.a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gender.equality@dhhs.vic.gov.au"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Report%2002%20Purple%2026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72F07-7504-4B03-A1D1-28EB76969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DHHS Report 02 Purple 2602.dot</Template>
  <TotalTime>0</TotalTime>
  <Pages>24</Pages>
  <Words>6495</Words>
  <Characters>37026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Gender Equality Bill exposure draft: discussion paper</vt:lpstr>
    </vt:vector>
  </TitlesOfParts>
  <Company>Department of Health and Human Services</Company>
  <LinksUpToDate>false</LinksUpToDate>
  <CharactersWithSpaces>43435</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1048626</vt:i4>
      </vt:variant>
      <vt:variant>
        <vt:i4>44</vt:i4>
      </vt:variant>
      <vt:variant>
        <vt:i4>0</vt:i4>
      </vt:variant>
      <vt:variant>
        <vt:i4>5</vt:i4>
      </vt:variant>
      <vt:variant>
        <vt:lpwstr/>
      </vt:variant>
      <vt:variant>
        <vt:lpwstr>_Toc442704404</vt:lpwstr>
      </vt:variant>
      <vt:variant>
        <vt:i4>1048626</vt:i4>
      </vt:variant>
      <vt:variant>
        <vt:i4>38</vt:i4>
      </vt:variant>
      <vt:variant>
        <vt:i4>0</vt:i4>
      </vt:variant>
      <vt:variant>
        <vt:i4>5</vt:i4>
      </vt:variant>
      <vt:variant>
        <vt:lpwstr/>
      </vt:variant>
      <vt:variant>
        <vt:lpwstr>_Toc442704403</vt:lpwstr>
      </vt:variant>
      <vt:variant>
        <vt:i4>1048626</vt:i4>
      </vt:variant>
      <vt:variant>
        <vt:i4>32</vt:i4>
      </vt:variant>
      <vt:variant>
        <vt:i4>0</vt:i4>
      </vt:variant>
      <vt:variant>
        <vt:i4>5</vt:i4>
      </vt:variant>
      <vt:variant>
        <vt:lpwstr/>
      </vt:variant>
      <vt:variant>
        <vt:lpwstr>_Toc442704402</vt:lpwstr>
      </vt:variant>
      <vt:variant>
        <vt:i4>1048626</vt:i4>
      </vt:variant>
      <vt:variant>
        <vt:i4>26</vt:i4>
      </vt:variant>
      <vt:variant>
        <vt:i4>0</vt:i4>
      </vt:variant>
      <vt:variant>
        <vt:i4>5</vt:i4>
      </vt:variant>
      <vt:variant>
        <vt:lpwstr/>
      </vt:variant>
      <vt:variant>
        <vt:lpwstr>_Toc442704401</vt:lpwstr>
      </vt:variant>
      <vt:variant>
        <vt:i4>1048626</vt:i4>
      </vt:variant>
      <vt:variant>
        <vt:i4>20</vt:i4>
      </vt:variant>
      <vt:variant>
        <vt:i4>0</vt:i4>
      </vt:variant>
      <vt:variant>
        <vt:i4>5</vt:i4>
      </vt:variant>
      <vt:variant>
        <vt:lpwstr/>
      </vt:variant>
      <vt:variant>
        <vt:lpwstr>_Toc442704400</vt:lpwstr>
      </vt:variant>
      <vt:variant>
        <vt:i4>1638453</vt:i4>
      </vt:variant>
      <vt:variant>
        <vt:i4>14</vt:i4>
      </vt:variant>
      <vt:variant>
        <vt:i4>0</vt:i4>
      </vt:variant>
      <vt:variant>
        <vt:i4>5</vt:i4>
      </vt:variant>
      <vt:variant>
        <vt:lpwstr/>
      </vt:variant>
      <vt:variant>
        <vt:lpwstr>_Toc442704399</vt:lpwstr>
      </vt:variant>
      <vt:variant>
        <vt:i4>1638453</vt:i4>
      </vt:variant>
      <vt:variant>
        <vt:i4>8</vt:i4>
      </vt:variant>
      <vt:variant>
        <vt:i4>0</vt:i4>
      </vt:variant>
      <vt:variant>
        <vt:i4>5</vt:i4>
      </vt:variant>
      <vt:variant>
        <vt:lpwstr/>
      </vt:variant>
      <vt:variant>
        <vt:lpwstr>_Toc442704398</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Gender Equality Bill exposure draft: discussion paper</dc:title>
  <dc:subject>Gender Equality Bill exposure draft: discussion paper</dc:subject>
  <dc:creator>Gender Equality unit, Office for Women</dc:creator>
  <cp:keywords>Gender, legislation, Bill, consultation, diversity, discussion paper</cp:keywords>
  <cp:lastModifiedBy>Abigail Greer (DHHS)</cp:lastModifiedBy>
  <cp:revision>2</cp:revision>
  <cp:lastPrinted>2015-08-24T03:33:00Z</cp:lastPrinted>
  <dcterms:created xsi:type="dcterms:W3CDTF">2018-08-20T22:50:00Z</dcterms:created>
  <dcterms:modified xsi:type="dcterms:W3CDTF">2018-08-20T22:50:00Z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