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X1f457a5af9a4dd4f6fd36f2e54b0539ff72298a"/>
    <w:p>
      <w:pPr>
        <w:pStyle w:val="Heading1"/>
      </w:pPr>
      <w:r>
        <w:t xml:space="preserve">Wissenschaftliche Grundlage für Sandras Verhandlungsverhalten</w:t>
      </w:r>
    </w:p>
    <w:p>
      <w:pPr>
        <w:pStyle w:val="FirstParagraph"/>
      </w:pPr>
      <w:r>
        <w:t xml:space="preserve">Dieses Dokument belegt die empirische Fundierung von Sandras Konzessionsalgorithmus in der Gehaltsverhandlungssimulation.</w:t>
      </w:r>
    </w:p>
    <w:p>
      <w:r>
        <w:pict>
          <v:rect style="width:0;height:1.5pt" o:hralign="center" o:hrstd="t" o:hr="t"/>
        </w:pict>
      </w:r>
    </w:p>
    <w:bookmarkStart w:id="9" w:name="ankereffekt-gap-basierte-konzessionsrate"/>
    <w:p>
      <w:pPr>
        <w:pStyle w:val="Heading2"/>
      </w:pPr>
      <w:r>
        <w:t xml:space="preserve">1. Ankereffekt → gap-basierte Konzessionsrate</w:t>
      </w:r>
    </w:p>
    <w:p>
      <w:pPr>
        <w:pStyle w:val="FirstParagraph"/>
      </w:pPr>
      <w:r>
        <w:rPr>
          <w:b/>
          <w:bCs/>
        </w:rPr>
        <w:t xml:space="preserve">Galinsky, A. D., &amp; Mussweiler, T. (2001).</w:t>
      </w:r>
      <w:r>
        <w:t xml:space="preserve"> </w:t>
      </w:r>
      <w:r>
        <w:t xml:space="preserve">First offers as anchors: The role of perspective-taking and negotiator focus.</w:t>
      </w:r>
      <w:r>
        <w:t xml:space="preserve"> </w:t>
      </w:r>
      <w:r>
        <w:rPr>
          <w:i/>
          <w:iCs/>
        </w:rPr>
        <w:t xml:space="preserve">Journal of Personality and Social Psychology, 81</w:t>
      </w:r>
      <w:r>
        <w:t xml:space="preserve">(4), 657–669. https://psycnet.apa.org/record/2001-18605-008</w:t>
      </w:r>
    </w:p>
    <w:p>
      <w:pPr>
        <w:pStyle w:val="Compact"/>
        <w:numPr>
          <w:ilvl w:val="0"/>
          <w:numId w:val="1001"/>
        </w:numPr>
      </w:pPr>
      <w:r>
        <w:t xml:space="preserve">Drei Experimente zeigen: Wer zuerst bietet, erzielt systematisch bessere Ergebnisse.</w:t>
      </w:r>
    </w:p>
    <w:p>
      <w:pPr>
        <w:pStyle w:val="Compact"/>
        <w:numPr>
          <w:ilvl w:val="0"/>
          <w:numId w:val="1001"/>
        </w:numPr>
      </w:pPr>
      <w:r>
        <w:t xml:space="preserve">Der erste Offer ist der stärkste einzelne Prädiktor des Endpreises.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Implikation für Sandra:</w:t>
      </w:r>
      <w:r>
        <w:t xml:space="preserve"> </w:t>
      </w:r>
      <w:r>
        <w:t xml:space="preserve">Ein höherer Spieleranker → größere Gap → größere absolute Bewegung Sandras. Die gap-proportionale Konzessionsrate (</w:t>
      </w:r>
      <w:r>
        <w:rPr>
          <w:rStyle w:val="VerbatimChar"/>
        </w:rPr>
        <w:t xml:space="preserve">counter = prev + gap * rate</w:t>
      </w:r>
      <w:r>
        <w:t xml:space="preserve">) bildet diesen Mechanismus direkt ab.</w:t>
      </w:r>
    </w:p>
    <w:p>
      <w:pPr>
        <w:pStyle w:val="FirstParagraph"/>
      </w:pPr>
      <w:r>
        <w:rPr>
          <w:b/>
          <w:bCs/>
        </w:rPr>
        <w:t xml:space="preserve">Thorsteinson, T. J. (2011).</w:t>
      </w:r>
      <w:r>
        <w:t xml:space="preserve"> </w:t>
      </w:r>
      <w:r>
        <w:t xml:space="preserve">Initiating salary discussions with an extreme request: Anchoring effects on initial salary offers.</w:t>
      </w:r>
      <w:r>
        <w:t xml:space="preserve"> </w:t>
      </w:r>
      <w:r>
        <w:rPr>
          <w:i/>
          <w:iCs/>
        </w:rPr>
        <w:t xml:space="preserve">Journal of Applied Social Psychology, 41</w:t>
      </w:r>
      <w:r>
        <w:t xml:space="preserve">(7), 1774–1792. https://onlinelibrary.wiley.com/doi/abs/10.1111/j.1559-1816.2011.00779.x</w:t>
      </w:r>
    </w:p>
    <w:p>
      <w:pPr>
        <w:pStyle w:val="Compact"/>
        <w:numPr>
          <w:ilvl w:val="0"/>
          <w:numId w:val="1002"/>
        </w:numPr>
      </w:pPr>
      <w:r>
        <w:t xml:space="preserve">Salary-spezifische Studie: Höhere Anker → höhere Gegenangebote, aber mit</w:t>
      </w:r>
      <w:r>
        <w:t xml:space="preserve"> </w:t>
      </w:r>
      <w:r>
        <w:rPr>
          <w:b/>
          <w:bCs/>
        </w:rPr>
        <w:t xml:space="preserve">abnehmenden Skalenerträgen (Anchoring Response Function, ARF)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Ab einem implausiblen Schwellenwert flacht der Effekt ab; extreme Anker werden ignoriert oder führen zu Abbruch.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Implikation für Sandra:</w:t>
      </w:r>
      <w:r>
        <w:t xml:space="preserve"> </w:t>
      </w:r>
      <w:r>
        <w:t xml:space="preserve">Erklärt das harte Ceiling bei</w:t>
      </w:r>
      <w:r>
        <w:t xml:space="preserve"> </w:t>
      </w:r>
      <w:r>
        <w:rPr>
          <w:rStyle w:val="VerbatimChar"/>
        </w:rPr>
        <w:t xml:space="preserve">_NEG_CEILING = 50.000 €</w:t>
      </w:r>
      <w:r>
        <w:t xml:space="preserve"> </w:t>
      </w:r>
      <w:r>
        <w:t xml:space="preserve">und den Gesprächsabbruch ab</w:t>
      </w:r>
      <w:r>
        <w:t xml:space="preserve"> </w:t>
      </w:r>
      <w:r>
        <w:rPr>
          <w:rStyle w:val="VerbatimChar"/>
        </w:rPr>
        <w:t xml:space="preserve">_NEG_REJECT_THR = 55.000 €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"/>
    <w:bookmarkStart w:id="10" w:name="argumentqualität-konzessionsbereitschaft"/>
    <w:p>
      <w:pPr>
        <w:pStyle w:val="Heading2"/>
      </w:pPr>
      <w:r>
        <w:t xml:space="preserve">2. Argumentqualität → Konzessionsbereitschaft</w:t>
      </w:r>
    </w:p>
    <w:p>
      <w:pPr>
        <w:pStyle w:val="FirstParagraph"/>
      </w:pPr>
      <w:r>
        <w:rPr>
          <w:b/>
          <w:bCs/>
        </w:rPr>
        <w:t xml:space="preserve">Cialdini, R. B., Vincent, J. E., Lewis, S. K., Catalan, J., Wheeler, D., &amp; Darby, B. L. (1975).</w:t>
      </w:r>
      <w:r>
        <w:t xml:space="preserve"> </w:t>
      </w:r>
      <w:r>
        <w:t xml:space="preserve">Reciprocal concessions procedure for inducing compliance: The door-in-the-face technique.</w:t>
      </w:r>
      <w:r>
        <w:t xml:space="preserve"> </w:t>
      </w:r>
      <w:r>
        <w:rPr>
          <w:i/>
          <w:iCs/>
        </w:rPr>
        <w:t xml:space="preserve">Journal of Personality and Social Psychology, 31</w:t>
      </w:r>
      <w:r>
        <w:t xml:space="preserve">(2), 206–215. https://web.mit.edu/curhan/www/docs/Articles/15341_Readings/Influence_Compliance/Cialdini.et.al.Reciprocal.Concessions.Procedure.1975.article.pdf</w:t>
      </w:r>
    </w:p>
    <w:p>
      <w:pPr>
        <w:pStyle w:val="Compact"/>
        <w:numPr>
          <w:ilvl w:val="0"/>
          <w:numId w:val="1003"/>
        </w:numPr>
      </w:pPr>
      <w:r>
        <w:t xml:space="preserve">Begründungen und Reziprozitätsnorm: Eine Bitte mit Begründung erhöht die Compliance signifikant — auch wenn die Begründung nicht zwingend ist.</w:t>
      </w:r>
    </w:p>
    <w:p>
      <w:pPr>
        <w:pStyle w:val="Compact"/>
        <w:numPr>
          <w:ilvl w:val="0"/>
          <w:numId w:val="1003"/>
        </w:numPr>
      </w:pPr>
      <w:r>
        <w:t xml:space="preserve">Konzessionen erzeugen Reziprozitätsdruck beim Gegenüber.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Implikation für Sandra:</w:t>
      </w:r>
      <w:r>
        <w:t xml:space="preserve"> </w:t>
      </w:r>
      <w:r>
        <w:t xml:space="preserve">Substanziierte Argumente (Marktreferenzen, quantifizierter Mehrwert) aktivieren die Reziprozitätsnorm. Das goodwill-System (</w:t>
      </w:r>
      <w:r>
        <w:rPr>
          <w:rStyle w:val="VerbatimChar"/>
        </w:rPr>
        <w:t xml:space="preserve">_goodwill_delta</w:t>
      </w:r>
      <w:r>
        <w:t xml:space="preserve">) bildet diesen Mechanismus ab: Score 3–4 → höherer Goodwill → günstigerer</w:t>
      </w:r>
      <w:r>
        <w:t xml:space="preserve"> </w:t>
      </w:r>
      <w:r>
        <w:rPr>
          <w:rStyle w:val="VerbatimChar"/>
        </w:rPr>
        <w:t xml:space="preserve">_RATES</w:t>
      </w:r>
      <w:r>
        <w:t xml:space="preserve">-Eintrag.</w:t>
      </w:r>
    </w:p>
    <w:p>
      <w:pPr>
        <w:pStyle w:val="FirstParagraph"/>
      </w:pPr>
      <w:r>
        <w:t xml:space="preserve">Ergänzend: Allgemeine Verhandlungsforschung (Pruitt, 1981; Walton &amp; McKersie, 1965) zeigt konsistent, dass substantiierte Argumente die wahrgenommene Legitimität einer Forderung erhöhen und damit die Konzessionsbereitschaft des Gegenübers steigern.</w:t>
      </w:r>
    </w:p>
    <w:p>
      <w:r>
        <w:pict>
          <v:rect style="width:0;height:1.5pt" o:hralign="center" o:hrstd="t" o:hr="t"/>
        </w:pict>
      </w:r>
    </w:p>
    <w:bookmarkEnd w:id="10"/>
    <w:bookmarkStart w:id="11" w:name="X052afb81d3cf18b373f42f11fd9419f459e47bd"/>
    <w:p>
      <w:pPr>
        <w:pStyle w:val="Heading2"/>
      </w:pPr>
      <w:r>
        <w:t xml:space="preserve">3. Reservationspreis / Gehaltsdeckel bei 50.000 €</w:t>
      </w:r>
    </w:p>
    <w:p>
      <w:pPr>
        <w:pStyle w:val="FirstParagraph"/>
      </w:pPr>
      <w:r>
        <w:rPr>
          <w:b/>
          <w:bCs/>
        </w:rPr>
        <w:t xml:space="preserve">Gerhart, B., &amp; Rynes, S. (1991).</w:t>
      </w:r>
      <w:r>
        <w:t xml:space="preserve"> </w:t>
      </w:r>
      <w:r>
        <w:t xml:space="preserve">Determinants and consequences of salary negotiations by male and female MBA graduates.</w:t>
      </w:r>
      <w:r>
        <w:t xml:space="preserve"> </w:t>
      </w:r>
      <w:r>
        <w:rPr>
          <w:i/>
          <w:iCs/>
        </w:rPr>
        <w:t xml:space="preserve">Journal of Applied Psychology, 76</w:t>
      </w:r>
      <w:r>
        <w:t xml:space="preserve">(2), 256–262. https://scholar.google.com/scholar_lookup?author=B.+Gerhart&amp;author=S.+L.+Rynes&amp;journal=Journal+of+Applied+Psychology&amp;pages=256-262&amp;publication_year=1991&amp;title=Determinants+and+consequences+of+salary+negotiations+by+male+and+female+MBA+graduates&amp;volume=76</w:t>
      </w:r>
    </w:p>
    <w:p>
      <w:pPr>
        <w:pStyle w:val="Compact"/>
        <w:numPr>
          <w:ilvl w:val="0"/>
          <w:numId w:val="1004"/>
        </w:numPr>
      </w:pPr>
      <w:r>
        <w:t xml:space="preserve">Seminal-Studie: 56 % der MBA-Absolventen, die verhandeln, erzielen ein besseres Ergebnis.</w:t>
      </w:r>
    </w:p>
    <w:p>
      <w:pPr>
        <w:pStyle w:val="Compact"/>
        <w:numPr>
          <w:ilvl w:val="0"/>
          <w:numId w:val="1004"/>
        </w:numPr>
      </w:pPr>
      <w:r>
        <w:t xml:space="preserve">Verhandlungsergebnisse konvergieren jedoch innerhalb enger Bänder um betriebliche Budgetgrenzen (Reservationspreise).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Implikation für Sandra:</w:t>
      </w:r>
      <w:r>
        <w:t xml:space="preserve"> </w:t>
      </w:r>
      <w:r>
        <w:t xml:space="preserve">Arbeitgeber haben harte Budgetgrenzen.</w:t>
      </w:r>
      <w:r>
        <w:t xml:space="preserve"> </w:t>
      </w:r>
      <w:r>
        <w:rPr>
          <w:rStyle w:val="VerbatimChar"/>
        </w:rPr>
        <w:t xml:space="preserve">_NEG_CEILING = 50.000 €</w:t>
      </w:r>
      <w:r>
        <w:t xml:space="preserve"> </w:t>
      </w:r>
      <w:r>
        <w:t xml:space="preserve">entspricht dem Reservationspreis; jenseits davon ist keine Einigung möglich.</w:t>
      </w:r>
    </w:p>
    <w:p>
      <w:pPr>
        <w:pStyle w:val="FirstParagraph"/>
      </w:pPr>
      <w:r>
        <w:t xml:space="preserve">Das</w:t>
      </w:r>
      <w:r>
        <w:t xml:space="preserve"> </w:t>
      </w:r>
      <w:r>
        <w:rPr>
          <w:b/>
          <w:bCs/>
        </w:rPr>
        <w:t xml:space="preserve">ZOPA-Konzept</w:t>
      </w:r>
      <w:r>
        <w:t xml:space="preserve"> </w:t>
      </w:r>
      <w:r>
        <w:t xml:space="preserve">(Zone of Possible Agreement; Raiffa, 1982; Lax &amp; Sebenius, 1986) formalisiert dies: Eine Einigung ist nur möglich, wenn der Spieleranker unterhalb des Arbeitgeber-Reservationspreises liegt.</w:t>
      </w:r>
    </w:p>
    <w:p>
      <w:r>
        <w:pict>
          <v:rect style="width:0;height:1.5pt" o:hralign="center" o:hrstd="t" o:hr="t"/>
        </w:pict>
      </w:r>
    </w:p>
    <w:bookmarkEnd w:id="11"/>
    <w:bookmarkStart w:id="12" w:name="rückzug-bei-extremen-forderungen"/>
    <w:p>
      <w:pPr>
        <w:pStyle w:val="Heading2"/>
      </w:pPr>
      <w:r>
        <w:t xml:space="preserve">4. Rückzug bei extremen Forderungen</w:t>
      </w:r>
    </w:p>
    <w:p>
      <w:pPr>
        <w:pStyle w:val="FirstParagraph"/>
      </w:pPr>
      <w:r>
        <w:rPr>
          <w:b/>
          <w:bCs/>
        </w:rPr>
        <w:t xml:space="preserve">Ames, D. R., Wazlawek, A. S., &amp; Nguyen, M. H. (2022).</w:t>
      </w:r>
      <w:r>
        <w:t xml:space="preserve"> </w:t>
      </w:r>
      <w:r>
        <w:t xml:space="preserve">Reconsider what your MBA negotiation course taught you: The possible adverse effects of high salary requests.</w:t>
      </w:r>
      <w:r>
        <w:t xml:space="preserve"> </w:t>
      </w:r>
      <w:r>
        <w:rPr>
          <w:i/>
          <w:iCs/>
        </w:rPr>
        <w:t xml:space="preserve">Journal of Applied Psychology.</w:t>
      </w:r>
      <w:r>
        <w:t xml:space="preserve"> </w:t>
      </w:r>
      <w:r>
        <w:t xml:space="preserve">https://www.sciencedirect.com/science/article/abs/pii/S0001879122001142</w:t>
      </w:r>
    </w:p>
    <w:p>
      <w:pPr>
        <w:pStyle w:val="Compact"/>
        <w:numPr>
          <w:ilvl w:val="0"/>
          <w:numId w:val="1005"/>
        </w:numPr>
      </w:pPr>
      <w:r>
        <w:t xml:space="preserve">Extreme erste Angebote führen zu</w:t>
      </w:r>
      <w:r>
        <w:t xml:space="preserve"> </w:t>
      </w:r>
      <w:r>
        <w:rPr>
          <w:b/>
          <w:bCs/>
        </w:rPr>
        <w:t xml:space="preserve">Backlash-Effekten</w:t>
      </w:r>
      <w:r>
        <w:t xml:space="preserve">: niedrigere Einstellungswahrscheinlichkeit, geringere Sympathie, Abbruch des Gesprächs.</w:t>
      </w:r>
    </w:p>
    <w:p>
      <w:pPr>
        <w:pStyle w:val="Compact"/>
        <w:numPr>
          <w:ilvl w:val="0"/>
          <w:numId w:val="1005"/>
        </w:numPr>
      </w:pPr>
      <w:r>
        <w:t xml:space="preserve">Gut dokumentiert im HR-Kontext.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Implikation für Sandra:</w:t>
      </w:r>
      <w:r>
        <w:t xml:space="preserve"> </w:t>
      </w:r>
      <w:r>
        <w:rPr>
          <w:rStyle w:val="VerbatimChar"/>
        </w:rPr>
        <w:t xml:space="preserve">_NEG_EXTREME_THR = 58.000 €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negotiation_result = 'rejected_by_hr'</w:t>
      </w:r>
      <w:r>
        <w:t xml:space="preserve">. Dies spiegelt die empirisch belegten Reaktionen von HR-Managerinnen auf unrealistische Forderungen wider.</w:t>
      </w:r>
    </w:p>
    <w:p>
      <w:r>
        <w:pict>
          <v:rect style="width:0;height:1.5pt" o:hralign="center" o:hrstd="t" o:hr="t"/>
        </w:pict>
      </w:r>
    </w:p>
    <w:bookmarkEnd w:id="12"/>
    <w:bookmarkStart w:id="13" w:name="X34d0b4a759a9cdad7f6270820ce46051e9bd081"/>
    <w:p>
      <w:pPr>
        <w:pStyle w:val="Heading2"/>
      </w:pPr>
      <w:r>
        <w:t xml:space="preserve">Zusammenfassung: Zitierbare Evidenz nach Mechanismus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Sandra-Mechanismus</w:t>
            </w:r>
          </w:p>
        </w:tc>
        <w:tc>
          <w:tcPr/>
          <w:p>
            <w:pPr>
              <w:pStyle w:val="Compact"/>
            </w:pPr>
            <w:r>
              <w:t xml:space="preserve">Beleg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Anker → gap-proportionale Konzession</w:t>
            </w:r>
          </w:p>
        </w:tc>
        <w:tc>
          <w:tcPr/>
          <w:p>
            <w:pPr>
              <w:pStyle w:val="Compact"/>
            </w:pPr>
            <w:r>
              <w:t xml:space="preserve">Galinsky &amp; Mussweiler (2001), JPSP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Abnehmender Ankereffekt bei Extremwerten</w:t>
            </w:r>
          </w:p>
        </w:tc>
        <w:tc>
          <w:tcPr/>
          <w:p>
            <w:pPr>
              <w:pStyle w:val="Compact"/>
            </w:pPr>
            <w:r>
              <w:t xml:space="preserve">Thorsteinson (2011), JASP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Argumente erhöhen Konzessionsbereitschaft</w:t>
            </w:r>
          </w:p>
        </w:tc>
        <w:tc>
          <w:tcPr/>
          <w:p>
            <w:pPr>
              <w:pStyle w:val="Compact"/>
            </w:pPr>
            <w:r>
              <w:t xml:space="preserve">Cialdini et al. (1975); Pruitt (1981)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Reservationspreis / Deckel bei 50.000 €</w:t>
            </w:r>
          </w:p>
        </w:tc>
        <w:tc>
          <w:tcPr/>
          <w:p>
            <w:pPr>
              <w:pStyle w:val="Compact"/>
            </w:pPr>
            <w:r>
              <w:t xml:space="preserve">Gerhart &amp; Rynes (1991), JAP; ZOPA-Theorie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Rückzug bei Extremforderungen</w:t>
            </w:r>
          </w:p>
        </w:tc>
        <w:tc>
          <w:tcPr/>
          <w:p>
            <w:pPr>
              <w:pStyle w:val="Compact"/>
            </w:pPr>
            <w:r>
              <w:t xml:space="preserve">Ames et al. (2022), JAP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methodenteil-formulierung-vorlage"/>
    <w:p>
      <w:pPr>
        <w:pStyle w:val="Heading2"/>
      </w:pPr>
      <w:r>
        <w:t xml:space="preserve">Methodenteil-Formulierung (Vorlage)</w:t>
      </w:r>
    </w:p>
    <w:p>
      <w:pPr>
        <w:pStyle w:val="BlockText"/>
      </w:pPr>
      <w:r>
        <w:t xml:space="preserve">Sandras Konzessionsverhalten wurde auf Basis empirischer Befunde zur Verhandlungsverankerung (Galinsky &amp; Mussweiler, 2001; Thorsteinson, 2011) und Reziprozitätsnormen (Cialdini et al., 1975) kalibriert. Der Reservationspreis von 50.000 € entspricht dem oberen Rand realistischer Einstiegsgehälter für Berufseinsteiger/innen im deutschsprachigen Raum sowie betrieblichen Budgetgrenzen im Sinne des ZOPA-Konzepts (Raiffa, 1982). Das Verhalten bei extremen Forderungen (Angebotsrückzug ab 58.000 €) spiegelt dokumentierte Backlash-Effekte in HR-Verhandlungskontexten wider (Ames et al., 2022).</w:t>
      </w:r>
    </w:p>
    <w:p>
      <w:r>
        <w:pict>
          <v:rect style="width:0;height:1.5pt" o:hralign="center" o:hrstd="t" o:hr="t"/>
        </w:pict>
      </w:r>
    </w:p>
    <w:bookmarkEnd w:id="14"/>
    <w:bookmarkStart w:id="15" w:name="vollständige-literaturliste-apa-7"/>
    <w:p>
      <w:pPr>
        <w:pStyle w:val="Heading2"/>
      </w:pPr>
      <w:r>
        <w:t xml:space="preserve">Vollständige Literaturliste (APA 7)</w:t>
      </w:r>
    </w:p>
    <w:p>
      <w:pPr>
        <w:pStyle w:val="FirstParagraph"/>
      </w:pPr>
      <w:r>
        <w:t xml:space="preserve">Ames, D. R., Wazlawek, A. S., &amp; Nguyen, M. H. (2022). Reconsider what your MBA negotiation course taught you: The possible adverse effects of high salary requests.</w:t>
      </w:r>
      <w:r>
        <w:t xml:space="preserve"> </w:t>
      </w:r>
      <w:r>
        <w:rPr>
          <w:i/>
          <w:iCs/>
        </w:rPr>
        <w:t xml:space="preserve">Journal of Applied Psychology.</w:t>
      </w:r>
      <w:r>
        <w:t xml:space="preserve"> </w:t>
      </w:r>
      <w:r>
        <w:t xml:space="preserve">https://doi.org/10.1016/j.obhdp.2022.104149</w:t>
      </w:r>
    </w:p>
    <w:p>
      <w:pPr>
        <w:pStyle w:val="BodyText"/>
      </w:pPr>
      <w:r>
        <w:t xml:space="preserve">Cialdini, R. B., Vincent, J. E., Lewis, S. K., Catalan, J., Wheeler, D., &amp; Darby, B. L. (1975). Reciprocal concessions procedure for inducing compliance: The door-in-the-face technique.</w:t>
      </w:r>
      <w:r>
        <w:t xml:space="preserve"> </w:t>
      </w:r>
      <w:r>
        <w:rPr>
          <w:i/>
          <w:iCs/>
        </w:rPr>
        <w:t xml:space="preserve">Journal of Personality and Social Psychology, 31</w:t>
      </w:r>
      <w:r>
        <w:t xml:space="preserve">(2), 206–215.</w:t>
      </w:r>
    </w:p>
    <w:p>
      <w:pPr>
        <w:pStyle w:val="BodyText"/>
      </w:pPr>
      <w:r>
        <w:t xml:space="preserve">Galinsky, A. D., &amp; Mussweiler, T. (2001). First offers as anchors: The role of perspective-taking and negotiator focus.</w:t>
      </w:r>
      <w:r>
        <w:t xml:space="preserve"> </w:t>
      </w:r>
      <w:r>
        <w:rPr>
          <w:i/>
          <w:iCs/>
        </w:rPr>
        <w:t xml:space="preserve">Journal of Personality and Social Psychology, 81</w:t>
      </w:r>
      <w:r>
        <w:t xml:space="preserve">(4), 657–669.</w:t>
      </w:r>
    </w:p>
    <w:p>
      <w:pPr>
        <w:pStyle w:val="BodyText"/>
      </w:pPr>
      <w:r>
        <w:t xml:space="preserve">Gerhart, B., &amp; Rynes, S. (1991). Determinants and consequences of salary negotiations by male and female MBA graduates.</w:t>
      </w:r>
      <w:r>
        <w:t xml:space="preserve"> </w:t>
      </w:r>
      <w:r>
        <w:rPr>
          <w:i/>
          <w:iCs/>
        </w:rPr>
        <w:t xml:space="preserve">Journal of Applied Psychology, 76</w:t>
      </w:r>
      <w:r>
        <w:t xml:space="preserve">(2), 256–262.</w:t>
      </w:r>
    </w:p>
    <w:p>
      <w:pPr>
        <w:pStyle w:val="BodyText"/>
      </w:pPr>
      <w:r>
        <w:t xml:space="preserve">Lax, D. A., &amp; Sebenius, J. K. (1986).</w:t>
      </w:r>
      <w:r>
        <w:t xml:space="preserve"> </w:t>
      </w:r>
      <w:r>
        <w:rPr>
          <w:i/>
          <w:iCs/>
        </w:rPr>
        <w:t xml:space="preserve">The manager as negotiator: Bargaining for cooperation and competitive gain.</w:t>
      </w:r>
      <w:r>
        <w:t xml:space="preserve"> </w:t>
      </w:r>
      <w:r>
        <w:t xml:space="preserve">Free Press.</w:t>
      </w:r>
    </w:p>
    <w:p>
      <w:pPr>
        <w:pStyle w:val="BodyText"/>
      </w:pPr>
      <w:r>
        <w:t xml:space="preserve">Pruitt, D. G. (1981).</w:t>
      </w:r>
      <w:r>
        <w:t xml:space="preserve"> </w:t>
      </w:r>
      <w:r>
        <w:rPr>
          <w:i/>
          <w:iCs/>
        </w:rPr>
        <w:t xml:space="preserve">Negotiation behavior.</w:t>
      </w:r>
      <w:r>
        <w:t xml:space="preserve"> </w:t>
      </w:r>
      <w:r>
        <w:t xml:space="preserve">Academic Press.</w:t>
      </w:r>
    </w:p>
    <w:p>
      <w:pPr>
        <w:pStyle w:val="BodyText"/>
      </w:pPr>
      <w:r>
        <w:t xml:space="preserve">Raiffa, H. (1982).</w:t>
      </w:r>
      <w:r>
        <w:t xml:space="preserve"> </w:t>
      </w:r>
      <w:r>
        <w:rPr>
          <w:i/>
          <w:iCs/>
        </w:rPr>
        <w:t xml:space="preserve">The art and science of negotiation.</w:t>
      </w:r>
      <w:r>
        <w:t xml:space="preserve"> </w:t>
      </w:r>
      <w:r>
        <w:t xml:space="preserve">Harvard University Press.</w:t>
      </w:r>
    </w:p>
    <w:p>
      <w:pPr>
        <w:pStyle w:val="BodyText"/>
      </w:pPr>
      <w:r>
        <w:t xml:space="preserve">Thorsteinson, T. J. (2011). Initiating salary discussions with an extreme request: Anchoring effects on initial salary offers.</w:t>
      </w:r>
      <w:r>
        <w:t xml:space="preserve"> </w:t>
      </w:r>
      <w:r>
        <w:rPr>
          <w:i/>
          <w:iCs/>
        </w:rPr>
        <w:t xml:space="preserve">Journal of Applied Social Psychology, 41</w:t>
      </w:r>
      <w:r>
        <w:t xml:space="preserve">(7), 1774–1792.</w:t>
      </w:r>
    </w:p>
    <w:p>
      <w:pPr>
        <w:pStyle w:val="BodyText"/>
      </w:pPr>
      <w:r>
        <w:t xml:space="preserve">Walton, R. E., &amp; McKersie, R. B. (1965).</w:t>
      </w:r>
      <w:r>
        <w:t xml:space="preserve"> </w:t>
      </w:r>
      <w:r>
        <w:rPr>
          <w:i/>
          <w:iCs/>
        </w:rPr>
        <w:t xml:space="preserve">A behavioral theory of labor negotiations.</w:t>
      </w:r>
      <w:r>
        <w:t xml:space="preserve"> </w:t>
      </w:r>
      <w:r>
        <w:t xml:space="preserve">McGraw-Hill.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2026-04-15T09:17:10Z</dcterms:created>
  <dcterms:modified xsi:type="dcterms:W3CDTF">2026-04-15T09:17:10Z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