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charts/chart1.xml" ContentType="application/vnd.openxmlformats-officedocument.drawingml.chart+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Default Extension="xlsx" ContentType="application/vnd.openxmlformats-officedocument.spreadsheetml.sheet"/>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D5" w:rsidRDefault="006244D5" w:rsidP="006244D5">
      <w:pPr>
        <w:jc w:val="center"/>
        <w:rPr>
          <w:rFonts w:ascii="Calibri Bold" w:hAnsi="Calibri Bold"/>
        </w:rPr>
      </w:pPr>
      <w:r>
        <w:rPr>
          <w:rFonts w:ascii="Calibri Bold" w:hAnsi="Calibri Bold"/>
          <w:noProof/>
        </w:rPr>
        <w:drawing>
          <wp:inline distT="0" distB="0" distL="0" distR="0">
            <wp:extent cx="609600" cy="609600"/>
            <wp:effectExtent l="25400" t="0" r="0" b="0"/>
            <wp:docPr id="3" name="Picture 2" descr="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logo.jpg"/>
                    <pic:cNvPicPr/>
                  </pic:nvPicPr>
                  <pic:blipFill>
                    <a:blip r:embed="rId8"/>
                    <a:stretch>
                      <a:fillRect/>
                    </a:stretch>
                  </pic:blipFill>
                  <pic:spPr>
                    <a:xfrm>
                      <a:off x="0" y="0"/>
                      <a:ext cx="609600" cy="609600"/>
                    </a:xfrm>
                    <a:prstGeom prst="rect">
                      <a:avLst/>
                    </a:prstGeom>
                  </pic:spPr>
                </pic:pic>
              </a:graphicData>
            </a:graphic>
          </wp:inline>
        </w:drawing>
      </w:r>
    </w:p>
    <w:p w:rsidR="0091685A" w:rsidRDefault="00B03F47">
      <w:pPr>
        <w:jc w:val="center"/>
        <w:rPr>
          <w:rFonts w:ascii="Calibri Bold" w:hAnsi="Calibri Bold"/>
        </w:rPr>
      </w:pPr>
      <w:r>
        <w:rPr>
          <w:rFonts w:ascii="Calibri Bold" w:hAnsi="Calibri Bold"/>
        </w:rPr>
        <w:t>2012: Fighting for</w:t>
      </w:r>
      <w:r w:rsidR="0091685A">
        <w:rPr>
          <w:rFonts w:ascii="Calibri Bold" w:hAnsi="Calibri Bold"/>
        </w:rPr>
        <w:t xml:space="preserve"> the Beginning of the End of the AIDS</w:t>
      </w:r>
    </w:p>
    <w:p w:rsidR="0091685A" w:rsidRDefault="00095E6E">
      <w:r>
        <w:t>We are at a critical moment in the fight against HIV/AIDS.</w:t>
      </w:r>
      <w:r w:rsidR="003F4165">
        <w:t xml:space="preserve"> </w:t>
      </w:r>
      <w:r>
        <w:t>T</w:t>
      </w:r>
      <w:r w:rsidR="003F4165">
        <w:t xml:space="preserve">he world has made incredible progress in its efforts to understand, prevent and treat this </w:t>
      </w:r>
      <w:r w:rsidR="00DA7FAE">
        <w:t>disease</w:t>
      </w:r>
      <w:r>
        <w:t xml:space="preserve"> over the last three decades, and p</w:t>
      </w:r>
      <w:r w:rsidR="0091685A">
        <w:t>rogress has been particularly rapid during the last ten years</w:t>
      </w:r>
      <w:r>
        <w:t>.</w:t>
      </w:r>
      <w:r w:rsidR="0091685A">
        <w:t xml:space="preserve">  AIDS used to be a ready death sentence, but by the end of 2010 more than 6.6 million people were on life-saving antiretroviral treatment, up from just 100,000 in 200</w:t>
      </w:r>
      <w:r w:rsidR="00DA7FAE">
        <w:t>2</w:t>
      </w:r>
      <w:r w:rsidR="0091685A">
        <w:t xml:space="preserve">.  </w:t>
      </w:r>
      <w:r w:rsidR="00345A2E">
        <w:t xml:space="preserve">Technology now makes it possible to prevent the </w:t>
      </w:r>
      <w:r w:rsidR="0091685A">
        <w:t>transmission of H</w:t>
      </w:r>
      <w:r w:rsidR="00345A2E">
        <w:t>IV from mother-to-child in as many as 9</w:t>
      </w:r>
      <w:r w:rsidR="006A481C">
        <w:t>8</w:t>
      </w:r>
      <w:r w:rsidR="00345A2E">
        <w:t>% of cases</w:t>
      </w:r>
      <w:r w:rsidR="0091685A">
        <w:t>.  New research has shown that the rate of new HIV infections can be drastically reduced with a combination of existing and new technologies.  Leaders from across the aisle and from around the world have demonstrated political and financial will to fight this disease.</w:t>
      </w:r>
    </w:p>
    <w:p w:rsidR="0091685A" w:rsidRDefault="0091685A">
      <w:r>
        <w:t xml:space="preserve"> Yet there is much work to be done.  There are still nearly </w:t>
      </w:r>
      <w:r w:rsidR="002F2EDC">
        <w:t>8</w:t>
      </w:r>
      <w:r w:rsidR="00975145" w:rsidRPr="00975145">
        <w:t xml:space="preserve"> </w:t>
      </w:r>
      <w:r w:rsidR="00975145">
        <w:t>million</w:t>
      </w:r>
      <w:r w:rsidR="00975145">
        <w:rPr>
          <w:rStyle w:val="FootnoteReference"/>
        </w:rPr>
        <w:t xml:space="preserve"> </w:t>
      </w:r>
      <w:r w:rsidR="00975145">
        <w:t>HIV-positive people in need of treatment in low- and middle-income countries</w:t>
      </w:r>
      <w:r w:rsidR="00975145">
        <w:rPr>
          <w:rStyle w:val="FootnoteReference"/>
        </w:rPr>
        <w:t xml:space="preserve"> </w:t>
      </w:r>
      <w:r>
        <w:rPr>
          <w:rStyle w:val="FootnoteReference"/>
        </w:rPr>
        <w:footnoteReference w:id="1"/>
      </w:r>
      <w:r>
        <w:t xml:space="preserve">.  </w:t>
      </w:r>
      <w:r w:rsidR="00975145">
        <w:t>M</w:t>
      </w:r>
      <w:r>
        <w:t>ore than 3</w:t>
      </w:r>
      <w:r w:rsidR="00C46BBA">
        <w:t>9</w:t>
      </w:r>
      <w:r>
        <w:t xml:space="preserve">0,000 infants and children </w:t>
      </w:r>
      <w:r w:rsidR="00975145">
        <w:t xml:space="preserve">are </w:t>
      </w:r>
      <w:r>
        <w:t>infected with HIV each year.  New HIV infections still outpace the number of people added on to treatment annually.  Funding for AIDS has</w:t>
      </w:r>
      <w:r w:rsidR="00EC1A57">
        <w:t xml:space="preserve"> largely</w:t>
      </w:r>
      <w:r>
        <w:t xml:space="preserve"> leveled off.  Now more than ever, we must recommit ourselves to the fight against HIV and to achieving specific, measurable goals that will help us bend the curve of this pandemic.</w:t>
      </w:r>
    </w:p>
    <w:p w:rsidR="0091685A" w:rsidRDefault="0091685A">
      <w:pPr>
        <w:rPr>
          <w:rFonts w:ascii="Calibri Bold" w:hAnsi="Calibri Bold"/>
        </w:rPr>
      </w:pPr>
      <w:r>
        <w:rPr>
          <w:rFonts w:ascii="Calibri Bold" w:hAnsi="Calibri Bold"/>
        </w:rPr>
        <w:t>Renewing Momentum in the fight against HIV/AIDS</w:t>
      </w:r>
    </w:p>
    <w:p w:rsidR="0091685A" w:rsidRDefault="0091685A">
      <w:r>
        <w:t>ONE has always been an ardent supporter of the fight against AIDS, advocating for the creation of innovative deliver</w:t>
      </w:r>
      <w:r w:rsidR="00E9371E">
        <w:t xml:space="preserve">y </w:t>
      </w:r>
      <w:r>
        <w:t>mechanisms such as the President’s Emergency Fun</w:t>
      </w:r>
      <w:r w:rsidR="0051597E">
        <w:t>d for AIDS Relief (PEPFAR) and T</w:t>
      </w:r>
      <w:r>
        <w:t xml:space="preserve">he Global Fund for AIDS, Tuberculosis, and Malaria.  ONE continues to advocate for a world </w:t>
      </w:r>
      <w:r w:rsidR="00B156F6">
        <w:t>in which</w:t>
      </w:r>
      <w:r>
        <w:t xml:space="preserve"> HIV transmission is halted and there is universal access to treatment for those in need. While the achievement of those goals remains some years off, the achievement of specific interim goals by 2015 can drive momentum. These goals include:</w:t>
      </w:r>
    </w:p>
    <w:p w:rsidR="0091685A" w:rsidRDefault="0091685A">
      <w:pPr>
        <w:ind w:left="720"/>
        <w:rPr>
          <w:rFonts w:ascii="Calibri Bold" w:hAnsi="Calibri Bold"/>
        </w:rPr>
      </w:pPr>
      <w:r>
        <w:rPr>
          <w:rFonts w:ascii="Calibri Bold" w:hAnsi="Calibri Bold"/>
        </w:rPr>
        <w:t>1. Virtually eliminate mother-to-child transmission: an AIDS Free Generation by 2015</w:t>
      </w:r>
    </w:p>
    <w:p w:rsidR="0091685A" w:rsidRDefault="0091685A">
      <w:pPr>
        <w:pStyle w:val="ListParagraph"/>
        <w:rPr>
          <w:rFonts w:ascii="Calibri Bold" w:hAnsi="Calibri Bold"/>
        </w:rPr>
      </w:pPr>
      <w:r>
        <w:rPr>
          <w:rFonts w:ascii="Calibri Bold" w:hAnsi="Calibri Bold"/>
        </w:rPr>
        <w:t>2. Accelerate access to treatment: 15 million people on ARVs by 2015 (15x15)</w:t>
      </w:r>
    </w:p>
    <w:p w:rsidR="0091685A" w:rsidRDefault="0091685A">
      <w:pPr>
        <w:pStyle w:val="ListParagraph"/>
        <w:rPr>
          <w:rFonts w:ascii="Calibri Bold" w:hAnsi="Calibri Bold"/>
        </w:rPr>
      </w:pPr>
      <w:r>
        <w:rPr>
          <w:rFonts w:ascii="Calibri Bold" w:hAnsi="Calibri Bold"/>
        </w:rPr>
        <w:t xml:space="preserve">3. Implement innovative prevention </w:t>
      </w:r>
      <w:r w:rsidR="00B156F6">
        <w:rPr>
          <w:rFonts w:ascii="Calibri Bold" w:hAnsi="Calibri Bold"/>
        </w:rPr>
        <w:t>strategie</w:t>
      </w:r>
      <w:r>
        <w:rPr>
          <w:rFonts w:ascii="Calibri Bold" w:hAnsi="Calibri Bold"/>
        </w:rPr>
        <w:t>s to stop new infections</w:t>
      </w:r>
    </w:p>
    <w:p w:rsidR="0091685A" w:rsidRDefault="0091685A">
      <w:pPr>
        <w:pStyle w:val="ListParagraph"/>
        <w:ind w:left="0"/>
        <w:rPr>
          <w:rFonts w:ascii="Calibri Bold" w:hAnsi="Calibri Bold"/>
        </w:rPr>
      </w:pPr>
      <w:r>
        <w:t xml:space="preserve">Though these goals are ambitious, they are all measurable and achievable.  Critically, to bend the curve of the AIDS pandemic, they cannot be achieved in isolation from one another or by only a handful of donors.  Only when achieved in parallel—through the broad support of donors, African governments, </w:t>
      </w:r>
      <w:proofErr w:type="gramStart"/>
      <w:r>
        <w:t>organizations</w:t>
      </w:r>
      <w:proofErr w:type="gramEnd"/>
      <w:r>
        <w:t>, and the private sector—will the beginning of the end of AIDS as a pandemic be real.</w:t>
      </w:r>
    </w:p>
    <w:p w:rsidR="0091685A" w:rsidRDefault="0091685A">
      <w:pPr>
        <w:pStyle w:val="FreeForm"/>
        <w:rPr>
          <w:rFonts w:ascii="Calibri Bold" w:hAnsi="Calibri Bold"/>
          <w:sz w:val="22"/>
          <w:szCs w:val="22"/>
        </w:rPr>
      </w:pPr>
      <w:r>
        <w:br w:type="page"/>
      </w:r>
      <w:r w:rsidRPr="007F3A89">
        <w:rPr>
          <w:rFonts w:ascii="Calibri Bold" w:hAnsi="Calibri Bold"/>
          <w:sz w:val="22"/>
          <w:szCs w:val="22"/>
        </w:rPr>
        <w:t>1. Virtually eliminate mother-to-child transmission: an AIDS Free Generation by 2015</w:t>
      </w:r>
    </w:p>
    <w:p w:rsidR="007F3A89" w:rsidRPr="007F3A89" w:rsidRDefault="007F3A89">
      <w:pPr>
        <w:pStyle w:val="FreeForm"/>
        <w:rPr>
          <w:sz w:val="22"/>
          <w:szCs w:val="22"/>
        </w:rPr>
      </w:pPr>
    </w:p>
    <w:p w:rsidR="0091685A" w:rsidRDefault="0091685A">
      <w:pPr>
        <w:pStyle w:val="ListParagraph"/>
        <w:ind w:left="0"/>
        <w:rPr>
          <w:rFonts w:ascii="Calibri Bold Italic" w:hAnsi="Calibri Bold Italic"/>
        </w:rPr>
      </w:pPr>
      <w:r>
        <w:rPr>
          <w:rFonts w:ascii="Calibri Bold Italic" w:hAnsi="Calibri Bold Italic"/>
        </w:rPr>
        <w:t>What’s the situation?</w:t>
      </w:r>
    </w:p>
    <w:p w:rsidR="0091685A" w:rsidRDefault="0091685A">
      <w:pPr>
        <w:pStyle w:val="ListParagraph"/>
        <w:ind w:left="0"/>
      </w:pPr>
      <w:r>
        <w:t xml:space="preserve">HIV can be transmitted from HIV-positive mothers to their children during pregnancy, labor, delivery or breastfeeding. Without intervention or services provided, there is a 20-45% chance that an infant born to an HIV-infected mother will become infected.  For those that are infected with HIV, about half will die before their second birthday without timely treatment.  Although the world has made dramatic progress on the prevention of mother-to-child transmission of HIV (PMTCT) and such prevention is now possible </w:t>
      </w:r>
      <w:r w:rsidR="006942ED">
        <w:t xml:space="preserve">in </w:t>
      </w:r>
      <w:r w:rsidR="006A481C">
        <w:t>as many as 98</w:t>
      </w:r>
      <w:r>
        <w:t>% of cases, more than 3</w:t>
      </w:r>
      <w:r w:rsidR="00882EED">
        <w:t>9</w:t>
      </w:r>
      <w:r>
        <w:t>0,000 infants and children were newly infected with HIV in 20</w:t>
      </w:r>
      <w:r w:rsidR="00882EED">
        <w:t>10</w:t>
      </w:r>
      <w:r>
        <w:t>.  90% of these cases occurred in 22 high-burden countries</w:t>
      </w:r>
      <w:r>
        <w:rPr>
          <w:rStyle w:val="FootnoteReference1"/>
        </w:rPr>
        <w:footnoteReference w:id="2"/>
      </w:r>
      <w:r>
        <w:t>; 35% of these cases occurred in South Africa and Nigeria alone.</w:t>
      </w:r>
    </w:p>
    <w:p w:rsidR="0091685A" w:rsidRDefault="0091685A">
      <w:pPr>
        <w:pStyle w:val="ListParagraph"/>
        <w:ind w:left="0"/>
        <w:rPr>
          <w:rFonts w:ascii="Calibri Bold Italic" w:hAnsi="Calibri Bold Italic"/>
        </w:rPr>
      </w:pPr>
      <w:r>
        <w:rPr>
          <w:rFonts w:ascii="Calibri Bold Italic" w:hAnsi="Calibri Bold Italic"/>
        </w:rPr>
        <w:t>What’s needed?</w:t>
      </w:r>
    </w:p>
    <w:p w:rsidR="0091685A" w:rsidRDefault="0091685A">
      <w:pPr>
        <w:pStyle w:val="ListParagraph"/>
        <w:ind w:left="0"/>
      </w:pPr>
      <w:r>
        <w:t>In June 2011 at the UN High Level Meeting on AIDS, leaders took an important first step by launching the “Global Plan Towards the Elimination of New HIV Infections Among Children by 2015 and Keeping their Mothers Alive”.  The Plan identifies a four-prong framework for achieving these goals: preventing HIV among women of reproductive age through services related to reproductive health; providing appropriate counseling and support to women living with HIV; ensuring HIV testing, counseling and access to treatment for pregnant women living with HIV; and HIV care, treatment and support for women and children living with HIV and their families. While we applaud the effort to create this strategy, much work remains to turn strategy into progress</w:t>
      </w:r>
      <w:r>
        <w:rPr>
          <w:rFonts w:ascii="Calibri Bold" w:hAnsi="Calibri Bold"/>
        </w:rPr>
        <w:t>.</w:t>
      </w:r>
      <w:r>
        <w:t xml:space="preserve"> Moving forward, to ensure no child is born with HIV by 2015, the following must be done:</w:t>
      </w:r>
    </w:p>
    <w:p w:rsidR="0091685A" w:rsidRDefault="0091685A">
      <w:pPr>
        <w:pStyle w:val="ListParagraph"/>
        <w:numPr>
          <w:ilvl w:val="0"/>
          <w:numId w:val="1"/>
        </w:numPr>
        <w:tabs>
          <w:tab w:val="clear" w:pos="360"/>
          <w:tab w:val="num" w:pos="720"/>
        </w:tabs>
        <w:ind w:left="720" w:hanging="360"/>
        <w:rPr>
          <w:rFonts w:ascii="Calibri Bold" w:hAnsi="Calibri Bold"/>
        </w:rPr>
      </w:pPr>
      <w:r>
        <w:t xml:space="preserve"> </w:t>
      </w:r>
      <w:r w:rsidRPr="00820DE7">
        <w:rPr>
          <w:b/>
        </w:rPr>
        <w:t>Design and begin execution of</w:t>
      </w:r>
      <w:r>
        <w:t xml:space="preserve"> </w:t>
      </w:r>
      <w:r>
        <w:rPr>
          <w:rFonts w:ascii="Calibri Bold" w:hAnsi="Calibri Bold"/>
        </w:rPr>
        <w:t xml:space="preserve">national PMTCT plans for the 22 priority countries by July of 2012.  </w:t>
      </w:r>
      <w:r>
        <w:t>In partnership with the international community (including, but not limited to, the US Office of the Global AIDS Coordinator, UNAIDS, and the Global Fund), health leadership from the 22 priority countries should focus immediate attention on developing plans that outline specific goals, strategies, and associated costs for eliminating MTCT by 2015.  These costed plans should then be the basis for mobilizing resources at the country level and for investment by all partners.  As outlined in the Global Plan, leaders at the regional level should also utilize existing regional bodies to promote collaboration and to share best practices.</w:t>
      </w:r>
    </w:p>
    <w:p w:rsidR="0091685A" w:rsidRDefault="0091685A">
      <w:pPr>
        <w:pStyle w:val="ListParagraph"/>
        <w:numPr>
          <w:ilvl w:val="0"/>
          <w:numId w:val="1"/>
        </w:numPr>
        <w:tabs>
          <w:tab w:val="clear" w:pos="360"/>
          <w:tab w:val="num" w:pos="720"/>
        </w:tabs>
        <w:ind w:left="720" w:hanging="360"/>
        <w:rPr>
          <w:rFonts w:ascii="Lucida Grande" w:hAnsi="Lucida Grande"/>
        </w:rPr>
      </w:pPr>
      <w:r>
        <w:rPr>
          <w:rFonts w:ascii="Calibri Bold" w:hAnsi="Calibri Bold"/>
        </w:rPr>
        <w:t>Strong donor and recipient country commitments to help fill an estimated $2.5 billion gap</w:t>
      </w:r>
      <w:r>
        <w:rPr>
          <w:rStyle w:val="FootnoteReference1"/>
          <w:rFonts w:ascii="Calibri Bold" w:hAnsi="Calibri Bold"/>
        </w:rPr>
        <w:footnoteReference w:id="3"/>
      </w:r>
      <w:r>
        <w:rPr>
          <w:rFonts w:ascii="Calibri Bold" w:hAnsi="Calibri Bold"/>
        </w:rPr>
        <w:t xml:space="preserve"> between now and 2015. </w:t>
      </w:r>
      <w:r>
        <w:t xml:space="preserve">Overall, the cost of the interventions to eliminate new HIV infections among children and keep their mothers alive in the 22 priority countries is estimated to be approximately US$ 1 billion per year between 2011 and 2015—and some of this has already been funded.  Northern donors can and should continue to demonstrate leadership in funding these efforts, but recipient countries must contribute a growing percentage of the financing for their health challenges.  As agreed upon in 2001 in Abuja, recipient countries should continue efforts to increase spending for health to 15% of their national budgets—and as a part of this growth, domestic financing for </w:t>
      </w:r>
      <w:proofErr w:type="gramStart"/>
      <w:r>
        <w:t>PMTCT  accepted</w:t>
      </w:r>
      <w:proofErr w:type="gramEnd"/>
      <w:r>
        <w:t xml:space="preserve"> as a goal and resourced appropriately.</w:t>
      </w:r>
    </w:p>
    <w:p w:rsidR="0091685A" w:rsidRDefault="00404946">
      <w:pPr>
        <w:pStyle w:val="FreeForm"/>
        <w:rPr>
          <w:rFonts w:ascii="Times New Roman Bold" w:hAnsi="Times New Roman Bold"/>
          <w:sz w:val="22"/>
        </w:rPr>
      </w:pPr>
      <w:r>
        <w:rPr>
          <w:noProof/>
        </w:rPr>
        <w:drawing>
          <wp:anchor distT="57150" distB="57150" distL="57150" distR="57150" simplePos="0" relativeHeight="251656704" behindDoc="0" locked="0" layoutInCell="1" allowOverlap="1">
            <wp:simplePos x="0" y="0"/>
            <wp:positionH relativeFrom="page">
              <wp:posOffset>857250</wp:posOffset>
            </wp:positionH>
            <wp:positionV relativeFrom="page">
              <wp:posOffset>2009775</wp:posOffset>
            </wp:positionV>
            <wp:extent cx="6324600" cy="2548255"/>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9935" t="43802" r="9134" b="12392"/>
                    <a:stretch>
                      <a:fillRect/>
                    </a:stretch>
                  </pic:blipFill>
                  <pic:spPr bwMode="auto">
                    <a:xfrm>
                      <a:off x="0" y="0"/>
                      <a:ext cx="6324600" cy="2548255"/>
                    </a:xfrm>
                    <a:prstGeom prst="rect">
                      <a:avLst/>
                    </a:prstGeom>
                    <a:noFill/>
                    <a:ln w="9525" cap="flat">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19050</wp:posOffset>
            </wp:positionH>
            <wp:positionV relativeFrom="paragraph">
              <wp:posOffset>3503930</wp:posOffset>
            </wp:positionV>
            <wp:extent cx="5114925" cy="334137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3782" t="8974" r="11859" b="26282"/>
                    <a:stretch>
                      <a:fillRect/>
                    </a:stretch>
                  </pic:blipFill>
                  <pic:spPr bwMode="auto">
                    <a:xfrm>
                      <a:off x="0" y="0"/>
                      <a:ext cx="5114925" cy="3341370"/>
                    </a:xfrm>
                    <a:prstGeom prst="rect">
                      <a:avLst/>
                    </a:prstGeom>
                    <a:noFill/>
                    <a:ln w="9525">
                      <a:noFill/>
                      <a:miter lim="800000"/>
                      <a:headEnd/>
                      <a:tailEnd/>
                    </a:ln>
                  </pic:spPr>
                </pic:pic>
              </a:graphicData>
            </a:graphic>
          </wp:anchor>
        </w:drawing>
      </w:r>
      <w:r w:rsidR="0091685A">
        <w:br w:type="page"/>
      </w:r>
    </w:p>
    <w:p w:rsidR="0091685A" w:rsidRDefault="0091685A">
      <w:pPr>
        <w:pStyle w:val="ListParagraph"/>
        <w:ind w:left="0"/>
        <w:rPr>
          <w:rFonts w:ascii="Calibri Bold" w:hAnsi="Calibri Bold"/>
        </w:rPr>
      </w:pPr>
      <w:r>
        <w:rPr>
          <w:rFonts w:ascii="Calibri Bold" w:hAnsi="Calibri Bold"/>
        </w:rPr>
        <w:t>2. Accelerate access to treatment: 15 million people on ARVs by 2015 (15x15)</w:t>
      </w:r>
    </w:p>
    <w:p w:rsidR="0091685A" w:rsidRDefault="0091685A">
      <w:pPr>
        <w:pStyle w:val="ListParagraph"/>
        <w:ind w:left="0"/>
        <w:rPr>
          <w:rFonts w:ascii="Calibri Italic" w:hAnsi="Calibri Italic"/>
        </w:rPr>
      </w:pPr>
      <w:r>
        <w:rPr>
          <w:rFonts w:ascii="Calibri Bold Italic" w:hAnsi="Calibri Bold Italic"/>
        </w:rPr>
        <w:t>What’s the situation</w:t>
      </w:r>
      <w:r>
        <w:rPr>
          <w:rFonts w:ascii="Calibri Italic" w:hAnsi="Calibri Italic"/>
        </w:rPr>
        <w:t>?</w:t>
      </w:r>
    </w:p>
    <w:p w:rsidR="0091685A" w:rsidRDefault="0091685A">
      <w:pPr>
        <w:pStyle w:val="ListParagraph"/>
        <w:ind w:left="0"/>
      </w:pPr>
      <w:r>
        <w:t>In 201</w:t>
      </w:r>
      <w:r w:rsidR="007C4A3A">
        <w:t>1</w:t>
      </w:r>
      <w:r>
        <w:t xml:space="preserve">, more than 6.6 million people were on antiretroviral treatment for AIDS—an impressive feat considering that only 100,000 were on treatment ten years ago.  Of those 6.6 million people, more than 5 million are in sub-Saharan Africa, the region most burdened by the pandemic.   Still, an estimated 34 million people are HIV-positive </w:t>
      </w:r>
      <w:r w:rsidR="00714C68">
        <w:t>in low- and middle-income countries</w:t>
      </w:r>
      <w:r w:rsidR="00DA7FAE">
        <w:t xml:space="preserve">.  Of those, </w:t>
      </w:r>
      <w:r w:rsidR="009D7D70">
        <w:t>nearly half</w:t>
      </w:r>
      <w:r>
        <w:t xml:space="preserve"> </w:t>
      </w:r>
      <w:r w:rsidR="001D6EF6">
        <w:t xml:space="preserve">(roughly 14-15 million people) </w:t>
      </w:r>
      <w:r>
        <w:t>are eligible for treatment based on current</w:t>
      </w:r>
      <w:r w:rsidR="00F36AB0">
        <w:t xml:space="preserve"> WHO </w:t>
      </w:r>
      <w:r w:rsidR="009D7D70">
        <w:t>guidelines, meaning that</w:t>
      </w:r>
      <w:r>
        <w:t xml:space="preserve"> million</w:t>
      </w:r>
      <w:r w:rsidR="009D7D70">
        <w:t>s of</w:t>
      </w:r>
      <w:r>
        <w:t xml:space="preserve"> people currently in need of treatment are not yet receiving it.  </w:t>
      </w:r>
    </w:p>
    <w:p w:rsidR="0091685A" w:rsidRDefault="0091685A">
      <w:pPr>
        <w:pStyle w:val="ListParagraph"/>
        <w:ind w:left="0"/>
        <w:rPr>
          <w:rFonts w:ascii="Calibri Bold Italic" w:hAnsi="Calibri Bold Italic"/>
        </w:rPr>
      </w:pPr>
      <w:r>
        <w:rPr>
          <w:rFonts w:ascii="Calibri Bold Italic" w:hAnsi="Calibri Bold Italic"/>
        </w:rPr>
        <w:t>What’s needed?</w:t>
      </w:r>
    </w:p>
    <w:p w:rsidR="0091685A" w:rsidRDefault="0091685A">
      <w:pPr>
        <w:pStyle w:val="ListParagraph"/>
        <w:ind w:left="0"/>
      </w:pPr>
      <w:r>
        <w:t>At the UN High Level Meeting on AIDS in June 2011, donors committed to ensuring 15 million people in low- and middle-income countries are receiving treatment by 2015.  Doing so requires:</w:t>
      </w:r>
    </w:p>
    <w:p w:rsidR="0091685A" w:rsidRDefault="00820DE7">
      <w:pPr>
        <w:pStyle w:val="ListParagraph"/>
        <w:numPr>
          <w:ilvl w:val="0"/>
          <w:numId w:val="2"/>
        </w:numPr>
        <w:tabs>
          <w:tab w:val="clear" w:pos="360"/>
          <w:tab w:val="num" w:pos="720"/>
        </w:tabs>
        <w:ind w:left="720" w:hanging="360"/>
        <w:rPr>
          <w:rFonts w:ascii="Calibri Bold" w:hAnsi="Calibri Bold"/>
        </w:rPr>
      </w:pPr>
      <w:r>
        <w:rPr>
          <w:noProof/>
        </w:rPr>
        <w:drawing>
          <wp:anchor distT="152400" distB="152400" distL="152400" distR="152400" simplePos="0" relativeHeight="251657728" behindDoc="0" locked="0" layoutInCell="1" allowOverlap="1">
            <wp:simplePos x="0" y="0"/>
            <wp:positionH relativeFrom="page">
              <wp:posOffset>1219200</wp:posOffset>
            </wp:positionH>
            <wp:positionV relativeFrom="page">
              <wp:posOffset>5142865</wp:posOffset>
            </wp:positionV>
            <wp:extent cx="6067425" cy="3457575"/>
            <wp:effectExtent l="0" t="0" r="0" b="0"/>
            <wp:wrapTopAndBottom/>
            <wp:docPr id="4"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1685A">
        <w:rPr>
          <w:rFonts w:ascii="Calibri Bold" w:hAnsi="Calibri Bold"/>
        </w:rPr>
        <w:t xml:space="preserve">Scaling up the pace of treatment initiation.  </w:t>
      </w:r>
      <w:r w:rsidR="0091685A">
        <w:t xml:space="preserve">Between 2009 and 2010, the global number on treatment grew from 5.2 million to 6.6 million—adding 1.4 million people in just one year.  But even if we sustain this impressive pace, we will only achieve 13.6 million on treatment by 2015.  In order to reach 15 million, we need to continue accelerating our pace, adding roughly 100,000 more people per year onto treatment in addition to current rates of scale up (see graph below). </w:t>
      </w:r>
    </w:p>
    <w:p w:rsidR="0091685A" w:rsidRDefault="0091685A">
      <w:pPr>
        <w:pStyle w:val="ListParagraph"/>
        <w:numPr>
          <w:ilvl w:val="0"/>
          <w:numId w:val="2"/>
        </w:numPr>
        <w:tabs>
          <w:tab w:val="clear" w:pos="360"/>
          <w:tab w:val="num" w:pos="720"/>
        </w:tabs>
        <w:ind w:left="720" w:hanging="360"/>
        <w:rPr>
          <w:rFonts w:ascii="Calibri Bold" w:hAnsi="Calibri Bold"/>
        </w:rPr>
      </w:pPr>
      <w:r>
        <w:rPr>
          <w:rFonts w:ascii="Calibri Bold" w:hAnsi="Calibri Bold"/>
        </w:rPr>
        <w:t xml:space="preserve">Scaling up the resources for AIDS treatment.  </w:t>
      </w:r>
      <w:r>
        <w:t>Though the cost of AIDS tr</w:t>
      </w:r>
      <w:r w:rsidR="00DD2B9D">
        <w:t xml:space="preserve">eatment has fallen dramatically </w:t>
      </w:r>
      <w:r>
        <w:t>and is likely to continue falling through increase</w:t>
      </w:r>
      <w:r w:rsidR="00DD2B9D">
        <w:t xml:space="preserve">d pharmaceutical patent pooling, </w:t>
      </w:r>
      <w:r>
        <w:t xml:space="preserve">financing a scale up in AIDS treatment requires substantive growth in international </w:t>
      </w:r>
      <w:r w:rsidR="000C7960">
        <w:t xml:space="preserve">AIDS </w:t>
      </w:r>
      <w:r>
        <w:t xml:space="preserve">spending by current donors, new donors, the private sector, and recipient countries.  </w:t>
      </w:r>
    </w:p>
    <w:p w:rsidR="00F03D2C" w:rsidRDefault="0091685A" w:rsidP="009A31D4">
      <w:pPr>
        <w:pStyle w:val="ListParagraph"/>
      </w:pPr>
      <w:r>
        <w:t xml:space="preserve">Over the last decade, sustained increases in international funding for AIDS—particularly through PEPFAR and the Global Fund—have driven impressive gains in the treatment and prevention of AIDS.  Research by the Kaiser Family Foundation and UNAIDS shows a six-fold increase in disbursements between 2002 and 2008. </w:t>
      </w:r>
      <w:r w:rsidR="00DD2B9D">
        <w:t>S</w:t>
      </w:r>
      <w:r>
        <w:t xml:space="preserve">ince then, </w:t>
      </w:r>
      <w:r w:rsidR="00DD2B9D">
        <w:t xml:space="preserve">however, </w:t>
      </w:r>
      <w:r>
        <w:t>global funding increases for AIDS have leve</w:t>
      </w:r>
      <w:r w:rsidR="00DD2B9D">
        <w:t>led off (see their chart below):</w:t>
      </w:r>
      <w:r>
        <w:t xml:space="preserve"> </w:t>
      </w:r>
    </w:p>
    <w:p w:rsidR="00455873" w:rsidRDefault="0086792D" w:rsidP="00455873">
      <w:pPr>
        <w:pStyle w:val="ListParagraph"/>
        <w:spacing w:after="0" w:line="240" w:lineRule="auto"/>
      </w:pPr>
      <w:r>
        <w:rPr>
          <w:noProof/>
        </w:rPr>
        <w:drawing>
          <wp:anchor distT="0" distB="0" distL="114300" distR="114300" simplePos="0" relativeHeight="251660800" behindDoc="0" locked="0" layoutInCell="1" allowOverlap="1">
            <wp:simplePos x="0" y="0"/>
            <wp:positionH relativeFrom="column">
              <wp:posOffset>390525</wp:posOffset>
            </wp:positionH>
            <wp:positionV relativeFrom="paragraph">
              <wp:posOffset>16510</wp:posOffset>
            </wp:positionV>
            <wp:extent cx="3476625" cy="14287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1217" t="26964" r="25868" b="69495"/>
                    <a:stretch>
                      <a:fillRect/>
                    </a:stretch>
                  </pic:blipFill>
                  <pic:spPr bwMode="auto">
                    <a:xfrm>
                      <a:off x="0" y="0"/>
                      <a:ext cx="3476625" cy="142875"/>
                    </a:xfrm>
                    <a:prstGeom prst="rect">
                      <a:avLst/>
                    </a:prstGeom>
                    <a:solidFill>
                      <a:srgbClr val="FFFFFF"/>
                    </a:solidFill>
                    <a:ln w="9525">
                      <a:noFill/>
                      <a:miter lim="800000"/>
                      <a:headEnd/>
                      <a:tailEnd/>
                    </a:ln>
                  </pic:spPr>
                </pic:pic>
              </a:graphicData>
            </a:graphic>
          </wp:anchor>
        </w:drawing>
      </w:r>
    </w:p>
    <w:p w:rsidR="00455873" w:rsidRPr="00455873" w:rsidRDefault="00455873" w:rsidP="00455873">
      <w:pPr>
        <w:pStyle w:val="ListParagraph"/>
        <w:spacing w:after="0" w:line="240" w:lineRule="auto"/>
        <w:rPr>
          <w:rFonts w:ascii="Calibri Bold" w:hAnsi="Calibri Bold"/>
          <w:noProof/>
          <w:sz w:val="20"/>
        </w:rPr>
      </w:pPr>
      <w:r w:rsidRPr="00455873">
        <w:rPr>
          <w:rFonts w:ascii="Calibri Bold" w:hAnsi="Calibri Bold"/>
          <w:noProof/>
          <w:sz w:val="20"/>
        </w:rPr>
        <w:t>Disbursements in billions, USD</w:t>
      </w:r>
    </w:p>
    <w:p w:rsidR="00F03D2C" w:rsidRDefault="00F03D2C" w:rsidP="00F03D2C">
      <w:pPr>
        <w:pStyle w:val="ListParagraph"/>
        <w:jc w:val="center"/>
        <w:rPr>
          <w:rFonts w:ascii="Calibri Bold" w:hAnsi="Calibri Bold"/>
          <w:noProof/>
          <w:sz w:val="20"/>
        </w:rPr>
      </w:pPr>
      <w:r>
        <w:rPr>
          <w:rFonts w:ascii="Calibri Bold" w:hAnsi="Calibri Bold"/>
          <w:noProof/>
          <w:sz w:val="20"/>
        </w:rPr>
        <w:drawing>
          <wp:anchor distT="0" distB="0" distL="114300" distR="114300" simplePos="0" relativeHeight="251661824" behindDoc="0" locked="0" layoutInCell="1" allowOverlap="1">
            <wp:simplePos x="0" y="0"/>
            <wp:positionH relativeFrom="column">
              <wp:posOffset>495300</wp:posOffset>
            </wp:positionH>
            <wp:positionV relativeFrom="paragraph">
              <wp:posOffset>103505</wp:posOffset>
            </wp:positionV>
            <wp:extent cx="2019300" cy="1590040"/>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l="53431" t="42455" r="13782" b="20896"/>
                    <a:stretch>
                      <a:fillRect/>
                    </a:stretch>
                  </pic:blipFill>
                  <pic:spPr bwMode="auto">
                    <a:xfrm>
                      <a:off x="0" y="0"/>
                      <a:ext cx="2019300" cy="1590040"/>
                    </a:xfrm>
                    <a:prstGeom prst="rect">
                      <a:avLst/>
                    </a:prstGeom>
                    <a:solidFill>
                      <a:srgbClr val="FFFFFF"/>
                    </a:solidFill>
                    <a:ln w="9525">
                      <a:noFill/>
                      <a:miter lim="800000"/>
                      <a:headEnd/>
                      <a:tailEnd/>
                    </a:ln>
                  </pic:spPr>
                </pic:pic>
              </a:graphicData>
            </a:graphic>
          </wp:anchor>
        </w:drawing>
      </w:r>
    </w:p>
    <w:p w:rsidR="00F03D2C" w:rsidRDefault="00F03D2C" w:rsidP="00F03D2C">
      <w:pPr>
        <w:pStyle w:val="ListParagraph"/>
        <w:jc w:val="center"/>
        <w:rPr>
          <w:rFonts w:ascii="Calibri Bold" w:hAnsi="Calibri Bold"/>
          <w:noProof/>
          <w:sz w:val="20"/>
        </w:rPr>
      </w:pPr>
    </w:p>
    <w:p w:rsidR="007E758C" w:rsidRDefault="007E758C" w:rsidP="007E758C">
      <w:pPr>
        <w:pStyle w:val="ListParagraph"/>
        <w:jc w:val="center"/>
        <w:rPr>
          <w:rFonts w:ascii="Calibri Bold" w:hAnsi="Calibri Bold"/>
          <w:noProof/>
        </w:rPr>
      </w:pPr>
    </w:p>
    <w:p w:rsidR="00F03D2C" w:rsidRDefault="00F03D2C">
      <w:pPr>
        <w:pStyle w:val="ListParagraph"/>
      </w:pPr>
    </w:p>
    <w:p w:rsidR="00F03D2C" w:rsidRDefault="00F03D2C">
      <w:pPr>
        <w:pStyle w:val="ListParagraph"/>
      </w:pPr>
    </w:p>
    <w:p w:rsidR="00F03D2C" w:rsidRDefault="00F03D2C">
      <w:pPr>
        <w:pStyle w:val="ListParagraph"/>
      </w:pPr>
    </w:p>
    <w:p w:rsidR="00965490" w:rsidRDefault="0091685A">
      <w:pPr>
        <w:pStyle w:val="ListParagraph"/>
      </w:pPr>
      <w:r>
        <w:t xml:space="preserve">In October 2010, donors made </w:t>
      </w:r>
      <w:r w:rsidR="00380A8C">
        <w:t>pledges for the Global Fund for</w:t>
      </w:r>
      <w:r>
        <w:t xml:space="preserve"> 2011-2013.  </w:t>
      </w:r>
      <w:r w:rsidR="00380A8C">
        <w:t>T</w:t>
      </w:r>
      <w:r w:rsidR="00DD2B9D">
        <w:t>he $11.7 billion pledged</w:t>
      </w:r>
      <w:r>
        <w:t xml:space="preserve"> represented an increase over the prev</w:t>
      </w:r>
      <w:r w:rsidR="00DD2B9D">
        <w:t>ious replenishment period,</w:t>
      </w:r>
      <w:r w:rsidR="00380A8C">
        <w:t xml:space="preserve"> but</w:t>
      </w:r>
      <w:r w:rsidR="00DD2B9D">
        <w:t xml:space="preserve"> it</w:t>
      </w:r>
      <w:r>
        <w:t xml:space="preserve"> fell far short of the $13-20 billion need estimated by the Global Fund. </w:t>
      </w:r>
      <w:r w:rsidR="0009216B">
        <w:t xml:space="preserve"> The funding s</w:t>
      </w:r>
      <w:r w:rsidR="00B60FE1">
        <w:t xml:space="preserve">ituation became more tenuous over the next </w:t>
      </w:r>
      <w:r w:rsidR="00DD2B9D">
        <w:t>year</w:t>
      </w:r>
      <w:r w:rsidR="001C7E41">
        <w:t>;</w:t>
      </w:r>
      <w:r w:rsidR="00B60FE1">
        <w:t xml:space="preserve"> </w:t>
      </w:r>
      <w:r w:rsidR="00DD2B9D">
        <w:t xml:space="preserve">in </w:t>
      </w:r>
      <w:r w:rsidR="0009216B">
        <w:t>November 2011</w:t>
      </w:r>
      <w:r w:rsidR="00B60FE1">
        <w:t xml:space="preserve">, </w:t>
      </w:r>
      <w:r w:rsidR="0009216B">
        <w:t>the Global Fund Board decided to cancel Round 11</w:t>
      </w:r>
      <w:r w:rsidR="0086792D">
        <w:t xml:space="preserve"> of</w:t>
      </w:r>
      <w:r w:rsidR="0009216B">
        <w:t xml:space="preserve"> grants</w:t>
      </w:r>
      <w:r w:rsidR="00DD2B9D">
        <w:t>, establish a Transitional Funding Mechanism for funding of essential services,</w:t>
      </w:r>
      <w:r w:rsidR="0009216B">
        <w:t xml:space="preserve"> and delay funding for new programs until 2014</w:t>
      </w:r>
      <w:r w:rsidR="00B60FE1">
        <w:t>.  This decision was based on</w:t>
      </w:r>
      <w:r w:rsidR="0009216B">
        <w:t xml:space="preserve"> insufficient resources (estimated to be </w:t>
      </w:r>
      <w:r w:rsidR="00DD2B9D">
        <w:t>down nearly $2 billion</w:t>
      </w:r>
      <w:r w:rsidR="00B60FE1">
        <w:t xml:space="preserve"> </w:t>
      </w:r>
      <w:r w:rsidR="00380A8C">
        <w:t>from original projections</w:t>
      </w:r>
      <w:r w:rsidR="0009216B">
        <w:t>)</w:t>
      </w:r>
      <w:r w:rsidR="00DD2B9D">
        <w:t>, in part due to</w:t>
      </w:r>
      <w:r w:rsidR="0009216B">
        <w:t xml:space="preserve"> a more cautious methodology for </w:t>
      </w:r>
      <w:r w:rsidR="00380A8C">
        <w:t>estimating</w:t>
      </w:r>
      <w:r w:rsidR="0009216B">
        <w:t xml:space="preserve"> future resource from donor</w:t>
      </w:r>
      <w:r w:rsidR="00B60FE1">
        <w:t>s</w:t>
      </w:r>
      <w:r w:rsidR="00DD2B9D">
        <w:t xml:space="preserve"> and in part due to</w:t>
      </w:r>
      <w:r w:rsidR="00380A8C">
        <w:t xml:space="preserve"> many donors</w:t>
      </w:r>
      <w:r w:rsidR="00DD2B9D">
        <w:t xml:space="preserve"> </w:t>
      </w:r>
      <w:r w:rsidR="001C7E41">
        <w:t>delay</w:t>
      </w:r>
      <w:r w:rsidR="00380A8C">
        <w:t>ing</w:t>
      </w:r>
      <w:r w:rsidR="001C7E41">
        <w:t xml:space="preserve"> or withholding </w:t>
      </w:r>
      <w:r w:rsidR="00380A8C">
        <w:t>payments</w:t>
      </w:r>
      <w:r w:rsidR="0009216B">
        <w:t>.</w:t>
      </w:r>
      <w:r w:rsidR="00C54ACB">
        <w:t xml:space="preserve">  </w:t>
      </w:r>
    </w:p>
    <w:p w:rsidR="0009216B" w:rsidRDefault="00965490">
      <w:pPr>
        <w:pStyle w:val="ListParagraph"/>
      </w:pPr>
      <w:r>
        <w:t xml:space="preserve">On World AIDS Day 2011, President Obama made a series of bold new commitments framed around the United States’ contribution toward the beginning of the end of AIDS.  These commitments included </w:t>
      </w:r>
      <w:r w:rsidR="000024D5">
        <w:t>support</w:t>
      </w:r>
      <w:r>
        <w:t xml:space="preserve"> for 6 million people o</w:t>
      </w:r>
      <w:r w:rsidR="00B971FD">
        <w:t>n treatment by 2013 and</w:t>
      </w:r>
      <w:r w:rsidR="00076D89">
        <w:t xml:space="preserve"> for</w:t>
      </w:r>
      <w:r w:rsidR="00B971FD">
        <w:t xml:space="preserve"> the</w:t>
      </w:r>
      <w:r w:rsidR="00076D89">
        <w:t xml:space="preserve"> expansion of PMTCT and voluntary male circumcision programs</w:t>
      </w:r>
      <w:r>
        <w:t>.  Still, in 2012,</w:t>
      </w:r>
      <w:r w:rsidR="00DD2B9D" w:rsidRPr="00DD2B9D">
        <w:t xml:space="preserve"> </w:t>
      </w:r>
      <w:r w:rsidR="00B60FE1" w:rsidRPr="00DD2B9D">
        <w:t>PEPFAR</w:t>
      </w:r>
      <w:r w:rsidR="00DD2B9D">
        <w:t>—the largest bilateral funding channel for AIDS—</w:t>
      </w:r>
      <w:r w:rsidR="00C54ACB">
        <w:t>is also facing major cuts in the Fiscal Year 2013 budget process.</w:t>
      </w:r>
      <w:bookmarkStart w:id="0" w:name="_GoBack"/>
      <w:bookmarkEnd w:id="0"/>
    </w:p>
    <w:p w:rsidR="0091685A" w:rsidRDefault="00C54ACB">
      <w:pPr>
        <w:pStyle w:val="ListParagraph"/>
      </w:pPr>
      <w:r>
        <w:t xml:space="preserve">In light of existing </w:t>
      </w:r>
      <w:r w:rsidR="00DD2B9D">
        <w:t xml:space="preserve">or potential cuts to these two mechanisms, </w:t>
      </w:r>
      <w:r w:rsidR="0091685A">
        <w:t>2012</w:t>
      </w:r>
      <w:r w:rsidR="00DD2B9D">
        <w:t xml:space="preserve"> represents a critical moment in financing for the global AIDS response.  Even as programmatic </w:t>
      </w:r>
      <w:r w:rsidR="00142FBB">
        <w:t>and</w:t>
      </w:r>
      <w:r w:rsidR="00DD2B9D">
        <w:t xml:space="preserve"> commodity-related cost-efficie</w:t>
      </w:r>
      <w:r>
        <w:t>ncies are found,</w:t>
      </w:r>
      <w:r w:rsidR="0091685A">
        <w:t xml:space="preserve"> donors simply cannot cut or flat</w:t>
      </w:r>
      <w:r w:rsidR="00E03C6C">
        <w:t xml:space="preserve"> </w:t>
      </w:r>
      <w:r w:rsidR="0091685A">
        <w:t>line their AIDS spending</w:t>
      </w:r>
      <w:r w:rsidR="00DD2B9D">
        <w:t xml:space="preserve"> if they hope to contribute</w:t>
      </w:r>
      <w:r w:rsidR="00142FBB">
        <w:t xml:space="preserve"> meaningfully</w:t>
      </w:r>
      <w:r w:rsidR="00DD2B9D">
        <w:t xml:space="preserve"> toward the beginning of the end of AIDS.  E</w:t>
      </w:r>
      <w:r w:rsidR="0091685A">
        <w:t>fforts to bolster</w:t>
      </w:r>
      <w:r w:rsidR="00B60FE1">
        <w:t xml:space="preserve"> PEPFAR and</w:t>
      </w:r>
      <w:r w:rsidR="0091685A">
        <w:t xml:space="preserve"> the Global Fund </w:t>
      </w:r>
      <w:r w:rsidR="00B60FE1">
        <w:t>this year</w:t>
      </w:r>
      <w:r w:rsidR="0091685A">
        <w:t xml:space="preserve"> will generate critical new momentum </w:t>
      </w:r>
      <w:r>
        <w:t>for bending</w:t>
      </w:r>
      <w:r w:rsidR="0091685A">
        <w:t xml:space="preserve"> the curve of </w:t>
      </w:r>
      <w:r w:rsidR="00DD2B9D">
        <w:t>this pandemic</w:t>
      </w:r>
      <w:r w:rsidR="0091685A">
        <w:t xml:space="preserve">.  </w:t>
      </w:r>
    </w:p>
    <w:p w:rsidR="0091685A" w:rsidRDefault="00B3157F">
      <w:pPr>
        <w:pStyle w:val="ListParagraph"/>
      </w:pPr>
      <w:r>
        <w:t xml:space="preserve">Still, </w:t>
      </w:r>
      <w:r w:rsidR="00142FBB">
        <w:t xml:space="preserve">Western donors cannot finance treatment scale-up alone. </w:t>
      </w:r>
      <w:r w:rsidR="00641D8A">
        <w:t>A</w:t>
      </w:r>
      <w:r w:rsidR="0091685A">
        <w:t>s recipient countries strive to meet their Abuja commitment</w:t>
      </w:r>
      <w:r w:rsidR="00641D8A">
        <w:t xml:space="preserve"> </w:t>
      </w:r>
      <w:r w:rsidR="0091685A">
        <w:t xml:space="preserve">on health, their overall spending </w:t>
      </w:r>
      <w:r w:rsidR="00641D8A">
        <w:t>on</w:t>
      </w:r>
      <w:r w:rsidR="0091685A">
        <w:t xml:space="preserve"> AIDS treatment</w:t>
      </w:r>
      <w:r w:rsidR="00641D8A">
        <w:t xml:space="preserve"> should also increase</w:t>
      </w:r>
      <w:r w:rsidR="0091685A">
        <w:t xml:space="preserve">.   A few countries, such as South Africa, now finance as much as 80% of AIDS treatment for their citizens, supplemented by smaller amounts of donor aid for technical support, commodity purchase and health systems strengthening.  </w:t>
      </w:r>
      <w:r w:rsidR="00641D8A">
        <w:t xml:space="preserve">Other countries, </w:t>
      </w:r>
      <w:r w:rsidR="004C5B26">
        <w:t>including</w:t>
      </w:r>
      <w:r w:rsidR="00641D8A">
        <w:t xml:space="preserve"> Rwanda and Botswana, have met or surpassed their Abuja commitment. They</w:t>
      </w:r>
      <w:r w:rsidR="0091685A">
        <w:t xml:space="preserve"> </w:t>
      </w:r>
      <w:r w:rsidR="00641D8A">
        <w:t>s</w:t>
      </w:r>
      <w:r w:rsidR="0091685A">
        <w:t>hould be the model</w:t>
      </w:r>
      <w:r w:rsidR="00641D8A">
        <w:t>s</w:t>
      </w:r>
      <w:r w:rsidR="0091685A">
        <w:t xml:space="preserve"> for other countries—particularly for emerging economies that are increasingly equipped with the financial resources to address their own health challenges.</w:t>
      </w:r>
      <w:r w:rsidR="00142FBB">
        <w:t xml:space="preserve">  Beyond direct financing for treatment, UNAIDS has recently offered up a number of other potential </w:t>
      </w:r>
      <w:hyperlink r:id="rId13" w:history="1">
        <w:r w:rsidR="00142FBB" w:rsidRPr="00142FBB">
          <w:rPr>
            <w:rStyle w:val="Hyperlink"/>
          </w:rPr>
          <w:t>African-led initiatives</w:t>
        </w:r>
      </w:hyperlink>
      <w:r w:rsidR="00142FBB">
        <w:t xml:space="preserve"> that are worthy of further discussion, as well.</w:t>
      </w:r>
    </w:p>
    <w:p w:rsidR="0091685A" w:rsidRDefault="0091685A">
      <w:pPr>
        <w:pStyle w:val="FreeForm"/>
        <w:rPr>
          <w:rFonts w:ascii="Times New Roman Bold" w:hAnsi="Times New Roman Bold"/>
          <w:sz w:val="22"/>
        </w:rPr>
      </w:pPr>
    </w:p>
    <w:p w:rsidR="0091685A" w:rsidRDefault="0091685A">
      <w:pPr>
        <w:pStyle w:val="ListParagraph"/>
        <w:ind w:left="0"/>
        <w:rPr>
          <w:rFonts w:ascii="Calibri Bold" w:hAnsi="Calibri Bold"/>
        </w:rPr>
      </w:pPr>
      <w:r>
        <w:rPr>
          <w:rFonts w:ascii="Calibri Bold" w:hAnsi="Calibri Bold"/>
        </w:rPr>
        <w:t>3. Implement innovative prevention techniques to stop new infections</w:t>
      </w:r>
    </w:p>
    <w:p w:rsidR="0091685A" w:rsidRDefault="0091685A">
      <w:pPr>
        <w:pStyle w:val="ListParagraph"/>
        <w:ind w:left="0"/>
        <w:rPr>
          <w:rFonts w:ascii="Calibri Italic" w:hAnsi="Calibri Italic"/>
        </w:rPr>
      </w:pPr>
      <w:r>
        <w:rPr>
          <w:rFonts w:ascii="Calibri Bold Italic" w:hAnsi="Calibri Bold Italic"/>
        </w:rPr>
        <w:t>What’s the situation</w:t>
      </w:r>
      <w:r>
        <w:rPr>
          <w:rFonts w:ascii="Calibri Italic" w:hAnsi="Calibri Italic"/>
        </w:rPr>
        <w:t>?</w:t>
      </w:r>
    </w:p>
    <w:p w:rsidR="0091685A" w:rsidRDefault="0091685A">
      <w:pPr>
        <w:pStyle w:val="ListParagraph"/>
        <w:ind w:left="0"/>
      </w:pPr>
      <w:r>
        <w:t>Though we know how to prevent the transmission of HIV/AIDS, there were 2.</w:t>
      </w:r>
      <w:r w:rsidR="007F146E">
        <w:t>7</w:t>
      </w:r>
      <w:r>
        <w:t xml:space="preserve"> million new HIV infections in 20</w:t>
      </w:r>
      <w:r w:rsidR="007F146E">
        <w:t>10</w:t>
      </w:r>
      <w:r>
        <w:t>—</w:t>
      </w:r>
      <w:r w:rsidR="007F146E">
        <w:t>nearly</w:t>
      </w:r>
      <w:r>
        <w:t xml:space="preserve"> 7,</w:t>
      </w:r>
      <w:r w:rsidR="007F146E">
        <w:t>4</w:t>
      </w:r>
      <w:r>
        <w:t xml:space="preserve">00 each day.  Significant progress has been made on this front; between 2000 and 2008, the rate of new HIV infections in 15 to 24 year-olds declined by more than 25% in 15 of the most heavily affected countries in sub-Saharan Africa.  </w:t>
      </w:r>
      <w:r w:rsidR="007F146E">
        <w:t>New</w:t>
      </w:r>
      <w:r>
        <w:t xml:space="preserve"> research shows that treatment not only keeps individuals alive but also lowers their likelihood of transmitting HIV to </w:t>
      </w:r>
      <w:r w:rsidR="00B65FDF">
        <w:t>others by as much as 96</w:t>
      </w:r>
      <w:r>
        <w:t>%.  Still, new HIV infections outpace the number of individuals newly placed on treatment each year, at an estimated ratio of nearly 2:1</w:t>
      </w:r>
      <w:r w:rsidR="00F03D2C">
        <w:t xml:space="preserve">—a </w:t>
      </w:r>
      <w:r w:rsidR="009A55A5">
        <w:t>main</w:t>
      </w:r>
      <w:r w:rsidR="00F03D2C">
        <w:t xml:space="preserve"> driver of the epidemic</w:t>
      </w:r>
      <w:r>
        <w:t xml:space="preserve">. </w:t>
      </w:r>
    </w:p>
    <w:p w:rsidR="0091685A" w:rsidRDefault="0091685A">
      <w:pPr>
        <w:pStyle w:val="ListParagraph"/>
        <w:ind w:left="0"/>
      </w:pPr>
      <w:r>
        <w:rPr>
          <w:rFonts w:ascii="Calibri Bold Italic" w:hAnsi="Calibri Bold Italic"/>
        </w:rPr>
        <w:t>What’s needed?</w:t>
      </w:r>
      <w:r>
        <w:rPr>
          <w:rFonts w:ascii="Calibri Bold Italic" w:hAnsi="Calibri Bold Italic"/>
        </w:rPr>
        <w:cr/>
      </w:r>
      <w:r>
        <w:t>Global increases in funding for treatment must not come at the expen</w:t>
      </w:r>
      <w:r w:rsidR="005A0AE8">
        <w:t>se of funding for prevention</w:t>
      </w:r>
      <w:r>
        <w:t xml:space="preserve"> services.  If we hope to bend the curve of the HIV epidemic, we cannot do it through treatment alone.  There is no magic bullet for prevention, but there are many existing, cost-effective strategies and technologies that should be implemented in combination.  Additionally, there are a number of new or pipeline technologies that merit continued research and funding for future implementation. Specifically, the following is needed:</w:t>
      </w:r>
    </w:p>
    <w:p w:rsidR="0091685A" w:rsidRDefault="0091685A">
      <w:pPr>
        <w:pStyle w:val="ListParagraph"/>
        <w:numPr>
          <w:ilvl w:val="0"/>
          <w:numId w:val="2"/>
        </w:numPr>
        <w:tabs>
          <w:tab w:val="clear" w:pos="360"/>
          <w:tab w:val="num" w:pos="720"/>
        </w:tabs>
        <w:ind w:left="720" w:hanging="360"/>
        <w:rPr>
          <w:rFonts w:ascii="Lucida Grande" w:hAnsi="Lucida Grande"/>
        </w:rPr>
      </w:pPr>
      <w:r>
        <w:rPr>
          <w:rFonts w:ascii="Calibri Bold" w:hAnsi="Calibri Bold"/>
        </w:rPr>
        <w:t xml:space="preserve">Support for biomedical prevention strategies. </w:t>
      </w:r>
      <w:r>
        <w:t xml:space="preserve"> In addition to existing behavioral prevention strategies that have been utilized over the past decade (including male and female condoms, abstinence education, and delayed sexual debut), there are now a number of biomedical prevention strategies that offer great promise in further reducing the number of new HIV infections each year.  </w:t>
      </w:r>
    </w:p>
    <w:p w:rsidR="0091685A" w:rsidRDefault="0091685A">
      <w:pPr>
        <w:pStyle w:val="ListParagraph"/>
        <w:numPr>
          <w:ilvl w:val="1"/>
          <w:numId w:val="3"/>
        </w:numPr>
        <w:tabs>
          <w:tab w:val="clear" w:pos="360"/>
          <w:tab w:val="num" w:pos="1440"/>
        </w:tabs>
        <w:ind w:left="1440" w:hanging="360"/>
        <w:rPr>
          <w:rFonts w:ascii="Courier New" w:hAnsi="Courier New"/>
        </w:rPr>
      </w:pPr>
      <w:r>
        <w:rPr>
          <w:rFonts w:ascii="Calibri Bold" w:hAnsi="Calibri Bold"/>
        </w:rPr>
        <w:t xml:space="preserve">Scale up implementation of existing strategies </w:t>
      </w:r>
      <w:r>
        <w:t>including but not limited to PMTCT services for</w:t>
      </w:r>
      <w:r w:rsidR="00883E6A">
        <w:t xml:space="preserve"> HIV-positive</w:t>
      </w:r>
      <w:r>
        <w:t xml:space="preserve"> pregnant women, male circumcision, </w:t>
      </w:r>
      <w:r w:rsidR="00105934">
        <w:t>pre-exposure prophylaxis (PrE</w:t>
      </w:r>
      <w:r w:rsidR="00C80FF1">
        <w:t xml:space="preserve">P), </w:t>
      </w:r>
      <w:r>
        <w:t>and earlier initiation of treatment (CD4 counts of 350 or higher) where appropriate and feasible</w:t>
      </w:r>
    </w:p>
    <w:p w:rsidR="0091685A" w:rsidRDefault="0091685A">
      <w:pPr>
        <w:pStyle w:val="ListParagraph"/>
        <w:numPr>
          <w:ilvl w:val="1"/>
          <w:numId w:val="3"/>
        </w:numPr>
        <w:tabs>
          <w:tab w:val="clear" w:pos="360"/>
          <w:tab w:val="num" w:pos="1440"/>
        </w:tabs>
        <w:ind w:left="1440" w:hanging="360"/>
        <w:rPr>
          <w:rFonts w:ascii="Courier New" w:hAnsi="Courier New"/>
        </w:rPr>
      </w:pPr>
      <w:r>
        <w:rPr>
          <w:rFonts w:ascii="Calibri Bold" w:hAnsi="Calibri Bold"/>
        </w:rPr>
        <w:t xml:space="preserve">Prepare countries for uptake of future new technologies and strategies as they become available </w:t>
      </w:r>
      <w:r>
        <w:t>including b</w:t>
      </w:r>
      <w:r w:rsidR="00C80FF1">
        <w:t>ut not limited to microbicides</w:t>
      </w:r>
      <w:r>
        <w:t xml:space="preserve"> and an AIDS vaccine</w:t>
      </w:r>
    </w:p>
    <w:p w:rsidR="0091685A" w:rsidRDefault="0091685A">
      <w:pPr>
        <w:pStyle w:val="ListParagraph"/>
        <w:numPr>
          <w:ilvl w:val="0"/>
          <w:numId w:val="4"/>
        </w:numPr>
        <w:tabs>
          <w:tab w:val="clear" w:pos="360"/>
          <w:tab w:val="num" w:pos="720"/>
        </w:tabs>
        <w:ind w:left="720" w:hanging="360"/>
        <w:rPr>
          <w:rFonts w:ascii="Lucida Grande" w:hAnsi="Lucida Grande"/>
          <w:shd w:val="clear" w:color="auto" w:fill="FFFF00"/>
        </w:rPr>
      </w:pPr>
      <w:r>
        <w:rPr>
          <w:rFonts w:ascii="Calibri Bold" w:hAnsi="Calibri Bold"/>
        </w:rPr>
        <w:t>Strengthened planning for tailored implementation strategies.</w:t>
      </w:r>
      <w:r>
        <w:t xml:space="preserve">  Prevention efforts have previously been less effective because they have not taken into account the unique nature of the HIV epidemic in local and national populations.  Greater effort must be made to understand the epidemiology and demographics of HIV infections in a target population, and prevention strategies must be tailored accordingly.  AIDS funders </w:t>
      </w:r>
      <w:proofErr w:type="gramStart"/>
      <w:r>
        <w:t>must  plan</w:t>
      </w:r>
      <w:proofErr w:type="gramEnd"/>
      <w:r>
        <w:t xml:space="preserve"> for how and where new technologies will be rolled out, and also ensure that appropriate technologies and systems are in place to support prevention efforts (such as cold chain for vaccines or cost-effective applicators for microbicides). </w:t>
      </w:r>
    </w:p>
    <w:sectPr w:rsidR="0091685A" w:rsidSect="003628A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490" w:rsidRDefault="00965490">
      <w:pPr>
        <w:spacing w:after="0" w:line="240" w:lineRule="auto"/>
      </w:pPr>
      <w:r>
        <w:separator/>
      </w:r>
    </w:p>
  </w:endnote>
  <w:endnote w:type="continuationSeparator" w:id="0">
    <w:p w:rsidR="00965490" w:rsidRDefault="00965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Calibri Bold Italic">
    <w:panose1 w:val="020F07020304040A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auto"/>
    <w:pitch w:val="variable"/>
    <w:sig w:usb0="00000003" w:usb1="00000000" w:usb2="00000000" w:usb3="00000000" w:csb0="00000001" w:csb1="00000000"/>
  </w:font>
  <w:font w:name="Calibri Italic">
    <w:panose1 w:val="020F05020202040A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FreeFormA"/>
      <w:rPr>
        <w:rFonts w:ascii="Times New Roman" w:eastAsia="Times New Roman" w:hAnsi="Times New Roman"/>
        <w:color w:val="auto"/>
        <w:sz w:val="20"/>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FreeFormA"/>
      <w:rPr>
        <w:rFonts w:ascii="Times New Roman" w:eastAsia="Times New Roman" w:hAnsi="Times New Roman"/>
        <w:color w:val="auto"/>
        <w:sz w:val="20"/>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490" w:rsidRDefault="00965490">
      <w:pPr>
        <w:spacing w:after="0" w:line="240" w:lineRule="auto"/>
      </w:pPr>
      <w:r>
        <w:separator/>
      </w:r>
    </w:p>
  </w:footnote>
  <w:footnote w:type="continuationSeparator" w:id="0">
    <w:p w:rsidR="00965490" w:rsidRDefault="00965490">
      <w:pPr>
        <w:spacing w:after="0" w:line="240" w:lineRule="auto"/>
      </w:pPr>
      <w:r>
        <w:continuationSeparator/>
      </w:r>
    </w:p>
  </w:footnote>
  <w:footnote w:id="1">
    <w:p w:rsidR="00965490" w:rsidRDefault="00965490">
      <w:pPr>
        <w:pStyle w:val="FootnoteText"/>
      </w:pPr>
      <w:r>
        <w:rPr>
          <w:rStyle w:val="FootnoteReference"/>
        </w:rPr>
        <w:footnoteRef/>
      </w:r>
      <w:r>
        <w:t xml:space="preserve"> UNAIDS estimates there are more than 14 million HIV-positive people in low- and middle-income countries who have a CD4 count of 350 or lower, qualifying them for antiretroviral treatment; of these people in need of treatment, 6.6 million are currently receiving it.</w:t>
      </w:r>
    </w:p>
  </w:footnote>
  <w:footnote w:id="2">
    <w:p w:rsidR="00965490" w:rsidRDefault="00965490">
      <w:pPr>
        <w:pStyle w:val="FootnoteText1"/>
        <w:rPr>
          <w:rFonts w:ascii="Times New Roman" w:eastAsia="Times New Roman" w:hAnsi="Times New Roman"/>
          <w:color w:val="auto"/>
        </w:rPr>
      </w:pPr>
      <w:r>
        <w:rPr>
          <w:rStyle w:val="FootnoteReference1"/>
          <w:sz w:val="20"/>
        </w:rPr>
        <w:footnoteRef/>
      </w:r>
      <w:r>
        <w:t xml:space="preserve"> Angola, Botswana, Burundi, Cameroon, Chad, Côte d’Ivoire, Democratic Republic of the Congo, Ethiopia, Ghana, India, Kenya, Lesotho, Malawi, Mozambique, Namibia, Nigeria, South Africa, Uganda, Tanzania, Swaziland, Zambia and Zimbabwe.</w:t>
      </w:r>
    </w:p>
  </w:footnote>
  <w:footnote w:id="3">
    <w:p w:rsidR="00965490" w:rsidRDefault="00965490">
      <w:pPr>
        <w:pStyle w:val="FootnoteText1"/>
        <w:rPr>
          <w:rFonts w:ascii="Times New Roman" w:eastAsia="Times New Roman" w:hAnsi="Times New Roman"/>
          <w:color w:val="auto"/>
        </w:rPr>
      </w:pPr>
      <w:r>
        <w:rPr>
          <w:rStyle w:val="FootnoteReference1"/>
          <w:sz w:val="20"/>
        </w:rPr>
        <w:footnoteRef/>
      </w:r>
      <w:r>
        <w:t xml:space="preserve"> This figure is likely a conservative estimate, as it does not account for needed spending in broader maternal and child health services that the Global Strategy identifies as critical to MTCT elimination</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FreeFormA"/>
      <w:rPr>
        <w:rFonts w:ascii="Times New Roman" w:eastAsia="Times New Roman" w:hAnsi="Times New Roman"/>
        <w:color w:val="auto"/>
        <w:sz w:val="20"/>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FreeFormA"/>
      <w:rPr>
        <w:rFonts w:ascii="Times New Roman" w:eastAsia="Times New Roman" w:hAnsi="Times New Roman"/>
        <w:color w:val="auto"/>
        <w:sz w:val="20"/>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90" w:rsidRDefault="0096549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2">
    <w:nsid w:val="00000003"/>
    <w:multiLevelType w:val="multilevel"/>
    <w:tmpl w:val="894EE875"/>
    <w:lvl w:ilvl="0">
      <w:start w:val="1"/>
      <w:numFmt w:val="bullet"/>
      <w:suff w:val="nothing"/>
      <w:lvlText w:val="·"/>
      <w:lvlJc w:val="left"/>
      <w:pPr>
        <w:ind w:left="0" w:firstLine="720"/>
      </w:pPr>
      <w:rPr>
        <w:rFonts w:hint="default"/>
        <w:color w:val="000000"/>
        <w:position w:val="0"/>
        <w:sz w:val="22"/>
      </w:rPr>
    </w:lvl>
    <w:lvl w:ilv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3">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0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9371E"/>
    <w:rsid w:val="000024D5"/>
    <w:rsid w:val="0000536A"/>
    <w:rsid w:val="00072F3E"/>
    <w:rsid w:val="00076D89"/>
    <w:rsid w:val="0009216B"/>
    <w:rsid w:val="00095E6E"/>
    <w:rsid w:val="000C7960"/>
    <w:rsid w:val="00105934"/>
    <w:rsid w:val="001272C4"/>
    <w:rsid w:val="00134495"/>
    <w:rsid w:val="00142FBB"/>
    <w:rsid w:val="001C7E41"/>
    <w:rsid w:val="001D6EF6"/>
    <w:rsid w:val="00230EAB"/>
    <w:rsid w:val="00250B44"/>
    <w:rsid w:val="0029693B"/>
    <w:rsid w:val="002E395F"/>
    <w:rsid w:val="002F2265"/>
    <w:rsid w:val="002F2EDC"/>
    <w:rsid w:val="00345A2E"/>
    <w:rsid w:val="00356C91"/>
    <w:rsid w:val="003628AA"/>
    <w:rsid w:val="00380A8C"/>
    <w:rsid w:val="003B15A7"/>
    <w:rsid w:val="003F4165"/>
    <w:rsid w:val="00404946"/>
    <w:rsid w:val="00444EE2"/>
    <w:rsid w:val="00455873"/>
    <w:rsid w:val="004C5B26"/>
    <w:rsid w:val="0050281E"/>
    <w:rsid w:val="0051597E"/>
    <w:rsid w:val="00532F23"/>
    <w:rsid w:val="0055509A"/>
    <w:rsid w:val="00565868"/>
    <w:rsid w:val="00572D0C"/>
    <w:rsid w:val="00597154"/>
    <w:rsid w:val="005A0AE8"/>
    <w:rsid w:val="006244D5"/>
    <w:rsid w:val="00641D8A"/>
    <w:rsid w:val="006942ED"/>
    <w:rsid w:val="006A481C"/>
    <w:rsid w:val="00714C68"/>
    <w:rsid w:val="007C4A3A"/>
    <w:rsid w:val="007E758C"/>
    <w:rsid w:val="007F146E"/>
    <w:rsid w:val="007F3A89"/>
    <w:rsid w:val="00820DE7"/>
    <w:rsid w:val="00831684"/>
    <w:rsid w:val="00837547"/>
    <w:rsid w:val="0086792D"/>
    <w:rsid w:val="00882EED"/>
    <w:rsid w:val="00883E6A"/>
    <w:rsid w:val="0090277A"/>
    <w:rsid w:val="0091685A"/>
    <w:rsid w:val="00965490"/>
    <w:rsid w:val="00973A62"/>
    <w:rsid w:val="00975145"/>
    <w:rsid w:val="009A31D4"/>
    <w:rsid w:val="009A55A5"/>
    <w:rsid w:val="009D73D6"/>
    <w:rsid w:val="009D7D70"/>
    <w:rsid w:val="00AA08C2"/>
    <w:rsid w:val="00B03F47"/>
    <w:rsid w:val="00B156F6"/>
    <w:rsid w:val="00B3157F"/>
    <w:rsid w:val="00B46B0C"/>
    <w:rsid w:val="00B51D82"/>
    <w:rsid w:val="00B60FE1"/>
    <w:rsid w:val="00B65FDF"/>
    <w:rsid w:val="00B971FD"/>
    <w:rsid w:val="00BE1391"/>
    <w:rsid w:val="00C4039F"/>
    <w:rsid w:val="00C46BBA"/>
    <w:rsid w:val="00C54ACB"/>
    <w:rsid w:val="00C80FF1"/>
    <w:rsid w:val="00DA7FAE"/>
    <w:rsid w:val="00DD2B9D"/>
    <w:rsid w:val="00DF6C74"/>
    <w:rsid w:val="00E03C6C"/>
    <w:rsid w:val="00E122CF"/>
    <w:rsid w:val="00E9371E"/>
    <w:rsid w:val="00EC1A57"/>
    <w:rsid w:val="00F03D2C"/>
    <w:rsid w:val="00F36AB0"/>
    <w:rsid w:val="00F419A5"/>
    <w:rsid w:val="00F53DE5"/>
    <w:rsid w:val="00FF6963"/>
  </w:rsids>
  <m:mathPr>
    <m:mathFont m:val="Calibri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28AA"/>
    <w:pPr>
      <w:spacing w:after="200" w:line="276" w:lineRule="auto"/>
    </w:pPr>
    <w:rPr>
      <w:rFonts w:ascii="Calibri" w:eastAsia="ヒラギノ角ゴ Pro W3" w:hAnsi="Calibri"/>
      <w:color w:val="000000"/>
      <w:sz w:val="22"/>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reeFormA">
    <w:name w:val="Free Form A"/>
    <w:autoRedefine/>
    <w:rsid w:val="003628AA"/>
    <w:pPr>
      <w:spacing w:after="200" w:line="276" w:lineRule="auto"/>
    </w:pPr>
    <w:rPr>
      <w:rFonts w:ascii="Calibri" w:eastAsia="ヒラギノ角ゴ Pro W3" w:hAnsi="Calibri"/>
      <w:color w:val="000000"/>
      <w:sz w:val="22"/>
    </w:rPr>
  </w:style>
  <w:style w:type="paragraph" w:customStyle="1" w:styleId="FreeForm">
    <w:name w:val="Free Form"/>
    <w:rsid w:val="003628AA"/>
    <w:rPr>
      <w:rFonts w:eastAsia="ヒラギノ角ゴ Pro W3"/>
      <w:color w:val="000000"/>
    </w:rPr>
  </w:style>
  <w:style w:type="paragraph" w:customStyle="1" w:styleId="CommentText1">
    <w:name w:val="Comment Text1"/>
    <w:autoRedefine/>
    <w:rsid w:val="003628AA"/>
    <w:pPr>
      <w:spacing w:after="200" w:line="276" w:lineRule="auto"/>
    </w:pPr>
    <w:rPr>
      <w:rFonts w:ascii="Calibri" w:eastAsia="ヒラギノ角ゴ Pro W3" w:hAnsi="Calibri"/>
      <w:color w:val="000000"/>
    </w:rPr>
  </w:style>
  <w:style w:type="paragraph" w:styleId="ListParagraph">
    <w:name w:val="List Paragraph"/>
    <w:qFormat/>
    <w:rsid w:val="003628AA"/>
    <w:pPr>
      <w:spacing w:after="200" w:line="276" w:lineRule="auto"/>
      <w:ind w:left="720"/>
    </w:pPr>
    <w:rPr>
      <w:rFonts w:ascii="Calibri" w:eastAsia="ヒラギノ角ゴ Pro W3" w:hAnsi="Calibri"/>
      <w:color w:val="000000"/>
      <w:sz w:val="22"/>
    </w:rPr>
  </w:style>
  <w:style w:type="character" w:customStyle="1" w:styleId="FootnoteReference1">
    <w:name w:val="Footnote Reference1"/>
    <w:rsid w:val="003628AA"/>
    <w:rPr>
      <w:color w:val="000000"/>
      <w:sz w:val="22"/>
      <w:vertAlign w:val="superscript"/>
    </w:rPr>
  </w:style>
  <w:style w:type="character" w:customStyle="1" w:styleId="Unknown0">
    <w:name w:val="Unknown 0"/>
    <w:semiHidden/>
    <w:rsid w:val="003628AA"/>
  </w:style>
  <w:style w:type="paragraph" w:customStyle="1" w:styleId="FootnoteText1">
    <w:name w:val="Footnote Text1"/>
    <w:rsid w:val="003628AA"/>
    <w:rPr>
      <w:rFonts w:ascii="Calibri" w:eastAsia="ヒラギノ角ゴ Pro W3" w:hAnsi="Calibri"/>
      <w:color w:val="000000"/>
    </w:rPr>
  </w:style>
  <w:style w:type="paragraph" w:styleId="BalloonText">
    <w:name w:val="Balloon Text"/>
    <w:basedOn w:val="Normal"/>
    <w:link w:val="BalloonTextChar"/>
    <w:locked/>
    <w:rsid w:val="00E9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9371E"/>
    <w:rPr>
      <w:rFonts w:ascii="Tahoma" w:eastAsia="ヒラギノ角ゴ Pro W3" w:hAnsi="Tahoma" w:cs="Tahoma"/>
      <w:color w:val="000000"/>
      <w:sz w:val="16"/>
      <w:szCs w:val="16"/>
    </w:rPr>
  </w:style>
  <w:style w:type="character" w:styleId="CommentReference">
    <w:name w:val="annotation reference"/>
    <w:basedOn w:val="DefaultParagraphFont"/>
    <w:locked/>
    <w:rsid w:val="00E9371E"/>
    <w:rPr>
      <w:sz w:val="16"/>
      <w:szCs w:val="16"/>
    </w:rPr>
  </w:style>
  <w:style w:type="paragraph" w:styleId="CommentText">
    <w:name w:val="annotation text"/>
    <w:basedOn w:val="Normal"/>
    <w:link w:val="CommentTextChar"/>
    <w:locked/>
    <w:rsid w:val="00E9371E"/>
    <w:rPr>
      <w:sz w:val="20"/>
      <w:szCs w:val="20"/>
    </w:rPr>
  </w:style>
  <w:style w:type="character" w:customStyle="1" w:styleId="CommentTextChar">
    <w:name w:val="Comment Text Char"/>
    <w:basedOn w:val="DefaultParagraphFont"/>
    <w:link w:val="CommentText"/>
    <w:rsid w:val="00E9371E"/>
    <w:rPr>
      <w:rFonts w:ascii="Calibri" w:eastAsia="ヒラギノ角ゴ Pro W3" w:hAnsi="Calibri"/>
      <w:color w:val="000000"/>
    </w:rPr>
  </w:style>
  <w:style w:type="paragraph" w:styleId="CommentSubject">
    <w:name w:val="annotation subject"/>
    <w:basedOn w:val="CommentText"/>
    <w:next w:val="CommentText"/>
    <w:link w:val="CommentSubjectChar"/>
    <w:locked/>
    <w:rsid w:val="00E9371E"/>
    <w:rPr>
      <w:b/>
      <w:bCs/>
    </w:rPr>
  </w:style>
  <w:style w:type="character" w:customStyle="1" w:styleId="CommentSubjectChar">
    <w:name w:val="Comment Subject Char"/>
    <w:basedOn w:val="CommentTextChar"/>
    <w:link w:val="CommentSubject"/>
    <w:rsid w:val="00E9371E"/>
    <w:rPr>
      <w:rFonts w:ascii="Calibri" w:eastAsia="ヒラギノ角ゴ Pro W3" w:hAnsi="Calibri"/>
      <w:b/>
      <w:bCs/>
      <w:color w:val="000000"/>
    </w:rPr>
  </w:style>
  <w:style w:type="paragraph" w:styleId="FootnoteText">
    <w:name w:val="footnote text"/>
    <w:basedOn w:val="Normal"/>
    <w:link w:val="FootnoteTextChar"/>
    <w:locked/>
    <w:rsid w:val="0091685A"/>
    <w:pPr>
      <w:spacing w:after="0" w:line="240" w:lineRule="auto"/>
    </w:pPr>
    <w:rPr>
      <w:sz w:val="20"/>
      <w:szCs w:val="20"/>
    </w:rPr>
  </w:style>
  <w:style w:type="character" w:customStyle="1" w:styleId="FootnoteTextChar">
    <w:name w:val="Footnote Text Char"/>
    <w:basedOn w:val="DefaultParagraphFont"/>
    <w:link w:val="FootnoteText"/>
    <w:rsid w:val="0091685A"/>
    <w:rPr>
      <w:rFonts w:ascii="Calibri" w:eastAsia="ヒラギノ角ゴ Pro W3" w:hAnsi="Calibri"/>
      <w:color w:val="000000"/>
    </w:rPr>
  </w:style>
  <w:style w:type="character" w:styleId="FootnoteReference">
    <w:name w:val="footnote reference"/>
    <w:basedOn w:val="DefaultParagraphFont"/>
    <w:locked/>
    <w:rsid w:val="0091685A"/>
    <w:rPr>
      <w:vertAlign w:val="superscript"/>
    </w:rPr>
  </w:style>
  <w:style w:type="paragraph" w:styleId="Header">
    <w:name w:val="header"/>
    <w:basedOn w:val="Normal"/>
    <w:link w:val="HeaderChar"/>
    <w:locked/>
    <w:rsid w:val="00444EE2"/>
    <w:pPr>
      <w:tabs>
        <w:tab w:val="center" w:pos="4680"/>
        <w:tab w:val="right" w:pos="9360"/>
      </w:tabs>
      <w:spacing w:after="0" w:line="240" w:lineRule="auto"/>
    </w:pPr>
  </w:style>
  <w:style w:type="character" w:customStyle="1" w:styleId="HeaderChar">
    <w:name w:val="Header Char"/>
    <w:basedOn w:val="DefaultParagraphFont"/>
    <w:link w:val="Header"/>
    <w:rsid w:val="00444EE2"/>
    <w:rPr>
      <w:rFonts w:ascii="Calibri" w:eastAsia="ヒラギノ角ゴ Pro W3" w:hAnsi="Calibri"/>
      <w:color w:val="000000"/>
      <w:sz w:val="22"/>
      <w:szCs w:val="24"/>
    </w:rPr>
  </w:style>
  <w:style w:type="paragraph" w:styleId="Footer">
    <w:name w:val="footer"/>
    <w:basedOn w:val="Normal"/>
    <w:link w:val="FooterChar"/>
    <w:locked/>
    <w:rsid w:val="00444EE2"/>
    <w:pPr>
      <w:tabs>
        <w:tab w:val="center" w:pos="4680"/>
        <w:tab w:val="right" w:pos="9360"/>
      </w:tabs>
      <w:spacing w:after="0" w:line="240" w:lineRule="auto"/>
    </w:pPr>
  </w:style>
  <w:style w:type="character" w:customStyle="1" w:styleId="FooterChar">
    <w:name w:val="Footer Char"/>
    <w:basedOn w:val="DefaultParagraphFont"/>
    <w:link w:val="Footer"/>
    <w:rsid w:val="00444EE2"/>
    <w:rPr>
      <w:rFonts w:ascii="Calibri" w:eastAsia="ヒラギノ角ゴ Pro W3" w:hAnsi="Calibri"/>
      <w:color w:val="000000"/>
      <w:sz w:val="22"/>
      <w:szCs w:val="24"/>
    </w:rPr>
  </w:style>
  <w:style w:type="character" w:styleId="Hyperlink">
    <w:name w:val="Hyperlink"/>
    <w:basedOn w:val="DefaultParagraphFont"/>
    <w:locked/>
    <w:rsid w:val="00142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28AA"/>
    <w:pPr>
      <w:spacing w:after="200" w:line="276" w:lineRule="auto"/>
    </w:pPr>
    <w:rPr>
      <w:rFonts w:ascii="Calibri" w:eastAsia="ヒラギノ角ゴ Pro W3" w:hAnsi="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3628AA"/>
    <w:pPr>
      <w:spacing w:after="200" w:line="276" w:lineRule="auto"/>
    </w:pPr>
    <w:rPr>
      <w:rFonts w:ascii="Calibri" w:eastAsia="ヒラギノ角ゴ Pro W3" w:hAnsi="Calibri"/>
      <w:color w:val="000000"/>
      <w:sz w:val="22"/>
    </w:rPr>
  </w:style>
  <w:style w:type="paragraph" w:customStyle="1" w:styleId="FreeForm">
    <w:name w:val="Free Form"/>
    <w:rsid w:val="003628AA"/>
    <w:rPr>
      <w:rFonts w:eastAsia="ヒラギノ角ゴ Pro W3"/>
      <w:color w:val="000000"/>
    </w:rPr>
  </w:style>
  <w:style w:type="paragraph" w:customStyle="1" w:styleId="CommentText1">
    <w:name w:val="Comment Text1"/>
    <w:autoRedefine/>
    <w:rsid w:val="003628AA"/>
    <w:pPr>
      <w:spacing w:after="200" w:line="276" w:lineRule="auto"/>
    </w:pPr>
    <w:rPr>
      <w:rFonts w:ascii="Calibri" w:eastAsia="ヒラギノ角ゴ Pro W3" w:hAnsi="Calibri"/>
      <w:color w:val="000000"/>
    </w:rPr>
  </w:style>
  <w:style w:type="paragraph" w:styleId="ListParagraph">
    <w:name w:val="List Paragraph"/>
    <w:qFormat/>
    <w:rsid w:val="003628AA"/>
    <w:pPr>
      <w:spacing w:after="200" w:line="276" w:lineRule="auto"/>
      <w:ind w:left="720"/>
    </w:pPr>
    <w:rPr>
      <w:rFonts w:ascii="Calibri" w:eastAsia="ヒラギノ角ゴ Pro W3" w:hAnsi="Calibri"/>
      <w:color w:val="000000"/>
      <w:sz w:val="22"/>
    </w:rPr>
  </w:style>
  <w:style w:type="character" w:customStyle="1" w:styleId="FootnoteReference1">
    <w:name w:val="Footnote Reference1"/>
    <w:rsid w:val="003628AA"/>
    <w:rPr>
      <w:color w:val="000000"/>
      <w:sz w:val="22"/>
      <w:vertAlign w:val="superscript"/>
    </w:rPr>
  </w:style>
  <w:style w:type="character" w:customStyle="1" w:styleId="Unknown0">
    <w:name w:val="Unknown 0"/>
    <w:semiHidden/>
    <w:rsid w:val="003628AA"/>
  </w:style>
  <w:style w:type="paragraph" w:customStyle="1" w:styleId="FootnoteText1">
    <w:name w:val="Footnote Text1"/>
    <w:rsid w:val="003628AA"/>
    <w:rPr>
      <w:rFonts w:ascii="Calibri" w:eastAsia="ヒラギノ角ゴ Pro W3" w:hAnsi="Calibri"/>
      <w:color w:val="000000"/>
    </w:rPr>
  </w:style>
  <w:style w:type="paragraph" w:styleId="BalloonText">
    <w:name w:val="Balloon Text"/>
    <w:basedOn w:val="Normal"/>
    <w:link w:val="BalloonTextChar"/>
    <w:locked/>
    <w:rsid w:val="00E9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9371E"/>
    <w:rPr>
      <w:rFonts w:ascii="Tahoma" w:eastAsia="ヒラギノ角ゴ Pro W3" w:hAnsi="Tahoma" w:cs="Tahoma"/>
      <w:color w:val="000000"/>
      <w:sz w:val="16"/>
      <w:szCs w:val="16"/>
    </w:rPr>
  </w:style>
  <w:style w:type="character" w:styleId="CommentReference">
    <w:name w:val="annotation reference"/>
    <w:basedOn w:val="DefaultParagraphFont"/>
    <w:locked/>
    <w:rsid w:val="00E9371E"/>
    <w:rPr>
      <w:sz w:val="16"/>
      <w:szCs w:val="16"/>
    </w:rPr>
  </w:style>
  <w:style w:type="paragraph" w:styleId="CommentText">
    <w:name w:val="annotation text"/>
    <w:basedOn w:val="Normal"/>
    <w:link w:val="CommentTextChar"/>
    <w:locked/>
    <w:rsid w:val="00E9371E"/>
    <w:rPr>
      <w:sz w:val="20"/>
      <w:szCs w:val="20"/>
    </w:rPr>
  </w:style>
  <w:style w:type="character" w:customStyle="1" w:styleId="CommentTextChar">
    <w:name w:val="Comment Text Char"/>
    <w:basedOn w:val="DefaultParagraphFont"/>
    <w:link w:val="CommentText"/>
    <w:rsid w:val="00E9371E"/>
    <w:rPr>
      <w:rFonts w:ascii="Calibri" w:eastAsia="ヒラギノ角ゴ Pro W3" w:hAnsi="Calibri"/>
      <w:color w:val="000000"/>
    </w:rPr>
  </w:style>
  <w:style w:type="paragraph" w:styleId="CommentSubject">
    <w:name w:val="annotation subject"/>
    <w:basedOn w:val="CommentText"/>
    <w:next w:val="CommentText"/>
    <w:link w:val="CommentSubjectChar"/>
    <w:locked/>
    <w:rsid w:val="00E9371E"/>
    <w:rPr>
      <w:b/>
      <w:bCs/>
    </w:rPr>
  </w:style>
  <w:style w:type="character" w:customStyle="1" w:styleId="CommentSubjectChar">
    <w:name w:val="Comment Subject Char"/>
    <w:basedOn w:val="CommentTextChar"/>
    <w:link w:val="CommentSubject"/>
    <w:rsid w:val="00E9371E"/>
    <w:rPr>
      <w:rFonts w:ascii="Calibri" w:eastAsia="ヒラギノ角ゴ Pro W3" w:hAnsi="Calibri"/>
      <w:b/>
      <w:bCs/>
      <w:color w:val="000000"/>
    </w:rPr>
  </w:style>
  <w:style w:type="paragraph" w:styleId="FootnoteText">
    <w:name w:val="footnote text"/>
    <w:basedOn w:val="Normal"/>
    <w:link w:val="FootnoteTextChar"/>
    <w:locked/>
    <w:rsid w:val="0091685A"/>
    <w:pPr>
      <w:spacing w:after="0" w:line="240" w:lineRule="auto"/>
    </w:pPr>
    <w:rPr>
      <w:sz w:val="20"/>
      <w:szCs w:val="20"/>
    </w:rPr>
  </w:style>
  <w:style w:type="character" w:customStyle="1" w:styleId="FootnoteTextChar">
    <w:name w:val="Footnote Text Char"/>
    <w:basedOn w:val="DefaultParagraphFont"/>
    <w:link w:val="FootnoteText"/>
    <w:rsid w:val="0091685A"/>
    <w:rPr>
      <w:rFonts w:ascii="Calibri" w:eastAsia="ヒラギノ角ゴ Pro W3" w:hAnsi="Calibri"/>
      <w:color w:val="000000"/>
    </w:rPr>
  </w:style>
  <w:style w:type="character" w:styleId="FootnoteReference">
    <w:name w:val="footnote reference"/>
    <w:basedOn w:val="DefaultParagraphFont"/>
    <w:locked/>
    <w:rsid w:val="0091685A"/>
    <w:rPr>
      <w:vertAlign w:val="superscript"/>
    </w:rPr>
  </w:style>
  <w:style w:type="paragraph" w:styleId="Header">
    <w:name w:val="header"/>
    <w:basedOn w:val="Normal"/>
    <w:link w:val="HeaderChar"/>
    <w:locked/>
    <w:rsid w:val="00444EE2"/>
    <w:pPr>
      <w:tabs>
        <w:tab w:val="center" w:pos="4680"/>
        <w:tab w:val="right" w:pos="9360"/>
      </w:tabs>
      <w:spacing w:after="0" w:line="240" w:lineRule="auto"/>
    </w:pPr>
  </w:style>
  <w:style w:type="character" w:customStyle="1" w:styleId="HeaderChar">
    <w:name w:val="Header Char"/>
    <w:basedOn w:val="DefaultParagraphFont"/>
    <w:link w:val="Header"/>
    <w:rsid w:val="00444EE2"/>
    <w:rPr>
      <w:rFonts w:ascii="Calibri" w:eastAsia="ヒラギノ角ゴ Pro W3" w:hAnsi="Calibri"/>
      <w:color w:val="000000"/>
      <w:sz w:val="22"/>
      <w:szCs w:val="24"/>
    </w:rPr>
  </w:style>
  <w:style w:type="paragraph" w:styleId="Footer">
    <w:name w:val="footer"/>
    <w:basedOn w:val="Normal"/>
    <w:link w:val="FooterChar"/>
    <w:locked/>
    <w:rsid w:val="00444EE2"/>
    <w:pPr>
      <w:tabs>
        <w:tab w:val="center" w:pos="4680"/>
        <w:tab w:val="right" w:pos="9360"/>
      </w:tabs>
      <w:spacing w:after="0" w:line="240" w:lineRule="auto"/>
    </w:pPr>
  </w:style>
  <w:style w:type="character" w:customStyle="1" w:styleId="FooterChar">
    <w:name w:val="Footer Char"/>
    <w:basedOn w:val="DefaultParagraphFont"/>
    <w:link w:val="Footer"/>
    <w:rsid w:val="00444EE2"/>
    <w:rPr>
      <w:rFonts w:ascii="Calibri" w:eastAsia="ヒラギノ角ゴ Pro W3" w:hAnsi="Calibri"/>
      <w:color w:val="000000"/>
      <w:sz w:val="22"/>
      <w:szCs w:val="24"/>
    </w:rPr>
  </w:style>
  <w:style w:type="character" w:styleId="Hyperlink">
    <w:name w:val="Hyperlink"/>
    <w:basedOn w:val="DefaultParagraphFont"/>
    <w:locked/>
    <w:rsid w:val="00142F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chart" Target="charts/chart1.xml"/><Relationship Id="rId12" Type="http://schemas.openxmlformats.org/officeDocument/2006/relationships/image" Target="media/image4.png"/><Relationship Id="rId13" Type="http://schemas.openxmlformats.org/officeDocument/2006/relationships/hyperlink" Target="http://www.unaids.org/en/media/unaids/contentassets/documents/unaidspublication/2012/JC2286_Sourcing-African-Solutions_en.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manualLayout>
          <c:layoutTarget val="inner"/>
          <c:xMode val="edge"/>
          <c:yMode val="edge"/>
          <c:x val="0.0604490500863558"/>
          <c:y val="0.0424028268551239"/>
          <c:w val="0.568221070811744"/>
          <c:h val="0.812720848056538"/>
        </c:manualLayout>
      </c:layout>
      <c:lineChart>
        <c:grouping val="standard"/>
        <c:ser>
          <c:idx val="0"/>
          <c:order val="0"/>
          <c:tx>
            <c:strRef>
              <c:f>Sheet1!$B$1</c:f>
              <c:strCache>
                <c:ptCount val="1"/>
                <c:pt idx="0">
                  <c:v>Millions on treatment to date</c:v>
                </c:pt>
              </c:strCache>
            </c:strRef>
          </c:tx>
          <c:spPr>
            <a:ln w="25414">
              <a:solidFill>
                <a:srgbClr val="4A7DBB"/>
              </a:solidFill>
              <a:prstDash val="solid"/>
            </a:ln>
          </c:spPr>
          <c:marker>
            <c:symbol val="diamond"/>
            <c:size val="4"/>
            <c:spPr>
              <a:solidFill>
                <a:srgbClr val="4F81BD"/>
              </a:solidFill>
              <a:ln>
                <a:solidFill>
                  <a:srgbClr val="4A7DBB"/>
                </a:solidFill>
                <a:prstDash val="solid"/>
              </a:ln>
            </c:spPr>
          </c:marker>
          <c:cat>
            <c:strRef>
              <c:f>Sheet1!$A$2:$A$14</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Sheet1!$B$2:$B$14</c:f>
              <c:numCache>
                <c:formatCode>General</c:formatCode>
                <c:ptCount val="13"/>
                <c:pt idx="0">
                  <c:v>0.400000005960465</c:v>
                </c:pt>
                <c:pt idx="1">
                  <c:v>0.759999990463259</c:v>
                </c:pt>
                <c:pt idx="2">
                  <c:v>1.299999952316281</c:v>
                </c:pt>
                <c:pt idx="3">
                  <c:v>2.039999961853027</c:v>
                </c:pt>
                <c:pt idx="4">
                  <c:v>2.970000028610228</c:v>
                </c:pt>
                <c:pt idx="5">
                  <c:v>4.03000020980835</c:v>
                </c:pt>
                <c:pt idx="6">
                  <c:v>5.199999809265137</c:v>
                </c:pt>
                <c:pt idx="7">
                  <c:v>6.59999990463258</c:v>
                </c:pt>
              </c:numCache>
            </c:numRef>
          </c:val>
        </c:ser>
        <c:ser>
          <c:idx val="1"/>
          <c:order val="1"/>
          <c:tx>
            <c:strRef>
              <c:f>Sheet1!$C$1</c:f>
              <c:strCache>
                <c:ptCount val="1"/>
                <c:pt idx="0">
                  <c:v>Current pace</c:v>
                </c:pt>
              </c:strCache>
            </c:strRef>
          </c:tx>
          <c:spPr>
            <a:ln w="25414">
              <a:solidFill>
                <a:srgbClr val="BE4B48"/>
              </a:solidFill>
              <a:prstDash val="sysDash"/>
            </a:ln>
          </c:spPr>
          <c:marker>
            <c:symbol val="none"/>
          </c:marker>
          <c:cat>
            <c:strRef>
              <c:f>Sheet1!$A$2:$A$14</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Sheet1!$C$2:$C$14</c:f>
              <c:numCache>
                <c:formatCode>General</c:formatCode>
                <c:ptCount val="13"/>
                <c:pt idx="8">
                  <c:v>8.0</c:v>
                </c:pt>
                <c:pt idx="9">
                  <c:v>9.3999996185303</c:v>
                </c:pt>
                <c:pt idx="10">
                  <c:v>10.80000019073486</c:v>
                </c:pt>
                <c:pt idx="11">
                  <c:v>12.19999980926515</c:v>
                </c:pt>
                <c:pt idx="12">
                  <c:v>13.60000038146973</c:v>
                </c:pt>
              </c:numCache>
            </c:numRef>
          </c:val>
        </c:ser>
        <c:ser>
          <c:idx val="2"/>
          <c:order val="2"/>
          <c:tx>
            <c:strRef>
              <c:f>Sheet1!$D$1</c:f>
              <c:strCache>
                <c:ptCount val="1"/>
                <c:pt idx="0">
                  <c:v>Needed pace</c:v>
                </c:pt>
              </c:strCache>
            </c:strRef>
          </c:tx>
          <c:spPr>
            <a:ln w="25414">
              <a:solidFill>
                <a:srgbClr val="98B954"/>
              </a:solidFill>
              <a:prstDash val="lgDash"/>
            </a:ln>
          </c:spPr>
          <c:marker>
            <c:symbol val="none"/>
          </c:marker>
          <c:cat>
            <c:strRef>
              <c:f>Sheet1!$A$2:$A$14</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Sheet1!$D$2:$D$14</c:f>
              <c:numCache>
                <c:formatCode>General</c:formatCode>
                <c:ptCount val="13"/>
                <c:pt idx="8">
                  <c:v>8.100000381469723</c:v>
                </c:pt>
                <c:pt idx="9">
                  <c:v>9.699999809265136</c:v>
                </c:pt>
                <c:pt idx="10">
                  <c:v>11.3999996185303</c:v>
                </c:pt>
                <c:pt idx="11">
                  <c:v>13.19999980926515</c:v>
                </c:pt>
                <c:pt idx="12">
                  <c:v>15.0</c:v>
                </c:pt>
              </c:numCache>
            </c:numRef>
          </c:val>
        </c:ser>
        <c:marker val="1"/>
        <c:axId val="738520184"/>
        <c:axId val="666923928"/>
      </c:lineChart>
      <c:catAx>
        <c:axId val="738520184"/>
        <c:scaling>
          <c:orientation val="minMax"/>
        </c:scaling>
        <c:axPos val="b"/>
        <c:numFmt formatCode="General" sourceLinked="1"/>
        <c:tickLblPos val="low"/>
        <c:spPr>
          <a:ln w="3177">
            <a:solidFill>
              <a:srgbClr val="A8A8A8"/>
            </a:solidFill>
            <a:prstDash val="solid"/>
          </a:ln>
        </c:spPr>
        <c:txPr>
          <a:bodyPr rot="-2700000" vert="horz"/>
          <a:lstStyle/>
          <a:p>
            <a:pPr>
              <a:defRPr sz="901" b="0" i="0" u="none" strike="noStrike" baseline="0">
                <a:solidFill>
                  <a:srgbClr val="000000"/>
                </a:solidFill>
                <a:latin typeface="Calibri"/>
                <a:ea typeface="Calibri"/>
                <a:cs typeface="Calibri"/>
              </a:defRPr>
            </a:pPr>
            <a:endParaRPr lang="en-US"/>
          </a:p>
        </c:txPr>
        <c:crossAx val="666923928"/>
        <c:crosses val="autoZero"/>
        <c:auto val="1"/>
        <c:lblAlgn val="ctr"/>
        <c:lblOffset val="100"/>
        <c:tickLblSkip val="1"/>
        <c:tickMarkSkip val="1"/>
      </c:catAx>
      <c:valAx>
        <c:axId val="666923928"/>
        <c:scaling>
          <c:orientation val="minMax"/>
          <c:max val="15.0"/>
          <c:min val="0.0"/>
        </c:scaling>
        <c:axPos val="l"/>
        <c:majorGridlines>
          <c:spPr>
            <a:ln w="12707">
              <a:solidFill>
                <a:srgbClr val="A8A8A8"/>
              </a:solidFill>
              <a:prstDash val="solid"/>
            </a:ln>
          </c:spPr>
        </c:majorGridlines>
        <c:numFmt formatCode="0" sourceLinked="0"/>
        <c:majorTickMark val="none"/>
        <c:tickLblPos val="nextTo"/>
        <c:spPr>
          <a:ln w="3177">
            <a:solidFill>
              <a:srgbClr val="A8A8A8"/>
            </a:solidFill>
            <a:prstDash val="solid"/>
          </a:ln>
        </c:spPr>
        <c:txPr>
          <a:bodyPr rot="0" vert="horz"/>
          <a:lstStyle/>
          <a:p>
            <a:pPr>
              <a:defRPr sz="901" b="0" i="0" u="none" strike="noStrike" baseline="0">
                <a:solidFill>
                  <a:srgbClr val="000000"/>
                </a:solidFill>
                <a:latin typeface="Calibri"/>
                <a:ea typeface="Calibri"/>
                <a:cs typeface="Calibri"/>
              </a:defRPr>
            </a:pPr>
            <a:endParaRPr lang="en-US"/>
          </a:p>
        </c:txPr>
        <c:crossAx val="738520184"/>
        <c:crosses val="autoZero"/>
        <c:crossBetween val="midCat"/>
        <c:majorUnit val="1.0"/>
      </c:valAx>
      <c:spPr>
        <a:noFill/>
        <a:ln w="25414">
          <a:noFill/>
        </a:ln>
      </c:spPr>
    </c:plotArea>
    <c:legend>
      <c:legendPos val="r"/>
      <c:layout>
        <c:manualLayout>
          <c:xMode val="edge"/>
          <c:yMode val="edge"/>
          <c:x val="0.680483592400692"/>
          <c:y val="0.0353356890459364"/>
          <c:w val="0.317789291882557"/>
          <c:h val="0.374558303886927"/>
        </c:manualLayout>
      </c:layout>
      <c:spPr>
        <a:noFill/>
        <a:ln w="25414">
          <a:noFill/>
        </a:ln>
      </c:spPr>
      <c:txPr>
        <a:bodyPr/>
        <a:lstStyle/>
        <a:p>
          <a:pPr>
            <a:defRPr sz="825" b="0"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901"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46D9-AAA6-C34E-8AD1-F222CDB7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11203</Characters>
  <Application>Microsoft Macintosh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Company>Campaign</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ehohlfelder</dc:creator>
  <cp:lastModifiedBy>Kara Arsenault</cp:lastModifiedBy>
  <cp:revision>2</cp:revision>
  <cp:lastPrinted>2011-09-29T15:49:00Z</cp:lastPrinted>
  <dcterms:created xsi:type="dcterms:W3CDTF">2012-03-28T19:39:00Z</dcterms:created>
  <dcterms:modified xsi:type="dcterms:W3CDTF">2012-03-28T19:39:00Z</dcterms:modified>
</cp:coreProperties>
</file>