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343FE" w14:textId="37F56A8B" w:rsidR="004921A5" w:rsidRDefault="009875A1" w:rsidP="009875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Crossroads: Challenges in Critical-Care Nursing 2026 Agenda</w:t>
      </w:r>
    </w:p>
    <w:p w14:paraId="29DA3366" w14:textId="1F29A23A" w:rsidR="009875A1" w:rsidRDefault="009875A1" w:rsidP="009875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November 11, 2026</w:t>
      </w:r>
    </w:p>
    <w:p w14:paraId="329600AF" w14:textId="77777777" w:rsidR="009875A1" w:rsidRDefault="009875A1" w:rsidP="009875A1">
      <w:pPr>
        <w:rPr>
          <w:rFonts w:ascii="Arial" w:hAnsi="Arial" w:cs="Arial"/>
          <w:b/>
          <w:bCs/>
          <w:sz w:val="28"/>
          <w:szCs w:val="28"/>
        </w:rPr>
      </w:pPr>
    </w:p>
    <w:p w14:paraId="1DD21F17" w14:textId="533B7C66" w:rsidR="009875A1" w:rsidRDefault="009875A1" w:rsidP="00E95699">
      <w:pPr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sz w:val="28"/>
          <w:szCs w:val="28"/>
        </w:rPr>
        <w:t>ECPR in Rural Minesota: Mobilizing Medical Care to Save Lives</w:t>
      </w:r>
    </w:p>
    <w:p w14:paraId="273E48A7" w14:textId="1AB04B9F" w:rsidR="009875A1" w:rsidRDefault="009875A1" w:rsidP="009875A1">
      <w:pPr>
        <w:pStyle w:val="NormalWeb"/>
        <w:shd w:val="clear" w:color="auto" w:fill="FFFFFF"/>
        <w:spacing w:before="0" w:beforeAutospacing="0" w:after="0" w:afterAutospacing="0" w:line="276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Outline the selection criteria used to identify </w:t>
      </w:r>
      <w:r>
        <w:rPr>
          <w:rFonts w:ascii="Arial" w:hAnsi="Arial" w:cs="Arial"/>
          <w:color w:val="222222"/>
        </w:rPr>
        <w:t>patients</w:t>
      </w:r>
      <w:r>
        <w:rPr>
          <w:rFonts w:ascii="Arial" w:hAnsi="Arial" w:cs="Arial"/>
          <w:color w:val="222222"/>
        </w:rPr>
        <w:t xml:space="preserve"> for ECPR programs and the rationale for the criteria</w:t>
      </w:r>
    </w:p>
    <w:p w14:paraId="1F9EF403" w14:textId="77777777" w:rsidR="009875A1" w:rsidRDefault="009875A1" w:rsidP="009875A1">
      <w:pPr>
        <w:pStyle w:val="NormalWeb"/>
        <w:shd w:val="clear" w:color="auto" w:fill="FFFFFF"/>
        <w:spacing w:before="0" w:beforeAutospacing="0" w:after="0" w:afterAutospacing="0" w:line="276" w:lineRule="atLeast"/>
        <w:ind w:left="720"/>
        <w:rPr>
          <w:rFonts w:ascii="Arial" w:hAnsi="Arial" w:cs="Arial"/>
          <w:color w:val="222222"/>
        </w:rPr>
      </w:pPr>
    </w:p>
    <w:p w14:paraId="1B75F88D" w14:textId="1F65CE10" w:rsidR="009875A1" w:rsidRDefault="009875A1" w:rsidP="009875A1">
      <w:pPr>
        <w:pStyle w:val="NormalWeb"/>
        <w:shd w:val="clear" w:color="auto" w:fill="FFFFFF"/>
        <w:spacing w:before="0" w:beforeAutospacing="0" w:after="0" w:afterAutospacing="0" w:line="276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Describe the components of an ECPR program and the role of ECMO in the program</w:t>
      </w:r>
    </w:p>
    <w:p w14:paraId="615BF228" w14:textId="77777777" w:rsidR="009875A1" w:rsidRDefault="009875A1" w:rsidP="009875A1">
      <w:pPr>
        <w:pStyle w:val="NormalWeb"/>
        <w:shd w:val="clear" w:color="auto" w:fill="FFFFFF"/>
        <w:spacing w:before="0" w:beforeAutospacing="0" w:after="160" w:afterAutospacing="0" w:line="276" w:lineRule="atLeast"/>
        <w:rPr>
          <w:rFonts w:ascii="Arial" w:hAnsi="Arial" w:cs="Arial"/>
          <w:color w:val="222222"/>
        </w:rPr>
      </w:pPr>
    </w:p>
    <w:p w14:paraId="75AD49A2" w14:textId="5F94317D" w:rsidR="009875A1" w:rsidRDefault="009875A1" w:rsidP="009875A1">
      <w:pPr>
        <w:pStyle w:val="NormalWeb"/>
        <w:shd w:val="clear" w:color="auto" w:fill="FFFFFF"/>
        <w:spacing w:before="0" w:beforeAutospacing="0" w:after="160" w:afterAutospacing="0" w:line="276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</w:rPr>
        <w:t xml:space="preserve"> </w:t>
      </w:r>
      <w:r>
        <w:rPr>
          <w:rFonts w:ascii="Arial" w:hAnsi="Arial" w:cs="Arial"/>
          <w:color w:val="222222"/>
        </w:rPr>
        <w:t>Identify unique challenges when mobilizing this technology and expertise to rural communities</w:t>
      </w:r>
    </w:p>
    <w:p w14:paraId="4266209A" w14:textId="77777777" w:rsidR="00E95699" w:rsidRDefault="00E95699" w:rsidP="009875A1">
      <w:pPr>
        <w:pStyle w:val="NormalWeb"/>
        <w:shd w:val="clear" w:color="auto" w:fill="FFFFFF"/>
        <w:spacing w:before="0" w:beforeAutospacing="0" w:after="160" w:afterAutospacing="0" w:line="276" w:lineRule="atLeast"/>
        <w:rPr>
          <w:rFonts w:ascii="Arial" w:hAnsi="Arial" w:cs="Arial"/>
          <w:color w:val="222222"/>
        </w:rPr>
      </w:pPr>
    </w:p>
    <w:p w14:paraId="235EE839" w14:textId="65470B9B" w:rsidR="009875A1" w:rsidRDefault="00BD06CE" w:rsidP="00BD06CE">
      <w:pPr>
        <w:pStyle w:val="NormalWeb"/>
        <w:shd w:val="clear" w:color="auto" w:fill="FFFFFF"/>
        <w:spacing w:before="0" w:beforeAutospacing="0" w:after="160" w:afterAutospacing="0" w:line="276" w:lineRule="atLeast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222222"/>
          <w:sz w:val="28"/>
          <w:szCs w:val="28"/>
        </w:rPr>
        <w:t>Critical Care OB Emergencies</w:t>
      </w:r>
    </w:p>
    <w:p w14:paraId="7D870937" w14:textId="2B258211" w:rsidR="00DE2EEF" w:rsidRPr="00DE2EEF" w:rsidRDefault="00DE2EEF" w:rsidP="00DE2EEF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Discuss differential diagnosis and care management of the pregnant patient </w:t>
      </w:r>
      <w:r w:rsidR="00E9569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e</w:t>
      </w: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xperiencing an acute neurologic event</w:t>
      </w:r>
    </w:p>
    <w:p w14:paraId="3D223F89" w14:textId="77777777" w:rsidR="00DE2EEF" w:rsidRDefault="00DE2EEF" w:rsidP="00DE2EEF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0796CC8" w14:textId="31396299" w:rsidR="00DE2EEF" w:rsidRPr="00DE2EEF" w:rsidRDefault="00DE2EEF" w:rsidP="00DE2EEF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Explain care management of the pregnant patient requiring cardiopulmonary</w:t>
      </w:r>
      <w:r w:rsidR="00E95699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res</w:t>
      </w: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uscitation</w:t>
      </w:r>
    </w:p>
    <w:p w14:paraId="4CD6F159" w14:textId="77777777" w:rsidR="00DE2EEF" w:rsidRDefault="00DE2EEF" w:rsidP="00DE2EEF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E40CD18" w14:textId="30203B6A" w:rsidR="00BD06CE" w:rsidRDefault="00DE2EEF" w:rsidP="00E95699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Describe care management of the pregnant patient experiencing postpartum hemorrhage</w:t>
      </w:r>
    </w:p>
    <w:p w14:paraId="357FBAD2" w14:textId="77777777" w:rsidR="00E95699" w:rsidRDefault="00E95699" w:rsidP="00E95699">
      <w:pPr>
        <w:shd w:val="clear" w:color="auto" w:fill="FFFFFF"/>
        <w:spacing w:after="75" w:line="240" w:lineRule="auto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0C9D9A7C" w14:textId="7639C16B" w:rsidR="00BD06CE" w:rsidRDefault="00BD06CE" w:rsidP="00BD06CE">
      <w:pPr>
        <w:pStyle w:val="NormalWeb"/>
        <w:shd w:val="clear" w:color="auto" w:fill="FFFFFF"/>
        <w:spacing w:before="0" w:beforeAutospacing="0" w:after="160" w:afterAutospacing="0" w:line="276" w:lineRule="atLeast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222222"/>
          <w:sz w:val="28"/>
          <w:szCs w:val="28"/>
        </w:rPr>
        <w:t>Urine Trouble: DI/SIADH/CSW</w:t>
      </w:r>
    </w:p>
    <w:p w14:paraId="46DE849D" w14:textId="3BFA0CC1" w:rsidR="00122E8A" w:rsidRDefault="00122E8A" w:rsidP="00122E8A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22E8A">
        <w:rPr>
          <w:rFonts w:ascii="Arial" w:hAnsi="Arial" w:cs="Arial"/>
          <w:color w:val="222222"/>
        </w:rPr>
        <w:t xml:space="preserve">Identify the correlative anatomy and physiology </w:t>
      </w:r>
      <w:r w:rsidRPr="00122E8A">
        <w:rPr>
          <w:rFonts w:ascii="Arial" w:hAnsi="Arial" w:cs="Arial"/>
          <w:color w:val="222222"/>
        </w:rPr>
        <w:t>of brain</w:t>
      </w:r>
      <w:r w:rsidRPr="00122E8A">
        <w:rPr>
          <w:rFonts w:ascii="Arial" w:hAnsi="Arial" w:cs="Arial"/>
          <w:color w:val="222222"/>
        </w:rPr>
        <w:t xml:space="preserve"> injury, the hypothalamus and the pituitary</w:t>
      </w:r>
    </w:p>
    <w:p w14:paraId="43D4BB0E" w14:textId="02C80E2D" w:rsidR="00122E8A" w:rsidRPr="00122E8A" w:rsidRDefault="00122E8A" w:rsidP="00122E8A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22E8A">
        <w:rPr>
          <w:rFonts w:ascii="Arial" w:hAnsi="Arial" w:cs="Arial"/>
          <w:color w:val="222222"/>
        </w:rPr>
        <w:t>Describe the role of ADH and its effect on sodium</w:t>
      </w:r>
      <w:r>
        <w:rPr>
          <w:rFonts w:ascii="Arial" w:hAnsi="Arial" w:cs="Arial"/>
          <w:color w:val="222222"/>
        </w:rPr>
        <w:t xml:space="preserve"> </w:t>
      </w:r>
      <w:r w:rsidRPr="00122E8A">
        <w:rPr>
          <w:rFonts w:ascii="Arial" w:hAnsi="Arial" w:cs="Arial"/>
          <w:color w:val="222222"/>
        </w:rPr>
        <w:t>levels in the head-injured patient</w:t>
      </w:r>
    </w:p>
    <w:p w14:paraId="510449E1" w14:textId="778CF278" w:rsidR="001003EB" w:rsidRDefault="00122E8A" w:rsidP="00E95699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22E8A">
        <w:rPr>
          <w:rFonts w:ascii="Arial" w:hAnsi="Arial" w:cs="Arial"/>
          <w:color w:val="222222"/>
        </w:rPr>
        <w:t>Compare and contrast DI, SIADH and CSW, their</w:t>
      </w:r>
      <w:r>
        <w:rPr>
          <w:rFonts w:ascii="Arial" w:hAnsi="Arial" w:cs="Arial"/>
          <w:color w:val="222222"/>
        </w:rPr>
        <w:t xml:space="preserve"> </w:t>
      </w:r>
      <w:r w:rsidRPr="00122E8A">
        <w:rPr>
          <w:rFonts w:ascii="Arial" w:hAnsi="Arial" w:cs="Arial"/>
          <w:color w:val="222222"/>
        </w:rPr>
        <w:t>clinical symptoms and treatments</w:t>
      </w:r>
    </w:p>
    <w:p w14:paraId="1019A4F5" w14:textId="77777777" w:rsidR="00E95699" w:rsidRDefault="00E95699" w:rsidP="00BD06CE">
      <w:pPr>
        <w:pStyle w:val="NormalWeb"/>
        <w:shd w:val="clear" w:color="auto" w:fill="FFFFFF"/>
        <w:spacing w:before="0" w:beforeAutospacing="0" w:after="160" w:afterAutospacing="0" w:line="276" w:lineRule="atLeast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37D0EC6A" w14:textId="2CE2B3D4" w:rsidR="00BD06CE" w:rsidRDefault="00BD06CE" w:rsidP="00BD06CE">
      <w:pPr>
        <w:pStyle w:val="NormalWeb"/>
        <w:shd w:val="clear" w:color="auto" w:fill="FFFFFF"/>
        <w:spacing w:before="0" w:beforeAutospacing="0" w:after="160" w:afterAutospacing="0" w:line="276" w:lineRule="atLeast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222222"/>
          <w:sz w:val="28"/>
          <w:szCs w:val="28"/>
        </w:rPr>
        <w:t>When Every Detail Matters: Sexual Assault Examinations in Critical Care</w:t>
      </w:r>
    </w:p>
    <w:p w14:paraId="3E392B86" w14:textId="5F6B06DB" w:rsidR="00DE2EEF" w:rsidRDefault="00DE2EEF" w:rsidP="00DE2E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Describe the intersection of sexual violence and critical care</w:t>
      </w:r>
    </w:p>
    <w:p w14:paraId="2F845670" w14:textId="77777777" w:rsidR="00DE2EEF" w:rsidRPr="00DE2EEF" w:rsidRDefault="00DE2EEF" w:rsidP="00DE2E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247934A" w14:textId="02F4C987" w:rsidR="00DE2EEF" w:rsidRDefault="00DE2EEF" w:rsidP="00DE2E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Describe the medical-forensic examination</w:t>
      </w:r>
    </w:p>
    <w:p w14:paraId="54E17D9D" w14:textId="77777777" w:rsidR="00E95699" w:rsidRDefault="00DE2EEF" w:rsidP="00DE2E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Discuss the key forensic principles guiding the care of critical care patients following sexual assault</w:t>
      </w:r>
    </w:p>
    <w:p w14:paraId="7EEA5D6A" w14:textId="6ABC4CF7" w:rsidR="00DE2EEF" w:rsidRPr="00DE2EEF" w:rsidRDefault="00DE2EEF" w:rsidP="00DE2E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 </w:t>
      </w:r>
    </w:p>
    <w:p w14:paraId="000E9C0E" w14:textId="072B7288" w:rsidR="00DE2EEF" w:rsidRDefault="00DE2EEF" w:rsidP="00DE2E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E2EEF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Identify resources and service partners that can support in the care of critical care patients following sexual assault</w:t>
      </w:r>
    </w:p>
    <w:p w14:paraId="23C5F0B7" w14:textId="77777777" w:rsidR="00E95699" w:rsidRDefault="00E95699" w:rsidP="00DE2E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0D5B859A" w14:textId="77777777" w:rsidR="00E95699" w:rsidRPr="00DE2EEF" w:rsidRDefault="00E95699" w:rsidP="00DE2E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092CBC19" w14:textId="3432F7C4" w:rsidR="00BD06CE" w:rsidRDefault="00BD06CE" w:rsidP="00BD06CE">
      <w:pPr>
        <w:pStyle w:val="NormalWeb"/>
        <w:shd w:val="clear" w:color="auto" w:fill="FFFFFF"/>
        <w:spacing w:before="0" w:beforeAutospacing="0" w:after="160" w:afterAutospacing="0" w:line="276" w:lineRule="atLeast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222222"/>
          <w:sz w:val="28"/>
          <w:szCs w:val="28"/>
        </w:rPr>
        <w:t>Rock Around the Block</w:t>
      </w:r>
    </w:p>
    <w:p w14:paraId="573F776E" w14:textId="40A0D912" w:rsidR="00122E8A" w:rsidRDefault="00122E8A" w:rsidP="00122E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122E8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Describe the structure and functions of the myocardial conduction system</w:t>
      </w:r>
    </w:p>
    <w:p w14:paraId="230BA34B" w14:textId="77777777" w:rsidR="00122E8A" w:rsidRPr="00122E8A" w:rsidRDefault="00122E8A" w:rsidP="00122E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8D598F8" w14:textId="56995C87" w:rsidR="00122E8A" w:rsidRDefault="00122E8A" w:rsidP="00122E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122E8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Compare and contrast first, second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</w:t>
      </w:r>
      <w:r w:rsidRPr="00122E8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and third degree atrioventricular blocks</w:t>
      </w:r>
    </w:p>
    <w:p w14:paraId="55A8A133" w14:textId="77777777" w:rsidR="00122E8A" w:rsidRPr="00122E8A" w:rsidRDefault="00122E8A" w:rsidP="00122E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0575CE8" w14:textId="753ED768" w:rsidR="00BD06CE" w:rsidRDefault="00122E8A" w:rsidP="00E95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122E8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Describe diagnostic features of partial and complete right and left bundle branch blocks </w:t>
      </w:r>
    </w:p>
    <w:p w14:paraId="53E02936" w14:textId="77777777" w:rsidR="00E95699" w:rsidRDefault="00E95699" w:rsidP="00E956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E460AFD" w14:textId="77777777" w:rsidR="00E95699" w:rsidRPr="00122E8A" w:rsidRDefault="00E95699" w:rsidP="00E95699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</w:p>
    <w:p w14:paraId="120213B5" w14:textId="22D9743D" w:rsidR="00BD06CE" w:rsidRDefault="00BD06CE" w:rsidP="00BD06CE">
      <w:pPr>
        <w:pStyle w:val="NormalWeb"/>
        <w:shd w:val="clear" w:color="auto" w:fill="FFFFFF"/>
        <w:spacing w:before="0" w:beforeAutospacing="0" w:after="160" w:afterAutospacing="0" w:line="276" w:lineRule="atLeast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222222"/>
          <w:sz w:val="28"/>
          <w:szCs w:val="28"/>
        </w:rPr>
        <w:t>Abdominal Trauma Case Studies</w:t>
      </w:r>
    </w:p>
    <w:p w14:paraId="0B3876A6" w14:textId="2E093C13" w:rsidR="00122E8A" w:rsidRPr="00122E8A" w:rsidRDefault="00122E8A" w:rsidP="00122E8A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22E8A">
        <w:rPr>
          <w:rFonts w:ascii="Arial" w:hAnsi="Arial" w:cs="Arial"/>
          <w:color w:val="222222"/>
        </w:rPr>
        <w:t>Identify mechanisms of injury, morbidity and</w:t>
      </w:r>
      <w:r>
        <w:rPr>
          <w:rFonts w:ascii="Arial" w:hAnsi="Arial" w:cs="Arial"/>
          <w:color w:val="222222"/>
        </w:rPr>
        <w:t xml:space="preserve"> </w:t>
      </w:r>
      <w:r w:rsidRPr="00122E8A">
        <w:rPr>
          <w:rFonts w:ascii="Arial" w:hAnsi="Arial" w:cs="Arial"/>
          <w:color w:val="222222"/>
        </w:rPr>
        <w:t>mortality of abdominal trauma.</w:t>
      </w:r>
    </w:p>
    <w:p w14:paraId="002BFD3B" w14:textId="77777777" w:rsidR="001003EB" w:rsidRDefault="00122E8A" w:rsidP="001003EB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22E8A">
        <w:rPr>
          <w:rFonts w:ascii="Arial" w:hAnsi="Arial" w:cs="Arial"/>
          <w:color w:val="222222"/>
        </w:rPr>
        <w:t>Differentiate each abdominal organ system</w:t>
      </w:r>
      <w:r>
        <w:rPr>
          <w:rFonts w:ascii="Arial" w:hAnsi="Arial" w:cs="Arial"/>
          <w:color w:val="222222"/>
        </w:rPr>
        <w:t xml:space="preserve"> </w:t>
      </w:r>
      <w:r w:rsidRPr="00122E8A">
        <w:rPr>
          <w:rFonts w:ascii="Arial" w:hAnsi="Arial" w:cs="Arial"/>
          <w:color w:val="222222"/>
        </w:rPr>
        <w:t>monitoring and management after traumatic injury</w:t>
      </w:r>
    </w:p>
    <w:p w14:paraId="26BFA6F6" w14:textId="573AF82A" w:rsidR="00BD06CE" w:rsidRDefault="00122E8A" w:rsidP="00E95699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22E8A">
        <w:rPr>
          <w:rFonts w:ascii="Arial" w:hAnsi="Arial" w:cs="Arial"/>
          <w:color w:val="222222"/>
        </w:rPr>
        <w:t xml:space="preserve"> List complication prevention strategies, expected</w:t>
      </w:r>
      <w:r>
        <w:rPr>
          <w:rFonts w:ascii="Arial" w:hAnsi="Arial" w:cs="Arial"/>
          <w:color w:val="222222"/>
        </w:rPr>
        <w:t xml:space="preserve"> </w:t>
      </w:r>
      <w:r w:rsidRPr="00122E8A">
        <w:rPr>
          <w:rFonts w:ascii="Arial" w:hAnsi="Arial" w:cs="Arial"/>
          <w:color w:val="222222"/>
        </w:rPr>
        <w:t>practice management and the nurse’s role in</w:t>
      </w:r>
      <w:r w:rsidR="001003EB">
        <w:rPr>
          <w:rFonts w:ascii="Arial" w:hAnsi="Arial" w:cs="Arial"/>
          <w:color w:val="222222"/>
        </w:rPr>
        <w:t xml:space="preserve"> </w:t>
      </w:r>
      <w:r w:rsidRPr="00122E8A">
        <w:rPr>
          <w:rFonts w:ascii="Arial" w:hAnsi="Arial" w:cs="Arial"/>
          <w:color w:val="222222"/>
        </w:rPr>
        <w:t>abdominal trauma</w:t>
      </w:r>
    </w:p>
    <w:p w14:paraId="39D7EF0F" w14:textId="77777777" w:rsidR="00E95699" w:rsidRDefault="00E95699" w:rsidP="00E95699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</w:p>
    <w:p w14:paraId="0CC47DC8" w14:textId="4F5050DC" w:rsidR="001003EB" w:rsidRDefault="00122E8A" w:rsidP="00BD06CE">
      <w:pPr>
        <w:pStyle w:val="NormalWeb"/>
        <w:shd w:val="clear" w:color="auto" w:fill="FFFFFF"/>
        <w:spacing w:before="0" w:beforeAutospacing="0" w:after="160" w:afterAutospacing="0" w:line="276" w:lineRule="atLeast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222222"/>
          <w:sz w:val="28"/>
          <w:szCs w:val="28"/>
        </w:rPr>
        <w:t>Protect Your Practice: Trauma Informed Advocacy, Licensure Defense, and Professional Resilience in Critical Care Nursing</w:t>
      </w:r>
    </w:p>
    <w:p w14:paraId="48761F6D" w14:textId="2B72116E" w:rsidR="001003EB" w:rsidRPr="001003EB" w:rsidRDefault="001003EB" w:rsidP="001003EB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003EB">
        <w:rPr>
          <w:rFonts w:ascii="Arial" w:hAnsi="Arial" w:cs="Arial"/>
          <w:color w:val="222222"/>
        </w:rPr>
        <w:t>Identify trauma-informed strategies that promote safe, ethical and resilient care</w:t>
      </w:r>
      <w:r>
        <w:rPr>
          <w:rFonts w:ascii="Arial" w:hAnsi="Arial" w:cs="Arial"/>
          <w:color w:val="222222"/>
        </w:rPr>
        <w:t xml:space="preserve"> </w:t>
      </w:r>
      <w:r w:rsidRPr="001003EB">
        <w:rPr>
          <w:rFonts w:ascii="Arial" w:hAnsi="Arial" w:cs="Arial"/>
          <w:color w:val="222222"/>
        </w:rPr>
        <w:t>for patients, coworkers and self within critical care practice environments</w:t>
      </w:r>
    </w:p>
    <w:p w14:paraId="76A07AAD" w14:textId="3D282483" w:rsidR="001003EB" w:rsidRPr="001003EB" w:rsidRDefault="001003EB" w:rsidP="001003EB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003EB">
        <w:rPr>
          <w:rFonts w:ascii="Arial" w:hAnsi="Arial" w:cs="Arial"/>
          <w:color w:val="222222"/>
        </w:rPr>
        <w:t>Describe the structure, function and investigative processes of state Boards of</w:t>
      </w:r>
    </w:p>
    <w:p w14:paraId="0F619511" w14:textId="7E522532" w:rsidR="001003EB" w:rsidRDefault="001003EB" w:rsidP="001003EB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003EB">
        <w:rPr>
          <w:rFonts w:ascii="Arial" w:hAnsi="Arial" w:cs="Arial"/>
          <w:color w:val="222222"/>
        </w:rPr>
        <w:t>Nursing (BON) and Health Professionals Services Programs (HPSP) as they</w:t>
      </w:r>
      <w:r>
        <w:rPr>
          <w:rFonts w:ascii="Arial" w:hAnsi="Arial" w:cs="Arial"/>
          <w:color w:val="222222"/>
        </w:rPr>
        <w:t xml:space="preserve"> </w:t>
      </w:r>
      <w:r w:rsidRPr="001003EB">
        <w:rPr>
          <w:rFonts w:ascii="Arial" w:hAnsi="Arial" w:cs="Arial"/>
          <w:color w:val="222222"/>
        </w:rPr>
        <w:t>relate to licensure protections.</w:t>
      </w:r>
    </w:p>
    <w:p w14:paraId="5800E679" w14:textId="7298ECE4" w:rsidR="001003EB" w:rsidRPr="001003EB" w:rsidRDefault="001003EB" w:rsidP="001003EB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003EB">
        <w:rPr>
          <w:rFonts w:ascii="Arial" w:hAnsi="Arial" w:cs="Arial"/>
          <w:color w:val="222222"/>
        </w:rPr>
        <w:t xml:space="preserve"> Recognize proactive professional practices, including documentation,</w:t>
      </w:r>
      <w:r>
        <w:rPr>
          <w:rFonts w:ascii="Arial" w:hAnsi="Arial" w:cs="Arial"/>
          <w:color w:val="222222"/>
        </w:rPr>
        <w:t xml:space="preserve"> </w:t>
      </w:r>
      <w:r w:rsidRPr="001003EB">
        <w:rPr>
          <w:rFonts w:ascii="Arial" w:hAnsi="Arial" w:cs="Arial"/>
          <w:color w:val="222222"/>
        </w:rPr>
        <w:t xml:space="preserve">communication, self-advocacy and boundary </w:t>
      </w:r>
      <w:proofErr w:type="gramStart"/>
      <w:r w:rsidRPr="001003EB">
        <w:rPr>
          <w:rFonts w:ascii="Arial" w:hAnsi="Arial" w:cs="Arial"/>
          <w:color w:val="222222"/>
        </w:rPr>
        <w:t>setting</w:t>
      </w:r>
      <w:proofErr w:type="gramEnd"/>
      <w:r w:rsidRPr="001003EB">
        <w:rPr>
          <w:rFonts w:ascii="Arial" w:hAnsi="Arial" w:cs="Arial"/>
          <w:color w:val="222222"/>
        </w:rPr>
        <w:t xml:space="preserve"> that reduce legal, ethical</w:t>
      </w:r>
      <w:r>
        <w:rPr>
          <w:rFonts w:ascii="Arial" w:hAnsi="Arial" w:cs="Arial"/>
          <w:color w:val="222222"/>
        </w:rPr>
        <w:t xml:space="preserve"> </w:t>
      </w:r>
      <w:r w:rsidRPr="001003EB">
        <w:rPr>
          <w:rFonts w:ascii="Arial" w:hAnsi="Arial" w:cs="Arial"/>
          <w:color w:val="222222"/>
        </w:rPr>
        <w:t>and licensure risk</w:t>
      </w:r>
    </w:p>
    <w:p w14:paraId="6F6CD806" w14:textId="43827E23" w:rsidR="001003EB" w:rsidRDefault="001003EB" w:rsidP="00D05E5F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003EB">
        <w:rPr>
          <w:rFonts w:ascii="Arial" w:hAnsi="Arial" w:cs="Arial"/>
          <w:color w:val="222222"/>
        </w:rPr>
        <w:t>Outline practical steps for obtaining legal, professional and emotional support</w:t>
      </w:r>
      <w:r>
        <w:rPr>
          <w:rFonts w:ascii="Arial" w:hAnsi="Arial" w:cs="Arial"/>
          <w:color w:val="222222"/>
        </w:rPr>
        <w:t xml:space="preserve"> </w:t>
      </w:r>
      <w:r w:rsidRPr="001003EB">
        <w:rPr>
          <w:rFonts w:ascii="Arial" w:hAnsi="Arial" w:cs="Arial"/>
          <w:color w:val="222222"/>
        </w:rPr>
        <w:t>when facing complaints, workplace adversity or regulatory investigatio</w:t>
      </w:r>
      <w:r w:rsidR="00E95699">
        <w:rPr>
          <w:rFonts w:ascii="Arial" w:hAnsi="Arial" w:cs="Arial"/>
          <w:color w:val="222222"/>
        </w:rPr>
        <w:t>n</w:t>
      </w:r>
    </w:p>
    <w:p w14:paraId="2BEE0564" w14:textId="17D824B1" w:rsidR="001003EB" w:rsidRPr="001003EB" w:rsidRDefault="001003EB" w:rsidP="001003EB">
      <w:pPr>
        <w:pStyle w:val="NormalWeb"/>
        <w:shd w:val="clear" w:color="auto" w:fill="FFFFFF"/>
        <w:spacing w:line="276" w:lineRule="atLeast"/>
        <w:rPr>
          <w:rFonts w:ascii="Arial" w:hAnsi="Arial" w:cs="Arial"/>
          <w:color w:val="222222"/>
        </w:rPr>
      </w:pPr>
      <w:r w:rsidRPr="001003EB">
        <w:rPr>
          <w:rFonts w:ascii="Arial" w:hAnsi="Arial" w:cs="Arial"/>
          <w:color w:val="222222"/>
        </w:rPr>
        <w:t>Apply resilience-building and identity-preserving strategies to navigate</w:t>
      </w:r>
      <w:r>
        <w:rPr>
          <w:rFonts w:ascii="Arial" w:hAnsi="Arial" w:cs="Arial"/>
          <w:color w:val="222222"/>
        </w:rPr>
        <w:t xml:space="preserve"> </w:t>
      </w:r>
      <w:r w:rsidRPr="001003EB">
        <w:rPr>
          <w:rFonts w:ascii="Arial" w:hAnsi="Arial" w:cs="Arial"/>
          <w:color w:val="222222"/>
        </w:rPr>
        <w:t>professional hardship, foster career sustainability and promote long-term well-being in critical care nursing</w:t>
      </w:r>
    </w:p>
    <w:p w14:paraId="1BF6EBD3" w14:textId="77777777" w:rsidR="00BD06CE" w:rsidRPr="00BD06CE" w:rsidRDefault="00BD06CE" w:rsidP="00BD06CE">
      <w:pPr>
        <w:pStyle w:val="NormalWeb"/>
        <w:shd w:val="clear" w:color="auto" w:fill="FFFFFF"/>
        <w:spacing w:before="0" w:beforeAutospacing="0" w:after="160" w:afterAutospacing="0" w:line="276" w:lineRule="atLeast"/>
        <w:rPr>
          <w:rFonts w:ascii="Arial" w:hAnsi="Arial" w:cs="Arial"/>
        </w:rPr>
      </w:pPr>
    </w:p>
    <w:sectPr w:rsidR="00BD06CE" w:rsidRPr="00BD06CE" w:rsidSect="00D05E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823EF"/>
    <w:multiLevelType w:val="multilevel"/>
    <w:tmpl w:val="816ED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82B2B"/>
    <w:multiLevelType w:val="multilevel"/>
    <w:tmpl w:val="89DC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FB1D02"/>
    <w:multiLevelType w:val="multilevel"/>
    <w:tmpl w:val="2E6C4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276286">
    <w:abstractNumId w:val="0"/>
  </w:num>
  <w:num w:numId="2" w16cid:durableId="1026058375">
    <w:abstractNumId w:val="2"/>
  </w:num>
  <w:num w:numId="3" w16cid:durableId="1101411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A1"/>
    <w:rsid w:val="001003EB"/>
    <w:rsid w:val="00105117"/>
    <w:rsid w:val="00122E8A"/>
    <w:rsid w:val="002F7243"/>
    <w:rsid w:val="004921A5"/>
    <w:rsid w:val="009875A1"/>
    <w:rsid w:val="00BD06CE"/>
    <w:rsid w:val="00D05E5F"/>
    <w:rsid w:val="00DE2EEF"/>
    <w:rsid w:val="00E9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4DCA8"/>
  <w15:chartTrackingRefBased/>
  <w15:docId w15:val="{3106A351-5245-4B2C-9148-60051FB3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7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5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5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5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5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5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5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5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5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5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5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5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87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Charlene Burd</dc:creator>
  <cp:keywords/>
  <dc:description/>
  <cp:lastModifiedBy>Charlene Burd</cp:lastModifiedBy>
  <cp:revision>1</cp:revision>
  <dcterms:created xsi:type="dcterms:W3CDTF">2026-10-18T11:39:00Z</dcterms:created>
  <dcterms:modified xsi:type="dcterms:W3CDTF">2026-10-18T12:54:00Z</dcterms:modified>
</cp:coreProperties>
</file>