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Education</w:t>
      </w:r>
    </w:p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</w:t>
      </w:r>
      <w:bookmarkStart w:id="0" w:name="_GoBack"/>
      <w:bookmarkEnd w:id="0"/>
      <w:r>
        <w:rPr>
          <w:rFonts w:ascii="Tahoma" w:hAnsi="Tahoma" w:cs="Tahoma"/>
          <w:color w:val="333333"/>
          <w:sz w:val="20"/>
          <w:szCs w:val="20"/>
        </w:rPr>
        <w:t>   Individual scholarships for doctorate, masters, bachelors, and associate levels!</w:t>
      </w:r>
    </w:p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   Conference scholarships pay registration costs of the 9th Annual HPNA Clinical Practice Forum this fall.</w:t>
      </w:r>
    </w:p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   For ELNEC (End-of-Life Nursing Education Consortium) courses in collaboration with HPNA, includes registration and travel. NEW!</w:t>
      </w:r>
    </w:p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   HPNA Chapter Grants for specific projects.</w:t>
      </w:r>
    </w:p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   For HPNA/NHPCO/AAHPM Virtual Program, Clinical Advances in the Art and Science of Care, July 21-23, includes registration and CE's. NEW!</w:t>
      </w:r>
    </w:p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Certification</w:t>
      </w:r>
    </w:p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   For both certification AND recertification costs through Hospice and Palliative Credentialing Center (HPCC), with 70 additional scholarships added. NEW!</w:t>
      </w:r>
    </w:p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   For certification review courses, ACHPN &amp; CHPN, includes course registration and travel to the HPNA Clinical Practice Forum. NEW!</w:t>
      </w:r>
    </w:p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Leadership</w:t>
      </w:r>
    </w:p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   PDIA (Public Death in America) Nursing Leadership Award in Palliative Care</w:t>
      </w:r>
    </w:p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Research</w:t>
      </w:r>
    </w:p>
    <w:p w:rsidR="00CD5CA2" w:rsidRDefault="00CD5CA2" w:rsidP="00CD5CA2">
      <w:pPr>
        <w:pStyle w:val="NormalWeb"/>
        <w:spacing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   Certification Research Grant for up to $15,000</w:t>
      </w:r>
    </w:p>
    <w:p w:rsidR="0020512E" w:rsidRDefault="0020512E"/>
    <w:sectPr w:rsidR="00205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A2"/>
    <w:rsid w:val="0020512E"/>
    <w:rsid w:val="00C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92B6D-258F-48E6-9755-BCCDBDF3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CA2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44721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jurek</dc:creator>
  <cp:keywords/>
  <dc:description/>
  <cp:lastModifiedBy>mary ann jurek</cp:lastModifiedBy>
  <cp:revision>1</cp:revision>
  <dcterms:created xsi:type="dcterms:W3CDTF">2015-05-06T00:49:00Z</dcterms:created>
  <dcterms:modified xsi:type="dcterms:W3CDTF">2015-05-06T00:50:00Z</dcterms:modified>
</cp:coreProperties>
</file>