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🌟 GRAFL AACN Annual Awards &amp; Scholarships 🌟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Applications Due: March 13, 2026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Greater Rochester Area Finger Lakes (GRAFL) Chapter of AACN is excited to recognize and support our incredible acute and critical care nurses through the following annual awards and scholarships:</w:t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The Liz Hulme Longevity at the Bedside Award </w:t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Who: Recognizes Critical Care &amp; Acute Care Nurses of GRAFL AACN who have remained at the bedside and consistently provide exceptional patient care.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What: Recognition and $100 award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The Margaret Ecklund Spirit of Nursing Award  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Who: Presented annually to a GRAFL member who embodies the spirit of nursing through </w:t>
      </w:r>
      <w:r w:rsidDel="00000000" w:rsidR="00000000" w:rsidRPr="00000000">
        <w:rPr>
          <w:b w:val="1"/>
          <w:bCs w:val="1"/>
          <w:rtl w:val="0"/>
        </w:rPr>
        <w:t xml:space="preserve">compassion, leadership, mentorship, and enthusiasm</w:t>
      </w:r>
      <w:r w:rsidDel="00000000" w:rsidR="00000000" w:rsidRPr="00000000">
        <w:rPr>
          <w:rtl w:val="0"/>
        </w:rPr>
        <w:t xml:space="preserve">, while demonstrating dedication to acute &amp; critical care nursing, the GRAFL chapter, and meaningful contributions to patient care in our region. 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What: Recognition and $250 award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Paula Pitnell NTI Scholarship </w:t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Who: Recognizes Critical Care Nurses of GRAFL AACN who are dedicated to the nursing profession, GRAFL, and AACN.</w:t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What: $1000 will be reimbursed.</w:t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Virtual NTI Attendee Scholarship </w:t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Who: Critical Care Nurses of GRAFL AACN interested in attending the virtual NTI conference to learn, network, and grow their passion for critical care.</w:t>
        <w:br w:type="textWrapping"/>
        <w:t xml:space="preserve">What: Registration will be reimbursed. (Covers $415 registration)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Certification Class Scholarship </w:t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Who: GRAFL AACN members pursuing specialty certification.</w:t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What: Reimbursement for the cost of the AACN certification course. Courses are around $159 for members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📌 How to Apply</w:t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 Full details and applications are available on Nursing Network</w:t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 Questions? Email us at graflaacn@gmail.com</w:t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📨 Submission Process: All applications and nominations will be submitted to Becky Norby at Rebecca_Norby@URMC.rochester.edu</w:t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This ensures applications are de-identified so all GRAFL board members can evaluate them fairly.</w:t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🗓 Application Deadline: March 13, 2026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633F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633F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633F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633F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633F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633F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633F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633F4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633F4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633F4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633F4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633F4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633F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9633F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633F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633F4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633F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9633F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633F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633F4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633F4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Lanr5xtRZ0trnyMLYm4koAOi5A==">CgMxLjA4AHIhMVZROEIwTHcyRlc1WHllYkhfcjV6QmJ1WXlObUhpVjVv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2026-02-03T21:49:00Z</dcterms:created>
  <dc:creator>Lindsay, Benjamin C</dc:creator>
</cp:coreProperties>
</file>