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2C33" w14:textId="77777777" w:rsidR="00C46B49" w:rsidRDefault="00C46B4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68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3840"/>
      </w:tblGrid>
      <w:tr w:rsidR="00C46B49" w14:paraId="5F315AED" w14:textId="77777777">
        <w:trPr>
          <w:trHeight w:val="375"/>
        </w:trPr>
        <w:tc>
          <w:tcPr>
            <w:tcW w:w="68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866730" w14:textId="77777777" w:rsidR="00C46B49" w:rsidRDefault="00000000">
            <w:pPr>
              <w:widowControl w:val="0"/>
              <w:jc w:val="center"/>
              <w:rPr>
                <w:color w:val="4F81BD"/>
                <w:sz w:val="20"/>
                <w:szCs w:val="20"/>
              </w:rPr>
            </w:pPr>
            <w:r>
              <w:rPr>
                <w:b/>
                <w:color w:val="4F81BD"/>
                <w:sz w:val="20"/>
                <w:szCs w:val="20"/>
              </w:rPr>
              <w:t xml:space="preserve">REGISTRATION FEES- Early Bird before September 5th, </w:t>
            </w:r>
            <w:proofErr w:type="gramStart"/>
            <w:r>
              <w:rPr>
                <w:b/>
                <w:color w:val="4F81BD"/>
                <w:sz w:val="20"/>
                <w:szCs w:val="20"/>
              </w:rPr>
              <w:t>2025</w:t>
            </w:r>
            <w:proofErr w:type="gramEnd"/>
            <w:r>
              <w:rPr>
                <w:b/>
                <w:color w:val="4F81BD"/>
                <w:sz w:val="20"/>
                <w:szCs w:val="20"/>
              </w:rPr>
              <w:t xml:space="preserve"> midnight</w:t>
            </w:r>
          </w:p>
        </w:tc>
      </w:tr>
      <w:tr w:rsidR="00C46B49" w14:paraId="5F595E0D" w14:textId="77777777">
        <w:trPr>
          <w:trHeight w:val="555"/>
        </w:trPr>
        <w:tc>
          <w:tcPr>
            <w:tcW w:w="150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7A22AC" w14:textId="77777777" w:rsidR="00C46B49" w:rsidRDefault="00C46B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90DB86" w14:textId="77777777" w:rsidR="00C46B49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 &amp; Sunday Nurse</w:t>
            </w:r>
          </w:p>
        </w:tc>
        <w:tc>
          <w:tcPr>
            <w:tcW w:w="384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2A8F9" w14:textId="77777777" w:rsidR="00C46B49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 Only Nurse</w:t>
            </w:r>
          </w:p>
        </w:tc>
      </w:tr>
      <w:tr w:rsidR="00C46B49" w14:paraId="0D1AA973" w14:textId="77777777">
        <w:trPr>
          <w:trHeight w:val="330"/>
        </w:trPr>
        <w:tc>
          <w:tcPr>
            <w:tcW w:w="150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7A13D5" w14:textId="77777777" w:rsidR="00C46B4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579691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$195.00</w:t>
            </w:r>
          </w:p>
        </w:tc>
        <w:tc>
          <w:tcPr>
            <w:tcW w:w="384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37F764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$160.00</w:t>
            </w:r>
          </w:p>
        </w:tc>
      </w:tr>
      <w:tr w:rsidR="00C46B49" w14:paraId="29DDB35C" w14:textId="77777777">
        <w:trPr>
          <w:trHeight w:val="330"/>
        </w:trPr>
        <w:tc>
          <w:tcPr>
            <w:tcW w:w="150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E34664" w14:textId="77777777" w:rsidR="00C46B49" w:rsidRDefault="00000000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Non Member</w:t>
            </w:r>
            <w:proofErr w:type="gram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104B35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$275.00</w:t>
            </w:r>
          </w:p>
        </w:tc>
        <w:tc>
          <w:tcPr>
            <w:tcW w:w="384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222B23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$235.00</w:t>
            </w:r>
          </w:p>
        </w:tc>
      </w:tr>
      <w:tr w:rsidR="00C46B49" w14:paraId="18C22EF7" w14:textId="77777777">
        <w:trPr>
          <w:trHeight w:val="1005"/>
        </w:trPr>
        <w:tc>
          <w:tcPr>
            <w:tcW w:w="150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369B80" w14:textId="77777777" w:rsidR="00C46B49" w:rsidRDefault="00C46B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F8577C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 &amp; Sunday Tech/ Nursing/ Student</w:t>
            </w:r>
          </w:p>
        </w:tc>
        <w:tc>
          <w:tcPr>
            <w:tcW w:w="384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413605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 Only Tech/ Nursing/ Student</w:t>
            </w:r>
          </w:p>
        </w:tc>
      </w:tr>
      <w:tr w:rsidR="00C46B49" w14:paraId="0369A000" w14:textId="77777777">
        <w:trPr>
          <w:trHeight w:val="330"/>
        </w:trPr>
        <w:tc>
          <w:tcPr>
            <w:tcW w:w="150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9088B4" w14:textId="77777777" w:rsidR="00C46B49" w:rsidRDefault="00C46B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94C76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$195.00</w:t>
            </w:r>
          </w:p>
        </w:tc>
        <w:tc>
          <w:tcPr>
            <w:tcW w:w="384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73A6F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$160.00</w:t>
            </w:r>
          </w:p>
        </w:tc>
      </w:tr>
    </w:tbl>
    <w:p w14:paraId="062BD427" w14:textId="77777777" w:rsidR="00C46B49" w:rsidRDefault="00C46B4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68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3840"/>
      </w:tblGrid>
      <w:tr w:rsidR="00C46B49" w14:paraId="13DE62AF" w14:textId="77777777">
        <w:trPr>
          <w:trHeight w:val="330"/>
        </w:trPr>
        <w:tc>
          <w:tcPr>
            <w:tcW w:w="68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769FD4" w14:textId="77777777" w:rsidR="00C46B49" w:rsidRDefault="00000000">
            <w:pPr>
              <w:widowControl w:val="0"/>
              <w:jc w:val="center"/>
              <w:rPr>
                <w:color w:val="4F81BD"/>
                <w:sz w:val="20"/>
                <w:szCs w:val="20"/>
              </w:rPr>
            </w:pPr>
            <w:r>
              <w:rPr>
                <w:b/>
                <w:color w:val="4F81BD"/>
                <w:sz w:val="20"/>
                <w:szCs w:val="20"/>
              </w:rPr>
              <w:t>REGISTRATION FEES- After September 5th, 2025</w:t>
            </w:r>
          </w:p>
        </w:tc>
      </w:tr>
      <w:tr w:rsidR="00C46B49" w14:paraId="4C0A908D" w14:textId="77777777">
        <w:trPr>
          <w:trHeight w:val="555"/>
        </w:trPr>
        <w:tc>
          <w:tcPr>
            <w:tcW w:w="150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7C7ECF" w14:textId="77777777" w:rsidR="00C46B49" w:rsidRDefault="00C46B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99D9F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 &amp; Sunday Nurse</w:t>
            </w:r>
          </w:p>
        </w:tc>
        <w:tc>
          <w:tcPr>
            <w:tcW w:w="384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0AF1D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 Only Nurse</w:t>
            </w:r>
          </w:p>
        </w:tc>
      </w:tr>
      <w:tr w:rsidR="00C46B49" w14:paraId="2597F702" w14:textId="77777777">
        <w:trPr>
          <w:trHeight w:val="330"/>
        </w:trPr>
        <w:tc>
          <w:tcPr>
            <w:tcW w:w="150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840B9" w14:textId="77777777" w:rsidR="00C46B4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7C854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$220.00</w:t>
            </w:r>
          </w:p>
        </w:tc>
        <w:tc>
          <w:tcPr>
            <w:tcW w:w="384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D3786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$185.00</w:t>
            </w:r>
          </w:p>
        </w:tc>
      </w:tr>
      <w:tr w:rsidR="00C46B49" w14:paraId="0485E5B4" w14:textId="77777777">
        <w:trPr>
          <w:trHeight w:val="330"/>
        </w:trPr>
        <w:tc>
          <w:tcPr>
            <w:tcW w:w="150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EBCDB5" w14:textId="77777777" w:rsidR="00C46B49" w:rsidRDefault="00000000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Non Member</w:t>
            </w:r>
            <w:proofErr w:type="gramEnd"/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3F8B9E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$300.00</w:t>
            </w:r>
          </w:p>
        </w:tc>
        <w:tc>
          <w:tcPr>
            <w:tcW w:w="384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DC17B2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$260.00</w:t>
            </w:r>
          </w:p>
        </w:tc>
      </w:tr>
      <w:tr w:rsidR="00C46B49" w14:paraId="2B2B6CAE" w14:textId="77777777">
        <w:trPr>
          <w:trHeight w:val="1005"/>
        </w:trPr>
        <w:tc>
          <w:tcPr>
            <w:tcW w:w="150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9DC4C" w14:textId="77777777" w:rsidR="00C46B49" w:rsidRDefault="00C46B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5020A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 &amp; Sunday Tech/ Nursing/ Student</w:t>
            </w:r>
          </w:p>
        </w:tc>
        <w:tc>
          <w:tcPr>
            <w:tcW w:w="384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BF67A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 Only Tech/ Nursing/ Student</w:t>
            </w:r>
          </w:p>
        </w:tc>
      </w:tr>
      <w:tr w:rsidR="00C46B49" w14:paraId="15ADB33C" w14:textId="77777777">
        <w:trPr>
          <w:trHeight w:val="330"/>
        </w:trPr>
        <w:tc>
          <w:tcPr>
            <w:tcW w:w="1500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F51831" w14:textId="77777777" w:rsidR="00C46B49" w:rsidRDefault="00C46B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ADE67E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$210.00</w:t>
            </w:r>
          </w:p>
        </w:tc>
        <w:tc>
          <w:tcPr>
            <w:tcW w:w="384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704FAE" w14:textId="77777777" w:rsidR="00C46B49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$175.00</w:t>
            </w:r>
          </w:p>
        </w:tc>
      </w:tr>
    </w:tbl>
    <w:p w14:paraId="43C1C34A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rPr>
          <w:rFonts w:ascii="Calibri" w:eastAsia="Calibri" w:hAnsi="Calibri" w:cs="Calibri"/>
          <w:color w:val="668EB5"/>
          <w:sz w:val="20"/>
          <w:szCs w:val="20"/>
        </w:rPr>
      </w:pPr>
      <w:r>
        <w:rPr>
          <w:rFonts w:ascii="Calibri" w:eastAsia="Calibri" w:hAnsi="Calibri" w:cs="Calibri"/>
          <w:b/>
          <w:color w:val="212120"/>
          <w:sz w:val="20"/>
          <w:szCs w:val="20"/>
          <w:u w:val="single"/>
        </w:rPr>
        <w:t>Refunds for Conference</w:t>
      </w:r>
      <w:r>
        <w:rPr>
          <w:rFonts w:ascii="Calibri" w:eastAsia="Calibri" w:hAnsi="Calibri" w:cs="Calibri"/>
          <w:b/>
          <w:color w:val="212120"/>
          <w:sz w:val="20"/>
          <w:szCs w:val="20"/>
        </w:rPr>
        <w:t xml:space="preserve">: </w:t>
      </w:r>
      <w:r>
        <w:rPr>
          <w:rFonts w:ascii="Calibri" w:eastAsia="Calibri" w:hAnsi="Calibri" w:cs="Calibri"/>
          <w:color w:val="212120"/>
          <w:sz w:val="20"/>
          <w:szCs w:val="20"/>
        </w:rPr>
        <w:t xml:space="preserve">All refunds will have a $50.00 processing fee.  No refund are issued after Sept.20, 2025 </w:t>
      </w:r>
      <w:r>
        <w:rPr>
          <w:rFonts w:ascii="Calibri" w:eastAsia="Calibri" w:hAnsi="Calibri" w:cs="Calibri"/>
          <w:b/>
          <w:i/>
          <w:color w:val="212120"/>
          <w:sz w:val="20"/>
          <w:szCs w:val="20"/>
        </w:rPr>
        <w:t xml:space="preserve">All refunds must be requested by email </w:t>
      </w:r>
      <w:proofErr w:type="gramStart"/>
      <w:r>
        <w:rPr>
          <w:rFonts w:ascii="Calibri" w:eastAsia="Calibri" w:hAnsi="Calibri" w:cs="Calibri"/>
          <w:color w:val="212120"/>
          <w:sz w:val="20"/>
          <w:szCs w:val="20"/>
        </w:rPr>
        <w:t xml:space="preserve">to  </w:t>
      </w:r>
      <w:r>
        <w:rPr>
          <w:rFonts w:ascii="Calibri" w:eastAsia="Calibri" w:hAnsi="Calibri" w:cs="Calibri"/>
          <w:color w:val="668EB5"/>
          <w:sz w:val="20"/>
          <w:szCs w:val="20"/>
        </w:rPr>
        <w:t>mnsgna@gmail.com</w:t>
      </w:r>
      <w:proofErr w:type="gramEnd"/>
      <w:r>
        <w:rPr>
          <w:rFonts w:ascii="Calibri" w:eastAsia="Calibri" w:hAnsi="Calibri" w:cs="Calibri"/>
          <w:color w:val="668EB5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668EB5"/>
          <w:sz w:val="20"/>
          <w:szCs w:val="20"/>
        </w:rPr>
        <w:tab/>
      </w:r>
    </w:p>
    <w:p w14:paraId="7B6DB416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18" w:lineRule="auto"/>
        <w:rPr>
          <w:rFonts w:ascii="Calibri" w:eastAsia="Calibri" w:hAnsi="Calibri" w:cs="Calibri"/>
          <w:color w:val="212120"/>
          <w:sz w:val="18"/>
          <w:szCs w:val="18"/>
        </w:rPr>
      </w:pPr>
      <w:r>
        <w:rPr>
          <w:rFonts w:ascii="Calibri" w:eastAsia="Calibri" w:hAnsi="Calibri" w:cs="Calibri"/>
          <w:b/>
          <w:color w:val="212120"/>
          <w:sz w:val="20"/>
          <w:szCs w:val="20"/>
          <w:u w:val="single"/>
        </w:rPr>
        <w:t>Target Audience</w:t>
      </w:r>
      <w:r>
        <w:rPr>
          <w:rFonts w:ascii="Calibri" w:eastAsia="Calibri" w:hAnsi="Calibri" w:cs="Calibri"/>
          <w:b/>
          <w:color w:val="212120"/>
          <w:sz w:val="18"/>
          <w:szCs w:val="18"/>
        </w:rPr>
        <w:t xml:space="preserve">: </w:t>
      </w:r>
      <w:r>
        <w:rPr>
          <w:rFonts w:ascii="Calibri" w:eastAsia="Calibri" w:hAnsi="Calibri" w:cs="Calibri"/>
          <w:color w:val="212120"/>
          <w:sz w:val="18"/>
          <w:szCs w:val="18"/>
        </w:rPr>
        <w:t xml:space="preserve">MNSGNA's annual educational course is sponsored by and intended </w:t>
      </w:r>
      <w:proofErr w:type="gramStart"/>
      <w:r>
        <w:rPr>
          <w:rFonts w:ascii="Calibri" w:eastAsia="Calibri" w:hAnsi="Calibri" w:cs="Calibri"/>
          <w:color w:val="212120"/>
          <w:sz w:val="18"/>
          <w:szCs w:val="18"/>
        </w:rPr>
        <w:t>for  Gastroenterology</w:t>
      </w:r>
      <w:proofErr w:type="gramEnd"/>
      <w:r>
        <w:rPr>
          <w:rFonts w:ascii="Calibri" w:eastAsia="Calibri" w:hAnsi="Calibri" w:cs="Calibri"/>
          <w:color w:val="212120"/>
          <w:sz w:val="18"/>
          <w:szCs w:val="18"/>
        </w:rPr>
        <w:t xml:space="preserve"> Nurses and Associates and will provide clinically relevant Information to all  healthcare professionals about various disorders of the GI tract.  </w:t>
      </w:r>
    </w:p>
    <w:p w14:paraId="3AA2B7C3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rPr>
          <w:rFonts w:ascii="Calibri" w:eastAsia="Calibri" w:hAnsi="Calibri" w:cs="Calibri"/>
          <w:color w:val="21212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Hotel Reservations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563C1"/>
        </w:rPr>
        <w:t xml:space="preserve">https://group.hiltongardeninn.com/ki8nb1 </w:t>
      </w:r>
      <w:r>
        <w:rPr>
          <w:rFonts w:ascii="Calibri" w:eastAsia="Calibri" w:hAnsi="Calibri" w:cs="Calibri"/>
          <w:color w:val="212120"/>
          <w:sz w:val="20"/>
          <w:szCs w:val="20"/>
        </w:rPr>
        <w:t xml:space="preserve">Reservation information for the Fall </w:t>
      </w:r>
      <w:proofErr w:type="spellStart"/>
      <w:r>
        <w:rPr>
          <w:rFonts w:ascii="Calibri" w:eastAsia="Calibri" w:hAnsi="Calibri" w:cs="Calibri"/>
          <w:color w:val="212120"/>
          <w:sz w:val="20"/>
          <w:szCs w:val="20"/>
        </w:rPr>
        <w:t>MnSGNA</w:t>
      </w:r>
      <w:proofErr w:type="spellEnd"/>
      <w:r>
        <w:rPr>
          <w:rFonts w:ascii="Calibri" w:eastAsia="Calibri" w:hAnsi="Calibri" w:cs="Calibri"/>
          <w:color w:val="212120"/>
          <w:sz w:val="20"/>
          <w:szCs w:val="20"/>
        </w:rPr>
        <w:t xml:space="preserve"> Conference  </w:t>
      </w:r>
    </w:p>
    <w:p w14:paraId="0F7092C7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color w:val="212120"/>
          <w:sz w:val="20"/>
          <w:szCs w:val="20"/>
        </w:rPr>
      </w:pPr>
      <w:r>
        <w:rPr>
          <w:rFonts w:ascii="Calibri" w:eastAsia="Calibri" w:hAnsi="Calibri" w:cs="Calibri"/>
          <w:color w:val="212120"/>
          <w:sz w:val="20"/>
          <w:szCs w:val="20"/>
        </w:rPr>
        <w:t xml:space="preserve">Hilton Garden Inn  </w:t>
      </w:r>
    </w:p>
    <w:p w14:paraId="6CBB9516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rFonts w:ascii="Calibri" w:eastAsia="Calibri" w:hAnsi="Calibri" w:cs="Calibri"/>
          <w:color w:val="212120"/>
          <w:sz w:val="20"/>
          <w:szCs w:val="20"/>
        </w:rPr>
      </w:pPr>
      <w:r>
        <w:rPr>
          <w:rFonts w:ascii="Calibri" w:eastAsia="Calibri" w:hAnsi="Calibri" w:cs="Calibri"/>
          <w:color w:val="212120"/>
          <w:sz w:val="20"/>
          <w:szCs w:val="20"/>
        </w:rPr>
        <w:t xml:space="preserve">550 Division St Waite Park, MN  </w:t>
      </w:r>
    </w:p>
    <w:p w14:paraId="7353610E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29" w:lineRule="auto"/>
        <w:rPr>
          <w:rFonts w:ascii="Calibri" w:eastAsia="Calibri" w:hAnsi="Calibri" w:cs="Calibri"/>
          <w:b/>
          <w:color w:val="212120"/>
          <w:sz w:val="20"/>
          <w:szCs w:val="20"/>
        </w:rPr>
      </w:pPr>
      <w:r>
        <w:rPr>
          <w:rFonts w:ascii="Calibri" w:eastAsia="Calibri" w:hAnsi="Calibri" w:cs="Calibri"/>
          <w:color w:val="212120"/>
          <w:sz w:val="20"/>
          <w:szCs w:val="20"/>
        </w:rPr>
        <w:t xml:space="preserve">Hilton Garden Inn 320- 640-7990 mention MNSGNA, deadline date </w:t>
      </w:r>
      <w:proofErr w:type="gramStart"/>
      <w:r>
        <w:rPr>
          <w:rFonts w:ascii="Calibri" w:eastAsia="Calibri" w:hAnsi="Calibri" w:cs="Calibri"/>
          <w:color w:val="212120"/>
          <w:sz w:val="20"/>
          <w:szCs w:val="20"/>
        </w:rPr>
        <w:t>for  room</w:t>
      </w:r>
      <w:proofErr w:type="gramEnd"/>
      <w:r>
        <w:rPr>
          <w:rFonts w:ascii="Calibri" w:eastAsia="Calibri" w:hAnsi="Calibri" w:cs="Calibri"/>
          <w:color w:val="212120"/>
          <w:sz w:val="20"/>
          <w:szCs w:val="20"/>
        </w:rPr>
        <w:t xml:space="preserve"> reservations is </w:t>
      </w:r>
      <w:r>
        <w:rPr>
          <w:rFonts w:ascii="Calibri" w:eastAsia="Calibri" w:hAnsi="Calibri" w:cs="Calibri"/>
          <w:b/>
          <w:color w:val="212120"/>
          <w:sz w:val="20"/>
          <w:szCs w:val="20"/>
        </w:rPr>
        <w:t xml:space="preserve">September 3th  </w:t>
      </w:r>
    </w:p>
    <w:p w14:paraId="60BF3DDC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343537"/>
          <w:sz w:val="28"/>
          <w:szCs w:val="28"/>
          <w:u w:val="single"/>
        </w:rPr>
        <w:t xml:space="preserve">Dietary Requirements </w:t>
      </w:r>
      <w:r>
        <w:rPr>
          <w:rFonts w:ascii="Calibri" w:eastAsia="Calibri" w:hAnsi="Calibri" w:cs="Calibri"/>
          <w:color w:val="343537"/>
          <w:sz w:val="20"/>
          <w:szCs w:val="20"/>
        </w:rPr>
        <w:t xml:space="preserve">Please email; </w:t>
      </w:r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 xml:space="preserve">mnsgna@gmail.com </w:t>
      </w:r>
    </w:p>
    <w:p w14:paraId="23B510CB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Calibri" w:eastAsia="Calibri" w:hAnsi="Calibri" w:cs="Calibri"/>
          <w:color w:val="343537"/>
          <w:sz w:val="20"/>
          <w:szCs w:val="20"/>
        </w:rPr>
      </w:pPr>
      <w:r>
        <w:rPr>
          <w:rFonts w:ascii="Calibri" w:eastAsia="Calibri" w:hAnsi="Calibri" w:cs="Calibri"/>
          <w:color w:val="343537"/>
          <w:sz w:val="20"/>
          <w:szCs w:val="20"/>
        </w:rPr>
        <w:t xml:space="preserve">before September 20th, if you have dietary </w:t>
      </w:r>
      <w:proofErr w:type="gramStart"/>
      <w:r>
        <w:rPr>
          <w:rFonts w:ascii="Calibri" w:eastAsia="Calibri" w:hAnsi="Calibri" w:cs="Calibri"/>
          <w:color w:val="343537"/>
          <w:sz w:val="20"/>
          <w:szCs w:val="20"/>
        </w:rPr>
        <w:t>requirements</w:t>
      </w:r>
      <w:proofErr w:type="gramEnd"/>
      <w:r>
        <w:rPr>
          <w:rFonts w:ascii="Calibri" w:eastAsia="Calibri" w:hAnsi="Calibri" w:cs="Calibri"/>
          <w:color w:val="343537"/>
          <w:sz w:val="20"/>
          <w:szCs w:val="20"/>
        </w:rPr>
        <w:t xml:space="preserve">  </w:t>
      </w:r>
    </w:p>
    <w:p w14:paraId="7451F67D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21212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212120"/>
          <w:sz w:val="56"/>
          <w:szCs w:val="56"/>
        </w:rPr>
        <w:t xml:space="preserve">Fall Conference 2025 </w:t>
      </w:r>
    </w:p>
    <w:p w14:paraId="076A02D7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1" w:line="222" w:lineRule="auto"/>
        <w:ind w:firstLine="720"/>
        <w:jc w:val="center"/>
        <w:rPr>
          <w:rFonts w:ascii="Times New Roman" w:eastAsia="Times New Roman" w:hAnsi="Times New Roman" w:cs="Times New Roman"/>
          <w:color w:val="212120"/>
          <w:sz w:val="44"/>
          <w:szCs w:val="44"/>
        </w:rPr>
      </w:pPr>
      <w:r>
        <w:rPr>
          <w:rFonts w:ascii="Times New Roman" w:eastAsia="Times New Roman" w:hAnsi="Times New Roman" w:cs="Times New Roman"/>
          <w:color w:val="212120"/>
          <w:sz w:val="44"/>
          <w:szCs w:val="44"/>
        </w:rPr>
        <w:t>October 4</w:t>
      </w:r>
      <w:r>
        <w:rPr>
          <w:rFonts w:ascii="Times New Roman" w:eastAsia="Times New Roman" w:hAnsi="Times New Roman" w:cs="Times New Roman"/>
          <w:color w:val="212120"/>
          <w:sz w:val="48"/>
          <w:szCs w:val="48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color w:val="212120"/>
          <w:sz w:val="44"/>
          <w:szCs w:val="44"/>
        </w:rPr>
        <w:t>&amp; 5</w:t>
      </w:r>
      <w:r>
        <w:rPr>
          <w:rFonts w:ascii="Times New Roman" w:eastAsia="Times New Roman" w:hAnsi="Times New Roman" w:cs="Times New Roman"/>
          <w:color w:val="212120"/>
          <w:sz w:val="48"/>
          <w:szCs w:val="4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12120"/>
          <w:sz w:val="44"/>
          <w:szCs w:val="44"/>
        </w:rPr>
        <w:t xml:space="preserve">, 2025 </w:t>
      </w:r>
    </w:p>
    <w:p w14:paraId="08FB951A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1" w:line="222" w:lineRule="auto"/>
        <w:ind w:left="720" w:firstLine="720"/>
        <w:jc w:val="center"/>
        <w:rPr>
          <w:rFonts w:ascii="Times New Roman" w:eastAsia="Times New Roman" w:hAnsi="Times New Roman" w:cs="Times New Roman"/>
          <w:color w:val="212120"/>
          <w:sz w:val="44"/>
          <w:szCs w:val="44"/>
        </w:rPr>
      </w:pPr>
      <w:r>
        <w:rPr>
          <w:rFonts w:ascii="Times New Roman" w:eastAsia="Times New Roman" w:hAnsi="Times New Roman" w:cs="Times New Roman"/>
          <w:color w:val="212120"/>
          <w:sz w:val="44"/>
          <w:szCs w:val="44"/>
        </w:rPr>
        <w:t xml:space="preserve">Waite Park, MN </w:t>
      </w:r>
    </w:p>
    <w:p w14:paraId="3693B341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1" w:line="235" w:lineRule="auto"/>
        <w:jc w:val="center"/>
        <w:rPr>
          <w:rFonts w:ascii="Calibri" w:eastAsia="Calibri" w:hAnsi="Calibri" w:cs="Calibri"/>
          <w:color w:val="212120"/>
          <w:sz w:val="28"/>
          <w:szCs w:val="28"/>
        </w:rPr>
      </w:pPr>
      <w:r>
        <w:rPr>
          <w:rFonts w:ascii="Calibri" w:eastAsia="Calibri" w:hAnsi="Calibri" w:cs="Calibri"/>
          <w:noProof/>
          <w:color w:val="212120"/>
          <w:sz w:val="28"/>
          <w:szCs w:val="28"/>
        </w:rPr>
        <w:drawing>
          <wp:anchor distT="19050" distB="19050" distL="19050" distR="19050" simplePos="0" relativeHeight="251658240" behindDoc="0" locked="0" layoutInCell="1" hidden="0" allowOverlap="1" wp14:anchorId="1D84CCB1" wp14:editId="0AAD52DC">
            <wp:simplePos x="0" y="0"/>
            <wp:positionH relativeFrom="page">
              <wp:posOffset>6952044</wp:posOffset>
            </wp:positionH>
            <wp:positionV relativeFrom="page">
              <wp:posOffset>2384806</wp:posOffset>
            </wp:positionV>
            <wp:extent cx="1822831" cy="1524000"/>
            <wp:effectExtent l="0" t="0" r="0" b="0"/>
            <wp:wrapSquare wrapText="bothSides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831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508FEA" w14:textId="77777777" w:rsidR="00C46B49" w:rsidRDefault="00C46B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1" w:line="235" w:lineRule="auto"/>
        <w:ind w:left="1440" w:firstLine="720"/>
        <w:jc w:val="center"/>
        <w:rPr>
          <w:rFonts w:ascii="Calibri" w:eastAsia="Calibri" w:hAnsi="Calibri" w:cs="Calibri"/>
          <w:color w:val="212120"/>
          <w:sz w:val="28"/>
          <w:szCs w:val="28"/>
        </w:rPr>
      </w:pPr>
    </w:p>
    <w:p w14:paraId="3CADF2E7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1" w:line="235" w:lineRule="auto"/>
        <w:ind w:left="1440" w:firstLine="720"/>
        <w:jc w:val="center"/>
        <w:rPr>
          <w:rFonts w:ascii="Calibri" w:eastAsia="Calibri" w:hAnsi="Calibri" w:cs="Calibri"/>
          <w:color w:val="212120"/>
          <w:sz w:val="28"/>
          <w:szCs w:val="28"/>
        </w:rPr>
      </w:pPr>
      <w:r>
        <w:rPr>
          <w:rFonts w:ascii="Calibri" w:eastAsia="Calibri" w:hAnsi="Calibri" w:cs="Calibri"/>
          <w:color w:val="212120"/>
          <w:sz w:val="28"/>
          <w:szCs w:val="28"/>
        </w:rPr>
        <w:t>202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5 </w:t>
      </w:r>
      <w:r>
        <w:rPr>
          <w:rFonts w:ascii="Calibri" w:eastAsia="Calibri" w:hAnsi="Calibri" w:cs="Calibri"/>
          <w:color w:val="212120"/>
          <w:sz w:val="28"/>
          <w:szCs w:val="28"/>
        </w:rPr>
        <w:t xml:space="preserve">MNSGNA Board </w:t>
      </w:r>
      <w:proofErr w:type="gramStart"/>
      <w:r>
        <w:rPr>
          <w:rFonts w:ascii="Calibri" w:eastAsia="Calibri" w:hAnsi="Calibri" w:cs="Calibri"/>
          <w:color w:val="212120"/>
          <w:sz w:val="28"/>
          <w:szCs w:val="28"/>
        </w:rPr>
        <w:t xml:space="preserve">Members  </w:t>
      </w:r>
      <w:r>
        <w:rPr>
          <w:rFonts w:ascii="Calibri" w:eastAsia="Calibri" w:hAnsi="Calibri" w:cs="Calibri"/>
          <w:color w:val="212120"/>
          <w:sz w:val="28"/>
          <w:szCs w:val="28"/>
        </w:rPr>
        <w:tab/>
      </w:r>
      <w:proofErr w:type="gramEnd"/>
      <w:r>
        <w:rPr>
          <w:rFonts w:ascii="Calibri" w:eastAsia="Calibri" w:hAnsi="Calibri" w:cs="Calibri"/>
          <w:color w:val="212120"/>
          <w:sz w:val="28"/>
          <w:szCs w:val="28"/>
        </w:rPr>
        <w:t xml:space="preserve">Fall Planning Committee </w:t>
      </w:r>
    </w:p>
    <w:p w14:paraId="784C5B29" w14:textId="77777777" w:rsidR="00C46B49" w:rsidRDefault="00C46B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56" w:lineRule="auto"/>
        <w:rPr>
          <w:rFonts w:ascii="Calibri" w:eastAsia="Calibri" w:hAnsi="Calibri" w:cs="Calibri"/>
          <w:color w:val="212120"/>
        </w:rPr>
      </w:pPr>
    </w:p>
    <w:p w14:paraId="24522C88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56" w:lineRule="auto"/>
        <w:ind w:left="1440" w:firstLine="720"/>
        <w:rPr>
          <w:rFonts w:ascii="Calibri" w:eastAsia="Calibri" w:hAnsi="Calibri" w:cs="Calibri"/>
          <w:color w:val="212120"/>
        </w:rPr>
      </w:pPr>
      <w:r>
        <w:rPr>
          <w:rFonts w:ascii="Calibri" w:eastAsia="Calibri" w:hAnsi="Calibri" w:cs="Calibri"/>
          <w:color w:val="212120"/>
        </w:rPr>
        <w:t xml:space="preserve">Dena Walz, MSN, BSN, PHN, CGRN, President </w:t>
      </w:r>
    </w:p>
    <w:p w14:paraId="7F8321F6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56" w:lineRule="auto"/>
        <w:ind w:left="1440" w:firstLine="720"/>
        <w:rPr>
          <w:rFonts w:ascii="Calibri" w:eastAsia="Calibri" w:hAnsi="Calibri" w:cs="Calibri"/>
          <w:color w:val="212120"/>
        </w:rPr>
      </w:pPr>
      <w:r>
        <w:rPr>
          <w:rFonts w:ascii="Calibri" w:eastAsia="Calibri" w:hAnsi="Calibri" w:cs="Calibri"/>
          <w:color w:val="212120"/>
        </w:rPr>
        <w:t xml:space="preserve">Jill Bendiske-Minor, RN, BSN, President elect </w:t>
      </w:r>
    </w:p>
    <w:p w14:paraId="64BAE249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56" w:lineRule="auto"/>
        <w:ind w:left="1440" w:firstLine="720"/>
        <w:rPr>
          <w:rFonts w:ascii="Calibri" w:eastAsia="Calibri" w:hAnsi="Calibri" w:cs="Calibri"/>
          <w:color w:val="212120"/>
        </w:rPr>
      </w:pPr>
      <w:r>
        <w:rPr>
          <w:rFonts w:ascii="Calibri" w:eastAsia="Calibri" w:hAnsi="Calibri" w:cs="Calibri"/>
          <w:color w:val="212120"/>
        </w:rPr>
        <w:t xml:space="preserve">Karin </w:t>
      </w:r>
      <w:proofErr w:type="spellStart"/>
      <w:r>
        <w:rPr>
          <w:rFonts w:ascii="Calibri" w:eastAsia="Calibri" w:hAnsi="Calibri" w:cs="Calibri"/>
          <w:color w:val="212120"/>
        </w:rPr>
        <w:t>Cierzan</w:t>
      </w:r>
      <w:proofErr w:type="spellEnd"/>
      <w:r>
        <w:rPr>
          <w:rFonts w:ascii="Calibri" w:eastAsia="Calibri" w:hAnsi="Calibri" w:cs="Calibri"/>
          <w:color w:val="212120"/>
        </w:rPr>
        <w:t xml:space="preserve"> RN, CGRN, CRNI VA-BC, Secretary  </w:t>
      </w:r>
    </w:p>
    <w:p w14:paraId="7087F78A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56" w:lineRule="auto"/>
        <w:ind w:left="1440" w:firstLine="720"/>
        <w:rPr>
          <w:rFonts w:ascii="Calibri" w:eastAsia="Calibri" w:hAnsi="Calibri" w:cs="Calibri"/>
          <w:color w:val="212120"/>
        </w:rPr>
      </w:pPr>
      <w:proofErr w:type="spellStart"/>
      <w:r>
        <w:rPr>
          <w:rFonts w:ascii="Calibri" w:eastAsia="Calibri" w:hAnsi="Calibri" w:cs="Calibri"/>
          <w:color w:val="212120"/>
        </w:rPr>
        <w:t>Calie</w:t>
      </w:r>
      <w:proofErr w:type="spellEnd"/>
      <w:r>
        <w:rPr>
          <w:rFonts w:ascii="Calibri" w:eastAsia="Calibri" w:hAnsi="Calibri" w:cs="Calibri"/>
          <w:color w:val="212120"/>
        </w:rPr>
        <w:t xml:space="preserve"> Hanuman, RN, BSN, PHN, CGRN, Treasurer  </w:t>
      </w:r>
    </w:p>
    <w:p w14:paraId="2B304DFD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56" w:lineRule="auto"/>
        <w:ind w:left="1440" w:firstLine="720"/>
        <w:rPr>
          <w:rFonts w:ascii="Calibri" w:eastAsia="Calibri" w:hAnsi="Calibri" w:cs="Calibri"/>
          <w:color w:val="212120"/>
        </w:rPr>
      </w:pPr>
      <w:r>
        <w:rPr>
          <w:rFonts w:ascii="Calibri" w:eastAsia="Calibri" w:hAnsi="Calibri" w:cs="Calibri"/>
          <w:color w:val="212120"/>
        </w:rPr>
        <w:t xml:space="preserve">Karen Husted, RN, CGRN, Director </w:t>
      </w:r>
    </w:p>
    <w:p w14:paraId="772CA944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56" w:lineRule="auto"/>
        <w:ind w:left="1440" w:firstLine="720"/>
        <w:rPr>
          <w:rFonts w:ascii="Calibri" w:eastAsia="Calibri" w:hAnsi="Calibri" w:cs="Calibri"/>
          <w:color w:val="212120"/>
        </w:rPr>
      </w:pPr>
      <w:r>
        <w:rPr>
          <w:rFonts w:ascii="Calibri" w:eastAsia="Calibri" w:hAnsi="Calibri" w:cs="Calibri"/>
          <w:color w:val="212120"/>
        </w:rPr>
        <w:t xml:space="preserve">Ashely Parsons </w:t>
      </w:r>
      <w:proofErr w:type="spellStart"/>
      <w:r>
        <w:rPr>
          <w:rFonts w:ascii="Calibri" w:eastAsia="Calibri" w:hAnsi="Calibri" w:cs="Calibri"/>
          <w:color w:val="212120"/>
        </w:rPr>
        <w:t>Balma</w:t>
      </w:r>
      <w:proofErr w:type="spellEnd"/>
      <w:r>
        <w:rPr>
          <w:rFonts w:ascii="Calibri" w:eastAsia="Calibri" w:hAnsi="Calibri" w:cs="Calibri"/>
          <w:color w:val="212120"/>
        </w:rPr>
        <w:t xml:space="preserve">, RN, </w:t>
      </w:r>
      <w:proofErr w:type="gramStart"/>
      <w:r>
        <w:rPr>
          <w:rFonts w:ascii="Calibri" w:eastAsia="Calibri" w:hAnsi="Calibri" w:cs="Calibri"/>
          <w:color w:val="212120"/>
        </w:rPr>
        <w:t>BSN,PHN</w:t>
      </w:r>
      <w:proofErr w:type="gramEnd"/>
      <w:r>
        <w:rPr>
          <w:rFonts w:ascii="Calibri" w:eastAsia="Calibri" w:hAnsi="Calibri" w:cs="Calibri"/>
          <w:color w:val="212120"/>
        </w:rPr>
        <w:t xml:space="preserve"> Director </w:t>
      </w:r>
    </w:p>
    <w:p w14:paraId="0766850D" w14:textId="77777777" w:rsidR="00C46B4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56" w:lineRule="auto"/>
        <w:ind w:left="1440" w:firstLine="720"/>
        <w:rPr>
          <w:rFonts w:ascii="Calibri" w:eastAsia="Calibri" w:hAnsi="Calibri" w:cs="Calibri"/>
          <w:color w:val="212120"/>
        </w:rPr>
      </w:pPr>
      <w:r>
        <w:rPr>
          <w:rFonts w:ascii="Calibri" w:eastAsia="Calibri" w:hAnsi="Calibri" w:cs="Calibri"/>
          <w:color w:val="212120"/>
        </w:rPr>
        <w:t xml:space="preserve">Jenna </w:t>
      </w:r>
      <w:proofErr w:type="spellStart"/>
      <w:r>
        <w:rPr>
          <w:rFonts w:ascii="Calibri" w:eastAsia="Calibri" w:hAnsi="Calibri" w:cs="Calibri"/>
          <w:color w:val="212120"/>
        </w:rPr>
        <w:t>Rooda</w:t>
      </w:r>
      <w:proofErr w:type="spellEnd"/>
      <w:r>
        <w:rPr>
          <w:rFonts w:ascii="Calibri" w:eastAsia="Calibri" w:hAnsi="Calibri" w:cs="Calibri"/>
          <w:color w:val="212120"/>
        </w:rPr>
        <w:t>, RN, BSN, CGRN Director</w:t>
      </w:r>
    </w:p>
    <w:p w14:paraId="030AF435" w14:textId="77777777" w:rsidR="00C46B49" w:rsidRDefault="00C46B49">
      <w:pPr>
        <w:widowControl w:val="0"/>
        <w:spacing w:line="240" w:lineRule="auto"/>
        <w:ind w:left="379"/>
        <w:rPr>
          <w:rFonts w:ascii="Calibri" w:eastAsia="Calibri" w:hAnsi="Calibri" w:cs="Calibri"/>
          <w:color w:val="2F5496"/>
          <w:sz w:val="24"/>
          <w:szCs w:val="24"/>
        </w:rPr>
      </w:pPr>
    </w:p>
    <w:p w14:paraId="5647365F" w14:textId="77777777" w:rsidR="00C46B49" w:rsidRDefault="00C46B49">
      <w:pPr>
        <w:widowControl w:val="0"/>
        <w:spacing w:line="240" w:lineRule="auto"/>
        <w:ind w:left="379"/>
        <w:rPr>
          <w:rFonts w:ascii="Calibri" w:eastAsia="Calibri" w:hAnsi="Calibri" w:cs="Calibri"/>
          <w:color w:val="2F5496"/>
          <w:sz w:val="24"/>
          <w:szCs w:val="24"/>
        </w:rPr>
      </w:pPr>
    </w:p>
    <w:p w14:paraId="04FDBF4C" w14:textId="77777777" w:rsidR="00C46B49" w:rsidRDefault="00C46B49">
      <w:pPr>
        <w:widowControl w:val="0"/>
        <w:spacing w:line="240" w:lineRule="auto"/>
        <w:ind w:left="379"/>
        <w:rPr>
          <w:rFonts w:ascii="Calibri" w:eastAsia="Calibri" w:hAnsi="Calibri" w:cs="Calibri"/>
          <w:color w:val="2F5496"/>
          <w:sz w:val="24"/>
          <w:szCs w:val="24"/>
        </w:rPr>
      </w:pPr>
    </w:p>
    <w:p w14:paraId="15A0767E" w14:textId="77777777" w:rsidR="00C46B49" w:rsidRDefault="00C46B49">
      <w:pPr>
        <w:widowControl w:val="0"/>
        <w:spacing w:line="240" w:lineRule="auto"/>
        <w:rPr>
          <w:rFonts w:ascii="Calibri" w:eastAsia="Calibri" w:hAnsi="Calibri" w:cs="Calibri"/>
          <w:color w:val="2F5496"/>
          <w:sz w:val="24"/>
          <w:szCs w:val="24"/>
        </w:rPr>
      </w:pPr>
    </w:p>
    <w:p w14:paraId="47EE75DF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color w:val="2F5496"/>
          <w:sz w:val="24"/>
          <w:szCs w:val="24"/>
          <w:u w:val="single"/>
        </w:rPr>
        <w:lastRenderedPageBreak/>
        <w:t>Course Objectives</w:t>
      </w:r>
    </w:p>
    <w:p w14:paraId="222CCB66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Understand the pharmacology of GLP-1 receptor agonist medications.</w:t>
      </w:r>
    </w:p>
    <w:p w14:paraId="2B83C44C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Recognize the significance of aspiration risk with patients on GLP-1 receptor agonist medications.</w:t>
      </w:r>
    </w:p>
    <w:p w14:paraId="790E72F2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Understand the indications for ERCP</w:t>
      </w:r>
    </w:p>
    <w:p w14:paraId="3A5C97DD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Review the anatomy of the biliary system</w:t>
      </w:r>
    </w:p>
    <w:p w14:paraId="0D3ACD22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Discuss lab values and imaging studies used to determine the need for ERPC - - -Discuss the risk of bariatric surgery</w:t>
      </w:r>
    </w:p>
    <w:p w14:paraId="23DC4EA5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Describe the types of bariatric surgeries that are commonly performed</w:t>
      </w:r>
    </w:p>
    <w:p w14:paraId="55C1D9BF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Discuss the types of infusion therapy used for IBD patients</w:t>
      </w:r>
    </w:p>
    <w:p w14:paraId="08CB4B02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- Describe the challenges that IBD patients face </w:t>
      </w:r>
      <w:proofErr w:type="gramStart"/>
      <w:r>
        <w:rPr>
          <w:rFonts w:ascii="Calibri" w:eastAsia="Calibri" w:hAnsi="Calibri" w:cs="Calibri"/>
          <w:sz w:val="18"/>
          <w:szCs w:val="18"/>
        </w:rPr>
        <w:t>on a daily basis</w:t>
      </w:r>
      <w:proofErr w:type="gramEnd"/>
    </w:p>
    <w:p w14:paraId="7A093E4D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Explain the pathophysiology of severe emphysema and the rationale for endobronchial valve therapy.</w:t>
      </w:r>
    </w:p>
    <w:p w14:paraId="4FA8011D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Outline the criteria for patient selection and the procedural steps involved</w:t>
      </w:r>
    </w:p>
    <w:p w14:paraId="7B3F9A29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in endobronchial valve placement</w:t>
      </w:r>
    </w:p>
    <w:p w14:paraId="520A14EC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Discuss potential complications following valve placement and the strategies for monitoring and management</w:t>
      </w:r>
    </w:p>
    <w:p w14:paraId="67D18FA7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-Discuss the conventional treatment options for IBD</w:t>
      </w:r>
    </w:p>
    <w:p w14:paraId="6D80E56A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-Describe the pathophysiology of IBD</w:t>
      </w:r>
    </w:p>
    <w:p w14:paraId="04EDF4FE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-Describe the pathophysiology for EOE</w:t>
      </w:r>
    </w:p>
    <w:p w14:paraId="37DC73E3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-Review current treatment options for Eosinophilic Esophagitis</w:t>
      </w:r>
    </w:p>
    <w:p w14:paraId="1F56AD79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-Discuss the use of complementary and Alternative medicine</w:t>
      </w:r>
    </w:p>
    <w:p w14:paraId="5B49C4E9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-Review testing used in diagnosis of IBD</w:t>
      </w:r>
    </w:p>
    <w:p w14:paraId="38140333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-Review the benefits of cognitive behavioral therapy and diet in the management of</w:t>
      </w:r>
    </w:p>
    <w:p w14:paraId="72CB8C39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IBD</w:t>
      </w:r>
    </w:p>
    <w:p w14:paraId="05CF589A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-Review techniques for removing foreign bodies</w:t>
      </w:r>
    </w:p>
    <w:p w14:paraId="7E86C304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-Describe risk related to foreign body removal</w:t>
      </w:r>
    </w:p>
    <w:p w14:paraId="12F45DB4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-Discuss types of Pancreatic cyst</w:t>
      </w:r>
    </w:p>
    <w:p w14:paraId="43BB6F93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-Review the use of EUS on diagnosis and treatment of Pancreatic cyst</w:t>
      </w:r>
    </w:p>
    <w:p w14:paraId="08B42230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Understand the importance of endoscopic tattoo marking</w:t>
      </w:r>
    </w:p>
    <w:p w14:paraId="01903F5E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Understand current cancer treatment options and the importance of a multi-disciplinary Team.</w:t>
      </w:r>
    </w:p>
    <w:p w14:paraId="15DBA7E8" w14:textId="77777777" w:rsidR="00C46B49" w:rsidRDefault="00000000">
      <w:pPr>
        <w:widowControl w:val="0"/>
        <w:spacing w:line="199" w:lineRule="auto"/>
        <w:rPr>
          <w:rFonts w:ascii="Calibri" w:eastAsia="Calibri" w:hAnsi="Calibri" w:cs="Calibri"/>
          <w:b/>
          <w:color w:val="4472C4"/>
          <w:sz w:val="20"/>
          <w:szCs w:val="20"/>
        </w:rPr>
      </w:pPr>
      <w:r>
        <w:rPr>
          <w:rFonts w:ascii="Calibri" w:eastAsia="Calibri" w:hAnsi="Calibri" w:cs="Calibri"/>
          <w:b/>
          <w:color w:val="4472C4"/>
          <w:sz w:val="24"/>
          <w:szCs w:val="24"/>
          <w:u w:val="single"/>
        </w:rPr>
        <w:t xml:space="preserve">CNE Information </w:t>
      </w:r>
      <w:r>
        <w:rPr>
          <w:rFonts w:ascii="Calibri" w:eastAsia="Calibri" w:hAnsi="Calibri" w:cs="Calibri"/>
          <w:b/>
          <w:color w:val="4472C4"/>
          <w:sz w:val="20"/>
          <w:szCs w:val="20"/>
        </w:rPr>
        <w:t xml:space="preserve"> </w:t>
      </w:r>
    </w:p>
    <w:p w14:paraId="26C52FF3" w14:textId="77777777" w:rsidR="00C46B49" w:rsidRDefault="00000000">
      <w:pPr>
        <w:widowControl w:val="0"/>
        <w:spacing w:line="215" w:lineRule="auto"/>
        <w:rPr>
          <w:rFonts w:ascii="Calibri" w:eastAsia="Calibri" w:hAnsi="Calibri" w:cs="Calibri"/>
          <w:b/>
          <w:color w:val="212120"/>
          <w:sz w:val="18"/>
          <w:szCs w:val="18"/>
        </w:rPr>
      </w:pPr>
      <w:r>
        <w:rPr>
          <w:rFonts w:ascii="Calibri" w:eastAsia="Calibri" w:hAnsi="Calibri" w:cs="Calibri"/>
          <w:color w:val="212120"/>
          <w:sz w:val="18"/>
          <w:szCs w:val="18"/>
        </w:rPr>
        <w:t xml:space="preserve">This seminar has been designed to meet the specification of the Minnesota </w:t>
      </w:r>
      <w:proofErr w:type="gramStart"/>
      <w:r>
        <w:rPr>
          <w:rFonts w:ascii="Calibri" w:eastAsia="Calibri" w:hAnsi="Calibri" w:cs="Calibri"/>
          <w:color w:val="212120"/>
          <w:sz w:val="18"/>
          <w:szCs w:val="18"/>
        </w:rPr>
        <w:t>Nurse  Practice</w:t>
      </w:r>
      <w:proofErr w:type="gramEnd"/>
      <w:r>
        <w:rPr>
          <w:rFonts w:ascii="Calibri" w:eastAsia="Calibri" w:hAnsi="Calibri" w:cs="Calibri"/>
          <w:color w:val="212120"/>
          <w:sz w:val="18"/>
          <w:szCs w:val="18"/>
        </w:rPr>
        <w:t xml:space="preserve"> Act of Continuing Education requirement. This educational activity has </w:t>
      </w:r>
      <w:proofErr w:type="gramStart"/>
      <w:r>
        <w:rPr>
          <w:rFonts w:ascii="Calibri" w:eastAsia="Calibri" w:hAnsi="Calibri" w:cs="Calibri"/>
          <w:color w:val="212120"/>
          <w:sz w:val="18"/>
          <w:szCs w:val="18"/>
        </w:rPr>
        <w:t>been  applied</w:t>
      </w:r>
      <w:proofErr w:type="gramEnd"/>
      <w:r>
        <w:rPr>
          <w:rFonts w:ascii="Calibri" w:eastAsia="Calibri" w:hAnsi="Calibri" w:cs="Calibri"/>
          <w:color w:val="212120"/>
          <w:sz w:val="18"/>
          <w:szCs w:val="18"/>
        </w:rPr>
        <w:t xml:space="preserve"> for with the Georgia Nurses Association Approver, an accredited approver by  American Nurses Credentialing Center's Commission on Accreditation. For 13.25 </w:t>
      </w:r>
      <w:proofErr w:type="gramStart"/>
      <w:r>
        <w:rPr>
          <w:rFonts w:ascii="Calibri" w:eastAsia="Calibri" w:hAnsi="Calibri" w:cs="Calibri"/>
          <w:color w:val="212120"/>
          <w:sz w:val="18"/>
          <w:szCs w:val="18"/>
        </w:rPr>
        <w:t>CNE  (</w:t>
      </w:r>
      <w:proofErr w:type="gramEnd"/>
      <w:r>
        <w:rPr>
          <w:rFonts w:ascii="Calibri" w:eastAsia="Calibri" w:hAnsi="Calibri" w:cs="Calibri"/>
          <w:color w:val="212120"/>
          <w:sz w:val="18"/>
          <w:szCs w:val="18"/>
        </w:rPr>
        <w:t>7 on Saturday and on 3.25 Sunday) and XXGI specific (</w:t>
      </w:r>
      <w:proofErr w:type="spellStart"/>
      <w:r>
        <w:rPr>
          <w:rFonts w:ascii="Calibri" w:eastAsia="Calibri" w:hAnsi="Calibri" w:cs="Calibri"/>
          <w:color w:val="212120"/>
          <w:sz w:val="18"/>
          <w:szCs w:val="18"/>
        </w:rPr>
        <w:t>XXSat</w:t>
      </w:r>
      <w:proofErr w:type="spellEnd"/>
      <w:r>
        <w:rPr>
          <w:rFonts w:ascii="Calibri" w:eastAsia="Calibri" w:hAnsi="Calibri" w:cs="Calibri"/>
          <w:color w:val="212120"/>
          <w:sz w:val="18"/>
          <w:szCs w:val="18"/>
        </w:rPr>
        <w:t xml:space="preserve"> and XX Sun)  specific ABCGN, for those attending both Sat and Sun. Attendees will be required to  complete an </w:t>
      </w:r>
      <w:r>
        <w:rPr>
          <w:rFonts w:ascii="Calibri" w:eastAsia="Calibri" w:hAnsi="Calibri" w:cs="Calibri"/>
          <w:b/>
          <w:color w:val="212120"/>
          <w:sz w:val="18"/>
          <w:szCs w:val="18"/>
        </w:rPr>
        <w:t xml:space="preserve">online post evaluation </w:t>
      </w:r>
      <w:r>
        <w:rPr>
          <w:rFonts w:ascii="Calibri" w:eastAsia="Calibri" w:hAnsi="Calibri" w:cs="Calibri"/>
          <w:color w:val="212120"/>
          <w:sz w:val="18"/>
          <w:szCs w:val="18"/>
        </w:rPr>
        <w:t xml:space="preserve">and demonstrate learning. Must be present </w:t>
      </w:r>
      <w:proofErr w:type="gramStart"/>
      <w:r>
        <w:rPr>
          <w:rFonts w:ascii="Calibri" w:eastAsia="Calibri" w:hAnsi="Calibri" w:cs="Calibri"/>
          <w:color w:val="212120"/>
          <w:sz w:val="18"/>
          <w:szCs w:val="18"/>
        </w:rPr>
        <w:t>for  the</w:t>
      </w:r>
      <w:proofErr w:type="gramEnd"/>
      <w:r>
        <w:rPr>
          <w:rFonts w:ascii="Calibri" w:eastAsia="Calibri" w:hAnsi="Calibri" w:cs="Calibri"/>
          <w:color w:val="212120"/>
          <w:sz w:val="18"/>
          <w:szCs w:val="18"/>
        </w:rPr>
        <w:t xml:space="preserve"> entire day to receive CNE for that day, </w:t>
      </w:r>
      <w:r>
        <w:rPr>
          <w:rFonts w:ascii="Calibri" w:eastAsia="Calibri" w:hAnsi="Calibri" w:cs="Calibri"/>
          <w:b/>
          <w:color w:val="212120"/>
          <w:sz w:val="18"/>
          <w:szCs w:val="18"/>
        </w:rPr>
        <w:t xml:space="preserve">no partial credit.  Additional </w:t>
      </w:r>
      <w:proofErr w:type="gramStart"/>
      <w:r>
        <w:rPr>
          <w:rFonts w:ascii="Calibri" w:eastAsia="Calibri" w:hAnsi="Calibri" w:cs="Calibri"/>
          <w:b/>
          <w:color w:val="212120"/>
          <w:sz w:val="18"/>
          <w:szCs w:val="18"/>
        </w:rPr>
        <w:t>1 hour</w:t>
      </w:r>
      <w:proofErr w:type="gramEnd"/>
      <w:r>
        <w:rPr>
          <w:rFonts w:ascii="Calibri" w:eastAsia="Calibri" w:hAnsi="Calibri" w:cs="Calibri"/>
          <w:b/>
          <w:color w:val="212120"/>
          <w:sz w:val="18"/>
          <w:szCs w:val="18"/>
        </w:rPr>
        <w:t xml:space="preserve"> CNE will be provided by both ASP and Steris</w:t>
      </w:r>
    </w:p>
    <w:p w14:paraId="75CD32E3" w14:textId="77777777" w:rsidR="00C46B49" w:rsidRDefault="00000000">
      <w:pPr>
        <w:widowControl w:val="0"/>
        <w:spacing w:before="56" w:line="199" w:lineRule="auto"/>
        <w:rPr>
          <w:rFonts w:ascii="Calibri" w:eastAsia="Calibri" w:hAnsi="Calibri" w:cs="Calibri"/>
          <w:b/>
          <w:color w:val="4F81BD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4F81BD"/>
          <w:sz w:val="24"/>
          <w:szCs w:val="24"/>
          <w:u w:val="single"/>
        </w:rPr>
        <w:t>Additional Information</w:t>
      </w:r>
      <w:r>
        <w:rPr>
          <w:rFonts w:ascii="Calibri" w:eastAsia="Calibri" w:hAnsi="Calibri" w:cs="Calibri"/>
          <w:b/>
          <w:color w:val="4F81BD"/>
          <w:sz w:val="28"/>
          <w:szCs w:val="28"/>
          <w:u w:val="single"/>
        </w:rPr>
        <w:t xml:space="preserve">  </w:t>
      </w:r>
    </w:p>
    <w:p w14:paraId="5C261A19" w14:textId="77777777" w:rsidR="00C46B49" w:rsidRDefault="00000000">
      <w:pPr>
        <w:widowControl w:val="0"/>
        <w:spacing w:before="7" w:line="227" w:lineRule="auto"/>
        <w:rPr>
          <w:rFonts w:ascii="Calibri" w:eastAsia="Calibri" w:hAnsi="Calibri" w:cs="Calibri"/>
          <w:color w:val="212120"/>
          <w:sz w:val="18"/>
          <w:szCs w:val="18"/>
        </w:rPr>
      </w:pPr>
      <w:r>
        <w:rPr>
          <w:rFonts w:ascii="Calibri" w:eastAsia="Calibri" w:hAnsi="Calibri" w:cs="Calibri"/>
          <w:color w:val="212120"/>
          <w:sz w:val="18"/>
          <w:szCs w:val="18"/>
        </w:rPr>
        <w:t xml:space="preserve">We will again be having prize drawings throughout the day. Departments wishing </w:t>
      </w:r>
      <w:proofErr w:type="gramStart"/>
      <w:r>
        <w:rPr>
          <w:rFonts w:ascii="Calibri" w:eastAsia="Calibri" w:hAnsi="Calibri" w:cs="Calibri"/>
          <w:color w:val="212120"/>
          <w:sz w:val="18"/>
          <w:szCs w:val="18"/>
        </w:rPr>
        <w:t>to  contribute</w:t>
      </w:r>
      <w:proofErr w:type="gramEnd"/>
      <w:r>
        <w:rPr>
          <w:rFonts w:ascii="Calibri" w:eastAsia="Calibri" w:hAnsi="Calibri" w:cs="Calibri"/>
          <w:color w:val="212120"/>
          <w:sz w:val="18"/>
          <w:szCs w:val="18"/>
        </w:rPr>
        <w:t xml:space="preserve"> a basket or other items as a door prize are encouraged to do so, please label  them, and bring them to the registration table. </w:t>
      </w:r>
    </w:p>
    <w:p w14:paraId="3CC41B68" w14:textId="77777777" w:rsidR="00C46B49" w:rsidRDefault="00C46B49">
      <w:pPr>
        <w:widowControl w:val="0"/>
        <w:spacing w:before="7" w:line="227" w:lineRule="auto"/>
        <w:rPr>
          <w:rFonts w:ascii="Calibri" w:eastAsia="Calibri" w:hAnsi="Calibri" w:cs="Calibri"/>
          <w:color w:val="212120"/>
          <w:sz w:val="18"/>
          <w:szCs w:val="18"/>
        </w:rPr>
      </w:pPr>
    </w:p>
    <w:p w14:paraId="4A5C34F4" w14:textId="77777777" w:rsidR="00C46B49" w:rsidRDefault="00C46B49">
      <w:pPr>
        <w:widowControl w:val="0"/>
        <w:spacing w:line="240" w:lineRule="auto"/>
        <w:ind w:left="379"/>
        <w:rPr>
          <w:rFonts w:ascii="Calibri" w:eastAsia="Calibri" w:hAnsi="Calibri" w:cs="Calibri"/>
          <w:color w:val="2F5496"/>
          <w:sz w:val="26"/>
          <w:szCs w:val="26"/>
        </w:rPr>
      </w:pPr>
    </w:p>
    <w:p w14:paraId="4E685C1E" w14:textId="77777777" w:rsidR="00C46B49" w:rsidRDefault="00C46B49">
      <w:pPr>
        <w:widowControl w:val="0"/>
        <w:spacing w:line="240" w:lineRule="auto"/>
        <w:ind w:left="379"/>
        <w:rPr>
          <w:rFonts w:ascii="Calibri" w:eastAsia="Calibri" w:hAnsi="Calibri" w:cs="Calibri"/>
          <w:color w:val="2F5496"/>
          <w:sz w:val="26"/>
          <w:szCs w:val="26"/>
        </w:rPr>
      </w:pPr>
    </w:p>
    <w:p w14:paraId="14A2BED2" w14:textId="77777777" w:rsidR="00C46B49" w:rsidRDefault="00C46B49">
      <w:pPr>
        <w:widowControl w:val="0"/>
        <w:spacing w:line="240" w:lineRule="auto"/>
        <w:ind w:left="379"/>
        <w:rPr>
          <w:rFonts w:ascii="Calibri" w:eastAsia="Calibri" w:hAnsi="Calibri" w:cs="Calibri"/>
          <w:color w:val="2F5496"/>
          <w:sz w:val="26"/>
          <w:szCs w:val="26"/>
        </w:rPr>
      </w:pPr>
    </w:p>
    <w:p w14:paraId="427F428D" w14:textId="77777777" w:rsidR="00C46B49" w:rsidRDefault="00C46B49">
      <w:pPr>
        <w:widowControl w:val="0"/>
        <w:spacing w:line="240" w:lineRule="auto"/>
        <w:ind w:left="379"/>
        <w:rPr>
          <w:rFonts w:ascii="Calibri" w:eastAsia="Calibri" w:hAnsi="Calibri" w:cs="Calibri"/>
          <w:color w:val="2F5496"/>
          <w:sz w:val="26"/>
          <w:szCs w:val="26"/>
        </w:rPr>
      </w:pPr>
    </w:p>
    <w:p w14:paraId="2728E0E8" w14:textId="77777777" w:rsidR="00C46B49" w:rsidRDefault="00C46B49">
      <w:pPr>
        <w:widowControl w:val="0"/>
        <w:spacing w:line="240" w:lineRule="auto"/>
        <w:ind w:left="379"/>
        <w:rPr>
          <w:rFonts w:ascii="Calibri" w:eastAsia="Calibri" w:hAnsi="Calibri" w:cs="Calibri"/>
          <w:color w:val="2F5496"/>
          <w:sz w:val="26"/>
          <w:szCs w:val="26"/>
        </w:rPr>
      </w:pPr>
    </w:p>
    <w:p w14:paraId="6648FB45" w14:textId="77777777" w:rsidR="00C46B49" w:rsidRDefault="00C46B49">
      <w:pPr>
        <w:widowControl w:val="0"/>
        <w:spacing w:line="240" w:lineRule="auto"/>
        <w:ind w:left="379"/>
        <w:rPr>
          <w:rFonts w:ascii="Calibri" w:eastAsia="Calibri" w:hAnsi="Calibri" w:cs="Calibri"/>
          <w:color w:val="2F5496"/>
          <w:sz w:val="26"/>
          <w:szCs w:val="26"/>
        </w:rPr>
      </w:pPr>
    </w:p>
    <w:p w14:paraId="18DC81DA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b/>
          <w:color w:val="2F5496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2F5496"/>
          <w:sz w:val="24"/>
          <w:szCs w:val="24"/>
          <w:u w:val="single"/>
        </w:rPr>
        <w:t>Saturday, October 4th</w:t>
      </w:r>
    </w:p>
    <w:p w14:paraId="5E6E3E5E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7:00-7:50 Registration and Breakfast</w:t>
      </w:r>
    </w:p>
    <w:p w14:paraId="465B8280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7:50 Welcome</w:t>
      </w:r>
    </w:p>
    <w:p w14:paraId="3FAA46FC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8:00-9:00 Gastric Point-of-Care Ultrasound for Mitigating Aspiration Risk in Patients on GLP-1</w:t>
      </w:r>
    </w:p>
    <w:p w14:paraId="02720D43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Agonists</w:t>
      </w:r>
    </w:p>
    <w:p w14:paraId="6C738367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Sophie Davis, SRNA</w:t>
      </w:r>
    </w:p>
    <w:p w14:paraId="2684EBE0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Lauren </w:t>
      </w:r>
      <w:proofErr w:type="spellStart"/>
      <w:r>
        <w:rPr>
          <w:rFonts w:ascii="Calibri" w:eastAsia="Calibri" w:hAnsi="Calibri" w:cs="Calibri"/>
          <w:sz w:val="20"/>
          <w:szCs w:val="20"/>
        </w:rPr>
        <w:t>Seivert</w:t>
      </w:r>
      <w:proofErr w:type="spellEnd"/>
      <w:r>
        <w:rPr>
          <w:rFonts w:ascii="Calibri" w:eastAsia="Calibri" w:hAnsi="Calibri" w:cs="Calibri"/>
          <w:sz w:val="20"/>
          <w:szCs w:val="20"/>
        </w:rPr>
        <w:t>, SRNA</w:t>
      </w:r>
    </w:p>
    <w:p w14:paraId="5459B8AE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Anna Trimble, SRNA</w:t>
      </w:r>
    </w:p>
    <w:p w14:paraId="110ECFEB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9:00-10:00 ERCP</w:t>
      </w:r>
    </w:p>
    <w:p w14:paraId="004B22A5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Dr  John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Liveringhouse</w:t>
      </w:r>
      <w:proofErr w:type="spellEnd"/>
    </w:p>
    <w:p w14:paraId="5D7CD73A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10:15-11:00 Bariatric Surgery Daniel Leslie</w:t>
      </w:r>
    </w:p>
    <w:p w14:paraId="1959AA42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11:00-11:45 Infusion therapy in Inflammatory Bowel Disease</w:t>
      </w:r>
    </w:p>
    <w:p w14:paraId="1FE57434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Dr Bryant Magna</w:t>
      </w:r>
    </w:p>
    <w:p w14:paraId="40A7BAA5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11:45-12:45 Lunch and Vendors</w:t>
      </w:r>
    </w:p>
    <w:p w14:paraId="7DB017EA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12:45-1:45 The Endoscope Movement:  One Specialty at a Time</w:t>
      </w:r>
    </w:p>
    <w:p w14:paraId="67927340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Stacy Johnson, </w:t>
      </w:r>
      <w:proofErr w:type="gramStart"/>
      <w:r>
        <w:rPr>
          <w:rFonts w:ascii="Calibri" w:eastAsia="Calibri" w:hAnsi="Calibri" w:cs="Calibri"/>
          <w:sz w:val="20"/>
          <w:szCs w:val="20"/>
        </w:rPr>
        <w:t>MSN,APRN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,CNS,CNOR,CCSVP, CNS-CP(E) </w:t>
      </w:r>
    </w:p>
    <w:p w14:paraId="785C5934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CNE provided by ASP 1 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>hour</w:t>
      </w:r>
      <w:proofErr w:type="gramEnd"/>
    </w:p>
    <w:p w14:paraId="09D722DE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1:45-2:30 Endobronchial Valves</w:t>
      </w:r>
    </w:p>
    <w:p w14:paraId="1D61659C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Dr </w:t>
      </w:r>
      <w:proofErr w:type="spellStart"/>
      <w:r>
        <w:rPr>
          <w:rFonts w:ascii="Calibri" w:eastAsia="Calibri" w:hAnsi="Calibri" w:cs="Calibri"/>
          <w:sz w:val="20"/>
          <w:szCs w:val="20"/>
        </w:rPr>
        <w:t>Nathani</w:t>
      </w:r>
      <w:proofErr w:type="spellEnd"/>
    </w:p>
    <w:p w14:paraId="3C83C5AC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2:30—3:15 Inflammatory Bowel Disease</w:t>
      </w:r>
    </w:p>
    <w:p w14:paraId="26433393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Dr Thomas </w:t>
      </w:r>
      <w:proofErr w:type="spellStart"/>
      <w:r>
        <w:rPr>
          <w:rFonts w:ascii="Calibri" w:eastAsia="Calibri" w:hAnsi="Calibri" w:cs="Calibri"/>
          <w:sz w:val="20"/>
          <w:szCs w:val="20"/>
        </w:rPr>
        <w:t>Maust</w:t>
      </w:r>
      <w:proofErr w:type="spellEnd"/>
    </w:p>
    <w:p w14:paraId="7B1E4AF1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3:30 - 4:15 Eosinophilic esophagitis</w:t>
      </w:r>
    </w:p>
    <w:p w14:paraId="542DF6C3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Kate Gaffney PA-C</w:t>
      </w:r>
    </w:p>
    <w:p w14:paraId="02607062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4:15-5:15 IBD</w:t>
      </w:r>
    </w:p>
    <w:p w14:paraId="48C41566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Dr Adam Kim</w:t>
      </w:r>
    </w:p>
    <w:p w14:paraId="2575D3EF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5:15-5:30 Evaluations</w:t>
      </w:r>
    </w:p>
    <w:p w14:paraId="34503531" w14:textId="77777777" w:rsidR="00C46B49" w:rsidRDefault="00000000">
      <w:pPr>
        <w:widowControl w:val="0"/>
        <w:spacing w:line="240" w:lineRule="auto"/>
        <w:rPr>
          <w:rFonts w:ascii="Calibri" w:eastAsia="Calibri" w:hAnsi="Calibri" w:cs="Calibri"/>
          <w:b/>
          <w:color w:val="4F81BD"/>
          <w:sz w:val="24"/>
          <w:szCs w:val="24"/>
          <w:u w:val="single"/>
        </w:rPr>
      </w:pPr>
      <w:r>
        <w:rPr>
          <w:rFonts w:ascii="Calibri" w:eastAsia="Calibri" w:hAnsi="Calibri" w:cs="Calibri"/>
          <w:sz w:val="20"/>
          <w:szCs w:val="20"/>
        </w:rPr>
        <w:t xml:space="preserve">       </w:t>
      </w:r>
      <w:r>
        <w:rPr>
          <w:rFonts w:ascii="Calibri" w:eastAsia="Calibri" w:hAnsi="Calibri" w:cs="Calibri"/>
          <w:b/>
          <w:color w:val="4F81BD"/>
          <w:sz w:val="24"/>
          <w:szCs w:val="24"/>
          <w:u w:val="single"/>
        </w:rPr>
        <w:t>Sunday, October 5th</w:t>
      </w:r>
    </w:p>
    <w:p w14:paraId="04156994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8:00-9:00 Foreign Bodies</w:t>
      </w:r>
    </w:p>
    <w:p w14:paraId="447FFEE6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Dr  David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Brokle</w:t>
      </w:r>
      <w:proofErr w:type="spellEnd"/>
    </w:p>
    <w:p w14:paraId="7D6296DE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9:00-10:00 Pancreatic Cyst</w:t>
      </w:r>
    </w:p>
    <w:p w14:paraId="4A42B045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Dr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Nelani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Pathirana</w:t>
      </w:r>
      <w:proofErr w:type="gramEnd"/>
    </w:p>
    <w:p w14:paraId="7B711703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10:00-11:00 The Use of Carbon Dioxide (CO2) in GI Endoscopy -Steris</w:t>
      </w:r>
    </w:p>
    <w:p w14:paraId="3C8CC706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CNE provided by 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>Steris1hour</w:t>
      </w:r>
      <w:proofErr w:type="gramEnd"/>
    </w:p>
    <w:p w14:paraId="7FBC119C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11:00-12:00 Colon Cancer What Happens Once Cancer is Found</w:t>
      </w:r>
    </w:p>
    <w:p w14:paraId="6CFC851B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Dr Jay MacGregor</w:t>
      </w:r>
    </w:p>
    <w:p w14:paraId="2E8B4B54" w14:textId="77777777" w:rsidR="00C46B49" w:rsidRDefault="00000000">
      <w:pPr>
        <w:widowControl w:val="0"/>
        <w:spacing w:line="240" w:lineRule="auto"/>
        <w:ind w:left="3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12:00-12:15 Evaluations</w:t>
      </w:r>
    </w:p>
    <w:p w14:paraId="30D5AC5C" w14:textId="77777777" w:rsidR="00C46B49" w:rsidRDefault="00C46B49">
      <w:pPr>
        <w:widowControl w:val="0"/>
        <w:spacing w:line="240" w:lineRule="auto"/>
        <w:ind w:left="379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0420CE8" w14:textId="77777777" w:rsidR="00C46B49" w:rsidRDefault="00000000">
      <w:pPr>
        <w:widowControl w:val="0"/>
        <w:spacing w:line="240" w:lineRule="auto"/>
        <w:ind w:left="379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MNSGNA reserves the right to make changes to the agenda to meet the needs of the</w:t>
      </w:r>
    </w:p>
    <w:p w14:paraId="50F5DEB2" w14:textId="77777777" w:rsidR="00C46B49" w:rsidRDefault="00000000">
      <w:pPr>
        <w:widowControl w:val="0"/>
        <w:spacing w:line="240" w:lineRule="auto"/>
        <w:ind w:left="379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precentors and in the interest of time constraints.</w:t>
      </w:r>
    </w:p>
    <w:p w14:paraId="036D3845" w14:textId="77777777" w:rsidR="00C46B49" w:rsidRDefault="00C46B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9"/>
        <w:rPr>
          <w:rFonts w:ascii="Calibri" w:eastAsia="Calibri" w:hAnsi="Calibri" w:cs="Calibri"/>
          <w:color w:val="2F5496"/>
          <w:sz w:val="26"/>
          <w:szCs w:val="26"/>
        </w:rPr>
      </w:pPr>
    </w:p>
    <w:p w14:paraId="10146E3C" w14:textId="77777777" w:rsidR="00C46B49" w:rsidRDefault="00C46B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9"/>
        <w:rPr>
          <w:rFonts w:ascii="Calibri" w:eastAsia="Calibri" w:hAnsi="Calibri" w:cs="Calibri"/>
          <w:color w:val="2F5496"/>
          <w:sz w:val="26"/>
          <w:szCs w:val="26"/>
          <w:u w:val="single"/>
        </w:rPr>
      </w:pPr>
    </w:p>
    <w:p w14:paraId="7AD5ABFD" w14:textId="77777777" w:rsidR="00C46B49" w:rsidRDefault="00C46B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9"/>
        <w:rPr>
          <w:rFonts w:ascii="Calibri" w:eastAsia="Calibri" w:hAnsi="Calibri" w:cs="Calibri"/>
          <w:color w:val="2F5496"/>
          <w:sz w:val="26"/>
          <w:szCs w:val="26"/>
          <w:u w:val="single"/>
        </w:rPr>
      </w:pPr>
    </w:p>
    <w:p w14:paraId="723411F4" w14:textId="77777777" w:rsidR="00C46B49" w:rsidRDefault="00C46B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9"/>
        <w:rPr>
          <w:rFonts w:ascii="Calibri" w:eastAsia="Calibri" w:hAnsi="Calibri" w:cs="Calibri"/>
          <w:color w:val="2F5496"/>
          <w:sz w:val="26"/>
          <w:szCs w:val="26"/>
          <w:u w:val="single"/>
        </w:rPr>
      </w:pPr>
    </w:p>
    <w:p w14:paraId="52A1A005" w14:textId="77777777" w:rsidR="00C46B49" w:rsidRDefault="00C46B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0" w:line="199" w:lineRule="auto"/>
        <w:rPr>
          <w:rFonts w:ascii="Calibri" w:eastAsia="Calibri" w:hAnsi="Calibri" w:cs="Calibri"/>
          <w:b/>
          <w:color w:val="212120"/>
          <w:sz w:val="18"/>
          <w:szCs w:val="18"/>
        </w:rPr>
      </w:pPr>
    </w:p>
    <w:sectPr w:rsidR="00C46B49">
      <w:pgSz w:w="15840" w:h="12240" w:orient="landscape"/>
      <w:pgMar w:top="485" w:right="1115" w:bottom="15" w:left="1063" w:header="0" w:footer="720" w:gutter="0"/>
      <w:pgNumType w:start="1"/>
      <w:cols w:num="2" w:space="720" w:equalWidth="0">
        <w:col w:w="6840" w:space="0"/>
        <w:col w:w="68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49"/>
    <w:rsid w:val="0069491F"/>
    <w:rsid w:val="00A71E05"/>
    <w:rsid w:val="00C4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FAF62"/>
  <w15:docId w15:val="{AD9B12D7-533A-2F45-972A-88693F8F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Minor</cp:lastModifiedBy>
  <cp:revision>2</cp:revision>
  <dcterms:created xsi:type="dcterms:W3CDTF">2025-08-27T19:08:00Z</dcterms:created>
  <dcterms:modified xsi:type="dcterms:W3CDTF">2025-08-27T19:08:00Z</dcterms:modified>
</cp:coreProperties>
</file>