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5CCF" w14:textId="77777777" w:rsidR="001A4573" w:rsidRDefault="001A4573">
      <w:pPr>
        <w:widowControl w:val="0"/>
        <w:pBdr>
          <w:top w:val="nil"/>
          <w:left w:val="nil"/>
          <w:bottom w:val="nil"/>
          <w:right w:val="nil"/>
          <w:between w:val="nil"/>
        </w:pBdr>
        <w:spacing w:after="0"/>
        <w:rPr>
          <w:rFonts w:ascii="Arial" w:eastAsia="Arial" w:hAnsi="Arial" w:cs="Arial"/>
          <w:color w:val="000000"/>
        </w:rPr>
      </w:pP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4"/>
        <w:gridCol w:w="3296"/>
      </w:tblGrid>
      <w:tr w:rsidR="001A4573" w14:paraId="16685CD2" w14:textId="77777777">
        <w:tc>
          <w:tcPr>
            <w:tcW w:w="6054" w:type="dxa"/>
            <w:shd w:val="clear" w:color="auto" w:fill="auto"/>
          </w:tcPr>
          <w:p w14:paraId="16685CD0" w14:textId="77777777" w:rsidR="001A4573" w:rsidRDefault="00EF45C2">
            <w:pPr>
              <w:spacing w:after="0" w:line="240" w:lineRule="auto"/>
              <w:rPr>
                <w:rFonts w:ascii="Arial" w:eastAsia="Arial" w:hAnsi="Arial" w:cs="Arial"/>
              </w:rPr>
            </w:pPr>
            <w:r>
              <w:rPr>
                <w:rFonts w:ascii="Arial" w:eastAsia="Arial" w:hAnsi="Arial" w:cs="Arial"/>
                <w:b/>
              </w:rPr>
              <w:t xml:space="preserve">Title: </w:t>
            </w:r>
            <w:r>
              <w:rPr>
                <w:rFonts w:ascii="Arial" w:eastAsia="Arial" w:hAnsi="Arial" w:cs="Arial"/>
              </w:rPr>
              <w:t>Investment Policy</w:t>
            </w:r>
          </w:p>
        </w:tc>
        <w:tc>
          <w:tcPr>
            <w:tcW w:w="3296" w:type="dxa"/>
            <w:shd w:val="clear" w:color="auto" w:fill="auto"/>
          </w:tcPr>
          <w:p w14:paraId="16685CD1" w14:textId="77777777" w:rsidR="001A4573" w:rsidRDefault="00EF45C2">
            <w:pPr>
              <w:spacing w:after="0" w:line="240" w:lineRule="auto"/>
              <w:rPr>
                <w:rFonts w:ascii="Arial" w:eastAsia="Arial" w:hAnsi="Arial" w:cs="Arial"/>
              </w:rPr>
            </w:pPr>
            <w:r>
              <w:rPr>
                <w:rFonts w:ascii="Arial" w:eastAsia="Arial" w:hAnsi="Arial" w:cs="Arial"/>
                <w:b/>
              </w:rPr>
              <w:t>Number:</w:t>
            </w:r>
            <w:r>
              <w:rPr>
                <w:rFonts w:ascii="Arial" w:eastAsia="Arial" w:hAnsi="Arial" w:cs="Arial"/>
              </w:rPr>
              <w:t xml:space="preserve"> N/A</w:t>
            </w:r>
          </w:p>
        </w:tc>
      </w:tr>
      <w:tr w:rsidR="001A4573" w14:paraId="16685CD4" w14:textId="77777777">
        <w:tc>
          <w:tcPr>
            <w:tcW w:w="9350" w:type="dxa"/>
            <w:gridSpan w:val="2"/>
            <w:shd w:val="clear" w:color="auto" w:fill="auto"/>
          </w:tcPr>
          <w:p w14:paraId="16685CD3" w14:textId="77777777" w:rsidR="001A4573" w:rsidRDefault="00EF45C2">
            <w:pPr>
              <w:spacing w:after="0" w:line="240" w:lineRule="auto"/>
              <w:rPr>
                <w:rFonts w:ascii="Arial" w:eastAsia="Arial" w:hAnsi="Arial" w:cs="Arial"/>
              </w:rPr>
            </w:pPr>
            <w:r>
              <w:rPr>
                <w:rFonts w:ascii="Arial" w:eastAsia="Arial" w:hAnsi="Arial" w:cs="Arial"/>
                <w:b/>
              </w:rPr>
              <w:t xml:space="preserve">Cross Reference: </w:t>
            </w:r>
            <w:r>
              <w:rPr>
                <w:rFonts w:ascii="Arial" w:eastAsia="Arial" w:hAnsi="Arial" w:cs="Arial"/>
              </w:rPr>
              <w:t>N/A</w:t>
            </w:r>
          </w:p>
        </w:tc>
      </w:tr>
      <w:tr w:rsidR="001A4573" w14:paraId="16685CD7" w14:textId="77777777">
        <w:tc>
          <w:tcPr>
            <w:tcW w:w="6054" w:type="dxa"/>
            <w:shd w:val="clear" w:color="auto" w:fill="auto"/>
          </w:tcPr>
          <w:p w14:paraId="16685CD5" w14:textId="77777777" w:rsidR="001A4573" w:rsidRDefault="00EF45C2">
            <w:pPr>
              <w:spacing w:after="0" w:line="240" w:lineRule="auto"/>
              <w:rPr>
                <w:rFonts w:ascii="Arial" w:eastAsia="Arial" w:hAnsi="Arial" w:cs="Arial"/>
              </w:rPr>
            </w:pPr>
            <w:r>
              <w:rPr>
                <w:rFonts w:ascii="Arial" w:eastAsia="Arial" w:hAnsi="Arial" w:cs="Arial"/>
                <w:b/>
              </w:rPr>
              <w:t>Approved by:</w:t>
            </w:r>
            <w:r>
              <w:rPr>
                <w:rFonts w:ascii="Arial" w:eastAsia="Arial" w:hAnsi="Arial" w:cs="Arial"/>
              </w:rPr>
              <w:t xml:space="preserve"> NCENA Board of Directors</w:t>
            </w:r>
          </w:p>
        </w:tc>
        <w:tc>
          <w:tcPr>
            <w:tcW w:w="3296" w:type="dxa"/>
            <w:shd w:val="clear" w:color="auto" w:fill="auto"/>
          </w:tcPr>
          <w:p w14:paraId="16685CD6" w14:textId="77777777" w:rsidR="001A4573" w:rsidRDefault="00EF45C2">
            <w:pPr>
              <w:spacing w:after="0" w:line="240" w:lineRule="auto"/>
              <w:rPr>
                <w:rFonts w:ascii="Arial" w:eastAsia="Arial" w:hAnsi="Arial" w:cs="Arial"/>
              </w:rPr>
            </w:pPr>
            <w:r>
              <w:rPr>
                <w:rFonts w:ascii="Arial" w:eastAsia="Arial" w:hAnsi="Arial" w:cs="Arial"/>
                <w:b/>
              </w:rPr>
              <w:t xml:space="preserve">Origination Date: </w:t>
            </w:r>
            <w:r>
              <w:rPr>
                <w:rFonts w:ascii="Arial" w:eastAsia="Arial" w:hAnsi="Arial" w:cs="Arial"/>
              </w:rPr>
              <w:t>4/2006</w:t>
            </w:r>
          </w:p>
        </w:tc>
      </w:tr>
      <w:tr w:rsidR="001A4573" w14:paraId="16685CDA" w14:textId="77777777">
        <w:tc>
          <w:tcPr>
            <w:tcW w:w="6054" w:type="dxa"/>
            <w:shd w:val="clear" w:color="auto" w:fill="auto"/>
          </w:tcPr>
          <w:p w14:paraId="16685CD8" w14:textId="77777777" w:rsidR="001A4573" w:rsidRDefault="00EF45C2">
            <w:pPr>
              <w:spacing w:after="0" w:line="240" w:lineRule="auto"/>
              <w:rPr>
                <w:rFonts w:ascii="Arial" w:eastAsia="Arial" w:hAnsi="Arial" w:cs="Arial"/>
              </w:rPr>
            </w:pPr>
            <w:r>
              <w:rPr>
                <w:rFonts w:ascii="Arial" w:eastAsia="Arial" w:hAnsi="Arial" w:cs="Arial"/>
                <w:b/>
              </w:rPr>
              <w:t xml:space="preserve">Revised by: </w:t>
            </w:r>
            <w:r>
              <w:rPr>
                <w:rFonts w:ascii="Arial" w:eastAsia="Arial" w:hAnsi="Arial" w:cs="Arial"/>
              </w:rPr>
              <w:t>NCENA Board of Directors</w:t>
            </w:r>
          </w:p>
        </w:tc>
        <w:tc>
          <w:tcPr>
            <w:tcW w:w="3296" w:type="dxa"/>
            <w:shd w:val="clear" w:color="auto" w:fill="auto"/>
          </w:tcPr>
          <w:p w14:paraId="16685CD9" w14:textId="77777777" w:rsidR="001A4573" w:rsidRDefault="00EF45C2">
            <w:pPr>
              <w:spacing w:after="0" w:line="240" w:lineRule="auto"/>
              <w:rPr>
                <w:rFonts w:ascii="Arial" w:eastAsia="Arial" w:hAnsi="Arial" w:cs="Arial"/>
              </w:rPr>
            </w:pPr>
            <w:r>
              <w:rPr>
                <w:rFonts w:ascii="Arial" w:eastAsia="Arial" w:hAnsi="Arial" w:cs="Arial"/>
                <w:b/>
              </w:rPr>
              <w:t xml:space="preserve">Approval Date: </w:t>
            </w:r>
            <w:r>
              <w:rPr>
                <w:rFonts w:ascii="Arial" w:eastAsia="Arial" w:hAnsi="Arial" w:cs="Arial"/>
              </w:rPr>
              <w:t>4/2006</w:t>
            </w:r>
          </w:p>
        </w:tc>
      </w:tr>
      <w:tr w:rsidR="001A4573" w14:paraId="16685CDD" w14:textId="77777777">
        <w:tc>
          <w:tcPr>
            <w:tcW w:w="6054" w:type="dxa"/>
            <w:shd w:val="clear" w:color="auto" w:fill="auto"/>
          </w:tcPr>
          <w:p w14:paraId="16685CDB" w14:textId="77777777" w:rsidR="001A4573" w:rsidRDefault="00EF45C2">
            <w:pPr>
              <w:spacing w:after="0" w:line="240" w:lineRule="auto"/>
              <w:rPr>
                <w:rFonts w:ascii="Arial" w:eastAsia="Arial" w:hAnsi="Arial" w:cs="Arial"/>
                <w:b/>
              </w:rPr>
            </w:pPr>
            <w:r>
              <w:rPr>
                <w:rFonts w:ascii="Arial" w:eastAsia="Arial" w:hAnsi="Arial" w:cs="Arial"/>
                <w:b/>
              </w:rPr>
              <w:t xml:space="preserve">Reviewed: </w:t>
            </w:r>
            <w:r>
              <w:rPr>
                <w:rFonts w:ascii="Arial" w:eastAsia="Arial" w:hAnsi="Arial" w:cs="Arial"/>
              </w:rPr>
              <w:t>1/2024</w:t>
            </w:r>
          </w:p>
        </w:tc>
        <w:tc>
          <w:tcPr>
            <w:tcW w:w="3296" w:type="dxa"/>
            <w:shd w:val="clear" w:color="auto" w:fill="auto"/>
          </w:tcPr>
          <w:p w14:paraId="16685CDC" w14:textId="77777777" w:rsidR="001A4573" w:rsidRDefault="00EF45C2">
            <w:pPr>
              <w:spacing w:after="0" w:line="240" w:lineRule="auto"/>
              <w:rPr>
                <w:rFonts w:ascii="Arial" w:eastAsia="Arial" w:hAnsi="Arial" w:cs="Arial"/>
              </w:rPr>
            </w:pPr>
            <w:r>
              <w:rPr>
                <w:rFonts w:ascii="Arial" w:eastAsia="Arial" w:hAnsi="Arial" w:cs="Arial"/>
                <w:b/>
              </w:rPr>
              <w:t>Revision Date:</w:t>
            </w:r>
            <w:r>
              <w:rPr>
                <w:rFonts w:ascii="Arial" w:eastAsia="Arial" w:hAnsi="Arial" w:cs="Arial"/>
              </w:rPr>
              <w:t xml:space="preserve"> 4/2008; 1/2018; 1/2020; 1/2021</w:t>
            </w:r>
          </w:p>
        </w:tc>
      </w:tr>
    </w:tbl>
    <w:p w14:paraId="16685CDE" w14:textId="77777777" w:rsidR="001A4573" w:rsidRDefault="001A4573">
      <w:pPr>
        <w:pBdr>
          <w:top w:val="nil"/>
          <w:left w:val="nil"/>
          <w:bottom w:val="nil"/>
          <w:right w:val="nil"/>
          <w:between w:val="nil"/>
        </w:pBdr>
        <w:spacing w:after="0"/>
        <w:ind w:left="1080"/>
        <w:rPr>
          <w:rFonts w:ascii="Arial" w:eastAsia="Arial" w:hAnsi="Arial" w:cs="Arial"/>
          <w:color w:val="000000"/>
        </w:rPr>
      </w:pPr>
    </w:p>
    <w:p w14:paraId="16685CDF" w14:textId="77777777" w:rsidR="001A4573" w:rsidRDefault="00EF45C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u w:val="single"/>
        </w:rPr>
        <w:t>POLICY PURPOSE:</w:t>
      </w:r>
      <w:r>
        <w:rPr>
          <w:rFonts w:ascii="Arial" w:eastAsia="Arial" w:hAnsi="Arial" w:cs="Arial"/>
          <w:color w:val="000000"/>
        </w:rPr>
        <w:t xml:space="preserve"> </w:t>
      </w:r>
    </w:p>
    <w:p w14:paraId="16685CE0" w14:textId="77777777" w:rsidR="001A4573" w:rsidRDefault="00EF45C2">
      <w:pPr>
        <w:pBdr>
          <w:top w:val="nil"/>
          <w:left w:val="nil"/>
          <w:bottom w:val="nil"/>
          <w:right w:val="nil"/>
          <w:between w:val="nil"/>
        </w:pBdr>
        <w:spacing w:after="0"/>
        <w:ind w:left="1080"/>
        <w:rPr>
          <w:rFonts w:ascii="Arial" w:eastAsia="Arial" w:hAnsi="Arial" w:cs="Arial"/>
          <w:color w:val="000000"/>
        </w:rPr>
      </w:pPr>
      <w:r>
        <w:rPr>
          <w:rFonts w:ascii="Arial" w:eastAsia="Arial" w:hAnsi="Arial" w:cs="Arial"/>
          <w:color w:val="000000"/>
        </w:rPr>
        <w:t xml:space="preserve">The purpose of this policy is to establish the investment goals and objectives and policy guidelines for managing the short- and long-term investment funds of the North Carolina Emergency Nurses Association (NCENA). It is intended that those goals, </w:t>
      </w:r>
      <w:proofErr w:type="gramStart"/>
      <w:r>
        <w:rPr>
          <w:rFonts w:ascii="Arial" w:eastAsia="Arial" w:hAnsi="Arial" w:cs="Arial"/>
          <w:color w:val="000000"/>
        </w:rPr>
        <w:t>objectives</w:t>
      </w:r>
      <w:proofErr w:type="gramEnd"/>
      <w:r>
        <w:rPr>
          <w:rFonts w:ascii="Arial" w:eastAsia="Arial" w:hAnsi="Arial" w:cs="Arial"/>
          <w:color w:val="000000"/>
        </w:rPr>
        <w:t xml:space="preserve"> and guidelines provide meaningful guidance and expectations in the management and performance of the funds and to provide the flexibility to respond </w:t>
      </w:r>
      <w:r>
        <w:rPr>
          <w:rFonts w:ascii="Arial" w:eastAsia="Arial" w:hAnsi="Arial" w:cs="Arial"/>
        </w:rPr>
        <w:t>to changing</w:t>
      </w:r>
      <w:r>
        <w:rPr>
          <w:rFonts w:ascii="Arial" w:eastAsia="Arial" w:hAnsi="Arial" w:cs="Arial"/>
          <w:color w:val="000000"/>
        </w:rPr>
        <w:t xml:space="preserve"> economic, business and investment conditions. </w:t>
      </w:r>
    </w:p>
    <w:p w14:paraId="16685CE1" w14:textId="77777777" w:rsidR="001A4573" w:rsidRDefault="001A4573">
      <w:pPr>
        <w:pBdr>
          <w:top w:val="nil"/>
          <w:left w:val="nil"/>
          <w:bottom w:val="nil"/>
          <w:right w:val="nil"/>
          <w:between w:val="nil"/>
        </w:pBdr>
        <w:spacing w:after="0"/>
        <w:ind w:left="1080"/>
        <w:rPr>
          <w:rFonts w:ascii="Arial" w:eastAsia="Arial" w:hAnsi="Arial" w:cs="Arial"/>
          <w:color w:val="000000"/>
        </w:rPr>
      </w:pPr>
    </w:p>
    <w:p w14:paraId="16685CE2" w14:textId="77777777" w:rsidR="001A4573" w:rsidRDefault="00EF45C2">
      <w:pPr>
        <w:numPr>
          <w:ilvl w:val="0"/>
          <w:numId w:val="3"/>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POLICY BACKGROUND:</w:t>
      </w:r>
    </w:p>
    <w:p w14:paraId="16685CE3" w14:textId="77777777" w:rsidR="001A4573" w:rsidRDefault="00EF45C2">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Investment goals:</w:t>
      </w:r>
      <w:r>
        <w:rPr>
          <w:rFonts w:ascii="Arial" w:eastAsia="Arial" w:hAnsi="Arial" w:cs="Arial"/>
          <w:color w:val="000000"/>
        </w:rPr>
        <w:t xml:space="preserve"> The NCENA’s funds should be invested in such a manner as to maximize total returns consistent with acceptable levels of risk and the liquidity needs of the council and adhere to applicable </w:t>
      </w:r>
      <w:r>
        <w:rPr>
          <w:rFonts w:ascii="Arial" w:eastAsia="Arial" w:hAnsi="Arial" w:cs="Arial"/>
        </w:rPr>
        <w:t>statutes</w:t>
      </w:r>
      <w:r>
        <w:rPr>
          <w:rFonts w:ascii="Arial" w:eastAsia="Arial" w:hAnsi="Arial" w:cs="Arial"/>
          <w:color w:val="000000"/>
        </w:rPr>
        <w:t xml:space="preserve"> and policies related to fiduciary responsibility. </w:t>
      </w:r>
    </w:p>
    <w:p w14:paraId="16685CE4" w14:textId="77777777" w:rsidR="001A4573" w:rsidRDefault="00EF45C2">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Short-term funds</w:t>
      </w:r>
      <w:r>
        <w:rPr>
          <w:rFonts w:ascii="Arial" w:eastAsia="Arial" w:hAnsi="Arial" w:cs="Arial"/>
          <w:color w:val="000000"/>
        </w:rPr>
        <w:t xml:space="preserve">: The goals of investing short-term funds shall be preservation of principal, liquidity times to spending needs and reasonable current income, subject to any grant restrictions. </w:t>
      </w:r>
    </w:p>
    <w:p w14:paraId="16685CE5" w14:textId="77777777" w:rsidR="001A4573" w:rsidRDefault="00EF45C2">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Long-term funds</w:t>
      </w:r>
      <w:r>
        <w:rPr>
          <w:rFonts w:ascii="Arial" w:eastAsia="Arial" w:hAnsi="Arial" w:cs="Arial"/>
          <w:color w:val="000000"/>
        </w:rPr>
        <w:t xml:space="preserve">: The goals of investing long-term funds shall be to generate a reasonable rate of return at a relatively low level of risk, prescribing the real inflation-adjusted value of the fund over time. </w:t>
      </w:r>
    </w:p>
    <w:p w14:paraId="16685CE6" w14:textId="77777777" w:rsidR="001A4573" w:rsidRDefault="001A4573">
      <w:pPr>
        <w:pBdr>
          <w:top w:val="nil"/>
          <w:left w:val="nil"/>
          <w:bottom w:val="nil"/>
          <w:right w:val="nil"/>
          <w:between w:val="nil"/>
        </w:pBdr>
        <w:spacing w:after="0"/>
        <w:ind w:left="1080"/>
        <w:rPr>
          <w:rFonts w:ascii="Arial" w:eastAsia="Arial" w:hAnsi="Arial" w:cs="Arial"/>
          <w:color w:val="000000"/>
        </w:rPr>
      </w:pPr>
    </w:p>
    <w:p w14:paraId="16685CE7" w14:textId="77777777" w:rsidR="001A4573" w:rsidRDefault="00EF45C2">
      <w:pPr>
        <w:numPr>
          <w:ilvl w:val="0"/>
          <w:numId w:val="3"/>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PROTOCOL:</w:t>
      </w:r>
      <w:r>
        <w:rPr>
          <w:rFonts w:ascii="Arial" w:eastAsia="Arial" w:hAnsi="Arial" w:cs="Arial"/>
          <w:color w:val="FF0000"/>
        </w:rPr>
        <w:t xml:space="preserve"> </w:t>
      </w:r>
    </w:p>
    <w:p w14:paraId="16685CE8" w14:textId="77777777" w:rsidR="001A4573" w:rsidRDefault="00EF45C2">
      <w:pPr>
        <w:numPr>
          <w:ilvl w:val="0"/>
          <w:numId w:val="1"/>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rPr>
        <w:t>Investment objectives</w:t>
      </w:r>
      <w:r>
        <w:rPr>
          <w:rFonts w:ascii="Arial" w:eastAsia="Arial" w:hAnsi="Arial" w:cs="Arial"/>
          <w:color w:val="000000"/>
        </w:rPr>
        <w:t>: The investment objective is to grow the value of the councils’ investment funds over the long term and to earn total rates of return greater than those currently received by the council’s banking strategy, while avoiding undue risk and generating liquidity sufficient for the needs of the council’s operations. Although short-term fluctuations will affect portfolio performance, the council expects (a) the short-term investments to preserve principal and the invested portion thereof to generate current incom</w:t>
      </w:r>
      <w:r>
        <w:rPr>
          <w:rFonts w:ascii="Arial" w:eastAsia="Arial" w:hAnsi="Arial" w:cs="Arial"/>
          <w:color w:val="000000"/>
        </w:rPr>
        <w:t xml:space="preserve">e equal to a market rate of return for short-term fixed income securities and (b) the long-term investments to provide for any emergency liquidity needs of the council and to generate a total return net of investment expenses over a five-year moving time period that exceeds the rate of inflation plus three to five percent annually. </w:t>
      </w:r>
    </w:p>
    <w:p w14:paraId="16685CE9" w14:textId="77777777" w:rsidR="001A4573" w:rsidRDefault="00EF45C2">
      <w:pPr>
        <w:numPr>
          <w:ilvl w:val="0"/>
          <w:numId w:val="1"/>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rPr>
        <w:t>General investment policy</w:t>
      </w:r>
      <w:r>
        <w:rPr>
          <w:rFonts w:ascii="Arial" w:eastAsia="Arial" w:hAnsi="Arial" w:cs="Arial"/>
          <w:color w:val="000000"/>
        </w:rPr>
        <w:t>: The NCENA Board of Directors (“Board”) shall make recommendations upon the advice of the investment managers, brokers and/or bankers with respect to investments within the policies set by the Board of Directors.</w:t>
      </w:r>
    </w:p>
    <w:p w14:paraId="16685CEA" w14:textId="77777777" w:rsidR="001A4573" w:rsidRDefault="00EF45C2">
      <w:pPr>
        <w:numPr>
          <w:ilvl w:val="0"/>
          <w:numId w:val="1"/>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rPr>
        <w:lastRenderedPageBreak/>
        <w:t>Role of Treasurer</w:t>
      </w:r>
      <w:r>
        <w:rPr>
          <w:rFonts w:ascii="Arial" w:eastAsia="Arial" w:hAnsi="Arial" w:cs="Arial"/>
          <w:color w:val="000000"/>
        </w:rPr>
        <w:t>: The Board shall accept and act on investment recommendations made by the investment managers, brokers and/or bankers. The Treasurer shall advise the Board with respect to the status of investments and shall monitor the implementation of the decisions of the Board and be the conduit between the Board and any investment managers, brokers and/or bankers.</w:t>
      </w:r>
    </w:p>
    <w:p w14:paraId="16685CEB" w14:textId="77777777" w:rsidR="001A4573" w:rsidRDefault="00EF45C2">
      <w:pPr>
        <w:numPr>
          <w:ilvl w:val="0"/>
          <w:numId w:val="1"/>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rPr>
        <w:t>Role of Investment managers, Brokers, and/or Bankers</w:t>
      </w:r>
      <w:r>
        <w:rPr>
          <w:rFonts w:ascii="Arial" w:eastAsia="Arial" w:hAnsi="Arial" w:cs="Arial"/>
          <w:color w:val="000000"/>
        </w:rPr>
        <w:t xml:space="preserve">: The investment managers, brokers and/or bankers (managers) have the discretion to purchase, sell or hold the specific securities and/or funds that will be used to meet investment objectives of the NCENA. The Board will not reserve any control over investment decisions </w:t>
      </w:r>
      <w:proofErr w:type="gramStart"/>
      <w:r>
        <w:rPr>
          <w:rFonts w:ascii="Arial" w:eastAsia="Arial" w:hAnsi="Arial" w:cs="Arial"/>
          <w:color w:val="000000"/>
        </w:rPr>
        <w:t>with the exception of</w:t>
      </w:r>
      <w:proofErr w:type="gramEnd"/>
      <w:r>
        <w:rPr>
          <w:rFonts w:ascii="Arial" w:eastAsia="Arial" w:hAnsi="Arial" w:cs="Arial"/>
          <w:color w:val="000000"/>
        </w:rPr>
        <w:t xml:space="preserve"> specific limitations described in these statements. Managers will be held responsible and accountable to achieve the objectives herein stated. While it is not believed the limitations will hamper managers, each manager </w:t>
      </w:r>
      <w:r>
        <w:rPr>
          <w:rFonts w:ascii="Arial" w:eastAsia="Arial" w:hAnsi="Arial" w:cs="Arial"/>
          <w:color w:val="000000"/>
        </w:rPr>
        <w:t>should request modifications which they deem appropriate.</w:t>
      </w:r>
    </w:p>
    <w:p w14:paraId="16685CEC" w14:textId="77777777" w:rsidR="001A4573" w:rsidRDefault="00EF45C2">
      <w:pPr>
        <w:numPr>
          <w:ilvl w:val="0"/>
          <w:numId w:val="1"/>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rPr>
        <w:t>Investment Selections Standards</w:t>
      </w:r>
      <w:r>
        <w:rPr>
          <w:rFonts w:ascii="Arial" w:eastAsia="Arial" w:hAnsi="Arial" w:cs="Arial"/>
          <w:color w:val="000000"/>
        </w:rPr>
        <w:t xml:space="preserve">: Investments will be made and held through mutual funds or other collective investment vehicles rather than individual securities. The NCENA may accept donations of marketable securities, which will be reviewed immediately to determine </w:t>
      </w:r>
      <w:proofErr w:type="gramStart"/>
      <w:r>
        <w:rPr>
          <w:rFonts w:ascii="Arial" w:eastAsia="Arial" w:hAnsi="Arial" w:cs="Arial"/>
          <w:color w:val="000000"/>
        </w:rPr>
        <w:t>whether or not</w:t>
      </w:r>
      <w:proofErr w:type="gramEnd"/>
      <w:r>
        <w:rPr>
          <w:rFonts w:ascii="Arial" w:eastAsia="Arial" w:hAnsi="Arial" w:cs="Arial"/>
          <w:color w:val="000000"/>
        </w:rPr>
        <w:t xml:space="preserve"> the investments fit within the guidelines of this policy, if not, it will be sold immediately.</w:t>
      </w:r>
    </w:p>
    <w:p w14:paraId="16685CED" w14:textId="77777777" w:rsidR="001A4573" w:rsidRDefault="00EF45C2">
      <w:pPr>
        <w:numPr>
          <w:ilvl w:val="0"/>
          <w:numId w:val="1"/>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rPr>
        <w:t>Prohibited Investments and Transactions</w:t>
      </w:r>
      <w:r>
        <w:rPr>
          <w:rFonts w:ascii="Arial" w:eastAsia="Arial" w:hAnsi="Arial" w:cs="Arial"/>
          <w:color w:val="000000"/>
        </w:rPr>
        <w:t xml:space="preserve">: The following investments and transactions are prohibited: direct investment on real estate, short sales, margin transactions, non-publicly traded </w:t>
      </w:r>
      <w:proofErr w:type="gramStart"/>
      <w:r>
        <w:rPr>
          <w:rFonts w:ascii="Arial" w:eastAsia="Arial" w:hAnsi="Arial" w:cs="Arial"/>
          <w:color w:val="000000"/>
        </w:rPr>
        <w:t>securities</w:t>
      </w:r>
      <w:proofErr w:type="gramEnd"/>
      <w:r>
        <w:rPr>
          <w:rFonts w:ascii="Arial" w:eastAsia="Arial" w:hAnsi="Arial" w:cs="Arial"/>
          <w:color w:val="000000"/>
        </w:rPr>
        <w:t xml:space="preserve"> and derivatives; except that investments in mutual funds that employ such strategies on a limited basis or only for hedging purposes are permitted.</w:t>
      </w:r>
    </w:p>
    <w:p w14:paraId="16685CEE" w14:textId="77777777" w:rsidR="001A4573" w:rsidRDefault="00EF45C2">
      <w:pPr>
        <w:numPr>
          <w:ilvl w:val="0"/>
          <w:numId w:val="1"/>
        </w:num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rPr>
        <w:t>Investments Performance Review Evaluation and Reporting</w:t>
      </w:r>
      <w:r>
        <w:rPr>
          <w:rFonts w:ascii="Arial" w:eastAsia="Arial" w:hAnsi="Arial" w:cs="Arial"/>
          <w:color w:val="000000"/>
        </w:rPr>
        <w:t>: The Board shall review and evaluate the performance results of the investments funds quarterly and at the end of each year and shall compare performance results to relevant benchmarks. The Investment manager, broker or banker shall report to the board at least annually on the composition and performance results of the funds.</w:t>
      </w:r>
    </w:p>
    <w:p w14:paraId="16685CEF" w14:textId="77777777" w:rsidR="001A4573" w:rsidRDefault="00EF45C2">
      <w:pPr>
        <w:numPr>
          <w:ilvl w:val="0"/>
          <w:numId w:val="1"/>
        </w:num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rPr>
        <w:t>Policy Review and Exceptions</w:t>
      </w:r>
      <w:r>
        <w:rPr>
          <w:rFonts w:ascii="Arial" w:eastAsia="Arial" w:hAnsi="Arial" w:cs="Arial"/>
          <w:color w:val="000000"/>
        </w:rPr>
        <w:t>: The Board will review this statement on a periodic basis and will consider modifications as appropriate. This policy may be amended or any exceptions to it may be authorized by resolution of the Board at any time.</w:t>
      </w:r>
    </w:p>
    <w:p w14:paraId="16685CF0" w14:textId="77777777" w:rsidR="001A4573" w:rsidRDefault="001A4573">
      <w:pPr>
        <w:rPr>
          <w:rFonts w:ascii="Arial" w:eastAsia="Arial" w:hAnsi="Arial" w:cs="Arial"/>
          <w:b/>
          <w:u w:val="single"/>
        </w:rPr>
      </w:pPr>
    </w:p>
    <w:sectPr w:rsidR="001A45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5CF9" w14:textId="77777777" w:rsidR="00EF45C2" w:rsidRDefault="00EF45C2">
      <w:pPr>
        <w:spacing w:after="0" w:line="240" w:lineRule="auto"/>
      </w:pPr>
      <w:r>
        <w:separator/>
      </w:r>
    </w:p>
  </w:endnote>
  <w:endnote w:type="continuationSeparator" w:id="0">
    <w:p w14:paraId="16685CFB" w14:textId="77777777" w:rsidR="00EF45C2" w:rsidRDefault="00EF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DB3" w14:textId="77777777" w:rsidR="00EF45C2" w:rsidRDefault="00EF4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5CF3" w14:textId="72BEF2D5" w:rsidR="001A4573" w:rsidRDefault="00EF45C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808080"/>
      </w:rPr>
      <w:t>Page</w:t>
    </w:r>
  </w:p>
  <w:p w14:paraId="16685CF4" w14:textId="77777777" w:rsidR="001A4573" w:rsidRDefault="001A457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8A25" w14:textId="77777777" w:rsidR="00EF45C2" w:rsidRDefault="00EF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5CF5" w14:textId="77777777" w:rsidR="00EF45C2" w:rsidRDefault="00EF45C2">
      <w:pPr>
        <w:spacing w:after="0" w:line="240" w:lineRule="auto"/>
      </w:pPr>
      <w:r>
        <w:separator/>
      </w:r>
    </w:p>
  </w:footnote>
  <w:footnote w:type="continuationSeparator" w:id="0">
    <w:p w14:paraId="16685CF7" w14:textId="77777777" w:rsidR="00EF45C2" w:rsidRDefault="00EF4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7160" w14:textId="77777777" w:rsidR="00EF45C2" w:rsidRDefault="00EF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5CF1" w14:textId="0A291FC8" w:rsidR="001A4573" w:rsidRDefault="00EF45C2">
    <w:pPr>
      <w:pBdr>
        <w:top w:val="nil"/>
        <w:left w:val="nil"/>
        <w:bottom w:val="nil"/>
        <w:right w:val="nil"/>
        <w:between w:val="nil"/>
      </w:pBdr>
      <w:tabs>
        <w:tab w:val="center" w:pos="4680"/>
        <w:tab w:val="right" w:pos="9360"/>
      </w:tabs>
      <w:spacing w:after="0" w:line="240" w:lineRule="auto"/>
      <w:rPr>
        <w:color w:val="000000"/>
      </w:rPr>
    </w:pPr>
    <w:sdt>
      <w:sdtPr>
        <w:rPr>
          <w:b/>
          <w:color w:val="000000"/>
          <w:sz w:val="36"/>
          <w:szCs w:val="36"/>
        </w:rPr>
        <w:id w:val="-1982761539"/>
        <w:docPartObj>
          <w:docPartGallery w:val="Watermarks"/>
          <w:docPartUnique/>
        </w:docPartObj>
      </w:sdtPr>
      <w:sdtContent>
        <w:r w:rsidRPr="00EF45C2">
          <w:rPr>
            <w:b/>
            <w:noProof/>
            <w:color w:val="000000"/>
            <w:sz w:val="36"/>
            <w:szCs w:val="36"/>
          </w:rPr>
          <w:pict w14:anchorId="10B93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noProof/>
        <w:color w:val="000000"/>
        <w:sz w:val="36"/>
        <w:szCs w:val="36"/>
      </w:rPr>
      <w:drawing>
        <wp:inline distT="0" distB="0" distL="0" distR="0" wp14:anchorId="16685CF5" wp14:editId="16685CF6">
          <wp:extent cx="922405" cy="455264"/>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2405" cy="455264"/>
                  </a:xfrm>
                  <a:prstGeom prst="rect">
                    <a:avLst/>
                  </a:prstGeom>
                  <a:ln/>
                </pic:spPr>
              </pic:pic>
            </a:graphicData>
          </a:graphic>
        </wp:inline>
      </w:drawing>
    </w:r>
    <w:r>
      <w:rPr>
        <w:b/>
        <w:color w:val="000000"/>
        <w:sz w:val="36"/>
        <w:szCs w:val="36"/>
      </w:rPr>
      <w:tab/>
    </w:r>
    <w:r>
      <w:rPr>
        <w:b/>
        <w:color w:val="000000"/>
        <w:sz w:val="36"/>
        <w:szCs w:val="36"/>
      </w:rPr>
      <w:tab/>
    </w:r>
    <w:r>
      <w:rPr>
        <w:noProof/>
      </w:rPr>
      <mc:AlternateContent>
        <mc:Choice Requires="wps">
          <w:drawing>
            <wp:anchor distT="0" distB="0" distL="114300" distR="114300" simplePos="0" relativeHeight="251658240" behindDoc="0" locked="0" layoutInCell="1" hidden="0" allowOverlap="1" wp14:anchorId="16685CF7" wp14:editId="16685CF8">
              <wp:simplePos x="0" y="0"/>
              <wp:positionH relativeFrom="column">
                <wp:posOffset>2336800</wp:posOffset>
              </wp:positionH>
              <wp:positionV relativeFrom="paragraph">
                <wp:posOffset>-50799</wp:posOffset>
              </wp:positionV>
              <wp:extent cx="3733800" cy="452755"/>
              <wp:effectExtent l="0" t="0" r="0" b="0"/>
              <wp:wrapNone/>
              <wp:docPr id="6" name="Rectangle 6"/>
              <wp:cNvGraphicFramePr/>
              <a:graphic xmlns:a="http://schemas.openxmlformats.org/drawingml/2006/main">
                <a:graphicData uri="http://schemas.microsoft.com/office/word/2010/wordprocessingShape">
                  <wps:wsp>
                    <wps:cNvSpPr/>
                    <wps:spPr>
                      <a:xfrm>
                        <a:off x="3483863" y="3558385"/>
                        <a:ext cx="3724275" cy="443230"/>
                      </a:xfrm>
                      <a:prstGeom prst="rect">
                        <a:avLst/>
                      </a:prstGeom>
                      <a:noFill/>
                      <a:ln>
                        <a:noFill/>
                      </a:ln>
                    </wps:spPr>
                    <wps:txbx>
                      <w:txbxContent>
                        <w:p w14:paraId="16685CF9" w14:textId="77777777" w:rsidR="001A4573" w:rsidRDefault="001A457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685CF7" id="Rectangle 6" o:spid="_x0000_s1026" style="position:absolute;margin-left:184pt;margin-top:-4pt;width:294pt;height:3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FuQEAAFoDAAAOAAAAZHJzL2Uyb0RvYy54bWysU9uO0zAQfUfiHyy/06S5bEvUdIVYFSGt&#10;oNLCB7iO3VhybONxm/TvGTtlW+AN8eLMTWfOmZlsHqdBk7PwoKxp6XKRUyIMt50yx5Z+/7Z7t6YE&#10;AjMd09aIll4E0Mft2zeb0TWisL3VnfAEQQw0o2tpH4Jrsgx4LwYGC+uEwaS0fmABXX/MOs9GRB90&#10;VuT5QzZa3zlvuQDA6NOcpNuEL6Xg4auUIALRLUVuIb0+vYf4ZtsNa46euV7xKw32DywGpgw2fYV6&#10;YoGRk1d/QQ2KewtWhgW3Q2alVFwkDahmmf+h5qVnTiQtOBxwr2OC/wfLv5xf3N7jGEYHDaAZVUzS&#10;D/GL/MjU0rJal+uHkpIL2nWNTj0PTkyB8FiwKqpiVVPCsaKqyqJMk81uSM5D+CTsQKLRUo+LSfNi&#10;52cI2B1Lf5XExsbulNZpOdr8FsDCGMludKMVpsN01XCw3WXvCTi+U9jrmUHYM49LXVIy4qJbCj9O&#10;zAtK9GeDk3y/rApkHpJT1ascz8TfZw73GWZ4b/F+AiWz+TGka5o5fjgFK1XSE1nNVK5kcYFJ5vXY&#10;4oXc+6nq9ktsfwIAAP//AwBQSwMEFAAGAAgAAAAhAIzUH3PcAAAACQEAAA8AAABkcnMvZG93bnJl&#10;di54bWxMjzFPwzAQhXck/oN1SGytU0KtEuJUCNGBkbQDoxsfSYR9jmKnTf99rxNMd6f39O575Xb2&#10;TpxwjH0gDatlBgKpCbanVsNhv1tsQMRkyBoXCDVcMMK2ur8rTWHDmb7wVKdWcAjFwmjoUhoKKWPT&#10;oTdxGQYk1n7C6E3ic2ylHc2Zw72TT1mmpDc98YfODPjeYfNbT17DgM5O7rnOvhv5MdJKfe7lZa31&#10;48P89goi4Zz+zHDDZ3SomOkYJrJROA252nCXpGFxm2x4WStejhpUnoOsSvm/QXUFAAD//wMAUEsB&#10;Ai0AFAAGAAgAAAAhALaDOJL+AAAA4QEAABMAAAAAAAAAAAAAAAAAAAAAAFtDb250ZW50X1R5cGVz&#10;XS54bWxQSwECLQAUAAYACAAAACEAOP0h/9YAAACUAQAACwAAAAAAAAAAAAAAAAAvAQAAX3JlbHMv&#10;LnJlbHNQSwECLQAUAAYACAAAACEAzlE2RbkBAABaAwAADgAAAAAAAAAAAAAAAAAuAgAAZHJzL2Uy&#10;b0RvYy54bWxQSwECLQAUAAYACAAAACEAjNQfc9wAAAAJAQAADwAAAAAAAAAAAAAAAAATBAAAZHJz&#10;L2Rvd25yZXYueG1sUEsFBgAAAAAEAAQA8wAAABwFAAAAAA==&#10;" filled="f" stroked="f">
              <v:textbox inset="2.53958mm,1.2694mm,2.53958mm,1.2694mm">
                <w:txbxContent>
                  <w:p w14:paraId="16685CF9" w14:textId="77777777" w:rsidR="001A4573" w:rsidRDefault="001A4573">
                    <w:pPr>
                      <w:spacing w:line="275" w:lineRule="auto"/>
                      <w:textDirection w:val="btLr"/>
                    </w:pPr>
                  </w:p>
                </w:txbxContent>
              </v:textbox>
            </v:rect>
          </w:pict>
        </mc:Fallback>
      </mc:AlternateContent>
    </w:r>
  </w:p>
  <w:p w14:paraId="16685CF2" w14:textId="77777777" w:rsidR="001A4573" w:rsidRDefault="001A457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C102" w14:textId="77777777" w:rsidR="00EF45C2" w:rsidRDefault="00EF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4342B"/>
    <w:multiLevelType w:val="multilevel"/>
    <w:tmpl w:val="1040C2C8"/>
    <w:lvl w:ilvl="0">
      <w:start w:val="1"/>
      <w:numFmt w:val="upp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2116AA0"/>
    <w:multiLevelType w:val="multilevel"/>
    <w:tmpl w:val="9D44A53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C401A"/>
    <w:multiLevelType w:val="multilevel"/>
    <w:tmpl w:val="BCFA51EA"/>
    <w:lvl w:ilvl="0">
      <w:start w:val="1"/>
      <w:numFmt w:val="upperLetter"/>
      <w:lvlText w:val="%1."/>
      <w:lvlJc w:val="left"/>
      <w:pPr>
        <w:ind w:left="1440" w:hanging="360"/>
      </w:pPr>
      <w:rPr>
        <w:b w:val="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53845659">
    <w:abstractNumId w:val="2"/>
  </w:num>
  <w:num w:numId="2" w16cid:durableId="1954898479">
    <w:abstractNumId w:val="0"/>
  </w:num>
  <w:num w:numId="3" w16cid:durableId="107624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73"/>
    <w:rsid w:val="001A4573"/>
    <w:rsid w:val="00E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685CCF"/>
  <w15:docId w15:val="{EE3552A7-FAD7-4730-84E0-983BCA87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D7F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FC5"/>
    <w:rPr>
      <w:rFonts w:ascii="Tahoma" w:hAnsi="Tahoma" w:cs="Tahoma"/>
      <w:sz w:val="16"/>
      <w:szCs w:val="16"/>
    </w:rPr>
  </w:style>
  <w:style w:type="paragraph" w:styleId="Header">
    <w:name w:val="header"/>
    <w:basedOn w:val="Normal"/>
    <w:link w:val="HeaderChar"/>
    <w:uiPriority w:val="99"/>
    <w:unhideWhenUsed/>
    <w:rsid w:val="00ED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C5"/>
  </w:style>
  <w:style w:type="paragraph" w:styleId="Footer">
    <w:name w:val="footer"/>
    <w:basedOn w:val="Normal"/>
    <w:link w:val="FooterChar"/>
    <w:uiPriority w:val="99"/>
    <w:unhideWhenUsed/>
    <w:rsid w:val="00ED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C5"/>
  </w:style>
  <w:style w:type="table" w:styleId="TableGrid">
    <w:name w:val="Table Grid"/>
    <w:basedOn w:val="TableNormal"/>
    <w:uiPriority w:val="59"/>
    <w:rsid w:val="00ED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0012A1"/>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0012A1"/>
    <w:pPr>
      <w:ind w:left="720"/>
      <w:contextualSpacing/>
    </w:pPr>
  </w:style>
  <w:style w:type="paragraph" w:customStyle="1" w:styleId="A0E349F008B644AAB6A282E0D042D17E">
    <w:name w:val="A0E349F008B644AAB6A282E0D042D17E"/>
    <w:rsid w:val="00BA07F1"/>
    <w:rPr>
      <w:rFonts w:eastAsia="Times New Roman"/>
      <w:lang w:eastAsia="ja-JP"/>
    </w:rPr>
  </w:style>
  <w:style w:type="character" w:customStyle="1" w:styleId="itxtrst">
    <w:name w:val="itxtrst"/>
    <w:rsid w:val="00CC051C"/>
  </w:style>
  <w:style w:type="character" w:styleId="CommentReference">
    <w:name w:val="annotation reference"/>
    <w:basedOn w:val="DefaultParagraphFont"/>
    <w:uiPriority w:val="99"/>
    <w:semiHidden/>
    <w:unhideWhenUsed/>
    <w:rsid w:val="00C14B21"/>
    <w:rPr>
      <w:sz w:val="16"/>
      <w:szCs w:val="16"/>
    </w:rPr>
  </w:style>
  <w:style w:type="paragraph" w:styleId="CommentText">
    <w:name w:val="annotation text"/>
    <w:basedOn w:val="Normal"/>
    <w:link w:val="CommentTextChar"/>
    <w:uiPriority w:val="99"/>
    <w:semiHidden/>
    <w:unhideWhenUsed/>
    <w:rsid w:val="00C14B21"/>
    <w:pPr>
      <w:spacing w:line="240" w:lineRule="auto"/>
    </w:pPr>
    <w:rPr>
      <w:sz w:val="20"/>
      <w:szCs w:val="20"/>
    </w:rPr>
  </w:style>
  <w:style w:type="character" w:customStyle="1" w:styleId="CommentTextChar">
    <w:name w:val="Comment Text Char"/>
    <w:basedOn w:val="DefaultParagraphFont"/>
    <w:link w:val="CommentText"/>
    <w:uiPriority w:val="99"/>
    <w:semiHidden/>
    <w:rsid w:val="00C14B21"/>
  </w:style>
  <w:style w:type="paragraph" w:styleId="CommentSubject">
    <w:name w:val="annotation subject"/>
    <w:basedOn w:val="CommentText"/>
    <w:next w:val="CommentText"/>
    <w:link w:val="CommentSubjectChar"/>
    <w:uiPriority w:val="99"/>
    <w:semiHidden/>
    <w:unhideWhenUsed/>
    <w:rsid w:val="00C14B21"/>
    <w:rPr>
      <w:b/>
      <w:bCs/>
    </w:rPr>
  </w:style>
  <w:style w:type="character" w:customStyle="1" w:styleId="CommentSubjectChar">
    <w:name w:val="Comment Subject Char"/>
    <w:basedOn w:val="CommentTextChar"/>
    <w:link w:val="CommentSubject"/>
    <w:uiPriority w:val="99"/>
    <w:semiHidden/>
    <w:rsid w:val="00C14B21"/>
    <w:rPr>
      <w:b/>
      <w:bCs/>
    </w:rPr>
  </w:style>
  <w:style w:type="paragraph" w:styleId="Revision">
    <w:name w:val="Revision"/>
    <w:hidden/>
    <w:uiPriority w:val="99"/>
    <w:semiHidden/>
    <w:rsid w:val="0011041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I6nCiOvAr6//DwNxz4cK2ZxTA==">CgMxLjA4AGpnCjVzdWdnZXN0SWRJbXBvcnQ4NWNmMzFiYS1lZGMxLTQ5ODktYjZmMi1jYTJmMDVlYTcwNjJfMRIuTWNkb25hbGQsIERhdmlkIFIgKEpBWFgpIENEUiBVU04gRENOTyBONCAoVVNBKXIhMXhkOUhBUXBPaHJMZkdWYXhyOFM0ODJ2UmZnZ3JqQzll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Zick</dc:creator>
  <cp:lastModifiedBy>Kathy Mason</cp:lastModifiedBy>
  <cp:revision>1</cp:revision>
  <dcterms:created xsi:type="dcterms:W3CDTF">2021-01-29T16:56:00Z</dcterms:created>
  <dcterms:modified xsi:type="dcterms:W3CDTF">2024-02-03T22:51:00Z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0x0101005F3097E2337D8440A18FFAD0DB8F9B9A</vt:lpwstr>
  </property>
</Properties>
</file>