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0D4D" w14:textId="77777777" w:rsidR="009C58A0" w:rsidRDefault="009C58A0">
      <w:pPr>
        <w:widowControl w:val="0"/>
        <w:pBdr>
          <w:top w:val="nil"/>
          <w:left w:val="nil"/>
          <w:bottom w:val="nil"/>
          <w:right w:val="nil"/>
          <w:between w:val="nil"/>
        </w:pBdr>
        <w:spacing w:after="0"/>
        <w:rPr>
          <w:rFonts w:ascii="Arial" w:eastAsia="Arial" w:hAnsi="Arial" w:cs="Arial"/>
          <w:color w:val="000000"/>
        </w:rPr>
      </w:pP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4"/>
        <w:gridCol w:w="3296"/>
      </w:tblGrid>
      <w:tr w:rsidR="009C58A0" w14:paraId="108A0D50" w14:textId="77777777">
        <w:tc>
          <w:tcPr>
            <w:tcW w:w="6054" w:type="dxa"/>
            <w:shd w:val="clear" w:color="auto" w:fill="auto"/>
          </w:tcPr>
          <w:p w14:paraId="108A0D4E" w14:textId="77777777" w:rsidR="009C58A0" w:rsidRDefault="00E32AD8">
            <w:pPr>
              <w:spacing w:after="0" w:line="240" w:lineRule="auto"/>
              <w:rPr>
                <w:rFonts w:ascii="Arial" w:eastAsia="Arial" w:hAnsi="Arial" w:cs="Arial"/>
              </w:rPr>
            </w:pPr>
            <w:r>
              <w:rPr>
                <w:rFonts w:ascii="Arial" w:eastAsia="Arial" w:hAnsi="Arial" w:cs="Arial"/>
                <w:b/>
              </w:rPr>
              <w:t xml:space="preserve">Title: </w:t>
            </w:r>
            <w:r>
              <w:rPr>
                <w:rFonts w:ascii="Arial" w:eastAsia="Arial" w:hAnsi="Arial" w:cs="Arial"/>
              </w:rPr>
              <w:t>Fundraising Policy</w:t>
            </w:r>
          </w:p>
        </w:tc>
        <w:tc>
          <w:tcPr>
            <w:tcW w:w="3296" w:type="dxa"/>
            <w:shd w:val="clear" w:color="auto" w:fill="auto"/>
          </w:tcPr>
          <w:p w14:paraId="108A0D4F" w14:textId="77777777" w:rsidR="009C58A0" w:rsidRDefault="00E32AD8">
            <w:pPr>
              <w:spacing w:after="0" w:line="240" w:lineRule="auto"/>
              <w:rPr>
                <w:rFonts w:ascii="Arial" w:eastAsia="Arial" w:hAnsi="Arial" w:cs="Arial"/>
              </w:rPr>
            </w:pPr>
            <w:r>
              <w:rPr>
                <w:rFonts w:ascii="Arial" w:eastAsia="Arial" w:hAnsi="Arial" w:cs="Arial"/>
                <w:b/>
              </w:rPr>
              <w:t>Number:</w:t>
            </w:r>
            <w:r>
              <w:rPr>
                <w:rFonts w:ascii="Arial" w:eastAsia="Arial" w:hAnsi="Arial" w:cs="Arial"/>
              </w:rPr>
              <w:t xml:space="preserve"> N/A</w:t>
            </w:r>
          </w:p>
        </w:tc>
      </w:tr>
      <w:tr w:rsidR="009C58A0" w14:paraId="108A0D52" w14:textId="77777777">
        <w:tc>
          <w:tcPr>
            <w:tcW w:w="9350" w:type="dxa"/>
            <w:gridSpan w:val="2"/>
            <w:shd w:val="clear" w:color="auto" w:fill="auto"/>
          </w:tcPr>
          <w:p w14:paraId="108A0D51" w14:textId="77777777" w:rsidR="009C58A0" w:rsidRDefault="00E32AD8">
            <w:pPr>
              <w:spacing w:after="0" w:line="240" w:lineRule="auto"/>
              <w:rPr>
                <w:rFonts w:ascii="Arial" w:eastAsia="Arial" w:hAnsi="Arial" w:cs="Arial"/>
              </w:rPr>
            </w:pPr>
            <w:r>
              <w:rPr>
                <w:rFonts w:ascii="Arial" w:eastAsia="Arial" w:hAnsi="Arial" w:cs="Arial"/>
                <w:b/>
              </w:rPr>
              <w:t xml:space="preserve">Cross Reference: </w:t>
            </w:r>
            <w:r>
              <w:rPr>
                <w:rFonts w:ascii="Arial" w:eastAsia="Arial" w:hAnsi="Arial" w:cs="Arial"/>
              </w:rPr>
              <w:t>N/A</w:t>
            </w:r>
          </w:p>
        </w:tc>
      </w:tr>
      <w:tr w:rsidR="009C58A0" w14:paraId="108A0D55" w14:textId="77777777">
        <w:tc>
          <w:tcPr>
            <w:tcW w:w="6054" w:type="dxa"/>
            <w:shd w:val="clear" w:color="auto" w:fill="auto"/>
          </w:tcPr>
          <w:p w14:paraId="108A0D53" w14:textId="77777777" w:rsidR="009C58A0" w:rsidRDefault="00E32AD8">
            <w:pPr>
              <w:spacing w:after="0" w:line="240" w:lineRule="auto"/>
              <w:rPr>
                <w:rFonts w:ascii="Arial" w:eastAsia="Arial" w:hAnsi="Arial" w:cs="Arial"/>
              </w:rPr>
            </w:pPr>
            <w:r>
              <w:rPr>
                <w:rFonts w:ascii="Arial" w:eastAsia="Arial" w:hAnsi="Arial" w:cs="Arial"/>
                <w:b/>
              </w:rPr>
              <w:t>Approved by:</w:t>
            </w:r>
            <w:r>
              <w:rPr>
                <w:rFonts w:ascii="Arial" w:eastAsia="Arial" w:hAnsi="Arial" w:cs="Arial"/>
              </w:rPr>
              <w:t xml:space="preserve"> NCENA Board of Directors</w:t>
            </w:r>
          </w:p>
        </w:tc>
        <w:tc>
          <w:tcPr>
            <w:tcW w:w="3296" w:type="dxa"/>
            <w:shd w:val="clear" w:color="auto" w:fill="auto"/>
          </w:tcPr>
          <w:p w14:paraId="108A0D54" w14:textId="77777777" w:rsidR="009C58A0" w:rsidRDefault="00E32AD8">
            <w:pPr>
              <w:spacing w:after="0" w:line="240" w:lineRule="auto"/>
              <w:rPr>
                <w:rFonts w:ascii="Arial" w:eastAsia="Arial" w:hAnsi="Arial" w:cs="Arial"/>
              </w:rPr>
            </w:pPr>
            <w:r>
              <w:rPr>
                <w:rFonts w:ascii="Arial" w:eastAsia="Arial" w:hAnsi="Arial" w:cs="Arial"/>
                <w:b/>
              </w:rPr>
              <w:t xml:space="preserve">Origination Date: </w:t>
            </w:r>
            <w:r>
              <w:rPr>
                <w:rFonts w:ascii="Arial" w:eastAsia="Arial" w:hAnsi="Arial" w:cs="Arial"/>
              </w:rPr>
              <w:t>1/2013</w:t>
            </w:r>
          </w:p>
        </w:tc>
      </w:tr>
      <w:tr w:rsidR="009C58A0" w14:paraId="108A0D58" w14:textId="77777777">
        <w:tc>
          <w:tcPr>
            <w:tcW w:w="6054" w:type="dxa"/>
            <w:shd w:val="clear" w:color="auto" w:fill="auto"/>
          </w:tcPr>
          <w:p w14:paraId="108A0D56" w14:textId="77777777" w:rsidR="009C58A0" w:rsidRDefault="00E32AD8">
            <w:pPr>
              <w:spacing w:after="0" w:line="240" w:lineRule="auto"/>
              <w:rPr>
                <w:rFonts w:ascii="Arial" w:eastAsia="Arial" w:hAnsi="Arial" w:cs="Arial"/>
              </w:rPr>
            </w:pPr>
            <w:r>
              <w:rPr>
                <w:rFonts w:ascii="Arial" w:eastAsia="Arial" w:hAnsi="Arial" w:cs="Arial"/>
                <w:b/>
              </w:rPr>
              <w:t xml:space="preserve">Revised by: </w:t>
            </w:r>
            <w:r>
              <w:rPr>
                <w:rFonts w:ascii="Arial" w:eastAsia="Arial" w:hAnsi="Arial" w:cs="Arial"/>
              </w:rPr>
              <w:t>NCENA Board of Directors</w:t>
            </w:r>
          </w:p>
        </w:tc>
        <w:tc>
          <w:tcPr>
            <w:tcW w:w="3296" w:type="dxa"/>
            <w:shd w:val="clear" w:color="auto" w:fill="auto"/>
          </w:tcPr>
          <w:p w14:paraId="108A0D57" w14:textId="77777777" w:rsidR="009C58A0" w:rsidRDefault="00E32AD8">
            <w:pPr>
              <w:spacing w:after="0" w:line="240" w:lineRule="auto"/>
              <w:rPr>
                <w:rFonts w:ascii="Arial" w:eastAsia="Arial" w:hAnsi="Arial" w:cs="Arial"/>
              </w:rPr>
            </w:pPr>
            <w:r>
              <w:rPr>
                <w:rFonts w:ascii="Arial" w:eastAsia="Arial" w:hAnsi="Arial" w:cs="Arial"/>
                <w:b/>
              </w:rPr>
              <w:t xml:space="preserve">Approval Date: </w:t>
            </w:r>
            <w:r>
              <w:rPr>
                <w:rFonts w:ascii="Arial" w:eastAsia="Arial" w:hAnsi="Arial" w:cs="Arial"/>
              </w:rPr>
              <w:t>1/2013</w:t>
            </w:r>
          </w:p>
        </w:tc>
      </w:tr>
      <w:tr w:rsidR="009C58A0" w14:paraId="108A0D5B" w14:textId="77777777">
        <w:tc>
          <w:tcPr>
            <w:tcW w:w="6054" w:type="dxa"/>
            <w:shd w:val="clear" w:color="auto" w:fill="auto"/>
          </w:tcPr>
          <w:p w14:paraId="108A0D59" w14:textId="77777777" w:rsidR="009C58A0" w:rsidRDefault="00E32AD8">
            <w:pPr>
              <w:spacing w:after="0" w:line="240" w:lineRule="auto"/>
              <w:rPr>
                <w:rFonts w:ascii="Arial" w:eastAsia="Arial" w:hAnsi="Arial" w:cs="Arial"/>
                <w:b/>
              </w:rPr>
            </w:pPr>
            <w:r>
              <w:rPr>
                <w:rFonts w:ascii="Arial" w:eastAsia="Arial" w:hAnsi="Arial" w:cs="Arial"/>
                <w:b/>
              </w:rPr>
              <w:t xml:space="preserve">Reviewed: </w:t>
            </w:r>
            <w:r>
              <w:rPr>
                <w:rFonts w:ascii="Arial" w:eastAsia="Arial" w:hAnsi="Arial" w:cs="Arial"/>
              </w:rPr>
              <w:t>1/2024</w:t>
            </w:r>
          </w:p>
        </w:tc>
        <w:tc>
          <w:tcPr>
            <w:tcW w:w="3296" w:type="dxa"/>
            <w:shd w:val="clear" w:color="auto" w:fill="auto"/>
          </w:tcPr>
          <w:p w14:paraId="108A0D5A" w14:textId="77777777" w:rsidR="009C58A0" w:rsidRDefault="00E32AD8">
            <w:pPr>
              <w:spacing w:after="0" w:line="240" w:lineRule="auto"/>
              <w:rPr>
                <w:rFonts w:ascii="Arial" w:eastAsia="Arial" w:hAnsi="Arial" w:cs="Arial"/>
              </w:rPr>
            </w:pPr>
            <w:r>
              <w:rPr>
                <w:rFonts w:ascii="Arial" w:eastAsia="Arial" w:hAnsi="Arial" w:cs="Arial"/>
                <w:b/>
              </w:rPr>
              <w:t>Revision Date:</w:t>
            </w:r>
            <w:r>
              <w:rPr>
                <w:rFonts w:ascii="Arial" w:eastAsia="Arial" w:hAnsi="Arial" w:cs="Arial"/>
              </w:rPr>
              <w:t xml:space="preserve"> 1/2018; 1/2020; 1/2021; 1/2024</w:t>
            </w:r>
          </w:p>
        </w:tc>
      </w:tr>
    </w:tbl>
    <w:p w14:paraId="108A0D5C" w14:textId="77777777" w:rsidR="009C58A0" w:rsidRDefault="009C58A0">
      <w:pPr>
        <w:pBdr>
          <w:top w:val="nil"/>
          <w:left w:val="nil"/>
          <w:bottom w:val="nil"/>
          <w:right w:val="nil"/>
          <w:between w:val="nil"/>
        </w:pBdr>
        <w:spacing w:after="0"/>
        <w:ind w:left="1080"/>
        <w:rPr>
          <w:rFonts w:ascii="Arial" w:eastAsia="Arial" w:hAnsi="Arial" w:cs="Arial"/>
          <w:color w:val="000000"/>
        </w:rPr>
      </w:pPr>
    </w:p>
    <w:p w14:paraId="108A0D5D" w14:textId="77777777" w:rsidR="009C58A0" w:rsidRDefault="00E32AD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u w:val="single"/>
        </w:rPr>
        <w:t>POLICY PURPOSE:</w:t>
      </w:r>
      <w:r>
        <w:rPr>
          <w:rFonts w:ascii="Arial" w:eastAsia="Arial" w:hAnsi="Arial" w:cs="Arial"/>
          <w:color w:val="000000"/>
        </w:rPr>
        <w:t xml:space="preserve"> </w:t>
      </w:r>
    </w:p>
    <w:p w14:paraId="108A0D5E" w14:textId="77777777" w:rsidR="009C58A0" w:rsidRDefault="00E32AD8">
      <w:pPr>
        <w:pBdr>
          <w:top w:val="nil"/>
          <w:left w:val="nil"/>
          <w:bottom w:val="nil"/>
          <w:right w:val="nil"/>
          <w:between w:val="nil"/>
        </w:pBdr>
        <w:spacing w:after="0"/>
        <w:ind w:left="1080"/>
        <w:rPr>
          <w:rFonts w:ascii="Arial" w:eastAsia="Arial" w:hAnsi="Arial" w:cs="Arial"/>
          <w:color w:val="000000"/>
        </w:rPr>
      </w:pPr>
      <w:r>
        <w:rPr>
          <w:rFonts w:ascii="Arial" w:eastAsia="Arial" w:hAnsi="Arial" w:cs="Arial"/>
          <w:color w:val="000000"/>
        </w:rPr>
        <w:t xml:space="preserve">The purpose of this policy is to establish a guideline for the monitoring of organization fundraising supplies and activities and to account for the funds used for purchase. </w:t>
      </w:r>
    </w:p>
    <w:p w14:paraId="108A0D5F" w14:textId="77777777" w:rsidR="009C58A0" w:rsidRDefault="009C58A0">
      <w:pPr>
        <w:pBdr>
          <w:top w:val="nil"/>
          <w:left w:val="nil"/>
          <w:bottom w:val="nil"/>
          <w:right w:val="nil"/>
          <w:between w:val="nil"/>
        </w:pBdr>
        <w:spacing w:after="0"/>
        <w:ind w:left="1080"/>
        <w:rPr>
          <w:rFonts w:ascii="Arial" w:eastAsia="Arial" w:hAnsi="Arial" w:cs="Arial"/>
          <w:color w:val="000000"/>
        </w:rPr>
      </w:pPr>
    </w:p>
    <w:p w14:paraId="108A0D60" w14:textId="77777777" w:rsidR="009C58A0" w:rsidRDefault="00E32AD8">
      <w:pPr>
        <w:numPr>
          <w:ilvl w:val="0"/>
          <w:numId w:val="2"/>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b/>
          <w:color w:val="000000"/>
          <w:u w:val="single"/>
        </w:rPr>
        <w:t>POLICY BACKGROUND:</w:t>
      </w:r>
    </w:p>
    <w:p w14:paraId="108A0D61" w14:textId="77777777" w:rsidR="009C58A0" w:rsidRDefault="00E32AD8">
      <w:pPr>
        <w:pBdr>
          <w:top w:val="nil"/>
          <w:left w:val="nil"/>
          <w:bottom w:val="nil"/>
          <w:right w:val="nil"/>
          <w:between w:val="nil"/>
        </w:pBdr>
        <w:spacing w:after="0"/>
        <w:ind w:left="1080"/>
        <w:rPr>
          <w:rFonts w:ascii="Arial" w:eastAsia="Arial" w:hAnsi="Arial" w:cs="Arial"/>
          <w:color w:val="000000"/>
        </w:rPr>
      </w:pPr>
      <w:r>
        <w:rPr>
          <w:rFonts w:ascii="Arial" w:eastAsia="Arial" w:hAnsi="Arial" w:cs="Arial"/>
          <w:color w:val="000000"/>
        </w:rPr>
        <w:t xml:space="preserve">Fundraising is a key function that helps support expenses incurred by North Carolina Emergency Nurses Association (NCENA). </w:t>
      </w:r>
    </w:p>
    <w:p w14:paraId="108A0D62" w14:textId="77777777" w:rsidR="009C58A0" w:rsidRDefault="009C58A0">
      <w:pPr>
        <w:pBdr>
          <w:top w:val="nil"/>
          <w:left w:val="nil"/>
          <w:bottom w:val="nil"/>
          <w:right w:val="nil"/>
          <w:between w:val="nil"/>
        </w:pBdr>
        <w:spacing w:after="0"/>
        <w:ind w:left="1080"/>
        <w:rPr>
          <w:rFonts w:ascii="Arial" w:eastAsia="Arial" w:hAnsi="Arial" w:cs="Arial"/>
          <w:color w:val="000000"/>
        </w:rPr>
      </w:pPr>
    </w:p>
    <w:p w14:paraId="108A0D63" w14:textId="77777777" w:rsidR="009C58A0" w:rsidRDefault="00E32AD8">
      <w:pPr>
        <w:numPr>
          <w:ilvl w:val="0"/>
          <w:numId w:val="2"/>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b/>
          <w:color w:val="000000"/>
          <w:u w:val="single"/>
        </w:rPr>
        <w:t>PROTOCOL:</w:t>
      </w:r>
      <w:r>
        <w:rPr>
          <w:rFonts w:ascii="Arial" w:eastAsia="Arial" w:hAnsi="Arial" w:cs="Arial"/>
          <w:color w:val="FF0000"/>
        </w:rPr>
        <w:t xml:space="preserve"> </w:t>
      </w:r>
    </w:p>
    <w:p w14:paraId="108A0D64" w14:textId="77777777" w:rsidR="009C58A0" w:rsidRDefault="00E32AD8">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State level fundraising initiatives for NCENA will be approved by the NCENA Board of Directors. Decisions for approval will include the types, </w:t>
      </w:r>
      <w:proofErr w:type="gramStart"/>
      <w:r>
        <w:rPr>
          <w:rFonts w:ascii="Arial" w:eastAsia="Arial" w:hAnsi="Arial" w:cs="Arial"/>
          <w:color w:val="000000"/>
        </w:rPr>
        <w:t>products</w:t>
      </w:r>
      <w:proofErr w:type="gramEnd"/>
      <w:r>
        <w:rPr>
          <w:rFonts w:ascii="Arial" w:eastAsia="Arial" w:hAnsi="Arial" w:cs="Arial"/>
          <w:color w:val="000000"/>
        </w:rPr>
        <w:t xml:space="preserve"> and overall cost limits for the initiative. </w:t>
      </w:r>
    </w:p>
    <w:p w14:paraId="108A0D65" w14:textId="77777777" w:rsidR="009C58A0" w:rsidRDefault="00E32AD8">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 NCENA Treasurer will be responsible for the purchase and or reimbursement of members that assist with the purchase of fundraising supplies. All fundraising supplies purchases must have a receipt submitted to be eligible for reimbursement. </w:t>
      </w:r>
    </w:p>
    <w:p w14:paraId="108A0D66" w14:textId="77777777" w:rsidR="009C58A0" w:rsidRDefault="00E32AD8">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Fundraising supplies will be accounted for by inventory at the beginning of the year and or at the transfer of the treasurer role. The custody of the fundraising supplies and/or merchandise will be maintained by the NCENA </w:t>
      </w:r>
      <w:proofErr w:type="gramStart"/>
      <w:r>
        <w:rPr>
          <w:rFonts w:ascii="Arial" w:eastAsia="Arial" w:hAnsi="Arial" w:cs="Arial"/>
          <w:color w:val="000000"/>
        </w:rPr>
        <w:t>Treasurer</w:t>
      </w:r>
      <w:proofErr w:type="gramEnd"/>
      <w:r>
        <w:rPr>
          <w:rFonts w:ascii="Arial" w:eastAsia="Arial" w:hAnsi="Arial" w:cs="Arial"/>
          <w:color w:val="000000"/>
        </w:rPr>
        <w:t xml:space="preserve"> and all documentation maintained by the NCENA Secretary in accordance with the NCENA</w:t>
      </w:r>
      <w:r>
        <w:rPr>
          <w:rFonts w:ascii="Arial" w:eastAsia="Arial" w:hAnsi="Arial" w:cs="Arial"/>
          <w:color w:val="000000"/>
        </w:rPr>
        <w:t xml:space="preserve"> Equipment Accountability </w:t>
      </w:r>
      <w:r>
        <w:rPr>
          <w:rFonts w:ascii="Arial" w:eastAsia="Arial" w:hAnsi="Arial" w:cs="Arial"/>
          <w:color w:val="000000"/>
        </w:rPr>
        <w:t>policy. The inventory of equipment and supplies will be reported at the first NCENA Board of Directors meeting each year.</w:t>
      </w:r>
    </w:p>
    <w:p w14:paraId="108A0D67" w14:textId="77777777" w:rsidR="009C58A0" w:rsidRDefault="00E32AD8">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Fundraising profits will be accounted for as those monies received above all costs of the purchase including shipping and logo set up fees. </w:t>
      </w:r>
    </w:p>
    <w:p w14:paraId="108A0D68" w14:textId="77777777" w:rsidR="009C58A0" w:rsidRDefault="00E32AD8">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a chapter chooses to purchase fundraising items for the individual chapter as gifts or for resale, the funds for those purchases must be paid out at the time of purchase. The items will be sold to the chapter at the price at which the state is currently selling the items at time of purchase. Fundraising items will not be sold at cost to chapters.</w:t>
      </w:r>
    </w:p>
    <w:p w14:paraId="108A0D69" w14:textId="77777777" w:rsidR="009C58A0" w:rsidRDefault="00E32AD8">
      <w:pPr>
        <w:numPr>
          <w:ilvl w:val="0"/>
          <w:numId w:val="1"/>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color w:val="000000"/>
        </w:rPr>
        <w:t>All state and chapter level fundraisers must be operated in accordance with state/local laws.</w:t>
      </w:r>
    </w:p>
    <w:p w14:paraId="108A0D6A" w14:textId="77777777" w:rsidR="009C58A0" w:rsidRDefault="009C58A0">
      <w:pPr>
        <w:pBdr>
          <w:top w:val="nil"/>
          <w:left w:val="nil"/>
          <w:bottom w:val="nil"/>
          <w:right w:val="nil"/>
          <w:between w:val="nil"/>
        </w:pBdr>
        <w:ind w:left="720"/>
        <w:rPr>
          <w:rFonts w:ascii="Arial" w:eastAsia="Arial" w:hAnsi="Arial" w:cs="Arial"/>
          <w:color w:val="000000"/>
        </w:rPr>
      </w:pPr>
    </w:p>
    <w:sectPr w:rsidR="009C58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0D73" w14:textId="77777777" w:rsidR="00E32AD8" w:rsidRDefault="00E32AD8">
      <w:pPr>
        <w:spacing w:after="0" w:line="240" w:lineRule="auto"/>
      </w:pPr>
      <w:r>
        <w:separator/>
      </w:r>
    </w:p>
  </w:endnote>
  <w:endnote w:type="continuationSeparator" w:id="0">
    <w:p w14:paraId="108A0D75" w14:textId="77777777" w:rsidR="00E32AD8" w:rsidRDefault="00E3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ACE8" w14:textId="77777777" w:rsidR="00E32AD8" w:rsidRDefault="00E32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0D6D" w14:textId="57C5228A" w:rsidR="009C58A0" w:rsidRDefault="00E32AD8">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b/>
        <w:color w:val="000000"/>
      </w:rPr>
      <w:t xml:space="preserve"> | </w:t>
    </w:r>
    <w:r>
      <w:rPr>
        <w:color w:val="808080"/>
      </w:rPr>
      <w:t>Page</w:t>
    </w:r>
  </w:p>
  <w:p w14:paraId="108A0D6E" w14:textId="77777777" w:rsidR="009C58A0" w:rsidRDefault="009C58A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90E0" w14:textId="77777777" w:rsidR="00E32AD8" w:rsidRDefault="00E32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0D6F" w14:textId="77777777" w:rsidR="00E32AD8" w:rsidRDefault="00E32AD8">
      <w:pPr>
        <w:spacing w:after="0" w:line="240" w:lineRule="auto"/>
      </w:pPr>
      <w:r>
        <w:separator/>
      </w:r>
    </w:p>
  </w:footnote>
  <w:footnote w:type="continuationSeparator" w:id="0">
    <w:p w14:paraId="108A0D71" w14:textId="77777777" w:rsidR="00E32AD8" w:rsidRDefault="00E3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D5E6" w14:textId="77777777" w:rsidR="00E32AD8" w:rsidRDefault="00E32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0D6B" w14:textId="49D1FDF0" w:rsidR="009C58A0" w:rsidRDefault="00E32AD8">
    <w:pPr>
      <w:pBdr>
        <w:top w:val="nil"/>
        <w:left w:val="nil"/>
        <w:bottom w:val="nil"/>
        <w:right w:val="nil"/>
        <w:between w:val="nil"/>
      </w:pBdr>
      <w:tabs>
        <w:tab w:val="center" w:pos="4680"/>
        <w:tab w:val="right" w:pos="9360"/>
      </w:tabs>
      <w:spacing w:after="0" w:line="240" w:lineRule="auto"/>
      <w:rPr>
        <w:color w:val="000000"/>
      </w:rPr>
    </w:pPr>
    <w:sdt>
      <w:sdtPr>
        <w:rPr>
          <w:b/>
          <w:color w:val="000000"/>
          <w:sz w:val="36"/>
          <w:szCs w:val="36"/>
        </w:rPr>
        <w:id w:val="-1138183812"/>
        <w:docPartObj>
          <w:docPartGallery w:val="Watermarks"/>
          <w:docPartUnique/>
        </w:docPartObj>
      </w:sdtPr>
      <w:sdtContent>
        <w:r w:rsidRPr="00E32AD8">
          <w:rPr>
            <w:b/>
            <w:noProof/>
            <w:color w:val="000000"/>
            <w:sz w:val="36"/>
            <w:szCs w:val="36"/>
          </w:rPr>
          <w:pict w14:anchorId="73243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noProof/>
        <w:color w:val="000000"/>
        <w:sz w:val="36"/>
        <w:szCs w:val="36"/>
      </w:rPr>
      <w:drawing>
        <wp:inline distT="0" distB="0" distL="0" distR="0" wp14:anchorId="108A0D6F" wp14:editId="108A0D70">
          <wp:extent cx="922405" cy="455264"/>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22405" cy="455264"/>
                  </a:xfrm>
                  <a:prstGeom prst="rect">
                    <a:avLst/>
                  </a:prstGeom>
                  <a:ln/>
                </pic:spPr>
              </pic:pic>
            </a:graphicData>
          </a:graphic>
        </wp:inline>
      </w:drawing>
    </w:r>
    <w:r>
      <w:rPr>
        <w:b/>
        <w:color w:val="000000"/>
        <w:sz w:val="36"/>
        <w:szCs w:val="36"/>
      </w:rPr>
      <w:tab/>
    </w:r>
    <w:r>
      <w:rPr>
        <w:b/>
        <w:color w:val="000000"/>
        <w:sz w:val="36"/>
        <w:szCs w:val="36"/>
      </w:rPr>
      <w:tab/>
    </w:r>
    <w:r>
      <w:rPr>
        <w:noProof/>
      </w:rPr>
      <mc:AlternateContent>
        <mc:Choice Requires="wps">
          <w:drawing>
            <wp:anchor distT="0" distB="0" distL="114300" distR="114300" simplePos="0" relativeHeight="251658240" behindDoc="0" locked="0" layoutInCell="1" hidden="0" allowOverlap="1" wp14:anchorId="108A0D71" wp14:editId="108A0D72">
              <wp:simplePos x="0" y="0"/>
              <wp:positionH relativeFrom="column">
                <wp:posOffset>2336800</wp:posOffset>
              </wp:positionH>
              <wp:positionV relativeFrom="paragraph">
                <wp:posOffset>-50799</wp:posOffset>
              </wp:positionV>
              <wp:extent cx="3733800" cy="452755"/>
              <wp:effectExtent l="0" t="0" r="0" b="0"/>
              <wp:wrapNone/>
              <wp:docPr id="6" name="Rectangle 6"/>
              <wp:cNvGraphicFramePr/>
              <a:graphic xmlns:a="http://schemas.openxmlformats.org/drawingml/2006/main">
                <a:graphicData uri="http://schemas.microsoft.com/office/word/2010/wordprocessingShape">
                  <wps:wsp>
                    <wps:cNvSpPr/>
                    <wps:spPr>
                      <a:xfrm>
                        <a:off x="3483863" y="3558385"/>
                        <a:ext cx="3724275" cy="443230"/>
                      </a:xfrm>
                      <a:prstGeom prst="rect">
                        <a:avLst/>
                      </a:prstGeom>
                      <a:noFill/>
                      <a:ln>
                        <a:noFill/>
                      </a:ln>
                    </wps:spPr>
                    <wps:txbx>
                      <w:txbxContent>
                        <w:p w14:paraId="108A0D75" w14:textId="77777777" w:rsidR="009C58A0" w:rsidRDefault="009C58A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08A0D71" id="Rectangle 6" o:spid="_x0000_s1026" style="position:absolute;margin-left:184pt;margin-top:-4pt;width:294pt;height:3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" filled="f" stroked="f">
              <v:textbox inset="2.53958mm,1.2694mm,2.53958mm,1.2694mm">
                <w:txbxContent>
                  <w:p w14:paraId="108A0D75" w14:textId="77777777" w:rsidR="009C58A0" w:rsidRDefault="009C58A0">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08A0D73" wp14:editId="108A0D74">
              <wp:simplePos x="0" y="0"/>
              <wp:positionH relativeFrom="column">
                <wp:posOffset>2336800</wp:posOffset>
              </wp:positionH>
              <wp:positionV relativeFrom="paragraph">
                <wp:posOffset>-50799</wp:posOffset>
              </wp:positionV>
              <wp:extent cx="3733800" cy="452755"/>
              <wp:effectExtent l="0" t="0" r="0" b="0"/>
              <wp:wrapNone/>
              <wp:docPr id="7" name="Rectangle 7"/>
              <wp:cNvGraphicFramePr/>
              <a:graphic xmlns:a="http://schemas.openxmlformats.org/drawingml/2006/main">
                <a:graphicData uri="http://schemas.microsoft.com/office/word/2010/wordprocessingShape">
                  <wps:wsp>
                    <wps:cNvSpPr/>
                    <wps:spPr>
                      <a:xfrm>
                        <a:off x="3483863" y="3558385"/>
                        <a:ext cx="3724275" cy="443230"/>
                      </a:xfrm>
                      <a:prstGeom prst="rect">
                        <a:avLst/>
                      </a:prstGeom>
                      <a:noFill/>
                      <a:ln>
                        <a:noFill/>
                      </a:ln>
                    </wps:spPr>
                    <wps:txbx>
                      <w:txbxContent>
                        <w:p w14:paraId="108A0D76" w14:textId="77777777" w:rsidR="009C58A0" w:rsidRDefault="009C58A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08A0D73" id="Rectangle 7" o:spid="_x0000_s1027" style="position:absolute;margin-left:184pt;margin-top:-4pt;width:294pt;height:3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" filled="f" stroked="f">
              <v:textbox inset="2.53958mm,1.2694mm,2.53958mm,1.2694mm">
                <w:txbxContent>
                  <w:p w14:paraId="108A0D76" w14:textId="77777777" w:rsidR="009C58A0" w:rsidRDefault="009C58A0">
                    <w:pPr>
                      <w:spacing w:line="275" w:lineRule="auto"/>
                      <w:textDirection w:val="btLr"/>
                    </w:pPr>
                  </w:p>
                </w:txbxContent>
              </v:textbox>
            </v:rect>
          </w:pict>
        </mc:Fallback>
      </mc:AlternateContent>
    </w:r>
  </w:p>
  <w:p w14:paraId="108A0D6C" w14:textId="77777777" w:rsidR="009C58A0" w:rsidRDefault="009C58A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EAF2" w14:textId="77777777" w:rsidR="00E32AD8" w:rsidRDefault="00E32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651"/>
    <w:multiLevelType w:val="multilevel"/>
    <w:tmpl w:val="C49057B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2C2902"/>
    <w:multiLevelType w:val="multilevel"/>
    <w:tmpl w:val="C5E0B742"/>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98609040">
    <w:abstractNumId w:val="1"/>
  </w:num>
  <w:num w:numId="2" w16cid:durableId="81441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A0"/>
    <w:rsid w:val="009C58A0"/>
    <w:rsid w:val="00E3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8A0D4D"/>
  <w15:docId w15:val="{2B27C5FB-F5F8-4543-B39F-2A32CCAA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D7F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7FC5"/>
    <w:rPr>
      <w:rFonts w:ascii="Tahoma" w:hAnsi="Tahoma" w:cs="Tahoma"/>
      <w:sz w:val="16"/>
      <w:szCs w:val="16"/>
    </w:rPr>
  </w:style>
  <w:style w:type="paragraph" w:styleId="Header">
    <w:name w:val="header"/>
    <w:basedOn w:val="Normal"/>
    <w:link w:val="HeaderChar"/>
    <w:uiPriority w:val="99"/>
    <w:unhideWhenUsed/>
    <w:rsid w:val="00ED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FC5"/>
  </w:style>
  <w:style w:type="paragraph" w:styleId="Footer">
    <w:name w:val="footer"/>
    <w:basedOn w:val="Normal"/>
    <w:link w:val="FooterChar"/>
    <w:uiPriority w:val="99"/>
    <w:unhideWhenUsed/>
    <w:rsid w:val="00ED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FC5"/>
  </w:style>
  <w:style w:type="table" w:styleId="TableGrid">
    <w:name w:val="Table Grid"/>
    <w:basedOn w:val="TableNormal"/>
    <w:uiPriority w:val="59"/>
    <w:rsid w:val="00ED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0012A1"/>
    <w:rPr>
      <w:rFonts w:eastAsia="Times New Roman"/>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0012A1"/>
    <w:pPr>
      <w:ind w:left="720"/>
      <w:contextualSpacing/>
    </w:pPr>
  </w:style>
  <w:style w:type="paragraph" w:customStyle="1" w:styleId="A0E349F008B644AAB6A282E0D042D17E">
    <w:name w:val="A0E349F008B644AAB6A282E0D042D17E"/>
    <w:rsid w:val="00BA07F1"/>
    <w:rPr>
      <w:rFonts w:eastAsia="Times New Roman"/>
      <w:lang w:eastAsia="ja-JP"/>
    </w:rPr>
  </w:style>
  <w:style w:type="character" w:customStyle="1" w:styleId="itxtrst">
    <w:name w:val="itxtrst"/>
    <w:rsid w:val="00CC051C"/>
  </w:style>
  <w:style w:type="character" w:styleId="CommentReference">
    <w:name w:val="annotation reference"/>
    <w:basedOn w:val="DefaultParagraphFont"/>
    <w:uiPriority w:val="99"/>
    <w:semiHidden/>
    <w:unhideWhenUsed/>
    <w:rsid w:val="00C14B21"/>
    <w:rPr>
      <w:sz w:val="16"/>
      <w:szCs w:val="16"/>
    </w:rPr>
  </w:style>
  <w:style w:type="paragraph" w:styleId="CommentText">
    <w:name w:val="annotation text"/>
    <w:basedOn w:val="Normal"/>
    <w:link w:val="CommentTextChar"/>
    <w:uiPriority w:val="99"/>
    <w:semiHidden/>
    <w:unhideWhenUsed/>
    <w:rsid w:val="00C14B21"/>
    <w:pPr>
      <w:spacing w:line="240" w:lineRule="auto"/>
    </w:pPr>
    <w:rPr>
      <w:sz w:val="20"/>
      <w:szCs w:val="20"/>
    </w:rPr>
  </w:style>
  <w:style w:type="character" w:customStyle="1" w:styleId="CommentTextChar">
    <w:name w:val="Comment Text Char"/>
    <w:basedOn w:val="DefaultParagraphFont"/>
    <w:link w:val="CommentText"/>
    <w:uiPriority w:val="99"/>
    <w:semiHidden/>
    <w:rsid w:val="00C14B21"/>
  </w:style>
  <w:style w:type="paragraph" w:styleId="CommentSubject">
    <w:name w:val="annotation subject"/>
    <w:basedOn w:val="CommentText"/>
    <w:next w:val="CommentText"/>
    <w:link w:val="CommentSubjectChar"/>
    <w:uiPriority w:val="99"/>
    <w:semiHidden/>
    <w:unhideWhenUsed/>
    <w:rsid w:val="00C14B21"/>
    <w:rPr>
      <w:b/>
      <w:bCs/>
    </w:rPr>
  </w:style>
  <w:style w:type="character" w:customStyle="1" w:styleId="CommentSubjectChar">
    <w:name w:val="Comment Subject Char"/>
    <w:basedOn w:val="CommentTextChar"/>
    <w:link w:val="CommentSubject"/>
    <w:uiPriority w:val="99"/>
    <w:semiHidden/>
    <w:rsid w:val="00C14B21"/>
    <w:rPr>
      <w:b/>
      <w:bCs/>
    </w:rPr>
  </w:style>
  <w:style w:type="paragraph" w:styleId="Revision">
    <w:name w:val="Revision"/>
    <w:hidden/>
    <w:uiPriority w:val="99"/>
    <w:semiHidden/>
    <w:rsid w:val="005F02B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8mT/pNzDbaIr5SLjnpvm5J1nA==">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Zick</dc:creator>
  <cp:lastModifiedBy>Kathy Mason</cp:lastModifiedBy>
  <cp:revision>1</cp:revision>
  <dcterms:created xsi:type="dcterms:W3CDTF">2021-01-29T16:54:00Z</dcterms:created>
  <dcterms:modified xsi:type="dcterms:W3CDTF">2024-02-03T22:51:00Z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0x0101005F3097E2337D8440A18FFAD0DB8F9B9A</vt:lpwstr>
  </property>
</Properties>
</file>