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57891" w14:textId="77777777" w:rsidR="003A4B73" w:rsidRDefault="00BD3D77">
      <w:pPr>
        <w:pStyle w:val="BodyText"/>
        <w:spacing w:before="76"/>
        <w:ind w:left="1877"/>
      </w:pPr>
      <w:r>
        <w:t>TEXAS ASSOCIATION OF PERIANESTHESIA NURSES</w:t>
      </w:r>
    </w:p>
    <w:p w14:paraId="3EDF16F0" w14:textId="77777777" w:rsidR="003A4B73" w:rsidRDefault="003A4B73">
      <w:pPr>
        <w:pStyle w:val="BodyText"/>
        <w:ind w:left="0"/>
      </w:pPr>
    </w:p>
    <w:p w14:paraId="0F7FBAE0" w14:textId="77777777" w:rsidR="003A4B73" w:rsidRDefault="00BD3D77">
      <w:pPr>
        <w:pStyle w:val="BodyText"/>
        <w:tabs>
          <w:tab w:val="left" w:pos="2997"/>
          <w:tab w:val="left" w:pos="8037"/>
        </w:tabs>
        <w:spacing w:line="480" w:lineRule="auto"/>
        <w:ind w:left="117" w:right="953"/>
      </w:pPr>
      <w:r>
        <w:t>Subject:</w:t>
      </w:r>
      <w:r>
        <w:tab/>
        <w:t>Expense</w:t>
      </w:r>
      <w:r>
        <w:rPr>
          <w:spacing w:val="-4"/>
        </w:rPr>
        <w:t xml:space="preserve"> </w:t>
      </w:r>
      <w:r>
        <w:t>Reimbursement</w:t>
      </w:r>
      <w:r>
        <w:tab/>
        <w:t>E-001 Review</w:t>
      </w:r>
      <w:r>
        <w:rPr>
          <w:spacing w:val="-3"/>
        </w:rPr>
        <w:t xml:space="preserve"> </w:t>
      </w:r>
      <w:r>
        <w:t>Responsibility:</w:t>
      </w:r>
      <w:r>
        <w:tab/>
        <w:t>Executive</w:t>
      </w:r>
      <w:r>
        <w:rPr>
          <w:spacing w:val="-2"/>
        </w:rPr>
        <w:t xml:space="preserve"> </w:t>
      </w:r>
      <w:r>
        <w:t>Board</w:t>
      </w:r>
    </w:p>
    <w:p w14:paraId="3230D401" w14:textId="77777777" w:rsidR="003A4B73" w:rsidRDefault="00BD3D77">
      <w:pPr>
        <w:pStyle w:val="BodyText"/>
        <w:tabs>
          <w:tab w:val="left" w:pos="2997"/>
        </w:tabs>
        <w:spacing w:before="1"/>
        <w:ind w:left="117"/>
      </w:pPr>
      <w:r>
        <w:t>Resource:</w:t>
      </w:r>
      <w:r>
        <w:tab/>
        <w:t>Executive</w:t>
      </w:r>
      <w:r>
        <w:rPr>
          <w:spacing w:val="-7"/>
        </w:rPr>
        <w:t xml:space="preserve"> </w:t>
      </w:r>
      <w:r>
        <w:t>Board</w:t>
      </w:r>
    </w:p>
    <w:p w14:paraId="1641FFC9" w14:textId="77777777" w:rsidR="003A4B73" w:rsidRDefault="003A4B73">
      <w:pPr>
        <w:pStyle w:val="BodyText"/>
        <w:spacing w:before="11"/>
        <w:ind w:left="0"/>
        <w:rPr>
          <w:sz w:val="23"/>
        </w:rPr>
      </w:pPr>
    </w:p>
    <w:p w14:paraId="7CFE7830" w14:textId="6ADFF94C" w:rsidR="003A4B73" w:rsidRDefault="00BD3D77">
      <w:pPr>
        <w:pStyle w:val="BodyText"/>
        <w:tabs>
          <w:tab w:val="left" w:pos="2997"/>
        </w:tabs>
        <w:ind w:left="117"/>
      </w:pPr>
      <w:r>
        <w:t>Effective</w:t>
      </w:r>
      <w:r>
        <w:rPr>
          <w:spacing w:val="-4"/>
        </w:rPr>
        <w:t xml:space="preserve"> </w:t>
      </w:r>
      <w:r>
        <w:t>Date:</w:t>
      </w:r>
      <w:r>
        <w:tab/>
        <w:t>February</w:t>
      </w:r>
      <w:r>
        <w:rPr>
          <w:spacing w:val="-3"/>
        </w:rPr>
        <w:t xml:space="preserve"> </w:t>
      </w:r>
      <w:r>
        <w:t>2014</w:t>
      </w:r>
    </w:p>
    <w:p w14:paraId="2D6BCBC7" w14:textId="1B754BD1" w:rsidR="00BD3D77" w:rsidRDefault="00BD3D77">
      <w:pPr>
        <w:pStyle w:val="BodyText"/>
        <w:tabs>
          <w:tab w:val="left" w:pos="2997"/>
        </w:tabs>
        <w:ind w:left="117"/>
      </w:pPr>
    </w:p>
    <w:p w14:paraId="7DEA3F14" w14:textId="17574221" w:rsidR="00BD3D77" w:rsidRPr="00115A50" w:rsidRDefault="00BD3D77">
      <w:pPr>
        <w:pStyle w:val="BodyText"/>
        <w:tabs>
          <w:tab w:val="left" w:pos="2997"/>
        </w:tabs>
        <w:ind w:left="117"/>
      </w:pPr>
      <w:r w:rsidRPr="00993682">
        <w:t>Reviewed:</w:t>
      </w:r>
      <w:r w:rsidRPr="00993682">
        <w:tab/>
        <w:t>February 2017</w:t>
      </w:r>
      <w:r w:rsidR="007941FA">
        <w:t xml:space="preserve">; </w:t>
      </w:r>
      <w:r w:rsidR="007941FA" w:rsidRPr="00115A50">
        <w:t>March 2020</w:t>
      </w:r>
    </w:p>
    <w:p w14:paraId="4955D627" w14:textId="77777777" w:rsidR="003A4B73" w:rsidRDefault="003A4B73">
      <w:pPr>
        <w:pStyle w:val="BodyText"/>
        <w:ind w:left="0"/>
      </w:pPr>
    </w:p>
    <w:p w14:paraId="7D0574CD" w14:textId="4BCFD2BC" w:rsidR="003A4B73" w:rsidRPr="00115A50" w:rsidRDefault="00BD3D77">
      <w:pPr>
        <w:pStyle w:val="BodyText"/>
        <w:tabs>
          <w:tab w:val="left" w:pos="2997"/>
        </w:tabs>
        <w:ind w:left="117"/>
      </w:pPr>
      <w:r>
        <w:t>Review</w:t>
      </w:r>
      <w:r>
        <w:rPr>
          <w:spacing w:val="-1"/>
        </w:rPr>
        <w:t xml:space="preserve"> </w:t>
      </w:r>
      <w:r>
        <w:t>Due</w:t>
      </w:r>
      <w:r>
        <w:rPr>
          <w:spacing w:val="-2"/>
        </w:rPr>
        <w:t xml:space="preserve"> </w:t>
      </w:r>
      <w:r>
        <w:t>Date:</w:t>
      </w:r>
      <w:r>
        <w:tab/>
      </w:r>
      <w:bookmarkStart w:id="0" w:name="_GoBack"/>
      <w:bookmarkEnd w:id="0"/>
      <w:r w:rsidR="007941FA" w:rsidRPr="00115A50">
        <w:t>March 2023</w:t>
      </w:r>
    </w:p>
    <w:p w14:paraId="555EC61F" w14:textId="77777777" w:rsidR="003A4B73" w:rsidRPr="00115A50" w:rsidRDefault="00115A50">
      <w:pPr>
        <w:pStyle w:val="BodyText"/>
        <w:spacing w:before="9"/>
        <w:ind w:left="0"/>
        <w:rPr>
          <w:sz w:val="20"/>
        </w:rPr>
      </w:pPr>
      <w:r w:rsidRPr="00115A50">
        <w:pict w14:anchorId="0A8549D3">
          <v:line id="_x0000_s1027" style="position:absolute;z-index:251657216;mso-wrap-distance-left:0;mso-wrap-distance-right:0;mso-position-horizontal-relative:page" from="71.9pt,14.45pt" to="539.9pt,14.45pt" strokecolor="#010000" strokeweight=".96pt">
            <w10:wrap type="topAndBottom" anchorx="page"/>
          </v:line>
        </w:pict>
      </w:r>
    </w:p>
    <w:p w14:paraId="2FE37199" w14:textId="77777777" w:rsidR="003A4B73" w:rsidRDefault="003A4B73">
      <w:pPr>
        <w:pStyle w:val="BodyText"/>
        <w:ind w:left="0"/>
        <w:rPr>
          <w:sz w:val="26"/>
        </w:rPr>
      </w:pPr>
    </w:p>
    <w:p w14:paraId="4389C85C" w14:textId="77777777" w:rsidR="003A4B73" w:rsidRDefault="00BD3D77">
      <w:pPr>
        <w:pStyle w:val="BodyText"/>
        <w:spacing w:before="201" w:line="275" w:lineRule="exact"/>
        <w:ind w:left="117"/>
      </w:pPr>
      <w:r>
        <w:t>Purpose:</w:t>
      </w:r>
    </w:p>
    <w:p w14:paraId="17D839BB" w14:textId="77777777" w:rsidR="003A4B73" w:rsidRDefault="00BD3D77">
      <w:pPr>
        <w:pStyle w:val="BodyText"/>
        <w:spacing w:line="242" w:lineRule="auto"/>
        <w:ind w:left="837"/>
      </w:pPr>
      <w:r>
        <w:t>To provide guidelines for reimbursement of expenses incurred while performing TAPAN related duties.</w:t>
      </w:r>
    </w:p>
    <w:p w14:paraId="5D2B7946" w14:textId="77777777" w:rsidR="003A4B73" w:rsidRDefault="003A4B73">
      <w:pPr>
        <w:pStyle w:val="BodyText"/>
        <w:spacing w:before="10"/>
        <w:ind w:left="0"/>
        <w:rPr>
          <w:sz w:val="15"/>
        </w:rPr>
      </w:pPr>
    </w:p>
    <w:p w14:paraId="67D85110" w14:textId="77777777" w:rsidR="003A4B73" w:rsidRDefault="003A4B73">
      <w:pPr>
        <w:rPr>
          <w:sz w:val="15"/>
        </w:rPr>
        <w:sectPr w:rsidR="003A4B73">
          <w:footerReference w:type="default" r:id="rId7"/>
          <w:type w:val="continuous"/>
          <w:pgSz w:w="12240" w:h="15840"/>
          <w:pgMar w:top="1360" w:right="1340" w:bottom="1000" w:left="1320" w:header="720" w:footer="815" w:gutter="0"/>
          <w:pgNumType w:start="1"/>
          <w:cols w:space="720"/>
        </w:sectPr>
      </w:pPr>
    </w:p>
    <w:p w14:paraId="70AABC75" w14:textId="77777777" w:rsidR="003A4B73" w:rsidRDefault="00BD3D77">
      <w:pPr>
        <w:pStyle w:val="BodyText"/>
        <w:spacing w:before="90"/>
        <w:ind w:left="117"/>
      </w:pPr>
      <w:r>
        <w:t>Policy:</w:t>
      </w:r>
    </w:p>
    <w:p w14:paraId="610CD90D" w14:textId="77777777" w:rsidR="003A4B73" w:rsidRDefault="00BD3D77">
      <w:pPr>
        <w:pStyle w:val="BodyText"/>
        <w:spacing w:before="7"/>
        <w:ind w:left="0"/>
        <w:rPr>
          <w:sz w:val="31"/>
        </w:rPr>
      </w:pPr>
      <w:r>
        <w:br w:type="column"/>
      </w:r>
    </w:p>
    <w:p w14:paraId="44EFAE00" w14:textId="77777777" w:rsidR="003A4B73" w:rsidRDefault="00115A50">
      <w:pPr>
        <w:pStyle w:val="BodyText"/>
        <w:ind w:left="0" w:right="100"/>
        <w:jc w:val="both"/>
      </w:pPr>
      <w:r>
        <w:pict w14:anchorId="366DE0B9">
          <v:rect id="_x0000_s1026" style="position:absolute;left:0;text-align:left;margin-left:187.55pt;margin-top:22pt;width:3.1pt;height:.5pt;z-index:-251658240;mso-position-horizontal-relative:page" fillcolor="black" stroked="f">
            <w10:wrap anchorx="page"/>
          </v:rect>
        </w:pict>
      </w:r>
      <w:r w:rsidR="00BD3D77">
        <w:t>All reimbursement requests, including requests for advance payment, must be submitted to the Treasurer, and are subject to Executive Board approval. A completed TAPAN Expense Form, with original receipts attached, must accompany all reimbursement requests.</w:t>
      </w:r>
    </w:p>
    <w:p w14:paraId="39F30D84" w14:textId="77777777" w:rsidR="003A4B73" w:rsidRDefault="003A4B73">
      <w:pPr>
        <w:jc w:val="both"/>
        <w:sectPr w:rsidR="003A4B73">
          <w:type w:val="continuous"/>
          <w:pgSz w:w="12240" w:h="15840"/>
          <w:pgMar w:top="1360" w:right="1340" w:bottom="1000" w:left="1320" w:header="720" w:footer="720" w:gutter="0"/>
          <w:cols w:num="2" w:space="720" w:equalWidth="0">
            <w:col w:w="798" w:space="40"/>
            <w:col w:w="8742"/>
          </w:cols>
        </w:sectPr>
      </w:pPr>
    </w:p>
    <w:p w14:paraId="3C5A60C9" w14:textId="77777777" w:rsidR="003A4B73" w:rsidRDefault="003A4B73">
      <w:pPr>
        <w:pStyle w:val="BodyText"/>
        <w:spacing w:before="4"/>
        <w:ind w:left="0"/>
        <w:rPr>
          <w:sz w:val="16"/>
        </w:rPr>
      </w:pPr>
    </w:p>
    <w:p w14:paraId="723FE512" w14:textId="77777777" w:rsidR="003A4B73" w:rsidRDefault="00BD3D77">
      <w:pPr>
        <w:pStyle w:val="BodyText"/>
        <w:spacing w:before="90" w:line="275" w:lineRule="exact"/>
        <w:ind w:left="117"/>
      </w:pPr>
      <w:r>
        <w:t>Procedure:</w:t>
      </w:r>
    </w:p>
    <w:p w14:paraId="1843CC84" w14:textId="77777777" w:rsidR="003A4B73" w:rsidRDefault="00BD3D77">
      <w:pPr>
        <w:pStyle w:val="BodyText"/>
        <w:spacing w:line="275" w:lineRule="exact"/>
        <w:ind w:left="837"/>
      </w:pPr>
      <w:r>
        <w:t>Eligible expenses include:</w:t>
      </w:r>
    </w:p>
    <w:p w14:paraId="7C09A9DC" w14:textId="77777777" w:rsidR="003A4B73" w:rsidRDefault="003A4B73">
      <w:pPr>
        <w:pStyle w:val="BodyText"/>
        <w:ind w:left="0"/>
      </w:pPr>
    </w:p>
    <w:p w14:paraId="19C648D2" w14:textId="77777777" w:rsidR="003A4B73" w:rsidRDefault="00BD3D77">
      <w:pPr>
        <w:pStyle w:val="Heading1"/>
        <w:numPr>
          <w:ilvl w:val="0"/>
          <w:numId w:val="2"/>
        </w:numPr>
        <w:tabs>
          <w:tab w:val="left" w:pos="1131"/>
        </w:tabs>
        <w:ind w:hanging="293"/>
      </w:pPr>
      <w:r>
        <w:t>Travel</w:t>
      </w:r>
    </w:p>
    <w:p w14:paraId="66E46958" w14:textId="77777777" w:rsidR="003A4B73" w:rsidRDefault="00BD3D77">
      <w:pPr>
        <w:pStyle w:val="ListParagraph"/>
        <w:numPr>
          <w:ilvl w:val="1"/>
          <w:numId w:val="2"/>
        </w:numPr>
        <w:tabs>
          <w:tab w:val="left" w:pos="2277"/>
          <w:tab w:val="left" w:pos="2278"/>
        </w:tabs>
        <w:spacing w:before="5" w:line="237" w:lineRule="auto"/>
        <w:rPr>
          <w:sz w:val="24"/>
        </w:rPr>
      </w:pPr>
      <w:r>
        <w:rPr>
          <w:sz w:val="24"/>
        </w:rPr>
        <w:t>Limited to the lowest available advanced purchase round trip (RT) economy</w:t>
      </w:r>
      <w:r>
        <w:rPr>
          <w:spacing w:val="-1"/>
          <w:sz w:val="24"/>
        </w:rPr>
        <w:t xml:space="preserve"> </w:t>
      </w:r>
      <w:r>
        <w:rPr>
          <w:sz w:val="24"/>
        </w:rPr>
        <w:t>fare.</w:t>
      </w:r>
    </w:p>
    <w:p w14:paraId="63AA32A1" w14:textId="77777777" w:rsidR="003A4B73" w:rsidRDefault="00BD3D77">
      <w:pPr>
        <w:pStyle w:val="ListParagraph"/>
        <w:numPr>
          <w:ilvl w:val="1"/>
          <w:numId w:val="2"/>
        </w:numPr>
        <w:tabs>
          <w:tab w:val="left" w:pos="2277"/>
          <w:tab w:val="left" w:pos="2278"/>
        </w:tabs>
        <w:spacing w:before="3" w:line="275" w:lineRule="exact"/>
        <w:ind w:right="0"/>
        <w:rPr>
          <w:sz w:val="24"/>
        </w:rPr>
      </w:pPr>
      <w:r>
        <w:rPr>
          <w:sz w:val="24"/>
        </w:rPr>
        <w:t>Mileage based upon current IRS</w:t>
      </w:r>
      <w:r>
        <w:rPr>
          <w:spacing w:val="-4"/>
          <w:sz w:val="24"/>
        </w:rPr>
        <w:t xml:space="preserve"> </w:t>
      </w:r>
      <w:r>
        <w:rPr>
          <w:sz w:val="24"/>
        </w:rPr>
        <w:t>allowance.</w:t>
      </w:r>
    </w:p>
    <w:p w14:paraId="13652647" w14:textId="77777777" w:rsidR="003A4B73" w:rsidRDefault="00BD3D77">
      <w:pPr>
        <w:pStyle w:val="ListParagraph"/>
        <w:numPr>
          <w:ilvl w:val="1"/>
          <w:numId w:val="2"/>
        </w:numPr>
        <w:tabs>
          <w:tab w:val="left" w:pos="2277"/>
          <w:tab w:val="left" w:pos="2278"/>
        </w:tabs>
        <w:spacing w:line="242" w:lineRule="auto"/>
        <w:rPr>
          <w:sz w:val="24"/>
        </w:rPr>
      </w:pPr>
      <w:r>
        <w:rPr>
          <w:sz w:val="24"/>
        </w:rPr>
        <w:t>Mileage reimbursement must not exceed the cost of RT airfare, and is paid per</w:t>
      </w:r>
      <w:r>
        <w:rPr>
          <w:spacing w:val="-1"/>
          <w:sz w:val="24"/>
        </w:rPr>
        <w:t xml:space="preserve"> </w:t>
      </w:r>
      <w:r>
        <w:rPr>
          <w:sz w:val="24"/>
        </w:rPr>
        <w:t>vehicle.</w:t>
      </w:r>
    </w:p>
    <w:p w14:paraId="2A7A38D4" w14:textId="77777777" w:rsidR="003A4B73" w:rsidRDefault="00BD3D77">
      <w:pPr>
        <w:pStyle w:val="ListParagraph"/>
        <w:numPr>
          <w:ilvl w:val="1"/>
          <w:numId w:val="2"/>
        </w:numPr>
        <w:tabs>
          <w:tab w:val="left" w:pos="2277"/>
          <w:tab w:val="left" w:pos="2278"/>
        </w:tabs>
        <w:spacing w:line="271" w:lineRule="exact"/>
        <w:ind w:right="0"/>
        <w:rPr>
          <w:sz w:val="24"/>
        </w:rPr>
      </w:pPr>
      <w:r>
        <w:rPr>
          <w:sz w:val="24"/>
        </w:rPr>
        <w:t>Ground transportation shuttle fare between the airport and</w:t>
      </w:r>
      <w:r>
        <w:rPr>
          <w:spacing w:val="-11"/>
          <w:sz w:val="24"/>
        </w:rPr>
        <w:t xml:space="preserve"> </w:t>
      </w:r>
      <w:r>
        <w:rPr>
          <w:sz w:val="24"/>
        </w:rPr>
        <w:t>hotel.</w:t>
      </w:r>
    </w:p>
    <w:p w14:paraId="2DE2D7FC" w14:textId="77777777" w:rsidR="003A4B73" w:rsidRDefault="00BD3D77">
      <w:pPr>
        <w:pStyle w:val="ListParagraph"/>
        <w:numPr>
          <w:ilvl w:val="1"/>
          <w:numId w:val="2"/>
        </w:numPr>
        <w:tabs>
          <w:tab w:val="left" w:pos="2277"/>
          <w:tab w:val="left" w:pos="2278"/>
        </w:tabs>
        <w:spacing w:before="4" w:line="237" w:lineRule="auto"/>
        <w:rPr>
          <w:sz w:val="24"/>
        </w:rPr>
      </w:pPr>
      <w:r>
        <w:rPr>
          <w:sz w:val="24"/>
        </w:rPr>
        <w:t>Rental car fee only when no shuttle is available, and requires pre-approval by the Executive</w:t>
      </w:r>
      <w:r>
        <w:rPr>
          <w:spacing w:val="-3"/>
          <w:sz w:val="24"/>
        </w:rPr>
        <w:t xml:space="preserve"> </w:t>
      </w:r>
      <w:r>
        <w:rPr>
          <w:sz w:val="24"/>
        </w:rPr>
        <w:t>Board.</w:t>
      </w:r>
    </w:p>
    <w:p w14:paraId="7284B683" w14:textId="77777777" w:rsidR="003A4B73" w:rsidRDefault="003A4B73">
      <w:pPr>
        <w:pStyle w:val="BodyText"/>
        <w:spacing w:before="1"/>
        <w:ind w:left="0"/>
      </w:pPr>
    </w:p>
    <w:p w14:paraId="685AA2DE" w14:textId="77777777" w:rsidR="003A4B73" w:rsidRDefault="00BD3D77">
      <w:pPr>
        <w:pStyle w:val="Heading1"/>
        <w:numPr>
          <w:ilvl w:val="0"/>
          <w:numId w:val="2"/>
        </w:numPr>
        <w:tabs>
          <w:tab w:val="left" w:pos="1178"/>
        </w:tabs>
        <w:ind w:left="1177" w:hanging="340"/>
      </w:pPr>
      <w:r>
        <w:t>Accommodation</w:t>
      </w:r>
    </w:p>
    <w:p w14:paraId="78271269" w14:textId="77777777" w:rsidR="003A4B73" w:rsidRDefault="00BD3D77">
      <w:pPr>
        <w:pStyle w:val="ListParagraph"/>
        <w:numPr>
          <w:ilvl w:val="1"/>
          <w:numId w:val="2"/>
        </w:numPr>
        <w:tabs>
          <w:tab w:val="left" w:pos="2277"/>
          <w:tab w:val="left" w:pos="2278"/>
        </w:tabs>
        <w:spacing w:before="4" w:line="237" w:lineRule="auto"/>
        <w:rPr>
          <w:sz w:val="24"/>
        </w:rPr>
      </w:pPr>
      <w:r>
        <w:rPr>
          <w:sz w:val="24"/>
        </w:rPr>
        <w:t>Hotel room rate and applicable taxes only, based on ½ the double occupancy rate. All incidentals are the responsibility of the</w:t>
      </w:r>
      <w:r>
        <w:rPr>
          <w:spacing w:val="-19"/>
          <w:sz w:val="24"/>
        </w:rPr>
        <w:t xml:space="preserve"> </w:t>
      </w:r>
      <w:r>
        <w:rPr>
          <w:sz w:val="24"/>
        </w:rPr>
        <w:t>individual.</w:t>
      </w:r>
    </w:p>
    <w:p w14:paraId="0DFA3857" w14:textId="77777777" w:rsidR="003A4B73" w:rsidRDefault="00BD3D77">
      <w:pPr>
        <w:pStyle w:val="ListParagraph"/>
        <w:numPr>
          <w:ilvl w:val="1"/>
          <w:numId w:val="2"/>
        </w:numPr>
        <w:tabs>
          <w:tab w:val="left" w:pos="2278"/>
        </w:tabs>
        <w:spacing w:before="4"/>
        <w:jc w:val="both"/>
        <w:rPr>
          <w:sz w:val="24"/>
        </w:rPr>
      </w:pPr>
      <w:r>
        <w:rPr>
          <w:sz w:val="24"/>
        </w:rPr>
        <w:t>The full room rate may be reimbursed with prior Executive Board approval, when traveling alone, or if no gender-compatible roommate is available.</w:t>
      </w:r>
    </w:p>
    <w:p w14:paraId="53500E30" w14:textId="77777777" w:rsidR="003A4B73" w:rsidRDefault="003A4B73">
      <w:pPr>
        <w:pStyle w:val="BodyText"/>
        <w:ind w:left="0"/>
      </w:pPr>
    </w:p>
    <w:p w14:paraId="413D2433" w14:textId="77777777" w:rsidR="003A4B73" w:rsidRDefault="00BD3D77">
      <w:pPr>
        <w:pStyle w:val="Heading1"/>
        <w:numPr>
          <w:ilvl w:val="0"/>
          <w:numId w:val="2"/>
        </w:numPr>
        <w:tabs>
          <w:tab w:val="left" w:pos="1191"/>
        </w:tabs>
        <w:spacing w:line="275" w:lineRule="exact"/>
        <w:ind w:left="1190" w:hanging="353"/>
      </w:pPr>
      <w:r>
        <w:t>Business</w:t>
      </w:r>
    </w:p>
    <w:p w14:paraId="61A28D6B" w14:textId="77777777" w:rsidR="003A4B73" w:rsidRDefault="00BD3D77">
      <w:pPr>
        <w:pStyle w:val="ListParagraph"/>
        <w:numPr>
          <w:ilvl w:val="1"/>
          <w:numId w:val="2"/>
        </w:numPr>
        <w:tabs>
          <w:tab w:val="left" w:pos="2277"/>
          <w:tab w:val="left" w:pos="2278"/>
        </w:tabs>
        <w:spacing w:line="275" w:lineRule="exact"/>
        <w:ind w:right="0"/>
        <w:rPr>
          <w:sz w:val="24"/>
        </w:rPr>
      </w:pPr>
      <w:r>
        <w:rPr>
          <w:sz w:val="24"/>
        </w:rPr>
        <w:t>Office supplies, at the discretion of the</w:t>
      </w:r>
      <w:r>
        <w:rPr>
          <w:spacing w:val="-7"/>
          <w:sz w:val="24"/>
        </w:rPr>
        <w:t xml:space="preserve"> </w:t>
      </w:r>
      <w:r>
        <w:rPr>
          <w:sz w:val="24"/>
        </w:rPr>
        <w:t>Treasurer.</w:t>
      </w:r>
    </w:p>
    <w:p w14:paraId="34183A5B" w14:textId="77777777" w:rsidR="003A4B73" w:rsidRDefault="003A4B73">
      <w:pPr>
        <w:spacing w:line="275" w:lineRule="exact"/>
        <w:rPr>
          <w:sz w:val="24"/>
        </w:rPr>
        <w:sectPr w:rsidR="003A4B73">
          <w:type w:val="continuous"/>
          <w:pgSz w:w="12240" w:h="15840"/>
          <w:pgMar w:top="1360" w:right="1340" w:bottom="1000" w:left="1320" w:header="720" w:footer="720" w:gutter="0"/>
          <w:cols w:space="720"/>
        </w:sectPr>
      </w:pPr>
    </w:p>
    <w:p w14:paraId="208391E6" w14:textId="77777777" w:rsidR="003A4B73" w:rsidRDefault="00BD3D77">
      <w:pPr>
        <w:pStyle w:val="ListParagraph"/>
        <w:numPr>
          <w:ilvl w:val="1"/>
          <w:numId w:val="2"/>
        </w:numPr>
        <w:tabs>
          <w:tab w:val="left" w:pos="2277"/>
          <w:tab w:val="left" w:pos="2278"/>
        </w:tabs>
        <w:spacing w:before="76" w:line="275" w:lineRule="exact"/>
        <w:ind w:right="0"/>
        <w:rPr>
          <w:sz w:val="24"/>
        </w:rPr>
      </w:pPr>
      <w:r>
        <w:rPr>
          <w:sz w:val="24"/>
        </w:rPr>
        <w:lastRenderedPageBreak/>
        <w:t>Printing and duplication</w:t>
      </w:r>
      <w:r>
        <w:rPr>
          <w:spacing w:val="-1"/>
          <w:sz w:val="24"/>
        </w:rPr>
        <w:t xml:space="preserve"> </w:t>
      </w:r>
      <w:r>
        <w:rPr>
          <w:sz w:val="24"/>
        </w:rPr>
        <w:t>expenses.</w:t>
      </w:r>
    </w:p>
    <w:p w14:paraId="7280DA0D" w14:textId="77777777" w:rsidR="003A4B73" w:rsidRDefault="00BD3D77">
      <w:pPr>
        <w:pStyle w:val="ListParagraph"/>
        <w:numPr>
          <w:ilvl w:val="1"/>
          <w:numId w:val="2"/>
        </w:numPr>
        <w:tabs>
          <w:tab w:val="left" w:pos="2277"/>
          <w:tab w:val="left" w:pos="2278"/>
        </w:tabs>
        <w:spacing w:line="275" w:lineRule="exact"/>
        <w:ind w:right="0"/>
        <w:rPr>
          <w:sz w:val="24"/>
        </w:rPr>
      </w:pPr>
      <w:r>
        <w:rPr>
          <w:sz w:val="24"/>
        </w:rPr>
        <w:t>Postage.</w:t>
      </w:r>
    </w:p>
    <w:p w14:paraId="543A1916" w14:textId="77777777" w:rsidR="003A4B73" w:rsidRDefault="00BD3D77">
      <w:pPr>
        <w:pStyle w:val="ListParagraph"/>
        <w:numPr>
          <w:ilvl w:val="1"/>
          <w:numId w:val="2"/>
        </w:numPr>
        <w:tabs>
          <w:tab w:val="left" w:pos="2277"/>
          <w:tab w:val="left" w:pos="2278"/>
        </w:tabs>
        <w:spacing w:before="3"/>
        <w:ind w:right="0"/>
        <w:rPr>
          <w:sz w:val="24"/>
        </w:rPr>
      </w:pPr>
      <w:r>
        <w:rPr>
          <w:sz w:val="24"/>
        </w:rPr>
        <w:t>Telephone and conference call</w:t>
      </w:r>
      <w:r>
        <w:rPr>
          <w:spacing w:val="-4"/>
          <w:sz w:val="24"/>
        </w:rPr>
        <w:t xml:space="preserve"> </w:t>
      </w:r>
      <w:r>
        <w:rPr>
          <w:sz w:val="24"/>
        </w:rPr>
        <w:t>expenses.</w:t>
      </w:r>
    </w:p>
    <w:p w14:paraId="53E13E47" w14:textId="77777777" w:rsidR="003A4B73" w:rsidRDefault="003A4B73">
      <w:pPr>
        <w:pStyle w:val="BodyText"/>
        <w:ind w:left="0"/>
      </w:pPr>
    </w:p>
    <w:p w14:paraId="031F091B" w14:textId="77777777" w:rsidR="003A4B73" w:rsidRDefault="00BD3D77">
      <w:pPr>
        <w:pStyle w:val="Heading1"/>
        <w:numPr>
          <w:ilvl w:val="0"/>
          <w:numId w:val="2"/>
        </w:numPr>
        <w:tabs>
          <w:tab w:val="left" w:pos="1191"/>
        </w:tabs>
        <w:spacing w:line="275" w:lineRule="exact"/>
        <w:ind w:left="1190" w:hanging="353"/>
      </w:pPr>
      <w:r>
        <w:t>Executive Board</w:t>
      </w:r>
      <w:r>
        <w:rPr>
          <w:spacing w:val="-2"/>
        </w:rPr>
        <w:t xml:space="preserve"> </w:t>
      </w:r>
      <w:r>
        <w:t>Meetings</w:t>
      </w:r>
    </w:p>
    <w:p w14:paraId="58AD0615" w14:textId="77777777" w:rsidR="003A4B73" w:rsidRDefault="00BD3D77">
      <w:pPr>
        <w:pStyle w:val="ListParagraph"/>
        <w:numPr>
          <w:ilvl w:val="1"/>
          <w:numId w:val="2"/>
        </w:numPr>
        <w:tabs>
          <w:tab w:val="left" w:pos="2278"/>
        </w:tabs>
        <w:jc w:val="both"/>
        <w:rPr>
          <w:sz w:val="24"/>
        </w:rPr>
      </w:pPr>
      <w:r>
        <w:rPr>
          <w:sz w:val="24"/>
        </w:rPr>
        <w:t>Executive and Ex-Officio Board members shall receive hotel, and travel reimbursement and receive a $20 per diem to attend Executive Board meetings.</w:t>
      </w:r>
    </w:p>
    <w:p w14:paraId="00CF3318" w14:textId="77777777" w:rsidR="003A4B73" w:rsidRDefault="00BD3D77">
      <w:pPr>
        <w:pStyle w:val="ListParagraph"/>
        <w:numPr>
          <w:ilvl w:val="1"/>
          <w:numId w:val="2"/>
        </w:numPr>
        <w:tabs>
          <w:tab w:val="left" w:pos="2278"/>
        </w:tabs>
        <w:spacing w:before="3" w:line="237" w:lineRule="auto"/>
        <w:ind w:right="101"/>
        <w:jc w:val="both"/>
        <w:rPr>
          <w:sz w:val="24"/>
        </w:rPr>
      </w:pPr>
      <w:r>
        <w:rPr>
          <w:sz w:val="24"/>
        </w:rPr>
        <w:t>Committee Chairs shall receive travel and hotel reimbursement per policy when invited by the President to attend Board</w:t>
      </w:r>
      <w:r>
        <w:rPr>
          <w:spacing w:val="-7"/>
          <w:sz w:val="24"/>
        </w:rPr>
        <w:t xml:space="preserve"> </w:t>
      </w:r>
      <w:r>
        <w:rPr>
          <w:sz w:val="24"/>
        </w:rPr>
        <w:t>meetings.</w:t>
      </w:r>
    </w:p>
    <w:p w14:paraId="27E7D392" w14:textId="77777777" w:rsidR="003A4B73" w:rsidRDefault="003A4B73">
      <w:pPr>
        <w:pStyle w:val="BodyText"/>
        <w:spacing w:before="1"/>
        <w:ind w:left="0"/>
      </w:pPr>
    </w:p>
    <w:p w14:paraId="03AC5632" w14:textId="77777777" w:rsidR="003A4B73" w:rsidRDefault="00BD3D77">
      <w:pPr>
        <w:pStyle w:val="Heading1"/>
        <w:numPr>
          <w:ilvl w:val="0"/>
          <w:numId w:val="2"/>
        </w:numPr>
        <w:tabs>
          <w:tab w:val="left" w:pos="1178"/>
        </w:tabs>
        <w:ind w:left="1177" w:hanging="340"/>
      </w:pPr>
      <w:r>
        <w:t>Annual State</w:t>
      </w:r>
      <w:r>
        <w:rPr>
          <w:spacing w:val="-3"/>
        </w:rPr>
        <w:t xml:space="preserve"> </w:t>
      </w:r>
      <w:r>
        <w:t>Conference</w:t>
      </w:r>
    </w:p>
    <w:p w14:paraId="05736617" w14:textId="77777777" w:rsidR="003A4B73" w:rsidRDefault="00BD3D77">
      <w:pPr>
        <w:pStyle w:val="ListParagraph"/>
        <w:numPr>
          <w:ilvl w:val="1"/>
          <w:numId w:val="2"/>
        </w:numPr>
        <w:tabs>
          <w:tab w:val="left" w:pos="2278"/>
        </w:tabs>
        <w:spacing w:before="3"/>
        <w:jc w:val="both"/>
        <w:rPr>
          <w:sz w:val="24"/>
        </w:rPr>
      </w:pPr>
      <w:r>
        <w:rPr>
          <w:sz w:val="24"/>
        </w:rPr>
        <w:t>All incumbent State Officers, Ex-Officio Board members, incoming State Officers, Committee Chairs, ABPANC Director (1), ASPAN</w:t>
      </w:r>
      <w:r>
        <w:rPr>
          <w:spacing w:val="35"/>
          <w:sz w:val="24"/>
        </w:rPr>
        <w:t xml:space="preserve"> </w:t>
      </w:r>
      <w:r>
        <w:rPr>
          <w:sz w:val="24"/>
        </w:rPr>
        <w:t>Regional Director, and ASPAN President or the President’s designee shall receive complimentary conference</w:t>
      </w:r>
      <w:r>
        <w:rPr>
          <w:spacing w:val="-2"/>
          <w:sz w:val="24"/>
        </w:rPr>
        <w:t xml:space="preserve"> </w:t>
      </w:r>
      <w:r>
        <w:rPr>
          <w:sz w:val="24"/>
        </w:rPr>
        <w:t>registration.</w:t>
      </w:r>
    </w:p>
    <w:p w14:paraId="372038BD" w14:textId="77777777" w:rsidR="003A4B73" w:rsidRDefault="00BD3D77">
      <w:pPr>
        <w:pStyle w:val="ListParagraph"/>
        <w:numPr>
          <w:ilvl w:val="1"/>
          <w:numId w:val="2"/>
        </w:numPr>
        <w:tabs>
          <w:tab w:val="left" w:pos="2278"/>
        </w:tabs>
        <w:jc w:val="both"/>
        <w:rPr>
          <w:sz w:val="24"/>
        </w:rPr>
      </w:pPr>
      <w:r>
        <w:rPr>
          <w:sz w:val="24"/>
        </w:rPr>
        <w:t>The Conference Committee Chair(s) and up to four (4) committee members shall receive complimentary conference registration up to a maximum of 5 total. In addition, the Conference Chair(s) shall receive complimentary registration to the following year’s</w:t>
      </w:r>
      <w:r>
        <w:rPr>
          <w:spacing w:val="-7"/>
          <w:sz w:val="24"/>
        </w:rPr>
        <w:t xml:space="preserve"> </w:t>
      </w:r>
      <w:r>
        <w:rPr>
          <w:sz w:val="24"/>
        </w:rPr>
        <w:t>conference.</w:t>
      </w:r>
    </w:p>
    <w:p w14:paraId="6A2D8B94" w14:textId="77777777" w:rsidR="003A4B73" w:rsidRDefault="00BD3D77">
      <w:pPr>
        <w:pStyle w:val="ListParagraph"/>
        <w:numPr>
          <w:ilvl w:val="1"/>
          <w:numId w:val="2"/>
        </w:numPr>
        <w:tabs>
          <w:tab w:val="left" w:pos="2278"/>
        </w:tabs>
        <w:jc w:val="both"/>
        <w:rPr>
          <w:sz w:val="24"/>
        </w:rPr>
      </w:pPr>
      <w:r>
        <w:rPr>
          <w:sz w:val="24"/>
        </w:rPr>
        <w:t>The winner of the previous year’s Recruiter of the Year Award shall receive complimentary registration, upon presentation of the award certificate with a completed registration form. The certificate entitles the recipient to receive the basic Early Bird registration, is non-transferable, and is valid only for the conference following receipt of the</w:t>
      </w:r>
      <w:r>
        <w:rPr>
          <w:spacing w:val="-13"/>
          <w:sz w:val="24"/>
        </w:rPr>
        <w:t xml:space="preserve"> </w:t>
      </w:r>
      <w:r>
        <w:rPr>
          <w:sz w:val="24"/>
        </w:rPr>
        <w:t>award.</w:t>
      </w:r>
    </w:p>
    <w:p w14:paraId="705097E9" w14:textId="77777777" w:rsidR="003A4B73" w:rsidRDefault="00BD3D77">
      <w:pPr>
        <w:pStyle w:val="ListParagraph"/>
        <w:numPr>
          <w:ilvl w:val="1"/>
          <w:numId w:val="2"/>
        </w:numPr>
        <w:tabs>
          <w:tab w:val="left" w:pos="2278"/>
        </w:tabs>
        <w:jc w:val="both"/>
        <w:rPr>
          <w:sz w:val="24"/>
        </w:rPr>
      </w:pPr>
      <w:r>
        <w:rPr>
          <w:sz w:val="24"/>
        </w:rPr>
        <w:t>All incumbent State Officers, Ex-Officio Board members, and incumbent Conference Chair(s) shall receive three (3) nights accommodation at the conference hotel, and travel expenses per</w:t>
      </w:r>
      <w:r>
        <w:rPr>
          <w:spacing w:val="-5"/>
          <w:sz w:val="24"/>
        </w:rPr>
        <w:t xml:space="preserve"> </w:t>
      </w:r>
      <w:r>
        <w:rPr>
          <w:sz w:val="24"/>
        </w:rPr>
        <w:t>policy.</w:t>
      </w:r>
    </w:p>
    <w:p w14:paraId="5EE0BC1B" w14:textId="77777777" w:rsidR="003A4B73" w:rsidRDefault="00BD3D77">
      <w:pPr>
        <w:pStyle w:val="ListParagraph"/>
        <w:numPr>
          <w:ilvl w:val="1"/>
          <w:numId w:val="2"/>
        </w:numPr>
        <w:tabs>
          <w:tab w:val="left" w:pos="2278"/>
        </w:tabs>
        <w:spacing w:before="2" w:line="237" w:lineRule="auto"/>
        <w:jc w:val="both"/>
        <w:rPr>
          <w:sz w:val="24"/>
        </w:rPr>
      </w:pPr>
      <w:r>
        <w:rPr>
          <w:sz w:val="24"/>
        </w:rPr>
        <w:t>Incumbent Committee Chairs, and incoming State Officers shall receive three (3) nights accommodation at the conference</w:t>
      </w:r>
      <w:r>
        <w:rPr>
          <w:spacing w:val="-8"/>
          <w:sz w:val="24"/>
        </w:rPr>
        <w:t xml:space="preserve"> </w:t>
      </w:r>
      <w:r>
        <w:rPr>
          <w:sz w:val="24"/>
        </w:rPr>
        <w:t>hotel.</w:t>
      </w:r>
    </w:p>
    <w:p w14:paraId="6E9D3863" w14:textId="77777777" w:rsidR="003A4B73" w:rsidRDefault="00BD3D77">
      <w:pPr>
        <w:pStyle w:val="ListParagraph"/>
        <w:numPr>
          <w:ilvl w:val="1"/>
          <w:numId w:val="2"/>
        </w:numPr>
        <w:tabs>
          <w:tab w:val="left" w:pos="2278"/>
        </w:tabs>
        <w:spacing w:before="6" w:line="237" w:lineRule="auto"/>
        <w:jc w:val="both"/>
        <w:rPr>
          <w:sz w:val="24"/>
        </w:rPr>
      </w:pPr>
      <w:r>
        <w:rPr>
          <w:sz w:val="24"/>
        </w:rPr>
        <w:t>Expenses incurred by the Conference Committee are eligible for reimbursement subject to approval by the Executive</w:t>
      </w:r>
      <w:r>
        <w:rPr>
          <w:spacing w:val="-9"/>
          <w:sz w:val="24"/>
        </w:rPr>
        <w:t xml:space="preserve"> </w:t>
      </w:r>
      <w:r>
        <w:rPr>
          <w:sz w:val="24"/>
        </w:rPr>
        <w:t>Board.</w:t>
      </w:r>
    </w:p>
    <w:p w14:paraId="20893357" w14:textId="77777777" w:rsidR="003A4B73" w:rsidRDefault="00BD3D77">
      <w:pPr>
        <w:pStyle w:val="ListParagraph"/>
        <w:numPr>
          <w:ilvl w:val="1"/>
          <w:numId w:val="2"/>
        </w:numPr>
        <w:tabs>
          <w:tab w:val="left" w:pos="2278"/>
        </w:tabs>
        <w:spacing w:before="3"/>
        <w:jc w:val="both"/>
        <w:rPr>
          <w:sz w:val="24"/>
        </w:rPr>
      </w:pPr>
      <w:r>
        <w:rPr>
          <w:sz w:val="24"/>
        </w:rPr>
        <w:t>Requests for refunds of registration fees by those registered attendees who are unable to attend the conference are subject to the restrictions published in the conference brochure. Refunds are subject to a service fee. Extenuating circumstances may be taken into consideration on a case by case basis, subject to Executive Board</w:t>
      </w:r>
      <w:r>
        <w:rPr>
          <w:spacing w:val="-5"/>
          <w:sz w:val="24"/>
        </w:rPr>
        <w:t xml:space="preserve"> </w:t>
      </w:r>
      <w:r>
        <w:rPr>
          <w:sz w:val="24"/>
        </w:rPr>
        <w:t>approval.</w:t>
      </w:r>
    </w:p>
    <w:p w14:paraId="4A83505E" w14:textId="77777777" w:rsidR="003A4B73" w:rsidRDefault="003A4B73">
      <w:pPr>
        <w:pStyle w:val="BodyText"/>
        <w:ind w:left="0"/>
      </w:pPr>
    </w:p>
    <w:p w14:paraId="2AAF1618" w14:textId="77777777" w:rsidR="003A4B73" w:rsidRDefault="00BD3D77">
      <w:pPr>
        <w:pStyle w:val="Heading1"/>
        <w:numPr>
          <w:ilvl w:val="0"/>
          <w:numId w:val="2"/>
        </w:numPr>
        <w:tabs>
          <w:tab w:val="left" w:pos="1165"/>
        </w:tabs>
        <w:spacing w:line="275" w:lineRule="exact"/>
        <w:ind w:left="1164" w:hanging="327"/>
      </w:pPr>
      <w:r>
        <w:t>Leadership</w:t>
      </w:r>
      <w:r>
        <w:rPr>
          <w:spacing w:val="-1"/>
        </w:rPr>
        <w:t xml:space="preserve"> </w:t>
      </w:r>
      <w:r>
        <w:t>Conference</w:t>
      </w:r>
    </w:p>
    <w:p w14:paraId="19EF586F" w14:textId="77777777" w:rsidR="003A4B73" w:rsidRDefault="00BD3D77">
      <w:pPr>
        <w:pStyle w:val="ListParagraph"/>
        <w:numPr>
          <w:ilvl w:val="1"/>
          <w:numId w:val="2"/>
        </w:numPr>
        <w:tabs>
          <w:tab w:val="left" w:pos="2278"/>
        </w:tabs>
        <w:jc w:val="both"/>
        <w:rPr>
          <w:sz w:val="24"/>
        </w:rPr>
      </w:pPr>
      <w:r>
        <w:rPr>
          <w:sz w:val="24"/>
        </w:rPr>
        <w:t>Incumbent State Officers, Ex-Officio Board members, and incoming State Officers, shall receive two (2) nights accommodation, and travel expenses to attend the</w:t>
      </w:r>
      <w:r>
        <w:rPr>
          <w:spacing w:val="-1"/>
          <w:sz w:val="24"/>
        </w:rPr>
        <w:t xml:space="preserve"> </w:t>
      </w:r>
      <w:r>
        <w:rPr>
          <w:sz w:val="24"/>
        </w:rPr>
        <w:t>conference.</w:t>
      </w:r>
    </w:p>
    <w:p w14:paraId="0E205944" w14:textId="77777777" w:rsidR="003A4B73" w:rsidRDefault="00BD3D77">
      <w:pPr>
        <w:pStyle w:val="ListParagraph"/>
        <w:numPr>
          <w:ilvl w:val="1"/>
          <w:numId w:val="2"/>
        </w:numPr>
        <w:tabs>
          <w:tab w:val="left" w:pos="2278"/>
        </w:tabs>
        <w:spacing w:before="2"/>
        <w:jc w:val="both"/>
        <w:rPr>
          <w:sz w:val="24"/>
        </w:rPr>
      </w:pPr>
      <w:r>
        <w:rPr>
          <w:sz w:val="24"/>
        </w:rPr>
        <w:t>Committee Chairs shall receive one (1) night accommodation based on double occupancy, and travel expenses to attend the End of Year Executive Board meeting following the</w:t>
      </w:r>
      <w:r>
        <w:rPr>
          <w:spacing w:val="-4"/>
          <w:sz w:val="24"/>
        </w:rPr>
        <w:t xml:space="preserve"> </w:t>
      </w:r>
      <w:r>
        <w:rPr>
          <w:sz w:val="24"/>
        </w:rPr>
        <w:t>conference.</w:t>
      </w:r>
    </w:p>
    <w:p w14:paraId="0A0D4F5C" w14:textId="77777777" w:rsidR="003A4B73" w:rsidRDefault="00BD3D77">
      <w:pPr>
        <w:pStyle w:val="ListParagraph"/>
        <w:numPr>
          <w:ilvl w:val="1"/>
          <w:numId w:val="2"/>
        </w:numPr>
        <w:tabs>
          <w:tab w:val="left" w:pos="2277"/>
          <w:tab w:val="left" w:pos="2278"/>
        </w:tabs>
        <w:spacing w:line="274" w:lineRule="exact"/>
        <w:ind w:right="0"/>
        <w:rPr>
          <w:sz w:val="24"/>
        </w:rPr>
      </w:pPr>
      <w:r>
        <w:rPr>
          <w:sz w:val="24"/>
        </w:rPr>
        <w:t>Based</w:t>
      </w:r>
      <w:r>
        <w:rPr>
          <w:spacing w:val="15"/>
          <w:sz w:val="24"/>
        </w:rPr>
        <w:t xml:space="preserve"> </w:t>
      </w:r>
      <w:r>
        <w:rPr>
          <w:sz w:val="24"/>
        </w:rPr>
        <w:t>upon</w:t>
      </w:r>
      <w:r>
        <w:rPr>
          <w:spacing w:val="15"/>
          <w:sz w:val="24"/>
        </w:rPr>
        <w:t xml:space="preserve"> </w:t>
      </w:r>
      <w:r>
        <w:rPr>
          <w:sz w:val="24"/>
        </w:rPr>
        <w:t>TAPAN</w:t>
      </w:r>
      <w:r>
        <w:rPr>
          <w:spacing w:val="15"/>
          <w:sz w:val="24"/>
        </w:rPr>
        <w:t xml:space="preserve"> </w:t>
      </w:r>
      <w:r>
        <w:rPr>
          <w:sz w:val="24"/>
        </w:rPr>
        <w:t>financial</w:t>
      </w:r>
      <w:r>
        <w:rPr>
          <w:spacing w:val="15"/>
          <w:sz w:val="24"/>
        </w:rPr>
        <w:t xml:space="preserve"> </w:t>
      </w:r>
      <w:r>
        <w:rPr>
          <w:sz w:val="24"/>
        </w:rPr>
        <w:t>ability,</w:t>
      </w:r>
      <w:r>
        <w:rPr>
          <w:spacing w:val="15"/>
          <w:sz w:val="24"/>
        </w:rPr>
        <w:t xml:space="preserve"> </w:t>
      </w:r>
      <w:r>
        <w:rPr>
          <w:sz w:val="24"/>
        </w:rPr>
        <w:t>two</w:t>
      </w:r>
      <w:r>
        <w:rPr>
          <w:spacing w:val="15"/>
          <w:sz w:val="24"/>
        </w:rPr>
        <w:t xml:space="preserve"> </w:t>
      </w:r>
      <w:r>
        <w:rPr>
          <w:sz w:val="24"/>
        </w:rPr>
        <w:t>(2)</w:t>
      </w:r>
      <w:r>
        <w:rPr>
          <w:spacing w:val="15"/>
          <w:sz w:val="24"/>
        </w:rPr>
        <w:t xml:space="preserve"> </w:t>
      </w:r>
      <w:r>
        <w:rPr>
          <w:sz w:val="24"/>
        </w:rPr>
        <w:t>members</w:t>
      </w:r>
      <w:r>
        <w:rPr>
          <w:spacing w:val="15"/>
          <w:sz w:val="24"/>
        </w:rPr>
        <w:t xml:space="preserve"> </w:t>
      </w:r>
      <w:r>
        <w:rPr>
          <w:sz w:val="24"/>
        </w:rPr>
        <w:t>from</w:t>
      </w:r>
      <w:r>
        <w:rPr>
          <w:spacing w:val="15"/>
          <w:sz w:val="24"/>
        </w:rPr>
        <w:t xml:space="preserve"> </w:t>
      </w:r>
      <w:r>
        <w:rPr>
          <w:sz w:val="24"/>
        </w:rPr>
        <w:t>each</w:t>
      </w:r>
      <w:r>
        <w:rPr>
          <w:spacing w:val="15"/>
          <w:sz w:val="24"/>
        </w:rPr>
        <w:t xml:space="preserve"> </w:t>
      </w:r>
      <w:r>
        <w:rPr>
          <w:sz w:val="24"/>
        </w:rPr>
        <w:t>region</w:t>
      </w:r>
    </w:p>
    <w:p w14:paraId="3BAA451A" w14:textId="77777777" w:rsidR="003A4B73" w:rsidRDefault="003A4B73">
      <w:pPr>
        <w:spacing w:line="274" w:lineRule="exact"/>
        <w:rPr>
          <w:sz w:val="24"/>
        </w:rPr>
        <w:sectPr w:rsidR="003A4B73">
          <w:pgSz w:w="12240" w:h="15840"/>
          <w:pgMar w:top="1360" w:right="1340" w:bottom="1000" w:left="1320" w:header="0" w:footer="815" w:gutter="0"/>
          <w:cols w:space="720"/>
        </w:sectPr>
      </w:pPr>
    </w:p>
    <w:p w14:paraId="0E29D7A1" w14:textId="77777777" w:rsidR="003A4B73" w:rsidRDefault="00BD3D77">
      <w:pPr>
        <w:pStyle w:val="BodyText"/>
        <w:spacing w:before="79" w:line="237" w:lineRule="auto"/>
      </w:pPr>
      <w:r>
        <w:lastRenderedPageBreak/>
        <w:t>may be offered one (1) night accommodation at the designated hotel based on double occupancy.</w:t>
      </w:r>
    </w:p>
    <w:p w14:paraId="76420584" w14:textId="77777777" w:rsidR="003A4B73" w:rsidRDefault="003A4B73">
      <w:pPr>
        <w:pStyle w:val="BodyText"/>
        <w:ind w:left="0"/>
      </w:pPr>
    </w:p>
    <w:p w14:paraId="5DDA8479" w14:textId="77777777" w:rsidR="003A4B73" w:rsidRDefault="00BD3D77">
      <w:pPr>
        <w:pStyle w:val="Heading1"/>
        <w:numPr>
          <w:ilvl w:val="0"/>
          <w:numId w:val="2"/>
        </w:numPr>
        <w:tabs>
          <w:tab w:val="left" w:pos="1205"/>
        </w:tabs>
        <w:spacing w:before="1"/>
        <w:ind w:left="1204" w:hanging="367"/>
      </w:pPr>
      <w:r>
        <w:t>ASPAN National</w:t>
      </w:r>
      <w:r>
        <w:rPr>
          <w:spacing w:val="-2"/>
        </w:rPr>
        <w:t xml:space="preserve"> </w:t>
      </w:r>
      <w:r>
        <w:t>Conference</w:t>
      </w:r>
    </w:p>
    <w:p w14:paraId="231908F9" w14:textId="77777777" w:rsidR="003A4B73" w:rsidRDefault="00BD3D77">
      <w:pPr>
        <w:pStyle w:val="ListParagraph"/>
        <w:numPr>
          <w:ilvl w:val="1"/>
          <w:numId w:val="2"/>
        </w:numPr>
        <w:tabs>
          <w:tab w:val="left" w:pos="2278"/>
        </w:tabs>
        <w:spacing w:before="2"/>
        <w:jc w:val="both"/>
        <w:rPr>
          <w:sz w:val="24"/>
        </w:rPr>
      </w:pPr>
      <w:r>
        <w:rPr>
          <w:sz w:val="24"/>
        </w:rPr>
        <w:t>State Officers and Ex-Officio Board members attending the ASPAN National Conference may receive complimentary basic, Early Bird registration, if funds are</w:t>
      </w:r>
      <w:r>
        <w:rPr>
          <w:spacing w:val="-2"/>
          <w:sz w:val="24"/>
        </w:rPr>
        <w:t xml:space="preserve"> </w:t>
      </w:r>
      <w:r>
        <w:rPr>
          <w:sz w:val="24"/>
        </w:rPr>
        <w:t>available.</w:t>
      </w:r>
    </w:p>
    <w:p w14:paraId="127A0B55" w14:textId="77777777" w:rsidR="003A4B73" w:rsidRDefault="00BD3D77">
      <w:pPr>
        <w:pStyle w:val="ListParagraph"/>
        <w:numPr>
          <w:ilvl w:val="1"/>
          <w:numId w:val="2"/>
        </w:numPr>
        <w:tabs>
          <w:tab w:val="left" w:pos="2278"/>
        </w:tabs>
        <w:jc w:val="both"/>
        <w:rPr>
          <w:sz w:val="24"/>
        </w:rPr>
      </w:pPr>
      <w:r>
        <w:rPr>
          <w:sz w:val="24"/>
        </w:rPr>
        <w:t>The TAPAN President and President Elect shall receive reimbursement for travel expenses, and hotel accommodation at the conference hotel, per policy, for the duration of the conference, when serving as the TAPAN delegates to the Representative Assembly</w:t>
      </w:r>
      <w:r>
        <w:rPr>
          <w:spacing w:val="-5"/>
          <w:sz w:val="24"/>
        </w:rPr>
        <w:t xml:space="preserve"> </w:t>
      </w:r>
      <w:r>
        <w:rPr>
          <w:sz w:val="24"/>
        </w:rPr>
        <w:t>(RA).</w:t>
      </w:r>
    </w:p>
    <w:p w14:paraId="6F116B4E" w14:textId="68066032" w:rsidR="003A4B73" w:rsidRDefault="00BD3D77">
      <w:pPr>
        <w:pStyle w:val="ListParagraph"/>
        <w:numPr>
          <w:ilvl w:val="1"/>
          <w:numId w:val="2"/>
        </w:numPr>
        <w:tabs>
          <w:tab w:val="left" w:pos="2278"/>
        </w:tabs>
        <w:jc w:val="both"/>
        <w:rPr>
          <w:sz w:val="24"/>
        </w:rPr>
      </w:pPr>
      <w:r>
        <w:rPr>
          <w:sz w:val="24"/>
        </w:rPr>
        <w:t>In the event that either the President or President Elect is unable to serve as a delegate to the RA, the designated RA delegate(s) shall be eligible for funding as deemed appropriate by the Executive</w:t>
      </w:r>
      <w:r>
        <w:rPr>
          <w:spacing w:val="-7"/>
          <w:sz w:val="24"/>
        </w:rPr>
        <w:t xml:space="preserve"> </w:t>
      </w:r>
      <w:r>
        <w:rPr>
          <w:sz w:val="24"/>
        </w:rPr>
        <w:t>Board.</w:t>
      </w:r>
    </w:p>
    <w:p w14:paraId="0A4E8EB8" w14:textId="77777777" w:rsidR="003A4B73" w:rsidRDefault="003A4B73">
      <w:pPr>
        <w:pStyle w:val="BodyText"/>
        <w:spacing w:before="9"/>
        <w:ind w:left="0"/>
        <w:rPr>
          <w:sz w:val="23"/>
        </w:rPr>
      </w:pPr>
    </w:p>
    <w:p w14:paraId="02C5D43B" w14:textId="77777777" w:rsidR="003A4B73" w:rsidRDefault="00BD3D77">
      <w:pPr>
        <w:pStyle w:val="Heading1"/>
        <w:numPr>
          <w:ilvl w:val="0"/>
          <w:numId w:val="2"/>
        </w:numPr>
        <w:tabs>
          <w:tab w:val="left" w:pos="1205"/>
        </w:tabs>
        <w:ind w:left="1204" w:hanging="367"/>
      </w:pPr>
      <w:r>
        <w:t>Governmental Affairs</w:t>
      </w:r>
      <w:r>
        <w:rPr>
          <w:spacing w:val="-2"/>
        </w:rPr>
        <w:t xml:space="preserve"> </w:t>
      </w:r>
      <w:r>
        <w:t>Committee</w:t>
      </w:r>
    </w:p>
    <w:p w14:paraId="7A6B956D" w14:textId="77777777" w:rsidR="003A4B73" w:rsidRDefault="00BD3D77">
      <w:pPr>
        <w:pStyle w:val="ListParagraph"/>
        <w:numPr>
          <w:ilvl w:val="1"/>
          <w:numId w:val="2"/>
        </w:numPr>
        <w:tabs>
          <w:tab w:val="left" w:pos="2278"/>
        </w:tabs>
        <w:spacing w:before="3"/>
        <w:jc w:val="both"/>
        <w:rPr>
          <w:sz w:val="24"/>
        </w:rPr>
      </w:pPr>
      <w:r>
        <w:rPr>
          <w:sz w:val="24"/>
        </w:rPr>
        <w:t>The GAC Chair shall receive reimbursement for ANA/TNA membership. In the event the GAC Chair is unable to fulfill her/his term, any remaining membership fee must be returned to the TAPAN Treasurer. ANA/TNA membership is not subject to</w:t>
      </w:r>
      <w:r>
        <w:rPr>
          <w:spacing w:val="-4"/>
          <w:sz w:val="24"/>
        </w:rPr>
        <w:t xml:space="preserve"> </w:t>
      </w:r>
      <w:r>
        <w:rPr>
          <w:sz w:val="24"/>
        </w:rPr>
        <w:t>substitution.</w:t>
      </w:r>
    </w:p>
    <w:p w14:paraId="0C506712" w14:textId="77777777" w:rsidR="003A4B73" w:rsidRDefault="00BD3D77">
      <w:pPr>
        <w:pStyle w:val="ListParagraph"/>
        <w:numPr>
          <w:ilvl w:val="1"/>
          <w:numId w:val="2"/>
        </w:numPr>
        <w:tabs>
          <w:tab w:val="left" w:pos="2278"/>
        </w:tabs>
        <w:jc w:val="both"/>
        <w:rPr>
          <w:sz w:val="24"/>
        </w:rPr>
      </w:pPr>
      <w:r>
        <w:rPr>
          <w:sz w:val="24"/>
        </w:rPr>
        <w:t>The Executive Board shall provide a reasonable budget, to be reviewed annually, to fund travel for committee members to attend legislative/coalition meetings, and Nurse Day at the</w:t>
      </w:r>
      <w:r>
        <w:rPr>
          <w:spacing w:val="-10"/>
          <w:sz w:val="24"/>
        </w:rPr>
        <w:t xml:space="preserve"> </w:t>
      </w:r>
      <w:r>
        <w:rPr>
          <w:sz w:val="24"/>
        </w:rPr>
        <w:t>Capitol.</w:t>
      </w:r>
    </w:p>
    <w:p w14:paraId="038EDA4F" w14:textId="77777777" w:rsidR="003A4B73" w:rsidRDefault="003A4B73">
      <w:pPr>
        <w:pStyle w:val="BodyText"/>
        <w:ind w:left="0"/>
      </w:pPr>
    </w:p>
    <w:p w14:paraId="1A59C817" w14:textId="77777777" w:rsidR="003A4B73" w:rsidRDefault="00BD3D77">
      <w:pPr>
        <w:pStyle w:val="Heading1"/>
        <w:numPr>
          <w:ilvl w:val="0"/>
          <w:numId w:val="1"/>
        </w:numPr>
        <w:tabs>
          <w:tab w:val="left" w:pos="1112"/>
        </w:tabs>
        <w:spacing w:line="275" w:lineRule="exact"/>
      </w:pPr>
      <w:r>
        <w:t>Miscellaneous</w:t>
      </w:r>
    </w:p>
    <w:p w14:paraId="015DE776" w14:textId="77777777" w:rsidR="003A4B73" w:rsidRDefault="00BD3D77">
      <w:pPr>
        <w:pStyle w:val="ListParagraph"/>
        <w:numPr>
          <w:ilvl w:val="1"/>
          <w:numId w:val="1"/>
        </w:numPr>
        <w:tabs>
          <w:tab w:val="left" w:pos="2278"/>
        </w:tabs>
        <w:jc w:val="both"/>
        <w:rPr>
          <w:sz w:val="24"/>
        </w:rPr>
      </w:pPr>
      <w:r>
        <w:rPr>
          <w:sz w:val="24"/>
        </w:rPr>
        <w:t>Executive and Ex-Officio Board members, or Committee Chairs representing TAPAN at other meetings or functions, may be eligible for reimbursement of expenses, subject to prior approval by the Executive Board.</w:t>
      </w:r>
    </w:p>
    <w:sectPr w:rsidR="003A4B73">
      <w:pgSz w:w="12240" w:h="15840"/>
      <w:pgMar w:top="1360" w:right="1340" w:bottom="1000" w:left="1320" w:header="0"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5A97D" w14:textId="77777777" w:rsidR="00C03531" w:rsidRDefault="00BD3D77">
      <w:r>
        <w:separator/>
      </w:r>
    </w:p>
  </w:endnote>
  <w:endnote w:type="continuationSeparator" w:id="0">
    <w:p w14:paraId="43B6DECE" w14:textId="77777777" w:rsidR="00C03531" w:rsidRDefault="00BD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D4F2" w14:textId="77777777" w:rsidR="003A4B73" w:rsidRDefault="00115A50">
    <w:pPr>
      <w:pStyle w:val="BodyText"/>
      <w:spacing w:line="14" w:lineRule="auto"/>
      <w:ind w:left="0"/>
      <w:rPr>
        <w:sz w:val="20"/>
      </w:rPr>
    </w:pPr>
    <w:r>
      <w:pict w14:anchorId="1FFC5D13">
        <v:shapetype id="_x0000_t202" coordsize="21600,21600" o:spt="202" path="m,l,21600r21600,l21600,xe">
          <v:stroke joinstyle="miter"/>
          <v:path gradientshapeok="t" o:connecttype="rect"/>
        </v:shapetype>
        <v:shape id="_x0000_s2050" type="#_x0000_t202" style="position:absolute;margin-left:70.9pt;margin-top:740.25pt;width:77.45pt;height:12.9pt;z-index:-3784;mso-position-horizontal-relative:page;mso-position-vertical-relative:page" filled="f" stroked="f">
          <v:textbox inset="0,0,0,0">
            <w:txbxContent>
              <w:p w14:paraId="143C8387" w14:textId="0E1C200E" w:rsidR="003A4B73" w:rsidRDefault="00BD3D77">
                <w:pPr>
                  <w:spacing w:before="18"/>
                  <w:ind w:left="20"/>
                  <w:rPr>
                    <w:sz w:val="19"/>
                  </w:rPr>
                </w:pPr>
                <w:r>
                  <w:rPr>
                    <w:w w:val="105"/>
                    <w:sz w:val="19"/>
                  </w:rPr>
                  <w:t xml:space="preserve">Reviewed: </w:t>
                </w:r>
                <w:r w:rsidR="007941FA">
                  <w:rPr>
                    <w:w w:val="105"/>
                    <w:sz w:val="19"/>
                  </w:rPr>
                  <w:t>3/2020</w:t>
                </w:r>
              </w:p>
            </w:txbxContent>
          </v:textbox>
          <w10:wrap anchorx="page" anchory="page"/>
        </v:shape>
      </w:pict>
    </w:r>
    <w:r>
      <w:pict w14:anchorId="2F8B760C">
        <v:shape id="_x0000_s2049" type="#_x0000_t202" style="position:absolute;margin-left:466.65pt;margin-top:740.25pt;width:74.15pt;height:12.9pt;z-index:-3760;mso-position-horizontal-relative:page;mso-position-vertical-relative:page" filled="f" stroked="f">
          <v:textbox inset="0,0,0,0">
            <w:txbxContent>
              <w:p w14:paraId="278546E7" w14:textId="77777777" w:rsidR="003A4B73" w:rsidRDefault="00BD3D77">
                <w:pPr>
                  <w:spacing w:before="18"/>
                  <w:ind w:left="20"/>
                  <w:rPr>
                    <w:sz w:val="19"/>
                  </w:rPr>
                </w:pPr>
                <w:r>
                  <w:rPr>
                    <w:w w:val="105"/>
                    <w:sz w:val="19"/>
                  </w:rPr>
                  <w:t xml:space="preserve">E-001 Page </w:t>
                </w:r>
                <w:r>
                  <w:fldChar w:fldCharType="begin"/>
                </w:r>
                <w:r>
                  <w:rPr>
                    <w:w w:val="105"/>
                    <w:sz w:val="19"/>
                  </w:rPr>
                  <w:instrText xml:space="preserve"> PAGE </w:instrText>
                </w:r>
                <w:r>
                  <w:fldChar w:fldCharType="separate"/>
                </w:r>
                <w:r>
                  <w:t>1</w:t>
                </w:r>
                <w:r>
                  <w:fldChar w:fldCharType="end"/>
                </w:r>
                <w:r>
                  <w:rPr>
                    <w:w w:val="105"/>
                    <w:sz w:val="19"/>
                  </w:rP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D99C" w14:textId="77777777" w:rsidR="00C03531" w:rsidRDefault="00BD3D77">
      <w:r>
        <w:separator/>
      </w:r>
    </w:p>
  </w:footnote>
  <w:footnote w:type="continuationSeparator" w:id="0">
    <w:p w14:paraId="57F65F7B" w14:textId="77777777" w:rsidR="00C03531" w:rsidRDefault="00BD3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73BC"/>
    <w:multiLevelType w:val="hybridMultilevel"/>
    <w:tmpl w:val="97C03C36"/>
    <w:lvl w:ilvl="0" w:tplc="3132CFA0">
      <w:start w:val="1"/>
      <w:numFmt w:val="upperRoman"/>
      <w:lvlText w:val="%1."/>
      <w:lvlJc w:val="left"/>
      <w:pPr>
        <w:ind w:left="1111" w:hanging="274"/>
        <w:jc w:val="left"/>
      </w:pPr>
      <w:rPr>
        <w:rFonts w:ascii="Times New Roman" w:eastAsia="Times New Roman" w:hAnsi="Times New Roman" w:cs="Times New Roman" w:hint="default"/>
        <w:b/>
        <w:bCs/>
        <w:spacing w:val="-1"/>
        <w:w w:val="100"/>
        <w:sz w:val="24"/>
        <w:szCs w:val="24"/>
      </w:rPr>
    </w:lvl>
    <w:lvl w:ilvl="1" w:tplc="A5229774">
      <w:start w:val="1"/>
      <w:numFmt w:val="decimal"/>
      <w:lvlText w:val="%2."/>
      <w:lvlJc w:val="left"/>
      <w:pPr>
        <w:ind w:left="2277" w:hanging="720"/>
        <w:jc w:val="left"/>
      </w:pPr>
      <w:rPr>
        <w:rFonts w:ascii="Times New Roman" w:eastAsia="Times New Roman" w:hAnsi="Times New Roman" w:cs="Times New Roman" w:hint="default"/>
        <w:spacing w:val="-13"/>
        <w:w w:val="100"/>
        <w:sz w:val="24"/>
        <w:szCs w:val="24"/>
      </w:rPr>
    </w:lvl>
    <w:lvl w:ilvl="2" w:tplc="E7347D36">
      <w:numFmt w:val="bullet"/>
      <w:lvlText w:val="•"/>
      <w:lvlJc w:val="left"/>
      <w:pPr>
        <w:ind w:left="3091" w:hanging="720"/>
      </w:pPr>
      <w:rPr>
        <w:rFonts w:hint="default"/>
      </w:rPr>
    </w:lvl>
    <w:lvl w:ilvl="3" w:tplc="DECE13F6">
      <w:numFmt w:val="bullet"/>
      <w:lvlText w:val="•"/>
      <w:lvlJc w:val="left"/>
      <w:pPr>
        <w:ind w:left="3902" w:hanging="720"/>
      </w:pPr>
      <w:rPr>
        <w:rFonts w:hint="default"/>
      </w:rPr>
    </w:lvl>
    <w:lvl w:ilvl="4" w:tplc="0FD0115A">
      <w:numFmt w:val="bullet"/>
      <w:lvlText w:val="•"/>
      <w:lvlJc w:val="left"/>
      <w:pPr>
        <w:ind w:left="4713" w:hanging="720"/>
      </w:pPr>
      <w:rPr>
        <w:rFonts w:hint="default"/>
      </w:rPr>
    </w:lvl>
    <w:lvl w:ilvl="5" w:tplc="F8FC8F6C">
      <w:numFmt w:val="bullet"/>
      <w:lvlText w:val="•"/>
      <w:lvlJc w:val="left"/>
      <w:pPr>
        <w:ind w:left="5524" w:hanging="720"/>
      </w:pPr>
      <w:rPr>
        <w:rFonts w:hint="default"/>
      </w:rPr>
    </w:lvl>
    <w:lvl w:ilvl="6" w:tplc="C59ED2EC">
      <w:numFmt w:val="bullet"/>
      <w:lvlText w:val="•"/>
      <w:lvlJc w:val="left"/>
      <w:pPr>
        <w:ind w:left="6335" w:hanging="720"/>
      </w:pPr>
      <w:rPr>
        <w:rFonts w:hint="default"/>
      </w:rPr>
    </w:lvl>
    <w:lvl w:ilvl="7" w:tplc="3EFA6690">
      <w:numFmt w:val="bullet"/>
      <w:lvlText w:val="•"/>
      <w:lvlJc w:val="left"/>
      <w:pPr>
        <w:ind w:left="7146" w:hanging="720"/>
      </w:pPr>
      <w:rPr>
        <w:rFonts w:hint="default"/>
      </w:rPr>
    </w:lvl>
    <w:lvl w:ilvl="8" w:tplc="3294E496">
      <w:numFmt w:val="bullet"/>
      <w:lvlText w:val="•"/>
      <w:lvlJc w:val="left"/>
      <w:pPr>
        <w:ind w:left="7957" w:hanging="720"/>
      </w:pPr>
      <w:rPr>
        <w:rFonts w:hint="default"/>
      </w:rPr>
    </w:lvl>
  </w:abstractNum>
  <w:abstractNum w:abstractNumId="1" w15:restartNumberingAfterBreak="0">
    <w:nsid w:val="79EA61C9"/>
    <w:multiLevelType w:val="hybridMultilevel"/>
    <w:tmpl w:val="4C7A40AC"/>
    <w:lvl w:ilvl="0" w:tplc="6B4CC2A8">
      <w:start w:val="1"/>
      <w:numFmt w:val="upperLetter"/>
      <w:lvlText w:val="%1."/>
      <w:lvlJc w:val="left"/>
      <w:pPr>
        <w:ind w:left="1130" w:hanging="294"/>
        <w:jc w:val="left"/>
      </w:pPr>
      <w:rPr>
        <w:rFonts w:ascii="Times New Roman" w:eastAsia="Times New Roman" w:hAnsi="Times New Roman" w:cs="Times New Roman" w:hint="default"/>
        <w:b/>
        <w:bCs/>
        <w:spacing w:val="-1"/>
        <w:w w:val="100"/>
        <w:sz w:val="24"/>
        <w:szCs w:val="24"/>
      </w:rPr>
    </w:lvl>
    <w:lvl w:ilvl="1" w:tplc="3AFC3836">
      <w:start w:val="1"/>
      <w:numFmt w:val="decimal"/>
      <w:lvlText w:val="%2."/>
      <w:lvlJc w:val="left"/>
      <w:pPr>
        <w:ind w:left="2277" w:hanging="720"/>
        <w:jc w:val="left"/>
      </w:pPr>
      <w:rPr>
        <w:rFonts w:ascii="Times New Roman" w:eastAsia="Times New Roman" w:hAnsi="Times New Roman" w:cs="Times New Roman" w:hint="default"/>
        <w:spacing w:val="-1"/>
        <w:w w:val="100"/>
        <w:sz w:val="24"/>
        <w:szCs w:val="24"/>
      </w:rPr>
    </w:lvl>
    <w:lvl w:ilvl="2" w:tplc="F0CA0936">
      <w:numFmt w:val="bullet"/>
      <w:lvlText w:val="•"/>
      <w:lvlJc w:val="left"/>
      <w:pPr>
        <w:ind w:left="3091" w:hanging="720"/>
      </w:pPr>
      <w:rPr>
        <w:rFonts w:hint="default"/>
      </w:rPr>
    </w:lvl>
    <w:lvl w:ilvl="3" w:tplc="D8F01026">
      <w:numFmt w:val="bullet"/>
      <w:lvlText w:val="•"/>
      <w:lvlJc w:val="left"/>
      <w:pPr>
        <w:ind w:left="3902" w:hanging="720"/>
      </w:pPr>
      <w:rPr>
        <w:rFonts w:hint="default"/>
      </w:rPr>
    </w:lvl>
    <w:lvl w:ilvl="4" w:tplc="01CAF81E">
      <w:numFmt w:val="bullet"/>
      <w:lvlText w:val="•"/>
      <w:lvlJc w:val="left"/>
      <w:pPr>
        <w:ind w:left="4713" w:hanging="720"/>
      </w:pPr>
      <w:rPr>
        <w:rFonts w:hint="default"/>
      </w:rPr>
    </w:lvl>
    <w:lvl w:ilvl="5" w:tplc="4C9E976E">
      <w:numFmt w:val="bullet"/>
      <w:lvlText w:val="•"/>
      <w:lvlJc w:val="left"/>
      <w:pPr>
        <w:ind w:left="5524" w:hanging="720"/>
      </w:pPr>
      <w:rPr>
        <w:rFonts w:hint="default"/>
      </w:rPr>
    </w:lvl>
    <w:lvl w:ilvl="6" w:tplc="EBE8B9B4">
      <w:numFmt w:val="bullet"/>
      <w:lvlText w:val="•"/>
      <w:lvlJc w:val="left"/>
      <w:pPr>
        <w:ind w:left="6335" w:hanging="720"/>
      </w:pPr>
      <w:rPr>
        <w:rFonts w:hint="default"/>
      </w:rPr>
    </w:lvl>
    <w:lvl w:ilvl="7" w:tplc="B0460C06">
      <w:numFmt w:val="bullet"/>
      <w:lvlText w:val="•"/>
      <w:lvlJc w:val="left"/>
      <w:pPr>
        <w:ind w:left="7146" w:hanging="720"/>
      </w:pPr>
      <w:rPr>
        <w:rFonts w:hint="default"/>
      </w:rPr>
    </w:lvl>
    <w:lvl w:ilvl="8" w:tplc="BA12DFF0">
      <w:numFmt w:val="bullet"/>
      <w:lvlText w:val="•"/>
      <w:lvlJc w:val="left"/>
      <w:pPr>
        <w:ind w:left="7957"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3A4B73"/>
    <w:rsid w:val="00115A50"/>
    <w:rsid w:val="003A4B73"/>
    <w:rsid w:val="007941FA"/>
    <w:rsid w:val="00993682"/>
    <w:rsid w:val="00BD3D77"/>
    <w:rsid w:val="00C03531"/>
    <w:rsid w:val="00F3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99FD6"/>
  <w15:docId w15:val="{033F8261-F6E5-4B33-81B4-67CF64ED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7" w:hanging="3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77"/>
    </w:pPr>
    <w:rPr>
      <w:sz w:val="24"/>
      <w:szCs w:val="24"/>
    </w:rPr>
  </w:style>
  <w:style w:type="paragraph" w:styleId="ListParagraph">
    <w:name w:val="List Paragraph"/>
    <w:basedOn w:val="Normal"/>
    <w:uiPriority w:val="1"/>
    <w:qFormat/>
    <w:pPr>
      <w:ind w:left="2277" w:right="1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41FA"/>
    <w:pPr>
      <w:tabs>
        <w:tab w:val="center" w:pos="4680"/>
        <w:tab w:val="right" w:pos="9360"/>
      </w:tabs>
    </w:pPr>
  </w:style>
  <w:style w:type="character" w:customStyle="1" w:styleId="HeaderChar">
    <w:name w:val="Header Char"/>
    <w:basedOn w:val="DefaultParagraphFont"/>
    <w:link w:val="Header"/>
    <w:uiPriority w:val="99"/>
    <w:rsid w:val="007941FA"/>
    <w:rPr>
      <w:rFonts w:ascii="Times New Roman" w:eastAsia="Times New Roman" w:hAnsi="Times New Roman" w:cs="Times New Roman"/>
    </w:rPr>
  </w:style>
  <w:style w:type="paragraph" w:styleId="Footer">
    <w:name w:val="footer"/>
    <w:basedOn w:val="Normal"/>
    <w:link w:val="FooterChar"/>
    <w:uiPriority w:val="99"/>
    <w:unhideWhenUsed/>
    <w:rsid w:val="007941FA"/>
    <w:pPr>
      <w:tabs>
        <w:tab w:val="center" w:pos="4680"/>
        <w:tab w:val="right" w:pos="9360"/>
      </w:tabs>
    </w:pPr>
  </w:style>
  <w:style w:type="character" w:customStyle="1" w:styleId="FooterChar">
    <w:name w:val="Footer Char"/>
    <w:basedOn w:val="DefaultParagraphFont"/>
    <w:link w:val="Footer"/>
    <w:uiPriority w:val="99"/>
    <w:rsid w:val="007941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Russell</cp:lastModifiedBy>
  <cp:revision>4</cp:revision>
  <dcterms:created xsi:type="dcterms:W3CDTF">2020-02-23T18:15:00Z</dcterms:created>
  <dcterms:modified xsi:type="dcterms:W3CDTF">2020-04-03T15:43:00Z</dcterms:modified>
</cp:coreProperties>
</file>