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8" w:type="dxa"/>
        <w:tblCellMar>
          <w:left w:w="0" w:type="dxa"/>
          <w:right w:w="0" w:type="dxa"/>
        </w:tblCellMar>
        <w:tblLook w:val="04A0" w:firstRow="1" w:lastRow="0" w:firstColumn="1" w:lastColumn="0" w:noHBand="0" w:noVBand="1"/>
      </w:tblPr>
      <w:tblGrid>
        <w:gridCol w:w="9253"/>
        <w:gridCol w:w="107"/>
      </w:tblGrid>
      <w:tr w:rsidR="00D17F8F" w:rsidTr="00D17F8F">
        <w:trPr>
          <w:tblCellSpacing w:w="18" w:type="dxa"/>
        </w:trPr>
        <w:tc>
          <w:tcPr>
            <w:tcW w:w="0" w:type="auto"/>
            <w:gridSpan w:val="2"/>
            <w:tcMar>
              <w:top w:w="15" w:type="dxa"/>
              <w:left w:w="15" w:type="dxa"/>
              <w:bottom w:w="15" w:type="dxa"/>
              <w:right w:w="15" w:type="dxa"/>
            </w:tcMar>
            <w:vAlign w:val="center"/>
            <w:hideMark/>
          </w:tcPr>
          <w:tbl>
            <w:tblPr>
              <w:tblW w:w="4814" w:type="pct"/>
              <w:tblCellSpacing w:w="18" w:type="dxa"/>
              <w:tblCellMar>
                <w:left w:w="0" w:type="dxa"/>
                <w:right w:w="0" w:type="dxa"/>
              </w:tblCellMar>
              <w:tblLook w:val="04A0" w:firstRow="1" w:lastRow="0" w:firstColumn="1" w:lastColumn="0" w:noHBand="0" w:noVBand="1"/>
            </w:tblPr>
            <w:tblGrid>
              <w:gridCol w:w="3307"/>
              <w:gridCol w:w="5607"/>
            </w:tblGrid>
            <w:tr w:rsidR="00D17F8F" w:rsidTr="00D17F8F">
              <w:trPr>
                <w:trHeight w:val="1671"/>
                <w:tblCellSpacing w:w="18" w:type="dxa"/>
              </w:trPr>
              <w:tc>
                <w:tcPr>
                  <w:tcW w:w="1825" w:type="pct"/>
                  <w:tcMar>
                    <w:top w:w="15" w:type="dxa"/>
                    <w:left w:w="15" w:type="dxa"/>
                    <w:bottom w:w="15" w:type="dxa"/>
                    <w:right w:w="15" w:type="dxa"/>
                  </w:tcMar>
                  <w:vAlign w:val="center"/>
                  <w:hideMark/>
                </w:tcPr>
                <w:p w:rsidR="00D17F8F" w:rsidRDefault="00D17F8F">
                  <w:pPr>
                    <w:rPr>
                      <w:color w:val="000000"/>
                      <w:sz w:val="18"/>
                      <w:szCs w:val="18"/>
                    </w:rPr>
                  </w:pPr>
                  <w:r>
                    <w:rPr>
                      <w:noProof/>
                      <w:color w:val="000000"/>
                      <w:sz w:val="18"/>
                      <w:szCs w:val="18"/>
                    </w:rPr>
                    <w:drawing>
                      <wp:inline distT="0" distB="0" distL="0" distR="0" wp14:anchorId="3B574EDF" wp14:editId="1F799037">
                        <wp:extent cx="1805354" cy="914400"/>
                        <wp:effectExtent l="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2950" cy="943572"/>
                                </a:xfrm>
                                <a:prstGeom prst="rect">
                                  <a:avLst/>
                                </a:prstGeom>
                                <a:noFill/>
                                <a:ln>
                                  <a:noFill/>
                                </a:ln>
                              </pic:spPr>
                            </pic:pic>
                          </a:graphicData>
                        </a:graphic>
                      </wp:inline>
                    </w:drawing>
                  </w:r>
                </w:p>
              </w:tc>
              <w:tc>
                <w:tcPr>
                  <w:tcW w:w="3115" w:type="pct"/>
                  <w:tcMar>
                    <w:top w:w="15" w:type="dxa"/>
                    <w:left w:w="15" w:type="dxa"/>
                    <w:bottom w:w="15" w:type="dxa"/>
                    <w:right w:w="15" w:type="dxa"/>
                  </w:tcMar>
                  <w:vAlign w:val="center"/>
                  <w:hideMark/>
                </w:tcPr>
                <w:p w:rsidR="00D17F8F" w:rsidRDefault="00D17F8F">
                  <w:pPr>
                    <w:jc w:val="center"/>
                    <w:rPr>
                      <w:color w:val="000000"/>
                      <w:sz w:val="18"/>
                      <w:szCs w:val="18"/>
                    </w:rPr>
                  </w:pPr>
                  <w:r>
                    <w:rPr>
                      <w:color w:val="000000"/>
                      <w:sz w:val="18"/>
                      <w:szCs w:val="18"/>
                    </w:rPr>
                    <w:t>The Activity Sig</w:t>
                  </w:r>
                  <w:bookmarkStart w:id="0" w:name="_GoBack"/>
                  <w:bookmarkEnd w:id="0"/>
                  <w:r>
                    <w:rPr>
                      <w:color w:val="000000"/>
                      <w:sz w:val="18"/>
                      <w:szCs w:val="18"/>
                    </w:rPr>
                    <w:t>n-In Code which Expires on Jan 15 @ 4:30 PM is:</w:t>
                  </w:r>
                  <w:r>
                    <w:rPr>
                      <w:color w:val="000000"/>
                      <w:sz w:val="18"/>
                      <w:szCs w:val="18"/>
                    </w:rPr>
                    <w:br/>
                  </w:r>
                  <w:r>
                    <w:rPr>
                      <w:b/>
                      <w:bCs/>
                      <w:color w:val="FF0000"/>
                      <w:sz w:val="42"/>
                      <w:szCs w:val="42"/>
                    </w:rPr>
                    <w:t>29dour</w:t>
                  </w:r>
                </w:p>
                <w:p w:rsidR="00D17F8F" w:rsidRDefault="00D17F8F">
                  <w:pPr>
                    <w:jc w:val="center"/>
                    <w:rPr>
                      <w:color w:val="000000"/>
                      <w:sz w:val="18"/>
                      <w:szCs w:val="18"/>
                      <w:u w:val="single"/>
                    </w:rPr>
                  </w:pPr>
                  <w:r>
                    <w:rPr>
                      <w:color w:val="000000"/>
                      <w:sz w:val="18"/>
                      <w:szCs w:val="18"/>
                      <w:u w:val="single"/>
                    </w:rPr>
                    <w:t>Sign-in Methods</w:t>
                  </w:r>
                </w:p>
                <w:p w:rsidR="00D17F8F" w:rsidRDefault="00D17F8F">
                  <w:pPr>
                    <w:jc w:val="center"/>
                    <w:rPr>
                      <w:b/>
                      <w:bCs/>
                      <w:color w:val="000000"/>
                      <w:sz w:val="23"/>
                      <w:szCs w:val="23"/>
                    </w:rPr>
                  </w:pPr>
                  <w:r>
                    <w:rPr>
                      <w:b/>
                      <w:bCs/>
                      <w:color w:val="000000"/>
                      <w:sz w:val="23"/>
                      <w:szCs w:val="23"/>
                    </w:rPr>
                    <w:t>Visit eeds.com | eeds iPhone/Android App</w:t>
                  </w:r>
                </w:p>
              </w:tc>
            </w:tr>
          </w:tbl>
          <w:p w:rsidR="00D17F8F" w:rsidRDefault="00D17F8F">
            <w:pPr>
              <w:rPr>
                <w:rFonts w:eastAsia="Times New Roman"/>
                <w:sz w:val="20"/>
                <w:szCs w:val="20"/>
              </w:rPr>
            </w:pP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pStyle w:val="Heading1"/>
              <w:jc w:val="center"/>
              <w:rPr>
                <w:rFonts w:eastAsia="Times New Roman"/>
                <w:color w:val="000000"/>
                <w:sz w:val="48"/>
                <w:szCs w:val="48"/>
              </w:rPr>
            </w:pPr>
            <w:r>
              <w:rPr>
                <w:rFonts w:eastAsia="Times New Roman"/>
                <w:color w:val="000000"/>
              </w:rPr>
              <w:t>SM-M: SCWA-ANPD Continuing Education Series</w:t>
            </w:r>
          </w:p>
        </w:tc>
      </w:tr>
      <w:tr w:rsidR="00D17F8F" w:rsidTr="00D17F8F">
        <w:trPr>
          <w:tblCellSpacing w:w="18" w:type="dxa"/>
        </w:trPr>
        <w:tc>
          <w:tcPr>
            <w:tcW w:w="0" w:type="auto"/>
            <w:tcMar>
              <w:top w:w="15" w:type="dxa"/>
              <w:left w:w="15" w:type="dxa"/>
              <w:bottom w:w="15" w:type="dxa"/>
              <w:right w:w="15" w:type="dxa"/>
            </w:tcMar>
            <w:vAlign w:val="center"/>
            <w:hideMark/>
          </w:tcPr>
          <w:p w:rsidR="00D17F8F" w:rsidRDefault="00D17F8F">
            <w:pPr>
              <w:rPr>
                <w:color w:val="000000"/>
                <w:sz w:val="18"/>
                <w:szCs w:val="18"/>
              </w:rPr>
            </w:pPr>
            <w:r>
              <w:rPr>
                <w:b/>
                <w:bCs/>
                <w:color w:val="000000"/>
                <w:sz w:val="18"/>
                <w:szCs w:val="18"/>
              </w:rPr>
              <w:t>Date:</w:t>
            </w:r>
            <w:r>
              <w:rPr>
                <w:color w:val="000000"/>
                <w:sz w:val="18"/>
                <w:szCs w:val="18"/>
              </w:rPr>
              <w:t xml:space="preserve"> Tuesday, January 12, 2021 </w:t>
            </w:r>
            <w:r>
              <w:rPr>
                <w:color w:val="000000"/>
                <w:sz w:val="18"/>
                <w:szCs w:val="18"/>
              </w:rPr>
              <w:br/>
            </w:r>
            <w:r>
              <w:rPr>
                <w:b/>
                <w:bCs/>
                <w:color w:val="000000"/>
                <w:sz w:val="18"/>
                <w:szCs w:val="18"/>
              </w:rPr>
              <w:t>Time:</w:t>
            </w:r>
            <w:r>
              <w:rPr>
                <w:color w:val="000000"/>
                <w:sz w:val="18"/>
                <w:szCs w:val="18"/>
              </w:rPr>
              <w:t xml:space="preserve"> 4:30 PM - 5:30 PM </w:t>
            </w:r>
            <w:r>
              <w:rPr>
                <w:color w:val="000000"/>
                <w:sz w:val="18"/>
                <w:szCs w:val="18"/>
              </w:rPr>
              <w:br/>
            </w:r>
            <w:r>
              <w:rPr>
                <w:b/>
                <w:bCs/>
                <w:color w:val="000000"/>
                <w:sz w:val="18"/>
                <w:szCs w:val="18"/>
              </w:rPr>
              <w:t>Location:</w:t>
            </w:r>
            <w:r>
              <w:rPr>
                <w:color w:val="000000"/>
                <w:sz w:val="18"/>
                <w:szCs w:val="18"/>
              </w:rPr>
              <w:t xml:space="preserve"> Virtual Conference Room </w:t>
            </w:r>
          </w:p>
          <w:p w:rsidR="00D17F8F" w:rsidRDefault="00D17F8F">
            <w:pPr>
              <w:rPr>
                <w:color w:val="000000"/>
                <w:sz w:val="18"/>
                <w:szCs w:val="18"/>
              </w:rPr>
            </w:pPr>
            <w:r>
              <w:rPr>
                <w:b/>
                <w:bCs/>
                <w:color w:val="000000"/>
                <w:sz w:val="18"/>
                <w:szCs w:val="18"/>
              </w:rPr>
              <w:t>Remote Viewing Instructions:</w:t>
            </w:r>
            <w:r>
              <w:rPr>
                <w:color w:val="000000"/>
                <w:sz w:val="18"/>
                <w:szCs w:val="18"/>
              </w:rPr>
              <w:br/>
              <w:t xml:space="preserve">At the beginning of the event, use this link to confirm your attendance. </w:t>
            </w:r>
            <w:r>
              <w:rPr>
                <w:color w:val="000000"/>
                <w:sz w:val="18"/>
                <w:szCs w:val="18"/>
              </w:rPr>
              <w:br/>
              <w:t>Afterwards, you'll be brought to the activity overview where you will see a button to "Watch the Lecture Remotely"</w:t>
            </w:r>
            <w:r>
              <w:rPr>
                <w:color w:val="000000"/>
                <w:sz w:val="18"/>
                <w:szCs w:val="18"/>
              </w:rPr>
              <w:br/>
            </w:r>
            <w:hyperlink r:id="rId6" w:tgtFrame="_blank" w:history="1">
              <w:r>
                <w:rPr>
                  <w:rStyle w:val="Hyperlink"/>
                  <w:sz w:val="18"/>
                  <w:szCs w:val="18"/>
                </w:rPr>
                <w:t>https://www.eeds.com/sign_in.aspx?Sign_in_Code=29dour</w:t>
              </w:r>
            </w:hyperlink>
          </w:p>
          <w:p w:rsidR="00D17F8F" w:rsidRDefault="00D17F8F" w:rsidP="00D17F8F">
            <w:pPr>
              <w:pStyle w:val="List"/>
              <w:rPr>
                <w:b/>
                <w:bCs/>
                <w:color w:val="000000"/>
                <w:sz w:val="18"/>
                <w:szCs w:val="18"/>
              </w:rPr>
            </w:pPr>
          </w:p>
          <w:p w:rsidR="00D17F8F" w:rsidRPr="00D17F8F" w:rsidRDefault="00D17F8F" w:rsidP="00D17F8F">
            <w:pPr>
              <w:pStyle w:val="List"/>
              <w:rPr>
                <w:color w:val="000000"/>
                <w:sz w:val="18"/>
                <w:szCs w:val="18"/>
              </w:rPr>
            </w:pPr>
            <w:r>
              <w:rPr>
                <w:b/>
                <w:bCs/>
                <w:color w:val="000000"/>
                <w:sz w:val="18"/>
                <w:szCs w:val="18"/>
              </w:rPr>
              <w:t>Watch this Lecture Remotely:</w:t>
            </w:r>
            <w:r>
              <w:rPr>
                <w:color w:val="000000"/>
                <w:sz w:val="18"/>
                <w:szCs w:val="18"/>
              </w:rPr>
              <w:t xml:space="preserve"> </w:t>
            </w:r>
            <w:hyperlink r:id="rId7" w:tgtFrame="_blank" w:history="1">
              <w:r>
                <w:rPr>
                  <w:rStyle w:val="Hyperlink"/>
                  <w:sz w:val="18"/>
                  <w:szCs w:val="18"/>
                </w:rPr>
                <w:t>https://umsystem.zoom.us/j/98237369149</w:t>
              </w:r>
            </w:hyperlink>
            <w:r w:rsidRPr="00D17F8F">
              <w:rPr>
                <w:sz w:val="18"/>
              </w:rPr>
              <w:t>,</w:t>
            </w:r>
            <w:r>
              <w:t xml:space="preserve"> </w:t>
            </w:r>
            <w:r w:rsidRPr="00D17F8F">
              <w:rPr>
                <w:color w:val="000000"/>
                <w:sz w:val="18"/>
                <w:szCs w:val="18"/>
              </w:rPr>
              <w:t>Meeting ID: 982 3736 9149</w:t>
            </w:r>
          </w:p>
          <w:p w:rsidR="00D17F8F" w:rsidRDefault="00D17F8F">
            <w:pPr>
              <w:rPr>
                <w:color w:val="000000"/>
                <w:sz w:val="18"/>
                <w:szCs w:val="18"/>
              </w:rPr>
            </w:pPr>
          </w:p>
        </w:tc>
        <w:tc>
          <w:tcPr>
            <w:tcW w:w="0" w:type="auto"/>
            <w:tcMar>
              <w:top w:w="15" w:type="dxa"/>
              <w:left w:w="15" w:type="dxa"/>
              <w:bottom w:w="15" w:type="dxa"/>
              <w:right w:w="15" w:type="dxa"/>
            </w:tcMar>
            <w:vAlign w:val="center"/>
            <w:hideMark/>
          </w:tcPr>
          <w:p w:rsidR="00D17F8F" w:rsidRDefault="00D17F8F">
            <w:pPr>
              <w:rPr>
                <w:color w:val="000000"/>
                <w:sz w:val="18"/>
                <w:szCs w:val="18"/>
              </w:rPr>
            </w:pPr>
          </w:p>
        </w:tc>
      </w:tr>
      <w:tr w:rsidR="00D17F8F" w:rsidTr="00D17F8F">
        <w:trPr>
          <w:tblCellSpacing w:w="18" w:type="dxa"/>
        </w:trPr>
        <w:tc>
          <w:tcPr>
            <w:tcW w:w="0" w:type="auto"/>
            <w:tcMar>
              <w:top w:w="15" w:type="dxa"/>
              <w:left w:w="15" w:type="dxa"/>
              <w:bottom w:w="15" w:type="dxa"/>
              <w:right w:w="15" w:type="dxa"/>
            </w:tcMar>
            <w:vAlign w:val="center"/>
            <w:hideMark/>
          </w:tcPr>
          <w:p w:rsidR="00D17F8F" w:rsidRDefault="00D17F8F">
            <w:pPr>
              <w:rPr>
                <w:color w:val="000000"/>
                <w:sz w:val="18"/>
                <w:szCs w:val="18"/>
              </w:rPr>
            </w:pPr>
          </w:p>
        </w:tc>
        <w:tc>
          <w:tcPr>
            <w:tcW w:w="0" w:type="auto"/>
            <w:tcMar>
              <w:top w:w="15" w:type="dxa"/>
              <w:left w:w="15" w:type="dxa"/>
              <w:bottom w:w="15" w:type="dxa"/>
              <w:right w:w="15" w:type="dxa"/>
            </w:tcMar>
            <w:vAlign w:val="center"/>
            <w:hideMark/>
          </w:tcPr>
          <w:p w:rsidR="00D17F8F" w:rsidRDefault="00D17F8F">
            <w:pPr>
              <w:rPr>
                <w:color w:val="000000"/>
                <w:sz w:val="18"/>
                <w:szCs w:val="18"/>
              </w:rPr>
            </w:pPr>
          </w:p>
        </w:tc>
      </w:tr>
      <w:tr w:rsidR="00D17F8F" w:rsidTr="00D17F8F">
        <w:trPr>
          <w:tblCellSpacing w:w="18" w:type="dxa"/>
        </w:trPr>
        <w:tc>
          <w:tcPr>
            <w:tcW w:w="0" w:type="auto"/>
            <w:tcMar>
              <w:top w:w="15" w:type="dxa"/>
              <w:left w:w="15" w:type="dxa"/>
              <w:bottom w:w="15" w:type="dxa"/>
              <w:right w:w="15" w:type="dxa"/>
            </w:tcMar>
            <w:hideMark/>
          </w:tcPr>
          <w:p w:rsidR="00D17F8F" w:rsidRDefault="00D17F8F">
            <w:pPr>
              <w:rPr>
                <w:b/>
                <w:bCs/>
                <w:color w:val="000000"/>
                <w:sz w:val="18"/>
                <w:szCs w:val="18"/>
              </w:rPr>
            </w:pPr>
            <w:r>
              <w:rPr>
                <w:b/>
                <w:bCs/>
                <w:color w:val="000000"/>
                <w:sz w:val="18"/>
                <w:szCs w:val="18"/>
              </w:rPr>
              <w:t>Presentation and Speaker Information:</w:t>
            </w:r>
          </w:p>
          <w:p w:rsidR="00D17F8F" w:rsidRDefault="00D17F8F" w:rsidP="00D17F8F">
            <w:pPr>
              <w:numPr>
                <w:ilvl w:val="0"/>
                <w:numId w:val="14"/>
              </w:numPr>
              <w:spacing w:before="100" w:beforeAutospacing="1" w:after="100" w:afterAutospacing="1" w:line="270" w:lineRule="atLeast"/>
              <w:ind w:left="300"/>
              <w:rPr>
                <w:color w:val="000000"/>
                <w:sz w:val="18"/>
                <w:szCs w:val="18"/>
              </w:rPr>
            </w:pPr>
            <w:r>
              <w:rPr>
                <w:color w:val="000000"/>
                <w:sz w:val="18"/>
                <w:szCs w:val="18"/>
              </w:rPr>
              <w:t xml:space="preserve">Preparation for Redeployment during the COVID-19 pandemic </w:t>
            </w:r>
          </w:p>
          <w:p w:rsidR="00D17F8F" w:rsidRDefault="00D17F8F" w:rsidP="00D17F8F">
            <w:pPr>
              <w:numPr>
                <w:ilvl w:val="0"/>
                <w:numId w:val="14"/>
              </w:numPr>
              <w:spacing w:before="100" w:beforeAutospacing="1" w:after="100" w:afterAutospacing="1" w:line="270" w:lineRule="atLeast"/>
              <w:ind w:left="600"/>
              <w:rPr>
                <w:color w:val="000000"/>
                <w:sz w:val="18"/>
                <w:szCs w:val="18"/>
              </w:rPr>
            </w:pPr>
            <w:r>
              <w:rPr>
                <w:color w:val="000000"/>
                <w:sz w:val="18"/>
                <w:szCs w:val="18"/>
              </w:rPr>
              <w:t xml:space="preserve">Kim </w:t>
            </w:r>
            <w:proofErr w:type="spellStart"/>
            <w:r>
              <w:rPr>
                <w:color w:val="000000"/>
                <w:sz w:val="18"/>
                <w:szCs w:val="18"/>
              </w:rPr>
              <w:t>Mcphee</w:t>
            </w:r>
            <w:proofErr w:type="spellEnd"/>
            <w:r>
              <w:rPr>
                <w:color w:val="000000"/>
                <w:sz w:val="18"/>
                <w:szCs w:val="18"/>
              </w:rPr>
              <w:t>, RN, MS, NPD-BC</w:t>
            </w:r>
          </w:p>
          <w:p w:rsidR="00D17F8F" w:rsidRDefault="00D17F8F" w:rsidP="00D17F8F">
            <w:pPr>
              <w:numPr>
                <w:ilvl w:val="0"/>
                <w:numId w:val="14"/>
              </w:numPr>
              <w:spacing w:before="100" w:beforeAutospacing="1" w:after="100" w:afterAutospacing="1" w:line="270" w:lineRule="atLeast"/>
              <w:ind w:left="600"/>
              <w:rPr>
                <w:color w:val="000000"/>
                <w:sz w:val="18"/>
                <w:szCs w:val="18"/>
              </w:rPr>
            </w:pPr>
            <w:r>
              <w:rPr>
                <w:color w:val="000000"/>
                <w:sz w:val="18"/>
                <w:szCs w:val="18"/>
              </w:rPr>
              <w:t>Nicole Carolfi, RN, MSN</w:t>
            </w:r>
          </w:p>
        </w:tc>
        <w:tc>
          <w:tcPr>
            <w:tcW w:w="0" w:type="auto"/>
            <w:tcMar>
              <w:top w:w="15" w:type="dxa"/>
              <w:left w:w="15" w:type="dxa"/>
              <w:bottom w:w="15" w:type="dxa"/>
              <w:right w:w="15" w:type="dxa"/>
            </w:tcMar>
            <w:vAlign w:val="center"/>
            <w:hideMark/>
          </w:tcPr>
          <w:p w:rsidR="00D17F8F" w:rsidRDefault="00D17F8F">
            <w:pPr>
              <w:rPr>
                <w:color w:val="000000"/>
                <w:sz w:val="18"/>
                <w:szCs w:val="18"/>
              </w:rPr>
            </w:pP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rStyle w:val="Strong"/>
                <w:color w:val="000000"/>
                <w:sz w:val="18"/>
                <w:szCs w:val="18"/>
              </w:rPr>
              <w:t>Series Objectives:</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rsidP="00D17F8F">
            <w:pPr>
              <w:numPr>
                <w:ilvl w:val="0"/>
                <w:numId w:val="15"/>
              </w:numPr>
              <w:spacing w:before="100" w:beforeAutospacing="1" w:after="100" w:afterAutospacing="1"/>
              <w:ind w:left="300"/>
              <w:rPr>
                <w:color w:val="000000"/>
                <w:sz w:val="18"/>
                <w:szCs w:val="18"/>
              </w:rPr>
            </w:pPr>
            <w:r>
              <w:rPr>
                <w:color w:val="000000"/>
                <w:sz w:val="18"/>
                <w:szCs w:val="18"/>
              </w:rPr>
              <w:t xml:space="preserve">Use best practices in developing educational programs for clinical staff. </w:t>
            </w:r>
          </w:p>
          <w:p w:rsidR="00D17F8F" w:rsidRDefault="00D17F8F" w:rsidP="00D17F8F">
            <w:pPr>
              <w:numPr>
                <w:ilvl w:val="0"/>
                <w:numId w:val="15"/>
              </w:numPr>
              <w:spacing w:before="100" w:beforeAutospacing="1" w:after="100" w:afterAutospacing="1"/>
              <w:ind w:left="300"/>
              <w:rPr>
                <w:color w:val="000000"/>
                <w:sz w:val="18"/>
                <w:szCs w:val="18"/>
              </w:rPr>
            </w:pPr>
            <w:r>
              <w:rPr>
                <w:color w:val="000000"/>
                <w:sz w:val="18"/>
                <w:szCs w:val="18"/>
              </w:rPr>
              <w:t xml:space="preserve">Identify emerging issues and trends in nursing professional development.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b/>
                <w:bCs/>
                <w:color w:val="000000"/>
                <w:sz w:val="18"/>
                <w:szCs w:val="18"/>
              </w:rPr>
              <w:t>Accreditation Statement:</w:t>
            </w:r>
            <w:r>
              <w:rPr>
                <w:color w:val="000000"/>
                <w:sz w:val="18"/>
                <w:szCs w:val="18"/>
              </w:rPr>
              <w:t xml:space="preserve">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xml:space="preserve">In support of improving patient care, this activity has been planned and implemented by SSM Health and the South Central Wisconsin Affiliate of the Association for Nursing Professional Development. SSM Health is jointly accredited by the Accreditation Council for Continuing Medical Education (ACCME), the Accreditation Council for Pharmacy Education (ACPE), and the American Nurses Credentialing Center (ANCC), to provide continuing education for the healthcare team.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b/>
                <w:bCs/>
                <w:color w:val="000000"/>
                <w:sz w:val="18"/>
                <w:szCs w:val="18"/>
              </w:rPr>
              <w:t>Credit Designation:</w:t>
            </w:r>
            <w:r>
              <w:rPr>
                <w:color w:val="000000"/>
                <w:sz w:val="18"/>
                <w:szCs w:val="18"/>
              </w:rPr>
              <w:t xml:space="preserve">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xml:space="preserve">SSM Health designates this live activity for a maximum of 1 ANCC contact hour(s).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b/>
                <w:bCs/>
                <w:color w:val="000000"/>
                <w:sz w:val="18"/>
                <w:szCs w:val="18"/>
              </w:rPr>
            </w:pPr>
            <w:r>
              <w:rPr>
                <w:b/>
                <w:bCs/>
                <w:color w:val="000000"/>
                <w:sz w:val="18"/>
                <w:szCs w:val="18"/>
              </w:rPr>
              <w:t xml:space="preserve">Event Disclosures: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rsidP="00D17F8F">
            <w:pPr>
              <w:spacing w:after="240"/>
              <w:rPr>
                <w:color w:val="000000"/>
                <w:sz w:val="18"/>
                <w:szCs w:val="18"/>
              </w:rPr>
            </w:pPr>
            <w:r>
              <w:rPr>
                <w:color w:val="000000"/>
                <w:sz w:val="18"/>
                <w:szCs w:val="18"/>
                <w:u w:val="single"/>
              </w:rPr>
              <w:t>Speakers:</w:t>
            </w:r>
            <w:r>
              <w:rPr>
                <w:color w:val="000000"/>
                <w:sz w:val="18"/>
                <w:szCs w:val="18"/>
              </w:rPr>
              <w:br/>
              <w:t xml:space="preserve">Nicole Carolfi, </w:t>
            </w:r>
            <w:r>
              <w:rPr>
                <w:color w:val="000000"/>
                <w:sz w:val="18"/>
                <w:szCs w:val="18"/>
              </w:rPr>
              <w:t xml:space="preserve">MSN, </w:t>
            </w:r>
            <w:r>
              <w:rPr>
                <w:color w:val="000000"/>
                <w:sz w:val="18"/>
                <w:szCs w:val="18"/>
              </w:rPr>
              <w:t>RN and Kim McPhee,</w:t>
            </w:r>
            <w:r>
              <w:rPr>
                <w:color w:val="000000"/>
                <w:sz w:val="18"/>
                <w:szCs w:val="18"/>
              </w:rPr>
              <w:t xml:space="preserve"> MS, </w:t>
            </w:r>
            <w:r>
              <w:rPr>
                <w:color w:val="000000"/>
                <w:sz w:val="18"/>
                <w:szCs w:val="18"/>
              </w:rPr>
              <w:t>RN</w:t>
            </w:r>
            <w:r>
              <w:rPr>
                <w:color w:val="000000"/>
                <w:sz w:val="18"/>
                <w:szCs w:val="18"/>
              </w:rPr>
              <w:t>, NPD-BC</w:t>
            </w:r>
            <w:r>
              <w:rPr>
                <w:color w:val="000000"/>
                <w:sz w:val="18"/>
                <w:szCs w:val="18"/>
              </w:rPr>
              <w:t xml:space="preserve"> report having no actual or potential conflict of interest in relation to this educational activity.</w:t>
            </w:r>
            <w:r>
              <w:rPr>
                <w:color w:val="000000"/>
                <w:sz w:val="18"/>
                <w:szCs w:val="18"/>
              </w:rPr>
              <w:br/>
            </w:r>
            <w:r>
              <w:rPr>
                <w:color w:val="000000"/>
                <w:sz w:val="18"/>
                <w:szCs w:val="18"/>
              </w:rPr>
              <w:br/>
            </w:r>
            <w:r>
              <w:rPr>
                <w:color w:val="000000"/>
                <w:sz w:val="18"/>
                <w:szCs w:val="18"/>
                <w:u w:val="single"/>
              </w:rPr>
              <w:t>Planners and other Administrative Support:</w:t>
            </w:r>
            <w:r>
              <w:rPr>
                <w:color w:val="000000"/>
                <w:sz w:val="18"/>
                <w:szCs w:val="18"/>
              </w:rPr>
              <w:br/>
              <w:t>Elizabeth Fritz, MSN, Pam Maxwell, MSN, Diane Mikelsons, MSN, and Lucy Altwegg, MSN report having no actual or potential conflict of interest in relation to this educational activity.</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b/>
                <w:bCs/>
                <w:color w:val="000000"/>
                <w:sz w:val="18"/>
                <w:szCs w:val="18"/>
              </w:rPr>
            </w:pPr>
            <w:r>
              <w:rPr>
                <w:b/>
                <w:bCs/>
                <w:color w:val="000000"/>
                <w:sz w:val="18"/>
                <w:szCs w:val="18"/>
              </w:rPr>
              <w:t xml:space="preserve">Commercial Support: </w:t>
            </w:r>
          </w:p>
        </w:tc>
      </w:tr>
      <w:tr w:rsidR="00D17F8F" w:rsidTr="00D17F8F">
        <w:trPr>
          <w:tblCellSpacing w:w="18" w:type="dxa"/>
        </w:trPr>
        <w:tc>
          <w:tcPr>
            <w:tcW w:w="0" w:type="auto"/>
            <w:gridSpan w:val="2"/>
            <w:tcMar>
              <w:top w:w="15" w:type="dxa"/>
              <w:left w:w="15" w:type="dxa"/>
              <w:bottom w:w="15" w:type="dxa"/>
              <w:right w:w="15" w:type="dxa"/>
            </w:tcMar>
            <w:vAlign w:val="center"/>
            <w:hideMark/>
          </w:tcPr>
          <w:p w:rsidR="00D17F8F" w:rsidRDefault="00D17F8F">
            <w:pPr>
              <w:rPr>
                <w:color w:val="000000"/>
                <w:sz w:val="18"/>
                <w:szCs w:val="18"/>
              </w:rPr>
            </w:pPr>
            <w:r>
              <w:rPr>
                <w:color w:val="000000"/>
                <w:sz w:val="18"/>
                <w:szCs w:val="18"/>
              </w:rPr>
              <w:t xml:space="preserve">This activity is not commercially supported. </w:t>
            </w:r>
          </w:p>
        </w:tc>
      </w:tr>
      <w:tr w:rsidR="00D17F8F" w:rsidTr="00D17F8F">
        <w:trPr>
          <w:tblCellSpacing w:w="18" w:type="dxa"/>
        </w:trPr>
        <w:tc>
          <w:tcPr>
            <w:tcW w:w="0" w:type="auto"/>
            <w:gridSpan w:val="2"/>
            <w:tcMar>
              <w:top w:w="15" w:type="dxa"/>
              <w:left w:w="15" w:type="dxa"/>
              <w:bottom w:w="15" w:type="dxa"/>
              <w:right w:w="15" w:type="dxa"/>
            </w:tcMar>
            <w:vAlign w:val="center"/>
          </w:tcPr>
          <w:p w:rsidR="00D17F8F" w:rsidRDefault="00D17F8F">
            <w:pPr>
              <w:rPr>
                <w:color w:val="000000"/>
                <w:sz w:val="18"/>
                <w:szCs w:val="18"/>
              </w:rPr>
            </w:pPr>
          </w:p>
        </w:tc>
      </w:tr>
    </w:tbl>
    <w:p w:rsidR="00622925" w:rsidRDefault="00622925"/>
    <w:sectPr w:rsidR="00622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327014"/>
    <w:multiLevelType w:val="multilevel"/>
    <w:tmpl w:val="24761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0E3CE9"/>
    <w:multiLevelType w:val="multilevel"/>
    <w:tmpl w:val="05CA5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023E8"/>
    <w:multiLevelType w:val="multilevel"/>
    <w:tmpl w:val="3DC039FA"/>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1"/>
  </w:num>
  <w:num w:numId="3">
    <w:abstractNumId w:val="13"/>
    <w:lvlOverride w:ilvl="0">
      <w:lvl w:ilvl="0">
        <w:start w:val="1"/>
        <w:numFmt w:val="upperRoman"/>
        <w:pStyle w:val="Heading1"/>
        <w:lvlText w:val="Article %1."/>
        <w:lvlJc w:val="left"/>
        <w:pPr>
          <w:ind w:left="0" w:firstLine="0"/>
        </w:pPr>
        <w:rPr>
          <w:sz w:val="32"/>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8F"/>
    <w:rsid w:val="00622925"/>
    <w:rsid w:val="00BF7589"/>
    <w:rsid w:val="00D17F8F"/>
    <w:rsid w:val="00ED2DA3"/>
    <w:rsid w:val="00EF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34FC6-55D0-4BB1-919E-3866D903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F8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F22C8"/>
    <w:pPr>
      <w:keepNext/>
      <w:keepLines/>
      <w:numPr>
        <w:numId w:val="3"/>
      </w:numPr>
      <w:spacing w:before="24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outlineLvl w:val="2"/>
    </w:pPr>
    <w:rPr>
      <w:rFonts w:eastAsiaTheme="majorEastAsia"/>
      <w:color w:val="1F4D78" w:themeColor="accent1" w:themeShade="7F"/>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outlineLvl w:val="5"/>
    </w:pPr>
    <w:rPr>
      <w:rFonts w:eastAsiaTheme="majorEastAsia"/>
      <w:color w:val="1F4D78"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outlineLvl w:val="6"/>
    </w:pPr>
    <w:rPr>
      <w:rFonts w:eastAsiaTheme="majorEastAsia"/>
      <w:i/>
      <w:iCs/>
      <w:color w:val="1F4D78"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E74B5"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E74B5"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E74B5"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4D78"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4D78"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pPr>
    <w:rPr>
      <w:i/>
      <w:iCs/>
      <w:color w:val="44546A" w:themeColor="text2"/>
      <w:sz w:val="18"/>
      <w:szCs w:val="18"/>
    </w:rPr>
  </w:style>
  <w:style w:type="paragraph" w:styleId="Closing">
    <w:name w:val="Closing"/>
    <w:basedOn w:val="Normal"/>
    <w:link w:val="ClosingChar"/>
    <w:uiPriority w:val="99"/>
    <w:semiHidden/>
    <w:unhideWhenUsed/>
    <w:rsid w:val="00EF22C8"/>
    <w:pPr>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EF22C8"/>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semiHidden/>
    <w:unhideWhenUsed/>
    <w:rsid w:val="00EF22C8"/>
    <w:pPr>
      <w:tabs>
        <w:tab w:val="center" w:pos="4680"/>
        <w:tab w:val="right" w:pos="9360"/>
      </w:tabs>
    </w:pPr>
  </w:style>
  <w:style w:type="character" w:customStyle="1" w:styleId="FooterChar">
    <w:name w:val="Footer Char"/>
    <w:basedOn w:val="DefaultParagraphFont"/>
    <w:link w:val="Footer"/>
    <w:uiPriority w:val="99"/>
    <w:semiHidden/>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unhideWhenUsed/>
    <w:rsid w:val="00EF22C8"/>
    <w:pPr>
      <w:tabs>
        <w:tab w:val="center" w:pos="4680"/>
        <w:tab w:val="right" w:pos="9360"/>
      </w:tabs>
    </w:pPr>
  </w:style>
  <w:style w:type="character" w:customStyle="1" w:styleId="HeaderChar">
    <w:name w:val="Header Char"/>
    <w:basedOn w:val="DefaultParagraphFont"/>
    <w:link w:val="Header"/>
    <w:uiPriority w:val="99"/>
    <w:semiHidden/>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semiHidden/>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ind w:left="240" w:hanging="240"/>
    </w:pPr>
  </w:style>
  <w:style w:type="paragraph" w:styleId="Index2">
    <w:name w:val="index 2"/>
    <w:basedOn w:val="Normal"/>
    <w:next w:val="Normal"/>
    <w:autoRedefine/>
    <w:uiPriority w:val="99"/>
    <w:semiHidden/>
    <w:unhideWhenUsed/>
    <w:rsid w:val="00EF22C8"/>
    <w:pPr>
      <w:ind w:left="480" w:hanging="240"/>
    </w:pPr>
  </w:style>
  <w:style w:type="paragraph" w:styleId="Index3">
    <w:name w:val="index 3"/>
    <w:basedOn w:val="Normal"/>
    <w:next w:val="Normal"/>
    <w:autoRedefine/>
    <w:uiPriority w:val="99"/>
    <w:semiHidden/>
    <w:unhideWhenUsed/>
    <w:rsid w:val="00EF22C8"/>
    <w:pPr>
      <w:ind w:left="720" w:hanging="240"/>
    </w:pPr>
  </w:style>
  <w:style w:type="paragraph" w:styleId="Index4">
    <w:name w:val="index 4"/>
    <w:basedOn w:val="Normal"/>
    <w:next w:val="Normal"/>
    <w:autoRedefine/>
    <w:uiPriority w:val="99"/>
    <w:semiHidden/>
    <w:unhideWhenUsed/>
    <w:rsid w:val="00EF22C8"/>
    <w:pPr>
      <w:ind w:left="960" w:hanging="240"/>
    </w:pPr>
  </w:style>
  <w:style w:type="paragraph" w:styleId="Index5">
    <w:name w:val="index 5"/>
    <w:basedOn w:val="Normal"/>
    <w:next w:val="Normal"/>
    <w:autoRedefine/>
    <w:uiPriority w:val="99"/>
    <w:semiHidden/>
    <w:unhideWhenUsed/>
    <w:rsid w:val="00EF22C8"/>
    <w:pPr>
      <w:ind w:left="1200" w:hanging="240"/>
    </w:pPr>
  </w:style>
  <w:style w:type="paragraph" w:styleId="Index6">
    <w:name w:val="index 6"/>
    <w:basedOn w:val="Normal"/>
    <w:next w:val="Normal"/>
    <w:autoRedefine/>
    <w:uiPriority w:val="99"/>
    <w:semiHidden/>
    <w:unhideWhenUsed/>
    <w:rsid w:val="00EF22C8"/>
    <w:pPr>
      <w:ind w:left="1440" w:hanging="240"/>
    </w:pPr>
  </w:style>
  <w:style w:type="paragraph" w:styleId="Index7">
    <w:name w:val="index 7"/>
    <w:basedOn w:val="Normal"/>
    <w:next w:val="Normal"/>
    <w:autoRedefine/>
    <w:uiPriority w:val="99"/>
    <w:semiHidden/>
    <w:unhideWhenUsed/>
    <w:rsid w:val="00EF22C8"/>
    <w:pPr>
      <w:ind w:left="1680" w:hanging="240"/>
    </w:pPr>
  </w:style>
  <w:style w:type="paragraph" w:styleId="Index8">
    <w:name w:val="index 8"/>
    <w:basedOn w:val="Normal"/>
    <w:next w:val="Normal"/>
    <w:autoRedefine/>
    <w:uiPriority w:val="99"/>
    <w:semiHidden/>
    <w:unhideWhenUsed/>
    <w:rsid w:val="00EF22C8"/>
    <w:pPr>
      <w:ind w:left="1920" w:hanging="240"/>
    </w:pPr>
  </w:style>
  <w:style w:type="paragraph" w:styleId="Index9">
    <w:name w:val="index 9"/>
    <w:basedOn w:val="Normal"/>
    <w:next w:val="Normal"/>
    <w:autoRedefine/>
    <w:uiPriority w:val="99"/>
    <w:semiHidden/>
    <w:unhideWhenUsed/>
    <w:rsid w:val="00EF22C8"/>
    <w:pPr>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5B9BD5" w:themeColor="accent1"/>
    </w:rPr>
  </w:style>
  <w:style w:type="paragraph" w:styleId="IntenseQuote">
    <w:name w:val="Intense Quote"/>
    <w:basedOn w:val="Normal"/>
    <w:next w:val="Normal"/>
    <w:link w:val="IntenseQuoteChar"/>
    <w:uiPriority w:val="30"/>
    <w:qFormat/>
    <w:rsid w:val="00EF22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5B9BD5" w:themeColor="accent1"/>
      <w:sz w:val="24"/>
    </w:rPr>
  </w:style>
  <w:style w:type="character" w:styleId="IntenseReference">
    <w:name w:val="Intense Reference"/>
    <w:basedOn w:val="DefaultParagraphFont"/>
    <w:uiPriority w:val="32"/>
    <w:qFormat/>
    <w:rsid w:val="00EF22C8"/>
    <w:rPr>
      <w:b/>
      <w:bCs/>
      <w:smallCaps/>
      <w:color w:val="5B9BD5"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rPr>
      <w:rFonts w:ascii="Consolas" w:hAnsi="Consolas"/>
      <w:sz w:val="21"/>
      <w:szCs w:val="21"/>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ind w:left="240" w:hanging="240"/>
    </w:pPr>
  </w:style>
  <w:style w:type="paragraph" w:styleId="TableofFigures">
    <w:name w:val="table of figures"/>
    <w:basedOn w:val="Normal"/>
    <w:next w:val="Normal"/>
    <w:uiPriority w:val="99"/>
    <w:semiHidden/>
    <w:unhideWhenUsed/>
    <w:rsid w:val="00EF22C8"/>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5189">
      <w:bodyDiv w:val="1"/>
      <w:marLeft w:val="0"/>
      <w:marRight w:val="0"/>
      <w:marTop w:val="0"/>
      <w:marBottom w:val="0"/>
      <w:divBdr>
        <w:top w:val="none" w:sz="0" w:space="0" w:color="auto"/>
        <w:left w:val="none" w:sz="0" w:space="0" w:color="auto"/>
        <w:bottom w:val="none" w:sz="0" w:space="0" w:color="auto"/>
        <w:right w:val="none" w:sz="0" w:space="0" w:color="auto"/>
      </w:divBdr>
    </w:div>
    <w:div w:id="7356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s%3A%2F%2Fumsystem.zoom.us%2Fj%2F98237369149&amp;data=04%7C01%7CElizabeth.fritz%40ssmhealth.com%7C2ccf13a0031c4f328abe08d8b0cd86a4%7Cfbb1df866d494545bde79583d50eee17%7C0%7C0%7C637453744063287243%7CUnknown%7CTWFpbGZsb3d8eyJWIjoiMC4wLjAwMDAiLCJQIjoiV2luMzIiLCJBTiI6Ik1haWwiLCJXVCI6Mn0%3D%7C1000&amp;sdata=SDkaTd%2FkfMiqF7GlhlZLFQse7mqzI%2BaGlyYmjZRhrM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eeds.com%2Fsign_in.aspx%3FSign_in_Code%3D29dour&amp;data=04%7C01%7CElizabeth.fritz%40ssmhealth.com%7C2ccf13a0031c4f328abe08d8b0cd86a4%7Cfbb1df866d494545bde79583d50eee17%7C0%7C0%7C637453744063277249%7CUnknown%7CTWFpbGZsb3d8eyJWIjoiMC4wLjAwMDAiLCJQIjoiV2luMzIiLCJBTiI6Ik1haWwiLCJXVCI6Mn0%3D%7C1000&amp;sdata=nsX8YfneoatXjZsUk6qOF0nrfksrv8vww%2BzerdfGQHg%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Elizabeth</dc:creator>
  <cp:keywords/>
  <dc:description/>
  <cp:lastModifiedBy>Fritz, Elizabeth</cp:lastModifiedBy>
  <cp:revision>1</cp:revision>
  <dcterms:created xsi:type="dcterms:W3CDTF">2021-01-05T19:35:00Z</dcterms:created>
  <dcterms:modified xsi:type="dcterms:W3CDTF">2021-01-05T19:41:00Z</dcterms:modified>
</cp:coreProperties>
</file>