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D408"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b/>
          <w:bCs/>
          <w:color w:val="4C4C4C"/>
          <w:sz w:val="27"/>
          <w:szCs w:val="27"/>
        </w:rPr>
        <w:t>Exam Prep Materials</w:t>
      </w:r>
    </w:p>
    <w:p w14:paraId="72892593"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p>
    <w:p w14:paraId="12735D2F"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i/>
          <w:iCs/>
          <w:color w:val="4C4C4C"/>
          <w:sz w:val="27"/>
          <w:szCs w:val="27"/>
        </w:rPr>
        <w:t>Practice Exam</w:t>
      </w:r>
    </w:p>
    <w:p w14:paraId="6ECA9363"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p>
    <w:p w14:paraId="6C852975"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color w:val="4C4C4C"/>
          <w:sz w:val="24"/>
          <w:szCs w:val="24"/>
        </w:rPr>
        <w:t>NBCSN will be launching new practice exams in the next week or two. The pricing for the two practice exams will remain the same:</w:t>
      </w:r>
    </w:p>
    <w:p w14:paraId="4B946E4E"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p>
    <w:p w14:paraId="18588978"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color w:val="4C4C4C"/>
          <w:sz w:val="24"/>
          <w:szCs w:val="24"/>
        </w:rPr>
        <w:t>Practice Test 1: $75.00</w:t>
      </w:r>
    </w:p>
    <w:p w14:paraId="179E7FFC"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color w:val="4C4C4C"/>
          <w:sz w:val="24"/>
          <w:szCs w:val="24"/>
        </w:rPr>
        <w:t>Practice Test 2: $75.00</w:t>
      </w:r>
    </w:p>
    <w:p w14:paraId="36A0B3A6"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color w:val="4C4C4C"/>
          <w:sz w:val="24"/>
          <w:szCs w:val="24"/>
        </w:rPr>
        <w:t>Practice Test Bundle (1 &amp; 2): $120.00</w:t>
      </w:r>
    </w:p>
    <w:p w14:paraId="4E18BD9F"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p>
    <w:p w14:paraId="262F6032"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color w:val="4C4C4C"/>
          <w:sz w:val="24"/>
          <w:szCs w:val="24"/>
        </w:rPr>
        <w:t>To purchase the practice exams, candidates will need to create an account on the NBCSN website. An option to purchase the practice exams can be found in the Learning Plan area of their account.</w:t>
      </w:r>
    </w:p>
    <w:p w14:paraId="028A1311"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p>
    <w:p w14:paraId="060A2FCC"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i/>
          <w:iCs/>
          <w:color w:val="4C4C4C"/>
          <w:sz w:val="27"/>
          <w:szCs w:val="27"/>
        </w:rPr>
        <w:t>Review Book</w:t>
      </w:r>
    </w:p>
    <w:p w14:paraId="4FD85690"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p>
    <w:p w14:paraId="397DBEA6" w14:textId="77777777" w:rsidR="00C23230" w:rsidRPr="00C23230" w:rsidRDefault="00C23230" w:rsidP="00C23230">
      <w:pPr>
        <w:shd w:val="clear" w:color="auto" w:fill="FFFFFF"/>
        <w:spacing w:after="0" w:line="240" w:lineRule="auto"/>
        <w:jc w:val="center"/>
        <w:rPr>
          <w:rFonts w:ascii="Century Gothic" w:eastAsia="Times New Roman" w:hAnsi="Century Gothic" w:cs="Times New Roman"/>
          <w:color w:val="4C4C4C"/>
          <w:sz w:val="18"/>
          <w:szCs w:val="18"/>
        </w:rPr>
      </w:pPr>
      <w:r w:rsidRPr="00C23230">
        <w:rPr>
          <w:rFonts w:ascii="Century Gothic" w:eastAsia="Times New Roman" w:hAnsi="Century Gothic" w:cs="Times New Roman"/>
          <w:color w:val="4C4C4C"/>
          <w:sz w:val="24"/>
          <w:szCs w:val="24"/>
        </w:rPr>
        <w:t>An updated review book will be available for purchase in mid-June. Pricing information is forthcoming. Candidates will be able to purchase the book electronically for now. NBCSN will be investigating how to offer a printed version of the book during the pandemic.</w:t>
      </w:r>
    </w:p>
    <w:p w14:paraId="2807C9E3" w14:textId="77777777" w:rsidR="00BE5BA7" w:rsidRDefault="00BE5BA7">
      <w:bookmarkStart w:id="0" w:name="_GoBack"/>
      <w:bookmarkEnd w:id="0"/>
    </w:p>
    <w:sectPr w:rsidR="00BE5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30"/>
    <w:rsid w:val="00BE5BA7"/>
    <w:rsid w:val="00C2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06C1"/>
  <w15:chartTrackingRefBased/>
  <w15:docId w15:val="{AE1E32FC-BBE2-4E4A-B371-624675E6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Lyman</dc:creator>
  <cp:keywords/>
  <dc:description/>
  <cp:lastModifiedBy>Donna Lyman</cp:lastModifiedBy>
  <cp:revision>1</cp:revision>
  <dcterms:created xsi:type="dcterms:W3CDTF">2020-05-27T18:12:00Z</dcterms:created>
  <dcterms:modified xsi:type="dcterms:W3CDTF">2020-05-27T18:13:00Z</dcterms:modified>
</cp:coreProperties>
</file>