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02" w:rsidRDefault="00B62A02">
      <w:r>
        <w:t>Website to access Agree II user manual and tool:</w:t>
      </w:r>
      <w:bookmarkStart w:id="0" w:name="_GoBack"/>
      <w:bookmarkEnd w:id="0"/>
    </w:p>
    <w:p w:rsidR="00032CF7" w:rsidRDefault="00B62A02">
      <w:hyperlink r:id="rId4" w:history="1">
        <w:r w:rsidRPr="00A71270">
          <w:rPr>
            <w:rStyle w:val="Hyperlink"/>
          </w:rPr>
          <w:t>https://www.agreetrust.org/wp-content/uploads/2013/10/AGREE-II-Users-Manual-and-23-item-Instrument_2009_UPDATE_2013.pdf</w:t>
        </w:r>
      </w:hyperlink>
    </w:p>
    <w:p w:rsidR="00B62A02" w:rsidRDefault="00B62A02"/>
    <w:p w:rsidR="00B62A02" w:rsidRDefault="00B62A02">
      <w:r>
        <w:t xml:space="preserve">Website to access CASP website and all critical appraisal tools: </w:t>
      </w:r>
    </w:p>
    <w:p w:rsidR="00B62A02" w:rsidRDefault="00B62A02">
      <w:hyperlink r:id="rId5" w:history="1">
        <w:r w:rsidRPr="00A71270">
          <w:rPr>
            <w:rStyle w:val="Hyperlink"/>
          </w:rPr>
          <w:t>https://casp-uk.net/casp-tools-checklists/</w:t>
        </w:r>
      </w:hyperlink>
    </w:p>
    <w:p w:rsidR="00B62A02" w:rsidRDefault="00B62A02"/>
    <w:p w:rsidR="00B62A02" w:rsidRDefault="00B62A02"/>
    <w:p w:rsidR="00B62A02" w:rsidRDefault="00B62A02"/>
    <w:sectPr w:rsidR="00B6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02"/>
    <w:rsid w:val="00032CF7"/>
    <w:rsid w:val="00B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AD1C-E428-436F-9ACA-CF2F48B4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p-uk.net/casp-tools-checklists/" TargetMode="External"/><Relationship Id="rId4" Type="http://schemas.openxmlformats.org/officeDocument/2006/relationships/hyperlink" Target="https://www.agreetrust.org/wp-content/uploads/2013/10/AGREE-II-Users-Manual-and-23-item-Instrument_2009_UPDATE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Resources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Kristina</dc:creator>
  <cp:keywords/>
  <dc:description/>
  <cp:lastModifiedBy>Shaw, Kristina</cp:lastModifiedBy>
  <cp:revision>1</cp:revision>
  <dcterms:created xsi:type="dcterms:W3CDTF">2018-09-14T16:34:00Z</dcterms:created>
  <dcterms:modified xsi:type="dcterms:W3CDTF">2018-09-14T16:38:00Z</dcterms:modified>
</cp:coreProperties>
</file>