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ayout"/>
        <w:tblW w:w="0" w:type="auto"/>
        <w:jc w:val="center"/>
        <w:tblLayout w:type="fixed"/>
        <w:tblLook w:val="04A0" w:firstRow="1" w:lastRow="0" w:firstColumn="1" w:lastColumn="0" w:noHBand="0" w:noVBand="1"/>
        <w:tblDescription w:val="Brochure layout table page 1"/>
      </w:tblPr>
      <w:tblGrid>
        <w:gridCol w:w="3840"/>
        <w:gridCol w:w="713"/>
        <w:gridCol w:w="713"/>
        <w:gridCol w:w="3843"/>
        <w:gridCol w:w="720"/>
        <w:gridCol w:w="720"/>
        <w:gridCol w:w="3851"/>
      </w:tblGrid>
      <w:tr w:rsidR="00007663" w14:paraId="41FEF355" w14:textId="77777777">
        <w:trPr>
          <w:trHeight w:hRule="exact" w:val="10800"/>
          <w:jc w:val="center"/>
        </w:trPr>
        <w:tc>
          <w:tcPr>
            <w:tcW w:w="3840" w:type="dxa"/>
          </w:tcPr>
          <w:p w14:paraId="10EEDFAF" w14:textId="6F904947" w:rsidR="00007663" w:rsidRDefault="000A5895" w:rsidP="00183FAB">
            <w:r w:rsidRPr="000A5895">
              <w:rPr>
                <w:noProof/>
              </w:rPr>
              <w:drawing>
                <wp:inline distT="0" distB="0" distL="0" distR="0" wp14:anchorId="0D582B8C" wp14:editId="2B4489EB">
                  <wp:extent cx="2438400" cy="561975"/>
                  <wp:effectExtent l="0" t="0" r="0" b="9525"/>
                  <wp:docPr id="298967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67198" name=""/>
                          <pic:cNvPicPr/>
                        </pic:nvPicPr>
                        <pic:blipFill>
                          <a:blip r:embed="rId8"/>
                          <a:stretch>
                            <a:fillRect/>
                          </a:stretch>
                        </pic:blipFill>
                        <pic:spPr>
                          <a:xfrm>
                            <a:off x="0" y="0"/>
                            <a:ext cx="2438400" cy="561975"/>
                          </a:xfrm>
                          <a:prstGeom prst="rect">
                            <a:avLst/>
                          </a:prstGeom>
                        </pic:spPr>
                      </pic:pic>
                    </a:graphicData>
                  </a:graphic>
                </wp:inline>
              </w:drawing>
            </w:r>
            <w:r w:rsidR="00183FAB" w:rsidRPr="000A5895">
              <w:rPr>
                <w:sz w:val="20"/>
              </w:rPr>
              <w:t>Kentucky Society of Perianesthesia Nurses</w:t>
            </w:r>
          </w:p>
          <w:p w14:paraId="6CFEFDA5" w14:textId="77777777" w:rsidR="000A5895" w:rsidRDefault="000A5895" w:rsidP="000A5895">
            <w:pPr>
              <w:jc w:val="center"/>
              <w:rPr>
                <w:b/>
                <w:bCs/>
                <w:sz w:val="28"/>
                <w:szCs w:val="28"/>
              </w:rPr>
            </w:pPr>
            <w:r>
              <w:rPr>
                <w:b/>
                <w:bCs/>
                <w:sz w:val="28"/>
                <w:szCs w:val="28"/>
              </w:rPr>
              <w:t>“Advancing Safety. Strengthening Practice”</w:t>
            </w:r>
          </w:p>
          <w:p w14:paraId="71E041A3" w14:textId="77777777" w:rsidR="000A5895" w:rsidRDefault="000A5895" w:rsidP="000A5895">
            <w:pPr>
              <w:jc w:val="center"/>
              <w:rPr>
                <w:b/>
                <w:bCs/>
                <w:sz w:val="22"/>
                <w:szCs w:val="22"/>
              </w:rPr>
            </w:pPr>
          </w:p>
          <w:p w14:paraId="1B9F26C5" w14:textId="5A906E31" w:rsidR="000A5895" w:rsidRPr="002831E6" w:rsidRDefault="000A5895" w:rsidP="000A5895">
            <w:pPr>
              <w:jc w:val="center"/>
              <w:rPr>
                <w:b/>
                <w:bCs/>
                <w:sz w:val="24"/>
                <w:szCs w:val="24"/>
              </w:rPr>
            </w:pPr>
            <w:r w:rsidRPr="002831E6">
              <w:rPr>
                <w:b/>
                <w:bCs/>
                <w:sz w:val="24"/>
                <w:szCs w:val="24"/>
              </w:rPr>
              <w:t>PROGRAM TOPICS</w:t>
            </w:r>
          </w:p>
          <w:p w14:paraId="7CE548C5" w14:textId="77777777" w:rsidR="000A5895" w:rsidRPr="002831E6" w:rsidRDefault="000A5895" w:rsidP="000A5895">
            <w:pPr>
              <w:jc w:val="center"/>
              <w:rPr>
                <w:sz w:val="20"/>
              </w:rPr>
            </w:pPr>
          </w:p>
          <w:p w14:paraId="494806DD" w14:textId="49AE0728" w:rsidR="000A5895" w:rsidRPr="002831E6" w:rsidRDefault="000A5895" w:rsidP="000A5895">
            <w:pPr>
              <w:jc w:val="center"/>
              <w:rPr>
                <w:sz w:val="20"/>
              </w:rPr>
            </w:pPr>
            <w:r w:rsidRPr="002831E6">
              <w:rPr>
                <w:sz w:val="20"/>
              </w:rPr>
              <w:t>Program Topics Include</w:t>
            </w:r>
            <w:r w:rsidR="002831E6">
              <w:rPr>
                <w:sz w:val="20"/>
              </w:rPr>
              <w:t>:</w:t>
            </w:r>
          </w:p>
          <w:p w14:paraId="7CF15268" w14:textId="6A406CB8" w:rsidR="000A5895" w:rsidRPr="002831E6" w:rsidRDefault="000A5895" w:rsidP="000A5895">
            <w:pPr>
              <w:jc w:val="center"/>
              <w:rPr>
                <w:sz w:val="20"/>
              </w:rPr>
            </w:pPr>
            <w:r w:rsidRPr="002831E6">
              <w:rPr>
                <w:sz w:val="20"/>
              </w:rPr>
              <w:t>• Endoscopy</w:t>
            </w:r>
          </w:p>
          <w:p w14:paraId="23209F05" w14:textId="4497BE30" w:rsidR="000A5895" w:rsidRPr="002831E6" w:rsidRDefault="000A5895" w:rsidP="000A5895">
            <w:pPr>
              <w:jc w:val="center"/>
              <w:rPr>
                <w:sz w:val="20"/>
              </w:rPr>
            </w:pPr>
            <w:r w:rsidRPr="002831E6">
              <w:rPr>
                <w:sz w:val="20"/>
              </w:rPr>
              <w:t>• GI Bleed: A Simulation Experience</w:t>
            </w:r>
          </w:p>
          <w:p w14:paraId="3D651ADF" w14:textId="0C680E22" w:rsidR="000A5895" w:rsidRPr="002831E6" w:rsidRDefault="000A5895" w:rsidP="000A5895">
            <w:pPr>
              <w:jc w:val="center"/>
              <w:rPr>
                <w:sz w:val="20"/>
              </w:rPr>
            </w:pPr>
            <w:r w:rsidRPr="002831E6">
              <w:rPr>
                <w:sz w:val="20"/>
              </w:rPr>
              <w:t>• Redefining Malignant Hyperthermia: Current Trends, Triggers, and Treatment Challenges</w:t>
            </w:r>
          </w:p>
          <w:p w14:paraId="144C218A" w14:textId="0EF2E7E6" w:rsidR="000A5895" w:rsidRPr="002831E6" w:rsidRDefault="000A5895" w:rsidP="000A5895">
            <w:pPr>
              <w:jc w:val="center"/>
              <w:rPr>
                <w:sz w:val="20"/>
              </w:rPr>
            </w:pPr>
            <w:r w:rsidRPr="002831E6">
              <w:rPr>
                <w:sz w:val="20"/>
              </w:rPr>
              <w:t>• A Risk Management Perspective: Clinical Practice, Documentation, and Litigation</w:t>
            </w:r>
          </w:p>
          <w:p w14:paraId="2E6E511A" w14:textId="17B72937" w:rsidR="000A5895" w:rsidRPr="002831E6" w:rsidRDefault="000A5895" w:rsidP="000A5895">
            <w:pPr>
              <w:jc w:val="center"/>
              <w:rPr>
                <w:sz w:val="20"/>
              </w:rPr>
            </w:pPr>
            <w:r w:rsidRPr="002831E6">
              <w:rPr>
                <w:sz w:val="20"/>
              </w:rPr>
              <w:t>• Beyond the Incision: Psychiatric Safety, Trauma-Informed Communication, and Medication Management in Surgical Care</w:t>
            </w:r>
          </w:p>
          <w:p w14:paraId="0B979C39" w14:textId="68B4E178" w:rsidR="007F7C49" w:rsidRPr="002831E6" w:rsidRDefault="000A5895" w:rsidP="000A5895">
            <w:pPr>
              <w:jc w:val="center"/>
              <w:rPr>
                <w:sz w:val="20"/>
              </w:rPr>
            </w:pPr>
            <w:r w:rsidRPr="002831E6">
              <w:rPr>
                <w:sz w:val="20"/>
              </w:rPr>
              <w:t>• Chronic Occupational Stress</w:t>
            </w:r>
          </w:p>
          <w:p w14:paraId="0870B36F" w14:textId="506B0E0F" w:rsidR="007F7C49" w:rsidRDefault="007F7C49" w:rsidP="007F7C49">
            <w:pPr>
              <w:pStyle w:val="ListBullet"/>
              <w:numPr>
                <w:ilvl w:val="0"/>
                <w:numId w:val="0"/>
              </w:numPr>
            </w:pPr>
          </w:p>
        </w:tc>
        <w:tc>
          <w:tcPr>
            <w:tcW w:w="713" w:type="dxa"/>
          </w:tcPr>
          <w:p w14:paraId="66A05F6C" w14:textId="77777777" w:rsidR="00007663" w:rsidRDefault="00007663"/>
        </w:tc>
        <w:tc>
          <w:tcPr>
            <w:tcW w:w="713" w:type="dxa"/>
          </w:tcPr>
          <w:p w14:paraId="3179919F" w14:textId="77777777" w:rsidR="00007663" w:rsidRDefault="00007663" w:rsidP="00E65F50">
            <w:pPr>
              <w:jc w:val="center"/>
            </w:pPr>
          </w:p>
        </w:tc>
        <w:tc>
          <w:tcPr>
            <w:tcW w:w="3843" w:type="dxa"/>
          </w:tcPr>
          <w:p w14:paraId="48CB0611" w14:textId="77777777" w:rsidR="008A1E22" w:rsidRDefault="008A1E22" w:rsidP="00E65F50">
            <w:pPr>
              <w:jc w:val="center"/>
              <w:rPr>
                <w:b/>
                <w:bCs/>
                <w:sz w:val="22"/>
                <w:szCs w:val="22"/>
              </w:rPr>
            </w:pPr>
          </w:p>
          <w:p w14:paraId="762DF3C4" w14:textId="4BD1C04C" w:rsidR="008A1E22" w:rsidRDefault="008A1E22" w:rsidP="00E65F50">
            <w:pPr>
              <w:jc w:val="center"/>
              <w:rPr>
                <w:b/>
                <w:bCs/>
                <w:sz w:val="22"/>
                <w:szCs w:val="22"/>
              </w:rPr>
            </w:pPr>
            <w:r w:rsidRPr="008A1E22">
              <w:rPr>
                <w:b/>
                <w:bCs/>
                <w:sz w:val="22"/>
                <w:szCs w:val="22"/>
              </w:rPr>
              <w:t xml:space="preserve">Register @ </w:t>
            </w:r>
            <w:hyperlink r:id="rId9" w:anchor="!registration" w:history="1">
              <w:r w:rsidRPr="008A1E22">
                <w:rPr>
                  <w:rStyle w:val="Hyperlink"/>
                  <w:b/>
                  <w:bCs/>
                  <w:sz w:val="22"/>
                  <w:szCs w:val="22"/>
                </w:rPr>
                <w:t>KSPAN Spring Conference | The Kentucky Society of Perianesthesia Nurses | Nursing Network</w:t>
              </w:r>
            </w:hyperlink>
          </w:p>
          <w:p w14:paraId="6ED4BDA7" w14:textId="7BC8898F" w:rsidR="008A1E22" w:rsidRDefault="008A1E22" w:rsidP="00E65F50">
            <w:pPr>
              <w:jc w:val="center"/>
              <w:rPr>
                <w:b/>
                <w:bCs/>
                <w:sz w:val="22"/>
                <w:szCs w:val="22"/>
              </w:rPr>
            </w:pPr>
            <w:r>
              <w:rPr>
                <w:b/>
                <w:bCs/>
                <w:sz w:val="22"/>
                <w:szCs w:val="22"/>
              </w:rPr>
              <w:t>KSPAN Members $75</w:t>
            </w:r>
          </w:p>
          <w:p w14:paraId="047633E4" w14:textId="2ABC2651" w:rsidR="008A1E22" w:rsidRDefault="008A1E22" w:rsidP="00E65F50">
            <w:pPr>
              <w:jc w:val="center"/>
              <w:rPr>
                <w:b/>
                <w:bCs/>
                <w:sz w:val="22"/>
                <w:szCs w:val="22"/>
              </w:rPr>
            </w:pPr>
            <w:proofErr w:type="gramStart"/>
            <w:r>
              <w:rPr>
                <w:b/>
                <w:bCs/>
                <w:sz w:val="22"/>
                <w:szCs w:val="22"/>
              </w:rPr>
              <w:t>Non Members</w:t>
            </w:r>
            <w:proofErr w:type="gramEnd"/>
            <w:r>
              <w:rPr>
                <w:b/>
                <w:bCs/>
                <w:sz w:val="22"/>
                <w:szCs w:val="22"/>
              </w:rPr>
              <w:t xml:space="preserve"> $65</w:t>
            </w:r>
          </w:p>
          <w:p w14:paraId="03AB182B" w14:textId="3F58206A" w:rsidR="008A1E22" w:rsidRDefault="008A1E22" w:rsidP="00E65F50">
            <w:pPr>
              <w:jc w:val="center"/>
              <w:rPr>
                <w:b/>
                <w:bCs/>
                <w:sz w:val="22"/>
                <w:szCs w:val="22"/>
              </w:rPr>
            </w:pPr>
            <w:r>
              <w:rPr>
                <w:b/>
                <w:bCs/>
                <w:sz w:val="22"/>
                <w:szCs w:val="22"/>
              </w:rPr>
              <w:t>Online $55</w:t>
            </w:r>
          </w:p>
          <w:p w14:paraId="778C6C5D" w14:textId="0665183D" w:rsidR="008A1E22" w:rsidRPr="008A1E22" w:rsidRDefault="008A1E22" w:rsidP="00E65F50">
            <w:pPr>
              <w:jc w:val="center"/>
              <w:rPr>
                <w:b/>
                <w:bCs/>
                <w:sz w:val="22"/>
                <w:szCs w:val="22"/>
              </w:rPr>
            </w:pPr>
            <w:r>
              <w:rPr>
                <w:b/>
                <w:bCs/>
                <w:sz w:val="22"/>
                <w:szCs w:val="22"/>
              </w:rPr>
              <w:t>Students $20</w:t>
            </w:r>
          </w:p>
          <w:tbl>
            <w:tblPr>
              <w:tblStyle w:val="TableLayout"/>
              <w:tblW w:w="5000" w:type="pct"/>
              <w:tblLayout w:type="fixed"/>
              <w:tblLook w:val="04A0" w:firstRow="1" w:lastRow="0" w:firstColumn="1" w:lastColumn="0" w:noHBand="0" w:noVBand="1"/>
            </w:tblPr>
            <w:tblGrid>
              <w:gridCol w:w="3843"/>
            </w:tblGrid>
            <w:tr w:rsidR="00007663" w14:paraId="405FB188" w14:textId="77777777">
              <w:trPr>
                <w:trHeight w:hRule="exact" w:val="7920"/>
              </w:trPr>
              <w:tc>
                <w:tcPr>
                  <w:tcW w:w="5000" w:type="pct"/>
                </w:tcPr>
                <w:p w14:paraId="0E50E3E8" w14:textId="77777777" w:rsidR="00E65F50" w:rsidRDefault="00E65F50" w:rsidP="00E65F50">
                  <w:pPr>
                    <w:jc w:val="center"/>
                    <w:rPr>
                      <w:b/>
                      <w:bCs/>
                      <w:color w:val="auto"/>
                      <w:sz w:val="22"/>
                      <w:szCs w:val="22"/>
                    </w:rPr>
                  </w:pPr>
                </w:p>
                <w:p w14:paraId="31084F1C" w14:textId="3C4A9998" w:rsidR="007F7C49" w:rsidRPr="007F7C49" w:rsidRDefault="007F7C49" w:rsidP="00E65F50">
                  <w:pPr>
                    <w:jc w:val="center"/>
                    <w:rPr>
                      <w:b/>
                      <w:bCs/>
                      <w:color w:val="auto"/>
                      <w:sz w:val="22"/>
                      <w:szCs w:val="22"/>
                    </w:rPr>
                  </w:pPr>
                  <w:r w:rsidRPr="007F7C49">
                    <w:rPr>
                      <w:b/>
                      <w:bCs/>
                      <w:color w:val="auto"/>
                      <w:sz w:val="22"/>
                      <w:szCs w:val="22"/>
                    </w:rPr>
                    <w:t>Cancellation Policy</w:t>
                  </w:r>
                </w:p>
                <w:p w14:paraId="32894EFE" w14:textId="145994D9" w:rsidR="007F7C49" w:rsidRPr="007F7C49" w:rsidRDefault="007F7C49" w:rsidP="00E65F50">
                  <w:pPr>
                    <w:jc w:val="center"/>
                    <w:rPr>
                      <w:sz w:val="20"/>
                    </w:rPr>
                  </w:pPr>
                  <w:r w:rsidRPr="007F7C49">
                    <w:rPr>
                      <w:sz w:val="20"/>
                    </w:rPr>
                    <w:t>All registration fees will be fully refunded. KSPAN reserves the right to substi</w:t>
                  </w:r>
                  <w:r w:rsidRPr="002831E6">
                    <w:rPr>
                      <w:sz w:val="20"/>
                    </w:rPr>
                    <w:t>tute speakers.</w:t>
                  </w:r>
                </w:p>
                <w:p w14:paraId="2A499084" w14:textId="77777777" w:rsidR="00007663" w:rsidRDefault="00E408FB" w:rsidP="00E65F50">
                  <w:pPr>
                    <w:pStyle w:val="Heading2"/>
                    <w:jc w:val="center"/>
                  </w:pPr>
                  <w:r>
                    <w:t>Contact Us</w:t>
                  </w:r>
                </w:p>
                <w:p w14:paraId="6339EDAB" w14:textId="2F182C55" w:rsidR="00007663" w:rsidRDefault="00E408FB" w:rsidP="00E65F50">
                  <w:pPr>
                    <w:jc w:val="center"/>
                  </w:pPr>
                  <w:r>
                    <w:t xml:space="preserve">Phone: </w:t>
                  </w:r>
                  <w:r w:rsidR="00183FAB">
                    <w:t>502-298-5295</w:t>
                  </w:r>
                  <w:r>
                    <w:br/>
                    <w:t xml:space="preserve">Email: </w:t>
                  </w:r>
                  <w:r w:rsidR="00183FAB">
                    <w:t>lavettacarney@gmail.com</w:t>
                  </w:r>
                  <w:r>
                    <w:br/>
                    <w:t xml:space="preserve">Web: </w:t>
                  </w:r>
                  <w:hyperlink r:id="rId10" w:history="1">
                    <w:r w:rsidR="00183FAB" w:rsidRPr="00183FAB">
                      <w:rPr>
                        <w:rStyle w:val="Hyperlink"/>
                      </w:rPr>
                      <w:t>The Kentucky Society of Perianesthesia Nurses | Nursing Network</w:t>
                    </w:r>
                  </w:hyperlink>
                </w:p>
              </w:tc>
            </w:tr>
            <w:tr w:rsidR="00007663" w14:paraId="43B9FEA6" w14:textId="77777777">
              <w:trPr>
                <w:trHeight w:hRule="exact" w:val="2880"/>
              </w:trPr>
              <w:tc>
                <w:tcPr>
                  <w:tcW w:w="5000" w:type="pct"/>
                  <w:vAlign w:val="bottom"/>
                </w:tcPr>
                <w:tbl>
                  <w:tblPr>
                    <w:tblStyle w:val="PlainTable4"/>
                    <w:tblW w:w="5000" w:type="pct"/>
                    <w:tblLayout w:type="fixed"/>
                    <w:tblLook w:val="0620" w:firstRow="1" w:lastRow="0" w:firstColumn="0" w:lastColumn="0" w:noHBand="1" w:noVBand="1"/>
                  </w:tblPr>
                  <w:tblGrid>
                    <w:gridCol w:w="1220"/>
                    <w:gridCol w:w="270"/>
                    <w:gridCol w:w="2353"/>
                  </w:tblGrid>
                  <w:tr w:rsidR="00007663" w14:paraId="2770814A" w14:textId="77777777" w:rsidTr="00E408FB">
                    <w:trPr>
                      <w:cnfStyle w:val="100000000000" w:firstRow="1" w:lastRow="0" w:firstColumn="0" w:lastColumn="0" w:oddVBand="0" w:evenVBand="0" w:oddHBand="0" w:evenHBand="0" w:firstRowFirstColumn="0" w:firstRowLastColumn="0" w:lastRowFirstColumn="0" w:lastRowLastColumn="0"/>
                    </w:trPr>
                    <w:tc>
                      <w:tcPr>
                        <w:tcW w:w="1582" w:type="pct"/>
                        <w:vAlign w:val="center"/>
                      </w:tcPr>
                      <w:p w14:paraId="322A8446" w14:textId="2D0708DE" w:rsidR="00007663" w:rsidRDefault="00007663" w:rsidP="00E65F50">
                        <w:pPr>
                          <w:pStyle w:val="NoSpacing"/>
                          <w:jc w:val="center"/>
                        </w:pPr>
                      </w:p>
                    </w:tc>
                    <w:tc>
                      <w:tcPr>
                        <w:tcW w:w="350" w:type="pct"/>
                        <w:vAlign w:val="center"/>
                      </w:tcPr>
                      <w:p w14:paraId="2421516A" w14:textId="77777777" w:rsidR="00007663" w:rsidRDefault="00007663" w:rsidP="00E65F50">
                        <w:pPr>
                          <w:jc w:val="center"/>
                        </w:pPr>
                      </w:p>
                    </w:tc>
                    <w:tc>
                      <w:tcPr>
                        <w:tcW w:w="3050" w:type="pct"/>
                        <w:vAlign w:val="center"/>
                      </w:tcPr>
                      <w:p w14:paraId="61F24C93" w14:textId="008CA2B2" w:rsidR="00007663" w:rsidRDefault="00007663" w:rsidP="00E65F50">
                        <w:pPr>
                          <w:pStyle w:val="Footer"/>
                          <w:jc w:val="center"/>
                        </w:pPr>
                      </w:p>
                    </w:tc>
                  </w:tr>
                </w:tbl>
                <w:p w14:paraId="221CBE37" w14:textId="77777777" w:rsidR="00007663" w:rsidRDefault="00007663" w:rsidP="00E65F50">
                  <w:pPr>
                    <w:jc w:val="center"/>
                  </w:pPr>
                </w:p>
              </w:tc>
            </w:tr>
          </w:tbl>
          <w:p w14:paraId="516B08C2" w14:textId="77777777" w:rsidR="00007663" w:rsidRDefault="00007663" w:rsidP="00E65F50">
            <w:pPr>
              <w:jc w:val="center"/>
            </w:pPr>
          </w:p>
        </w:tc>
        <w:tc>
          <w:tcPr>
            <w:tcW w:w="720" w:type="dxa"/>
          </w:tcPr>
          <w:p w14:paraId="123BEE3E" w14:textId="77777777" w:rsidR="00007663" w:rsidRDefault="00007663"/>
        </w:tc>
        <w:tc>
          <w:tcPr>
            <w:tcW w:w="720" w:type="dxa"/>
          </w:tcPr>
          <w:p w14:paraId="202F8C5A" w14:textId="77777777" w:rsidR="00007663" w:rsidRDefault="00007663"/>
        </w:tc>
        <w:tc>
          <w:tcPr>
            <w:tcW w:w="3851" w:type="dxa"/>
          </w:tcPr>
          <w:tbl>
            <w:tblPr>
              <w:tblStyle w:val="TableLayout"/>
              <w:tblW w:w="5000" w:type="pct"/>
              <w:tblLayout w:type="fixed"/>
              <w:tblLook w:val="04A0" w:firstRow="1" w:lastRow="0" w:firstColumn="1" w:lastColumn="0" w:noHBand="0" w:noVBand="1"/>
            </w:tblPr>
            <w:tblGrid>
              <w:gridCol w:w="3851"/>
            </w:tblGrid>
            <w:tr w:rsidR="00007663" w14:paraId="559C5180" w14:textId="77777777">
              <w:trPr>
                <w:trHeight w:hRule="exact" w:val="5760"/>
              </w:trPr>
              <w:tc>
                <w:tcPr>
                  <w:tcW w:w="5000" w:type="pct"/>
                </w:tcPr>
                <w:p w14:paraId="5B282BA4" w14:textId="2FC69B7B" w:rsidR="00007663" w:rsidRDefault="00183FAB" w:rsidP="007F7C49">
                  <w:pPr>
                    <w:jc w:val="center"/>
                  </w:pPr>
                  <w:r>
                    <w:rPr>
                      <w:noProof/>
                    </w:rPr>
                    <w:drawing>
                      <wp:inline distT="0" distB="0" distL="0" distR="0" wp14:anchorId="71478157" wp14:editId="5F39E7A1">
                        <wp:extent cx="2438400" cy="24384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0FC345BA" w14:textId="77777777" w:rsidR="00007663" w:rsidRDefault="000A5895" w:rsidP="007F7C49">
                  <w:pPr>
                    <w:jc w:val="center"/>
                    <w:rPr>
                      <w:b/>
                      <w:bCs/>
                      <w:sz w:val="28"/>
                      <w:szCs w:val="28"/>
                    </w:rPr>
                  </w:pPr>
                  <w:r>
                    <w:rPr>
                      <w:b/>
                      <w:bCs/>
                      <w:sz w:val="28"/>
                      <w:szCs w:val="28"/>
                    </w:rPr>
                    <w:t>“Advancing Safety. Strengthening Practice”</w:t>
                  </w:r>
                </w:p>
                <w:p w14:paraId="2F1F0F57" w14:textId="35D58003" w:rsidR="000A5895" w:rsidRPr="007F7C49" w:rsidRDefault="000A5895" w:rsidP="007F7C49">
                  <w:pPr>
                    <w:jc w:val="center"/>
                    <w:rPr>
                      <w:b/>
                      <w:bCs/>
                      <w:sz w:val="28"/>
                      <w:szCs w:val="28"/>
                    </w:rPr>
                  </w:pPr>
                  <w:r>
                    <w:rPr>
                      <w:b/>
                      <w:bCs/>
                      <w:sz w:val="28"/>
                      <w:szCs w:val="28"/>
                    </w:rPr>
                    <w:t>2026 KSPAN Spring Conference</w:t>
                  </w:r>
                </w:p>
              </w:tc>
            </w:tr>
            <w:tr w:rsidR="00007663" w14:paraId="444D4999" w14:textId="77777777" w:rsidTr="00183FAB">
              <w:trPr>
                <w:trHeight w:hRule="exact" w:val="80"/>
              </w:trPr>
              <w:tc>
                <w:tcPr>
                  <w:tcW w:w="5000" w:type="pct"/>
                </w:tcPr>
                <w:p w14:paraId="68EF6D9F" w14:textId="77777777" w:rsidR="00007663" w:rsidRDefault="00007663" w:rsidP="007F7C49">
                  <w:pPr>
                    <w:jc w:val="center"/>
                  </w:pPr>
                </w:p>
              </w:tc>
            </w:tr>
            <w:tr w:rsidR="00007663" w14:paraId="6D873969" w14:textId="77777777" w:rsidTr="007F7C49">
              <w:trPr>
                <w:trHeight w:hRule="exact" w:val="3240"/>
              </w:trPr>
              <w:tc>
                <w:tcPr>
                  <w:tcW w:w="5000" w:type="pct"/>
                  <w:shd w:val="clear" w:color="auto" w:fill="99C47F" w:themeFill="accent4" w:themeFillTint="99"/>
                </w:tcPr>
                <w:p w14:paraId="0F401D33" w14:textId="2D3ED9D1" w:rsidR="007F7C49" w:rsidRDefault="00183FAB" w:rsidP="007F7C49">
                  <w:pPr>
                    <w:jc w:val="center"/>
                    <w:rPr>
                      <w:sz w:val="20"/>
                    </w:rPr>
                  </w:pPr>
                  <w:r w:rsidRPr="00183FAB">
                    <w:rPr>
                      <w:sz w:val="20"/>
                    </w:rPr>
                    <w:t>March 21, 2026</w:t>
                  </w:r>
                </w:p>
                <w:p w14:paraId="2751A70B" w14:textId="47E172A3" w:rsidR="00183FAB" w:rsidRPr="007F7C49" w:rsidRDefault="00183FAB" w:rsidP="007F7C49">
                  <w:pPr>
                    <w:jc w:val="center"/>
                    <w:rPr>
                      <w:sz w:val="20"/>
                    </w:rPr>
                  </w:pPr>
                  <w:r w:rsidRPr="00183FAB">
                    <w:rPr>
                      <w:sz w:val="20"/>
                    </w:rPr>
                    <w:t>08:00 – 16:</w:t>
                  </w:r>
                  <w:r w:rsidR="002974A4">
                    <w:rPr>
                      <w:sz w:val="20"/>
                    </w:rPr>
                    <w:t>45</w:t>
                  </w:r>
                </w:p>
                <w:p w14:paraId="02822BE3" w14:textId="5ACC4065" w:rsidR="00183FAB" w:rsidRPr="007F7C49" w:rsidRDefault="00183FAB" w:rsidP="007F7C49">
                  <w:pPr>
                    <w:jc w:val="center"/>
                    <w:rPr>
                      <w:sz w:val="20"/>
                    </w:rPr>
                  </w:pPr>
                  <w:r w:rsidRPr="00183FAB">
                    <w:rPr>
                      <w:sz w:val="20"/>
                    </w:rPr>
                    <w:t>UofL Health Mary &amp; Elizabeth Hospital</w:t>
                  </w:r>
                </w:p>
                <w:p w14:paraId="521528C0" w14:textId="68CF37E2" w:rsidR="007F7C49" w:rsidRDefault="00183FAB" w:rsidP="007F7C49">
                  <w:pPr>
                    <w:jc w:val="center"/>
                    <w:rPr>
                      <w:sz w:val="20"/>
                    </w:rPr>
                  </w:pPr>
                  <w:r w:rsidRPr="00183FAB">
                    <w:rPr>
                      <w:sz w:val="20"/>
                    </w:rPr>
                    <w:t>1850 Bluegrass Avenue</w:t>
                  </w:r>
                  <w:r w:rsidRPr="007F7C49">
                    <w:rPr>
                      <w:sz w:val="20"/>
                    </w:rPr>
                    <w:t>,</w:t>
                  </w:r>
                </w:p>
                <w:p w14:paraId="6EB5815D" w14:textId="77777777" w:rsidR="00007663" w:rsidRDefault="00183FAB" w:rsidP="007F7C49">
                  <w:pPr>
                    <w:jc w:val="center"/>
                    <w:rPr>
                      <w:sz w:val="20"/>
                    </w:rPr>
                  </w:pPr>
                  <w:r w:rsidRPr="00183FAB">
                    <w:rPr>
                      <w:sz w:val="20"/>
                    </w:rPr>
                    <w:t>Louisville, KY 40215</w:t>
                  </w:r>
                </w:p>
                <w:p w14:paraId="640D4E71" w14:textId="2AA9C443" w:rsidR="000A5895" w:rsidRDefault="000A5895" w:rsidP="007F7C49">
                  <w:pPr>
                    <w:jc w:val="center"/>
                  </w:pPr>
                  <w:r w:rsidRPr="000A5895">
                    <w:rPr>
                      <w:noProof/>
                    </w:rPr>
                    <w:drawing>
                      <wp:inline distT="0" distB="0" distL="0" distR="0" wp14:anchorId="4DDB1661" wp14:editId="349F67C6">
                        <wp:extent cx="2445385" cy="537845"/>
                        <wp:effectExtent l="0" t="0" r="0" b="0"/>
                        <wp:docPr id="1956309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309969" name=""/>
                                <pic:cNvPicPr/>
                              </pic:nvPicPr>
                              <pic:blipFill>
                                <a:blip r:embed="rId12"/>
                                <a:stretch>
                                  <a:fillRect/>
                                </a:stretch>
                              </pic:blipFill>
                              <pic:spPr>
                                <a:xfrm>
                                  <a:off x="0" y="0"/>
                                  <a:ext cx="2445385" cy="537845"/>
                                </a:xfrm>
                                <a:prstGeom prst="rect">
                                  <a:avLst/>
                                </a:prstGeom>
                              </pic:spPr>
                            </pic:pic>
                          </a:graphicData>
                        </a:graphic>
                      </wp:inline>
                    </w:drawing>
                  </w:r>
                </w:p>
              </w:tc>
            </w:tr>
            <w:tr w:rsidR="00007663" w14:paraId="14348F30" w14:textId="77777777" w:rsidTr="007F7C49">
              <w:trPr>
                <w:trHeight w:hRule="exact" w:val="1440"/>
              </w:trPr>
              <w:tc>
                <w:tcPr>
                  <w:tcW w:w="5000" w:type="pct"/>
                  <w:shd w:val="clear" w:color="auto" w:fill="FFC000"/>
                  <w:vAlign w:val="bottom"/>
                </w:tcPr>
                <w:p w14:paraId="79B108AE" w14:textId="77777777" w:rsidR="007F7C49" w:rsidRPr="00183FAB" w:rsidRDefault="007F7C49" w:rsidP="007F7C49">
                  <w:pPr>
                    <w:jc w:val="center"/>
                    <w:rPr>
                      <w:szCs w:val="18"/>
                    </w:rPr>
                  </w:pPr>
                  <w:r w:rsidRPr="00183FAB">
                    <w:rPr>
                      <w:szCs w:val="18"/>
                    </w:rPr>
                    <w:t>Advancing knowledge. Supporting nurses. Promoting patient safety.</w:t>
                  </w:r>
                </w:p>
                <w:p w14:paraId="77B274B7" w14:textId="50C6E0C3" w:rsidR="00007663" w:rsidRDefault="00007663" w:rsidP="007F7C49">
                  <w:pPr>
                    <w:pStyle w:val="Subtitle"/>
                    <w:jc w:val="center"/>
                  </w:pPr>
                </w:p>
              </w:tc>
            </w:tr>
          </w:tbl>
          <w:p w14:paraId="3F65DDE8" w14:textId="77777777" w:rsidR="00007663" w:rsidRDefault="00007663"/>
        </w:tc>
      </w:tr>
    </w:tbl>
    <w:p w14:paraId="6CC9ECDA" w14:textId="77777777" w:rsidR="00007663" w:rsidRDefault="00007663">
      <w:pPr>
        <w:pStyle w:val="NoSpacing"/>
      </w:pPr>
    </w:p>
    <w:tbl>
      <w:tblPr>
        <w:tblStyle w:val="TableLayout"/>
        <w:tblW w:w="0" w:type="auto"/>
        <w:jc w:val="center"/>
        <w:tblLayout w:type="fixed"/>
        <w:tblLook w:val="04A0" w:firstRow="1" w:lastRow="0" w:firstColumn="1" w:lastColumn="0" w:noHBand="0" w:noVBand="1"/>
        <w:tblDescription w:val="Brochure layout table page 2"/>
      </w:tblPr>
      <w:tblGrid>
        <w:gridCol w:w="3840"/>
        <w:gridCol w:w="713"/>
        <w:gridCol w:w="397"/>
        <w:gridCol w:w="4159"/>
        <w:gridCol w:w="720"/>
        <w:gridCol w:w="720"/>
        <w:gridCol w:w="3851"/>
      </w:tblGrid>
      <w:tr w:rsidR="00007663" w14:paraId="1E6E8059" w14:textId="77777777" w:rsidTr="007F7C49">
        <w:trPr>
          <w:trHeight w:hRule="exact" w:val="10800"/>
          <w:jc w:val="center"/>
        </w:trPr>
        <w:tc>
          <w:tcPr>
            <w:tcW w:w="3840" w:type="dxa"/>
          </w:tcPr>
          <w:p w14:paraId="7FE4F83E" w14:textId="77777777" w:rsidR="00807A0D" w:rsidRDefault="00807A0D" w:rsidP="00807A0D">
            <w:pPr>
              <w:spacing w:after="0" w:line="240" w:lineRule="auto"/>
              <w:jc w:val="center"/>
              <w:rPr>
                <w:b/>
                <w:bCs/>
                <w:sz w:val="20"/>
              </w:rPr>
            </w:pPr>
          </w:p>
          <w:p w14:paraId="76608A26" w14:textId="7F411C3B" w:rsidR="000A5895" w:rsidRPr="00807A0D" w:rsidRDefault="000A5895" w:rsidP="00807A0D">
            <w:pPr>
              <w:spacing w:after="0" w:line="240" w:lineRule="auto"/>
              <w:jc w:val="center"/>
              <w:rPr>
                <w:b/>
                <w:bCs/>
                <w:color w:val="auto"/>
                <w:sz w:val="20"/>
              </w:rPr>
            </w:pPr>
            <w:r w:rsidRPr="00807A0D">
              <w:rPr>
                <w:b/>
                <w:bCs/>
                <w:color w:val="auto"/>
                <w:sz w:val="20"/>
              </w:rPr>
              <w:t>Target Audience</w:t>
            </w:r>
          </w:p>
          <w:p w14:paraId="6A532175" w14:textId="350E4385" w:rsidR="002974A4" w:rsidRPr="00807A0D" w:rsidRDefault="000A5895" w:rsidP="002974A4">
            <w:pPr>
              <w:spacing w:after="0" w:line="240" w:lineRule="auto"/>
              <w:rPr>
                <w:color w:val="auto"/>
                <w:sz w:val="20"/>
              </w:rPr>
            </w:pPr>
            <w:r w:rsidRPr="00807A0D">
              <w:rPr>
                <w:color w:val="auto"/>
                <w:sz w:val="20"/>
              </w:rPr>
              <w:t>Registered Nurses</w:t>
            </w:r>
            <w:r w:rsidR="002974A4" w:rsidRPr="00807A0D">
              <w:rPr>
                <w:color w:val="auto"/>
                <w:sz w:val="20"/>
              </w:rPr>
              <w:t xml:space="preserve">, </w:t>
            </w:r>
            <w:r w:rsidRPr="00807A0D">
              <w:rPr>
                <w:color w:val="auto"/>
                <w:sz w:val="20"/>
              </w:rPr>
              <w:t>Perianesthesia, perioperative, procedural, and acute care nurses</w:t>
            </w:r>
            <w:r w:rsidR="002974A4" w:rsidRPr="00807A0D">
              <w:rPr>
                <w:color w:val="auto"/>
                <w:sz w:val="20"/>
              </w:rPr>
              <w:t xml:space="preserve">, and </w:t>
            </w:r>
            <w:r w:rsidRPr="00807A0D">
              <w:rPr>
                <w:color w:val="auto"/>
                <w:sz w:val="20"/>
              </w:rPr>
              <w:t>Nursing students and nurse leaders</w:t>
            </w:r>
            <w:r w:rsidR="002974A4" w:rsidRPr="00807A0D">
              <w:rPr>
                <w:color w:val="auto"/>
                <w:sz w:val="20"/>
              </w:rPr>
              <w:t>.</w:t>
            </w:r>
          </w:p>
          <w:p w14:paraId="0AA13296" w14:textId="0AD70C76" w:rsidR="000A5895" w:rsidRPr="00807A0D" w:rsidRDefault="000A5895" w:rsidP="002974A4">
            <w:pPr>
              <w:spacing w:after="0" w:line="240" w:lineRule="auto"/>
              <w:jc w:val="center"/>
              <w:rPr>
                <w:b/>
                <w:bCs/>
                <w:color w:val="auto"/>
                <w:sz w:val="20"/>
              </w:rPr>
            </w:pPr>
            <w:r w:rsidRPr="00807A0D">
              <w:rPr>
                <w:b/>
                <w:bCs/>
                <w:color w:val="auto"/>
                <w:sz w:val="20"/>
              </w:rPr>
              <w:t>Outcome</w:t>
            </w:r>
          </w:p>
          <w:p w14:paraId="30FF97AE" w14:textId="12377586" w:rsidR="002974A4" w:rsidRPr="00807A0D" w:rsidRDefault="002974A4" w:rsidP="002974A4">
            <w:pPr>
              <w:spacing w:after="0" w:line="240" w:lineRule="auto"/>
              <w:rPr>
                <w:color w:val="auto"/>
                <w:sz w:val="20"/>
              </w:rPr>
            </w:pPr>
            <w:r w:rsidRPr="00807A0D">
              <w:rPr>
                <w:color w:val="auto"/>
                <w:sz w:val="20"/>
              </w:rPr>
              <w:t>To enable the nurse to increase knowledge on endoscopy procedures, GI Bleed, malignant hyperthermia, risk management, beyond the incision, and chronic occupational stress demonstrated by 80% or more of the participants scoring 80% or higher on the post test.</w:t>
            </w:r>
          </w:p>
          <w:p w14:paraId="6CB555C2" w14:textId="77777777" w:rsidR="002974A4" w:rsidRPr="00807A0D" w:rsidRDefault="002974A4" w:rsidP="002974A4">
            <w:pPr>
              <w:spacing w:after="0" w:line="240" w:lineRule="auto"/>
              <w:rPr>
                <w:color w:val="auto"/>
                <w:sz w:val="20"/>
              </w:rPr>
            </w:pPr>
          </w:p>
          <w:p w14:paraId="5CB7F1E8" w14:textId="6BE89922" w:rsidR="002974A4" w:rsidRPr="00807A0D" w:rsidRDefault="002974A4" w:rsidP="002974A4">
            <w:pPr>
              <w:spacing w:after="0" w:line="240" w:lineRule="auto"/>
              <w:jc w:val="center"/>
              <w:rPr>
                <w:b/>
                <w:bCs/>
                <w:color w:val="auto"/>
                <w:sz w:val="20"/>
              </w:rPr>
            </w:pPr>
            <w:r w:rsidRPr="00807A0D">
              <w:rPr>
                <w:b/>
                <w:bCs/>
                <w:color w:val="auto"/>
                <w:sz w:val="20"/>
              </w:rPr>
              <w:t>Accreditation</w:t>
            </w:r>
          </w:p>
          <w:p w14:paraId="181B3383" w14:textId="6FFE9859" w:rsidR="002974A4" w:rsidRPr="00807A0D" w:rsidRDefault="002974A4" w:rsidP="002974A4">
            <w:pPr>
              <w:spacing w:after="0" w:line="240" w:lineRule="auto"/>
              <w:rPr>
                <w:color w:val="auto"/>
                <w:sz w:val="20"/>
              </w:rPr>
            </w:pPr>
            <w:r w:rsidRPr="00807A0D">
              <w:rPr>
                <w:color w:val="auto"/>
                <w:sz w:val="20"/>
              </w:rPr>
              <w:t>This activity has been submitted to the American Society of Perianesthesia Nurses for approval to award contact hours. The American Society of Perianesthesia Nurses is accredited as an approver of nursing continuing professional development by the American Nurses Credentialing Center’s Commission on Accreditation.</w:t>
            </w:r>
          </w:p>
          <w:p w14:paraId="3A136FBF" w14:textId="77777777" w:rsidR="002974A4" w:rsidRPr="00807A0D" w:rsidRDefault="002974A4" w:rsidP="002974A4">
            <w:pPr>
              <w:spacing w:after="0" w:line="240" w:lineRule="auto"/>
              <w:rPr>
                <w:color w:val="auto"/>
                <w:sz w:val="20"/>
              </w:rPr>
            </w:pPr>
          </w:p>
          <w:p w14:paraId="64713D51" w14:textId="70BD597F" w:rsidR="002974A4" w:rsidRPr="00807A0D" w:rsidRDefault="002974A4" w:rsidP="002974A4">
            <w:pPr>
              <w:spacing w:after="0" w:line="240" w:lineRule="auto"/>
              <w:rPr>
                <w:color w:val="auto"/>
                <w:sz w:val="20"/>
              </w:rPr>
            </w:pPr>
            <w:r w:rsidRPr="00807A0D">
              <w:rPr>
                <w:color w:val="auto"/>
                <w:sz w:val="20"/>
              </w:rPr>
              <w:t xml:space="preserve">For more information regarding contact hours please contact the nurse planner </w:t>
            </w:r>
            <w:proofErr w:type="spellStart"/>
            <w:r w:rsidRPr="00807A0D">
              <w:rPr>
                <w:color w:val="auto"/>
                <w:sz w:val="20"/>
              </w:rPr>
              <w:t>LaVetta</w:t>
            </w:r>
            <w:proofErr w:type="spellEnd"/>
            <w:r w:rsidRPr="00807A0D">
              <w:rPr>
                <w:color w:val="auto"/>
                <w:sz w:val="20"/>
              </w:rPr>
              <w:t xml:space="preserve"> Carney at </w:t>
            </w:r>
            <w:hyperlink r:id="rId13" w:history="1">
              <w:r w:rsidR="00807A0D" w:rsidRPr="00807A0D">
                <w:rPr>
                  <w:rStyle w:val="Hyperlink"/>
                  <w:color w:val="auto"/>
                  <w:sz w:val="20"/>
                </w:rPr>
                <w:t>lavettacarney@gmail.com</w:t>
              </w:r>
            </w:hyperlink>
          </w:p>
          <w:p w14:paraId="7EC64840" w14:textId="77777777" w:rsidR="00807A0D" w:rsidRPr="00807A0D" w:rsidRDefault="00807A0D" w:rsidP="002974A4">
            <w:pPr>
              <w:spacing w:after="0" w:line="240" w:lineRule="auto"/>
              <w:rPr>
                <w:color w:val="auto"/>
                <w:sz w:val="20"/>
              </w:rPr>
            </w:pPr>
          </w:p>
          <w:p w14:paraId="71D21715" w14:textId="50ACE361" w:rsidR="00807A0D" w:rsidRPr="00807A0D" w:rsidRDefault="00807A0D" w:rsidP="002974A4">
            <w:pPr>
              <w:spacing w:after="0" w:line="240" w:lineRule="auto"/>
              <w:rPr>
                <w:b/>
                <w:bCs/>
                <w:color w:val="auto"/>
                <w:sz w:val="20"/>
              </w:rPr>
            </w:pPr>
            <w:r w:rsidRPr="00807A0D">
              <w:rPr>
                <w:b/>
                <w:bCs/>
                <w:color w:val="auto"/>
                <w:sz w:val="20"/>
              </w:rPr>
              <w:t>Standards for Integrity and Independence</w:t>
            </w:r>
          </w:p>
          <w:p w14:paraId="3316F75F" w14:textId="77777777" w:rsidR="00807A0D" w:rsidRPr="00807A0D" w:rsidRDefault="00807A0D" w:rsidP="00807A0D">
            <w:pPr>
              <w:pStyle w:val="NormalWeb"/>
              <w:spacing w:before="0" w:beforeAutospacing="0" w:after="0" w:afterAutospacing="0"/>
              <w:rPr>
                <w:rFonts w:asciiTheme="minorHAnsi" w:hAnsiTheme="minorHAnsi" w:cs="Arial"/>
                <w:sz w:val="20"/>
                <w:szCs w:val="20"/>
              </w:rPr>
            </w:pPr>
            <w:r w:rsidRPr="00807A0D">
              <w:rPr>
                <w:rFonts w:asciiTheme="minorHAnsi" w:hAnsiTheme="minorHAnsi" w:cs="Arial"/>
                <w:sz w:val="20"/>
                <w:szCs w:val="20"/>
              </w:rPr>
              <w:t>The provider will collect information from all individuals in a position to control content regarding financial relationships with ineligible companies, analyze the data for relevant financial relationships related to the educational content; and mitigate relevant financial relationships. The results of this analysis will be reported in the course presentation materials on</w:t>
            </w:r>
            <w:r w:rsidRPr="00807A0D">
              <w:rPr>
                <w:rFonts w:ascii="Arial" w:hAnsi="Arial" w:cs="Arial"/>
              </w:rPr>
              <w:t xml:space="preserve"> </w:t>
            </w:r>
            <w:r w:rsidRPr="00807A0D">
              <w:rPr>
                <w:rFonts w:asciiTheme="minorHAnsi" w:hAnsiTheme="minorHAnsi" w:cs="Arial"/>
                <w:sz w:val="20"/>
                <w:szCs w:val="20"/>
              </w:rPr>
              <w:t>the required handout.</w:t>
            </w:r>
          </w:p>
          <w:p w14:paraId="131CD34D" w14:textId="77777777" w:rsidR="00807A0D" w:rsidRPr="00807A0D" w:rsidRDefault="00807A0D" w:rsidP="00807A0D">
            <w:pPr>
              <w:pStyle w:val="Heading3"/>
              <w:rPr>
                <w:color w:val="auto"/>
              </w:rPr>
            </w:pPr>
          </w:p>
          <w:p w14:paraId="54D2B92E" w14:textId="77777777" w:rsidR="00807A0D" w:rsidRDefault="00807A0D" w:rsidP="002974A4">
            <w:pPr>
              <w:spacing w:after="0" w:line="240" w:lineRule="auto"/>
              <w:rPr>
                <w:sz w:val="20"/>
              </w:rPr>
            </w:pPr>
          </w:p>
          <w:p w14:paraId="5D5D5F30" w14:textId="77777777" w:rsidR="00807A0D" w:rsidRPr="00807A0D" w:rsidRDefault="00807A0D" w:rsidP="002974A4">
            <w:pPr>
              <w:spacing w:after="0" w:line="240" w:lineRule="auto"/>
              <w:rPr>
                <w:sz w:val="20"/>
              </w:rPr>
            </w:pPr>
          </w:p>
          <w:p w14:paraId="27EA82A9" w14:textId="77777777" w:rsidR="002974A4" w:rsidRDefault="002974A4" w:rsidP="002974A4">
            <w:pPr>
              <w:spacing w:after="0" w:line="240" w:lineRule="auto"/>
              <w:rPr>
                <w:sz w:val="22"/>
                <w:szCs w:val="22"/>
              </w:rPr>
            </w:pPr>
          </w:p>
          <w:p w14:paraId="14611829" w14:textId="77777777" w:rsidR="002974A4" w:rsidRPr="002974A4" w:rsidRDefault="002974A4" w:rsidP="002974A4">
            <w:pPr>
              <w:spacing w:after="0" w:line="240" w:lineRule="auto"/>
              <w:rPr>
                <w:sz w:val="22"/>
                <w:szCs w:val="22"/>
              </w:rPr>
            </w:pPr>
          </w:p>
          <w:p w14:paraId="5ED22373" w14:textId="0F595770" w:rsidR="00007663" w:rsidRDefault="00007663" w:rsidP="002974A4"/>
        </w:tc>
        <w:tc>
          <w:tcPr>
            <w:tcW w:w="713" w:type="dxa"/>
          </w:tcPr>
          <w:p w14:paraId="3EA6CE6A" w14:textId="77777777" w:rsidR="00007663" w:rsidRDefault="00007663" w:rsidP="00E65F50">
            <w:pPr>
              <w:jc w:val="center"/>
            </w:pPr>
          </w:p>
        </w:tc>
        <w:tc>
          <w:tcPr>
            <w:tcW w:w="397" w:type="dxa"/>
          </w:tcPr>
          <w:p w14:paraId="204997F8" w14:textId="77777777" w:rsidR="00007663" w:rsidRDefault="00007663" w:rsidP="00E65F50">
            <w:pPr>
              <w:jc w:val="center"/>
            </w:pPr>
          </w:p>
        </w:tc>
        <w:tc>
          <w:tcPr>
            <w:tcW w:w="4159" w:type="dxa"/>
          </w:tcPr>
          <w:p w14:paraId="6C126E70" w14:textId="77777777" w:rsidR="002831E6" w:rsidRDefault="002831E6" w:rsidP="00E65F50">
            <w:pPr>
              <w:jc w:val="center"/>
              <w:rPr>
                <w:b/>
                <w:bCs/>
                <w:color w:val="auto"/>
                <w:sz w:val="22"/>
                <w:szCs w:val="22"/>
              </w:rPr>
            </w:pPr>
          </w:p>
          <w:p w14:paraId="230420E5" w14:textId="14E3391B" w:rsidR="007F7C49" w:rsidRPr="000A5895" w:rsidRDefault="007F7C49" w:rsidP="00E65F50">
            <w:pPr>
              <w:jc w:val="center"/>
              <w:rPr>
                <w:b/>
                <w:bCs/>
                <w:color w:val="auto"/>
                <w:sz w:val="22"/>
                <w:szCs w:val="22"/>
              </w:rPr>
            </w:pPr>
            <w:r w:rsidRPr="000A5895">
              <w:rPr>
                <w:b/>
                <w:bCs/>
                <w:color w:val="auto"/>
                <w:sz w:val="22"/>
                <w:szCs w:val="22"/>
              </w:rPr>
              <w:t>SCHEDULE</w:t>
            </w:r>
          </w:p>
          <w:p w14:paraId="23695948" w14:textId="30421C7A" w:rsidR="007F7C49" w:rsidRPr="000A5895" w:rsidRDefault="007F7C49" w:rsidP="00E65F50">
            <w:pPr>
              <w:jc w:val="center"/>
              <w:rPr>
                <w:color w:val="auto"/>
                <w:sz w:val="20"/>
              </w:rPr>
            </w:pPr>
            <w:r w:rsidRPr="000A5895">
              <w:rPr>
                <w:color w:val="auto"/>
                <w:sz w:val="20"/>
              </w:rPr>
              <w:t>07:30 – 08:00 Registration</w:t>
            </w:r>
          </w:p>
          <w:p w14:paraId="6F4D83FC" w14:textId="77777777" w:rsidR="007F7C49" w:rsidRPr="000A5895" w:rsidRDefault="007F7C49" w:rsidP="00E65F50">
            <w:pPr>
              <w:jc w:val="center"/>
              <w:rPr>
                <w:color w:val="auto"/>
                <w:sz w:val="20"/>
              </w:rPr>
            </w:pPr>
            <w:r w:rsidRPr="000A5895">
              <w:rPr>
                <w:color w:val="auto"/>
                <w:sz w:val="20"/>
              </w:rPr>
              <w:t>08:00 – 09:00 Endoscopy Procedures Erin Wood, BSN, RN, CGRN</w:t>
            </w:r>
          </w:p>
          <w:p w14:paraId="5BFA994B" w14:textId="290E2312" w:rsidR="007F7C49" w:rsidRPr="000A5895" w:rsidRDefault="007F7C49" w:rsidP="00E65F50">
            <w:pPr>
              <w:jc w:val="center"/>
              <w:rPr>
                <w:color w:val="auto"/>
                <w:sz w:val="20"/>
              </w:rPr>
            </w:pPr>
            <w:r w:rsidRPr="000A5895">
              <w:rPr>
                <w:color w:val="auto"/>
                <w:sz w:val="20"/>
              </w:rPr>
              <w:t>09:00 – 11:00 GI Bleed: A Simulation Experience Dr. Katherine Simpson, DNP, MSN, APRN-BC, CNRN, CVRN-II, LNC</w:t>
            </w:r>
          </w:p>
          <w:p w14:paraId="67E33A4F" w14:textId="77777777" w:rsidR="007F7C49" w:rsidRPr="000A5895" w:rsidRDefault="007F7C49" w:rsidP="00E65F50">
            <w:pPr>
              <w:jc w:val="center"/>
              <w:rPr>
                <w:color w:val="auto"/>
                <w:sz w:val="20"/>
              </w:rPr>
            </w:pPr>
            <w:r w:rsidRPr="000A5895">
              <w:rPr>
                <w:color w:val="auto"/>
                <w:sz w:val="20"/>
              </w:rPr>
              <w:t>11:00 – 12:00 Lunch</w:t>
            </w:r>
          </w:p>
          <w:p w14:paraId="39793704" w14:textId="05A24720" w:rsidR="007F7C49" w:rsidRPr="000A5895" w:rsidRDefault="007F7C49" w:rsidP="00E65F50">
            <w:pPr>
              <w:jc w:val="center"/>
              <w:rPr>
                <w:color w:val="auto"/>
                <w:sz w:val="20"/>
              </w:rPr>
            </w:pPr>
            <w:r w:rsidRPr="000A5895">
              <w:rPr>
                <w:color w:val="auto"/>
                <w:sz w:val="20"/>
              </w:rPr>
              <w:t>12:00 – 13:00 Redefining Malignant Hyperthermia: Current Trends, Triggers, and Treatment Challenges Teresa Dudley-Garrett, MSN, RN, CPAN</w:t>
            </w:r>
          </w:p>
          <w:p w14:paraId="155B1ED8" w14:textId="3D8F3AF7" w:rsidR="007F7C49" w:rsidRPr="000A5895" w:rsidRDefault="007F7C49" w:rsidP="00E65F50">
            <w:pPr>
              <w:jc w:val="center"/>
              <w:rPr>
                <w:color w:val="auto"/>
                <w:sz w:val="20"/>
              </w:rPr>
            </w:pPr>
            <w:r w:rsidRPr="000A5895">
              <w:rPr>
                <w:color w:val="auto"/>
                <w:sz w:val="20"/>
              </w:rPr>
              <w:t>13:00 – 14:00 A Risk Management Perspective: Clinical Practice, Documentation, and Litigation Charles Helm, BSN, RN, CMCN, CCDS Kimberly Williams, BSN, RN</w:t>
            </w:r>
          </w:p>
          <w:p w14:paraId="16709478" w14:textId="3AD5F33E" w:rsidR="007F7C49" w:rsidRPr="000A5895" w:rsidRDefault="007F7C49" w:rsidP="00E65F50">
            <w:pPr>
              <w:jc w:val="center"/>
              <w:rPr>
                <w:color w:val="auto"/>
                <w:sz w:val="20"/>
              </w:rPr>
            </w:pPr>
            <w:r w:rsidRPr="000A5895">
              <w:rPr>
                <w:color w:val="auto"/>
                <w:sz w:val="20"/>
              </w:rPr>
              <w:t>14:15 – 15:15 Beyond the Incision: Psychiatric Safety, Trauma-Informed Communication, and Medication Management in Surgical Care Dr. Karla Hopkins, DNP, MHA, APRN, PMHNP-BC</w:t>
            </w:r>
          </w:p>
          <w:p w14:paraId="427F8E87" w14:textId="3CE15F60" w:rsidR="007F7C49" w:rsidRPr="000A5895" w:rsidRDefault="007F7C49" w:rsidP="00E65F50">
            <w:pPr>
              <w:jc w:val="center"/>
              <w:rPr>
                <w:color w:val="auto"/>
                <w:sz w:val="20"/>
              </w:rPr>
            </w:pPr>
            <w:r w:rsidRPr="000A5895">
              <w:rPr>
                <w:color w:val="auto"/>
                <w:sz w:val="20"/>
              </w:rPr>
              <w:t>15:30 – 16:30 Chronic Occupational Stress Dr. Shaquilla Cooper, DSW, CSA-S, LCSW-S</w:t>
            </w:r>
          </w:p>
          <w:p w14:paraId="1F3A4EF1" w14:textId="1319091E" w:rsidR="00007663" w:rsidRPr="000A5895" w:rsidRDefault="00007663" w:rsidP="00E65F50">
            <w:pPr>
              <w:jc w:val="center"/>
              <w:rPr>
                <w:color w:val="auto"/>
                <w:sz w:val="20"/>
              </w:rPr>
            </w:pPr>
          </w:p>
        </w:tc>
        <w:tc>
          <w:tcPr>
            <w:tcW w:w="720" w:type="dxa"/>
          </w:tcPr>
          <w:p w14:paraId="1AF3393D" w14:textId="77777777" w:rsidR="00007663" w:rsidRPr="000A5895" w:rsidRDefault="00007663" w:rsidP="00E65F50">
            <w:pPr>
              <w:jc w:val="center"/>
              <w:rPr>
                <w:color w:val="auto"/>
                <w:sz w:val="20"/>
              </w:rPr>
            </w:pPr>
          </w:p>
        </w:tc>
        <w:tc>
          <w:tcPr>
            <w:tcW w:w="720" w:type="dxa"/>
          </w:tcPr>
          <w:p w14:paraId="7FE789C9" w14:textId="77777777" w:rsidR="00007663" w:rsidRDefault="00007663" w:rsidP="00E65F50">
            <w:pPr>
              <w:jc w:val="center"/>
            </w:pPr>
          </w:p>
        </w:tc>
        <w:tc>
          <w:tcPr>
            <w:tcW w:w="3851" w:type="dxa"/>
          </w:tcPr>
          <w:p w14:paraId="709DDFCC" w14:textId="11A6E21C" w:rsidR="00007663" w:rsidRDefault="008A1E22" w:rsidP="00E65F50">
            <w:pPr>
              <w:jc w:val="center"/>
            </w:pPr>
            <w:r>
              <w:rPr>
                <w:noProof/>
              </w:rPr>
              <w:drawing>
                <wp:inline distT="0" distB="0" distL="0" distR="0" wp14:anchorId="4A3D0D82" wp14:editId="233C1D0E">
                  <wp:extent cx="2438400" cy="2438400"/>
                  <wp:effectExtent l="0" t="0" r="0" b="0"/>
                  <wp:docPr id="103927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1F1FC0D4" w14:textId="77777777" w:rsidR="00183FAB" w:rsidRDefault="00183FAB" w:rsidP="00E65F50">
            <w:pPr>
              <w:pStyle w:val="Heading2"/>
              <w:jc w:val="center"/>
            </w:pPr>
            <w:r w:rsidRPr="00183FAB">
              <w:t>CONFERENCE OVERVIEW</w:t>
            </w:r>
          </w:p>
          <w:p w14:paraId="35ADE0F9" w14:textId="5043F1E7" w:rsidR="00183FAB" w:rsidRDefault="00183FAB" w:rsidP="00E65F50">
            <w:pPr>
              <w:pStyle w:val="Heading2"/>
              <w:jc w:val="center"/>
            </w:pPr>
            <w:r w:rsidRPr="00183FAB">
              <w:t>Program Description</w:t>
            </w:r>
          </w:p>
          <w:p w14:paraId="000EA33A" w14:textId="59A414B7" w:rsidR="00183FAB" w:rsidRPr="00183FAB" w:rsidRDefault="00183FAB" w:rsidP="00E65F50">
            <w:pPr>
              <w:pStyle w:val="Heading2"/>
              <w:spacing w:line="360" w:lineRule="auto"/>
              <w:jc w:val="center"/>
              <w:rPr>
                <w:b w:val="0"/>
                <w:bCs w:val="0"/>
                <w:sz w:val="20"/>
              </w:rPr>
            </w:pPr>
            <w:r w:rsidRPr="00183FAB">
              <w:rPr>
                <w:b w:val="0"/>
                <w:bCs w:val="0"/>
                <w:sz w:val="20"/>
              </w:rPr>
              <w:t>The Kentucky Society of Perianesthesia Nurses (KSPAN) is pleased to present a full-day educational conference designed to enhance clinical knowledge, professional practice, and personal well-being for nurses across perioperative and perianesthesia settings. This conference provides evidence-based education, practical application, and interdisciplinary perspectives to support safe, high-quality patient care.</w:t>
            </w:r>
          </w:p>
          <w:p w14:paraId="6CE16863" w14:textId="5E2FF108" w:rsidR="00007663" w:rsidRDefault="00007663" w:rsidP="00E65F50">
            <w:pPr>
              <w:jc w:val="center"/>
            </w:pPr>
          </w:p>
        </w:tc>
      </w:tr>
    </w:tbl>
    <w:p w14:paraId="103E9CD8" w14:textId="77777777" w:rsidR="00007663" w:rsidRDefault="00007663" w:rsidP="00E65F50">
      <w:pPr>
        <w:pStyle w:val="NoSpacing"/>
        <w:jc w:val="center"/>
      </w:pPr>
    </w:p>
    <w:sectPr w:rsidR="00007663">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1242E4"/>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00847A9C"/>
    <w:multiLevelType w:val="hybridMultilevel"/>
    <w:tmpl w:val="E62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E67616"/>
    <w:multiLevelType w:val="hybridMultilevel"/>
    <w:tmpl w:val="0840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274212">
    <w:abstractNumId w:val="0"/>
  </w:num>
  <w:num w:numId="2" w16cid:durableId="348918248">
    <w:abstractNumId w:val="0"/>
  </w:num>
  <w:num w:numId="3" w16cid:durableId="546526293">
    <w:abstractNumId w:val="0"/>
    <w:lvlOverride w:ilvl="0">
      <w:startOverride w:val="1"/>
    </w:lvlOverride>
  </w:num>
  <w:num w:numId="4" w16cid:durableId="570115623">
    <w:abstractNumId w:val="0"/>
    <w:lvlOverride w:ilvl="0">
      <w:startOverride w:val="1"/>
    </w:lvlOverride>
  </w:num>
  <w:num w:numId="5" w16cid:durableId="307706051">
    <w:abstractNumId w:val="0"/>
    <w:lvlOverride w:ilvl="0">
      <w:startOverride w:val="1"/>
    </w:lvlOverride>
  </w:num>
  <w:num w:numId="6" w16cid:durableId="2043632169">
    <w:abstractNumId w:val="0"/>
  </w:num>
  <w:num w:numId="7" w16cid:durableId="1555771613">
    <w:abstractNumId w:val="2"/>
  </w:num>
  <w:num w:numId="8" w16cid:durableId="1305696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FAB"/>
    <w:rsid w:val="00007663"/>
    <w:rsid w:val="000078DE"/>
    <w:rsid w:val="000A5895"/>
    <w:rsid w:val="001277F8"/>
    <w:rsid w:val="00183FAB"/>
    <w:rsid w:val="002831E6"/>
    <w:rsid w:val="002974A4"/>
    <w:rsid w:val="007F7C49"/>
    <w:rsid w:val="00807A0D"/>
    <w:rsid w:val="008A1E22"/>
    <w:rsid w:val="00B1693C"/>
    <w:rsid w:val="00E408FB"/>
    <w:rsid w:val="00E6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4AC18E"/>
  <w15:chartTrackingRefBased/>
  <w15:docId w15:val="{FA825D12-ABF2-49EC-BC79-CBFE3431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436" w:themeColor="text2" w:themeTint="E6"/>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40" w:lineRule="auto"/>
      <w:outlineLvl w:val="0"/>
    </w:pPr>
    <w:rPr>
      <w:rFonts w:asciiTheme="majorHAnsi" w:eastAsiaTheme="majorEastAsia" w:hAnsiTheme="majorHAnsi" w:cstheme="majorBidi"/>
      <w:b/>
      <w:bCs/>
      <w:color w:val="C45238" w:themeColor="accent1"/>
      <w:sz w:val="3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2"/>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2"/>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C45238" w:themeColor="accent1"/>
      <w:sz w:val="3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olor w:val="C45238" w:themeColor="accent1"/>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40" w:lineRule="auto"/>
      <w:ind w:left="288" w:right="288"/>
      <w:contextualSpacing/>
    </w:pPr>
    <w:rPr>
      <w:rFonts w:asciiTheme="majorHAnsi" w:eastAsiaTheme="majorEastAsia" w:hAnsiTheme="majorHAnsi" w:cstheme="majorBidi"/>
      <w:color w:val="FFFFFF" w:themeColor="background1"/>
      <w:kern w:val="28"/>
      <w:sz w:val="60"/>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60"/>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4"/>
    </w:rPr>
  </w:style>
  <w:style w:type="character" w:customStyle="1" w:styleId="SubtitleChar">
    <w:name w:val="Subtitle Char"/>
    <w:basedOn w:val="DefaultParagraphFont"/>
    <w:link w:val="Subtitle"/>
    <w:uiPriority w:val="1"/>
    <w:rPr>
      <w:i/>
      <w:iCs/>
      <w:color w:val="FFFFFF" w:themeColor="background1"/>
      <w:sz w:val="24"/>
    </w:rPr>
  </w:style>
  <w:style w:type="paragraph" w:styleId="NoSpacing">
    <w:name w:val="No Spacing"/>
    <w:uiPriority w:val="99"/>
    <w:qFormat/>
    <w:pPr>
      <w:spacing w:after="0" w:line="240" w:lineRule="auto"/>
    </w:pPr>
  </w:style>
  <w:style w:type="paragraph" w:styleId="Quote">
    <w:name w:val="Quote"/>
    <w:basedOn w:val="Normal"/>
    <w:next w:val="Normal"/>
    <w:link w:val="QuoteChar"/>
    <w:uiPriority w:val="1"/>
    <w:qFormat/>
    <w:pPr>
      <w:pBdr>
        <w:top w:val="single" w:sz="4" w:space="14" w:color="C45238" w:themeColor="accent1"/>
        <w:bottom w:val="single" w:sz="4" w:space="14" w:color="C45238" w:themeColor="accent1"/>
      </w:pBdr>
      <w:spacing w:before="480" w:after="480" w:line="312" w:lineRule="auto"/>
    </w:pPr>
    <w:rPr>
      <w:rFonts w:asciiTheme="majorHAnsi" w:eastAsiaTheme="majorEastAsia" w:hAnsiTheme="majorHAnsi" w:cstheme="majorBidi"/>
      <w:i/>
      <w:iCs/>
      <w:color w:val="C45238" w:themeColor="accent1"/>
      <w:sz w:val="34"/>
    </w:rPr>
  </w:style>
  <w:style w:type="character" w:customStyle="1" w:styleId="QuoteChar">
    <w:name w:val="Quote Char"/>
    <w:basedOn w:val="DefaultParagraphFont"/>
    <w:link w:val="Quote"/>
    <w:uiPriority w:val="1"/>
    <w:rPr>
      <w:rFonts w:asciiTheme="majorHAnsi" w:eastAsiaTheme="majorEastAsia" w:hAnsiTheme="majorHAnsi" w:cstheme="majorBidi"/>
      <w:i/>
      <w:iCs/>
      <w:color w:val="C45238" w:themeColor="accent1"/>
      <w:sz w:val="34"/>
    </w:rPr>
  </w:style>
  <w:style w:type="character" w:customStyle="1" w:styleId="Heading3Char">
    <w:name w:val="Heading 3 Char"/>
    <w:basedOn w:val="DefaultParagraphFont"/>
    <w:link w:val="Heading3"/>
    <w:uiPriority w:val="9"/>
    <w:semiHidden/>
    <w:rPr>
      <w:b/>
      <w:bCs/>
    </w:rPr>
  </w:style>
  <w:style w:type="table" w:styleId="PlainTable4">
    <w:name w:val="Plain Table 4"/>
    <w:basedOn w:val="TableNormal"/>
    <w:uiPriority w:val="44"/>
    <w:rsid w:val="00E408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83FAB"/>
    <w:rPr>
      <w:color w:val="4D4436" w:themeColor="hyperlink"/>
      <w:u w:val="single"/>
    </w:rPr>
  </w:style>
  <w:style w:type="character" w:styleId="UnresolvedMention">
    <w:name w:val="Unresolved Mention"/>
    <w:basedOn w:val="DefaultParagraphFont"/>
    <w:uiPriority w:val="99"/>
    <w:semiHidden/>
    <w:unhideWhenUsed/>
    <w:rsid w:val="00183FAB"/>
    <w:rPr>
      <w:color w:val="605E5C"/>
      <w:shd w:val="clear" w:color="auto" w:fill="E1DFDD"/>
    </w:rPr>
  </w:style>
  <w:style w:type="paragraph" w:styleId="ListParagraph">
    <w:name w:val="List Paragraph"/>
    <w:basedOn w:val="Normal"/>
    <w:uiPriority w:val="34"/>
    <w:unhideWhenUsed/>
    <w:qFormat/>
    <w:rsid w:val="007F7C49"/>
    <w:pPr>
      <w:ind w:left="720"/>
      <w:contextualSpacing/>
    </w:pPr>
  </w:style>
  <w:style w:type="paragraph" w:styleId="NormalWeb">
    <w:name w:val="Normal (Web)"/>
    <w:basedOn w:val="Normal"/>
    <w:uiPriority w:val="99"/>
    <w:semiHidden/>
    <w:unhideWhenUsed/>
    <w:rsid w:val="00807A0D"/>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vettacarney@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kspan.nursingnetwork.com/" TargetMode="External"/><Relationship Id="rId4" Type="http://schemas.openxmlformats.org/officeDocument/2006/relationships/numbering" Target="numbering.xml"/><Relationship Id="rId9" Type="http://schemas.openxmlformats.org/officeDocument/2006/relationships/hyperlink" Target="https://kspan.nursingnetwork.com/nursing-events/150757-kspan-spring-conferenc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2961\AppData\Roaming\Microsoft\Templates\Business%20Brochure.dotx" TargetMode="External"/></Relationships>
</file>

<file path=word/theme/theme1.xml><?xml version="1.0" encoding="utf-8"?>
<a:theme xmlns:a="http://schemas.openxmlformats.org/drawingml/2006/main" name="Small Business Set">
  <a:themeElements>
    <a:clrScheme name="Small Business 2">
      <a:dk1>
        <a:sysClr val="windowText" lastClr="000000"/>
      </a:dk1>
      <a:lt1>
        <a:sysClr val="window" lastClr="FFFFFF"/>
      </a:lt1>
      <a:dk2>
        <a:srgbClr val="352F25"/>
      </a:dk2>
      <a:lt2>
        <a:srgbClr val="EDECEB"/>
      </a:lt2>
      <a:accent1>
        <a:srgbClr val="C45238"/>
      </a:accent1>
      <a:accent2>
        <a:srgbClr val="2A6188"/>
      </a:accent2>
      <a:accent3>
        <a:srgbClr val="E7A623"/>
      </a:accent3>
      <a:accent4>
        <a:srgbClr val="5B883F"/>
      </a:accent4>
      <a:accent5>
        <a:srgbClr val="653D5D"/>
      </a:accent5>
      <a:accent6>
        <a:srgbClr val="D76F23"/>
      </a:accent6>
      <a:hlink>
        <a:srgbClr val="4D4436"/>
      </a:hlink>
      <a:folHlink>
        <a:srgbClr val="933D29"/>
      </a:folHlink>
    </a:clrScheme>
    <a:fontScheme name="Small Business 2">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Customize this brochure with information about your business. Insert your company logo, your own photos and change the colors to get the polished, professional look you want. 
</APDescription>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840694</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2012-06-04T06:22:00+00:00</AssetStart>
    <FriendlyTitle xmlns="4873beb7-5857-4685-be1f-d57550cc96cc" xsi:nil="true"/>
    <MarketSpecific xmlns="4873beb7-5857-4685-be1f-d57550cc96cc">false</MarketSpecific>
    <TPNamespace xmlns="4873beb7-5857-4685-be1f-d57550cc96cc" xsi:nil="true"/>
    <PublishStatusLookup xmlns="4873beb7-5857-4685-be1f-d57550cc96cc">
      <Value>1572288</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TP102911893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910EC26-3231-41DA-A06A-87652661CB1A}">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88F5F2B0-608D-46E2-9C86-A39D74495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8B251B-11B4-44B2-932F-30F19E515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Brochure</Template>
  <TotalTime>1</TotalTime>
  <Pages>2</Pages>
  <Words>510</Words>
  <Characters>3413</Characters>
  <Application>Microsoft Office Word</Application>
  <DocSecurity>0</DocSecurity>
  <Lines>200</Lines>
  <Paragraphs>74</Paragraphs>
  <ScaleCrop>false</ScaleCrop>
  <HeadingPairs>
    <vt:vector size="2" baseType="variant">
      <vt:variant>
        <vt:lpstr>Title</vt:lpstr>
      </vt:variant>
      <vt:variant>
        <vt:i4>1</vt:i4>
      </vt:variant>
    </vt:vector>
  </HeadingPairs>
  <TitlesOfParts>
    <vt:vector size="1" baseType="lpstr">
      <vt:lpstr/>
    </vt:vector>
  </TitlesOfParts>
  <Company>KSPAN</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Lavetta L Carney</dc:creator>
  <cp:lastModifiedBy>Wilson,Linda</cp:lastModifiedBy>
  <cp:revision>2</cp:revision>
  <dcterms:created xsi:type="dcterms:W3CDTF">2026-02-01T22:11:00Z</dcterms:created>
  <dcterms:modified xsi:type="dcterms:W3CDTF">2026-02-01T22:11:00Z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rammarlyDocumentId">
    <vt:lpwstr>4e393f7a-25a0-468f-94ff-bd6341531035</vt:lpwstr>
  </property>
</Properties>
</file>