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00"/>
      </w:tblGrid>
      <w:tr w:rsidR="00DA13F6" w:rsidTr="00DA13F6">
        <w:trPr>
          <w:tblCellSpacing w:w="0" w:type="dxa"/>
          <w:jc w:val="center"/>
        </w:trPr>
        <w:tc>
          <w:tcPr>
            <w:tcW w:w="0" w:type="auto"/>
            <w:tcBorders>
              <w:top w:val="nil"/>
              <w:left w:val="nil"/>
              <w:bottom w:val="nil"/>
              <w:right w:val="nil"/>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8985"/>
            </w:tblGrid>
            <w:tr w:rsidR="00DA13F6">
              <w:trPr>
                <w:tblCellSpacing w:w="0" w:type="dxa"/>
                <w:jc w:val="center"/>
              </w:trPr>
              <w:tc>
                <w:tcPr>
                  <w:tcW w:w="0" w:type="auto"/>
                  <w:shd w:val="clear" w:color="auto" w:fill="0B6777"/>
                  <w:vAlign w:val="center"/>
                  <w:hideMark/>
                </w:tcPr>
                <w:p w:rsidR="00DA13F6" w:rsidRDefault="00DA13F6">
                  <w:pPr>
                    <w:jc w:val="center"/>
                    <w:rPr>
                      <w:rFonts w:eastAsia="Times New Roman"/>
                    </w:rPr>
                  </w:pPr>
                  <w:r>
                    <w:rPr>
                      <w:rFonts w:eastAsia="Times New Roman"/>
                      <w:noProof/>
                    </w:rPr>
                    <w:drawing>
                      <wp:inline distT="0" distB="0" distL="0" distR="0">
                        <wp:extent cx="5709920" cy="999490"/>
                        <wp:effectExtent l="0" t="0" r="5080" b="0"/>
                        <wp:docPr id="1" name="Picture 1" descr="https://d3dkdvqff0zqx.cloudfront.net/groups/ncsbn/images/ncsbn_n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dkdvqff0zqx.cloudfront.net/groups/ncsbn/images/ncsbn_nl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999490"/>
                                </a:xfrm>
                                <a:prstGeom prst="rect">
                                  <a:avLst/>
                                </a:prstGeom>
                                <a:noFill/>
                                <a:ln>
                                  <a:noFill/>
                                </a:ln>
                              </pic:spPr>
                            </pic:pic>
                          </a:graphicData>
                        </a:graphic>
                      </wp:inline>
                    </w:drawing>
                  </w:r>
                </w:p>
              </w:tc>
            </w:tr>
          </w:tbl>
          <w:p w:rsidR="00DA13F6" w:rsidRDefault="00DA13F6">
            <w:pPr>
              <w:jc w:val="center"/>
              <w:rPr>
                <w:rFonts w:eastAsia="Times New Roman"/>
                <w:sz w:val="20"/>
                <w:szCs w:val="20"/>
              </w:rPr>
            </w:pPr>
          </w:p>
        </w:tc>
      </w:tr>
      <w:tr w:rsidR="00DA13F6" w:rsidTr="00DA13F6">
        <w:trPr>
          <w:tblCellSpacing w:w="0" w:type="dxa"/>
          <w:jc w:val="center"/>
        </w:trPr>
        <w:tc>
          <w:tcPr>
            <w:tcW w:w="0" w:type="auto"/>
            <w:tcBorders>
              <w:top w:val="nil"/>
              <w:left w:val="nil"/>
              <w:bottom w:val="nil"/>
              <w:right w:val="nil"/>
            </w:tcBorders>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000"/>
            </w:tblGrid>
            <w:tr w:rsidR="00DA13F6">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850"/>
                  </w:tblGrid>
                  <w:tr w:rsidR="00DA13F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DA13F6">
                          <w:trPr>
                            <w:tblCellSpacing w:w="0" w:type="dxa"/>
                          </w:trPr>
                          <w:tc>
                            <w:tcPr>
                              <w:tcW w:w="5000" w:type="pct"/>
                              <w:hideMark/>
                            </w:tcPr>
                            <w:p w:rsidR="00DA13F6" w:rsidRDefault="00DA13F6">
                              <w:pPr>
                                <w:rPr>
                                  <w:rFonts w:ascii="Verdana" w:eastAsia="Times New Roman" w:hAnsi="Verdana"/>
                                  <w:color w:val="000000"/>
                                  <w:sz w:val="20"/>
                                  <w:szCs w:val="20"/>
                                </w:rPr>
                              </w:pPr>
                              <w:r>
                                <w:rPr>
                                  <w:rFonts w:ascii="Verdana" w:eastAsia="Times New Roman" w:hAnsi="Verdana"/>
                                  <w:color w:val="000000"/>
                                  <w:sz w:val="20"/>
                                  <w:szCs w:val="20"/>
                                </w:rPr>
                                <w:t>Dear Nursing Advocate,</w:t>
                              </w:r>
                              <w:r>
                                <w:rPr>
                                  <w:rFonts w:ascii="Verdana" w:eastAsia="Times New Roman" w:hAnsi="Verdana"/>
                                  <w:color w:val="000000"/>
                                  <w:sz w:val="20"/>
                                  <w:szCs w:val="20"/>
                                </w:rPr>
                                <w:br/>
                                <w:t> </w:t>
                              </w:r>
                              <w:r>
                                <w:rPr>
                                  <w:rFonts w:ascii="Verdana" w:eastAsia="Times New Roman" w:hAnsi="Verdana"/>
                                  <w:color w:val="000000"/>
                                  <w:sz w:val="20"/>
                                  <w:szCs w:val="20"/>
                                </w:rPr>
                                <w:br/>
                                <w:t>The Nurse Licensure Compact (NLC) legislation is pending before the Massachusetts State Senate as part of the HEALTH Act (S. 2190), a bill focused on health care cost containment. The Compact has been attached to the HEALTH Act as amendment #105, and we need your support. </w:t>
                              </w:r>
                              <w:hyperlink r:id="rId7" w:history="1">
                                <w:r>
                                  <w:rPr>
                                    <w:rStyle w:val="Hyperlink"/>
                                    <w:rFonts w:ascii="Verdana" w:eastAsia="Times New Roman" w:hAnsi="Verdana"/>
                                    <w:sz w:val="20"/>
                                    <w:szCs w:val="20"/>
                                  </w:rPr>
                                  <w:t>Take action and suppo</w:t>
                                </w:r>
                                <w:bookmarkStart w:id="0" w:name="_GoBack"/>
                                <w:bookmarkEnd w:id="0"/>
                                <w:r>
                                  <w:rPr>
                                    <w:rStyle w:val="Hyperlink"/>
                                    <w:rFonts w:ascii="Verdana" w:eastAsia="Times New Roman" w:hAnsi="Verdana"/>
                                    <w:sz w:val="20"/>
                                    <w:szCs w:val="20"/>
                                  </w:rPr>
                                  <w:t>r</w:t>
                                </w:r>
                                <w:r>
                                  <w:rPr>
                                    <w:rStyle w:val="Hyperlink"/>
                                    <w:rFonts w:ascii="Verdana" w:eastAsia="Times New Roman" w:hAnsi="Verdana"/>
                                    <w:sz w:val="20"/>
                                    <w:szCs w:val="20"/>
                                  </w:rPr>
                                  <w:t>t the NLC!</w:t>
                                </w:r>
                              </w:hyperlink>
                              <w:r>
                                <w:rPr>
                                  <w:rFonts w:ascii="Verdana" w:eastAsia="Times New Roman" w:hAnsi="Verdana"/>
                                  <w:color w:val="000000"/>
                                  <w:sz w:val="20"/>
                                  <w:szCs w:val="20"/>
                                </w:rPr>
                                <w:t xml:space="preserve"> </w:t>
                              </w:r>
                              <w:proofErr w:type="gramStart"/>
                              <w:r>
                                <w:rPr>
                                  <w:rFonts w:ascii="Verdana" w:eastAsia="Times New Roman" w:hAnsi="Verdana"/>
                                  <w:color w:val="000000"/>
                                  <w:sz w:val="20"/>
                                  <w:szCs w:val="20"/>
                                </w:rPr>
                                <w:t>by</w:t>
                              </w:r>
                              <w:proofErr w:type="gramEnd"/>
                              <w:r>
                                <w:rPr>
                                  <w:rFonts w:ascii="Verdana" w:eastAsia="Times New Roman" w:hAnsi="Verdana"/>
                                  <w:color w:val="000000"/>
                                  <w:sz w:val="20"/>
                                  <w:szCs w:val="20"/>
                                </w:rPr>
                                <w:t xml:space="preserve"> sending a letter to your lawmakers.  We encourage you to personalize your letter, including your reasons for supporting the NLC. Feel free to use the following information to enhance your letter: </w:t>
                              </w:r>
                            </w:p>
                            <w:p w:rsidR="00DA13F6" w:rsidRDefault="00DA13F6" w:rsidP="00CC6598">
                              <w:pPr>
                                <w:numPr>
                                  <w:ilvl w:val="0"/>
                                  <w:numId w:val="1"/>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I am urging your support of amendment #105 to the HEALTH Act, S. 2190, involving the Nurse Licensure Compact because I support the advancement of the practice of nursing in our state.</w:t>
                              </w:r>
                            </w:p>
                            <w:p w:rsidR="00DA13F6" w:rsidRDefault="00DA13F6" w:rsidP="00CC6598">
                              <w:pPr>
                                <w:numPr>
                                  <w:ilvl w:val="0"/>
                                  <w:numId w:val="1"/>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[If applicable] As a nurse and a member of [ORGANIZATION], I see many benefits to Massachusetts joining the NLC, including the expansion of telemedicine and emergency response, decreased health care spending, and improved patient safety and outcomes.</w:t>
                              </w:r>
                            </w:p>
                            <w:p w:rsidR="00DA13F6" w:rsidRDefault="00DA13F6" w:rsidP="00CC6598">
                              <w:pPr>
                                <w:numPr>
                                  <w:ilvl w:val="0"/>
                                  <w:numId w:val="1"/>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Similar to the national driver’s license compact, the Nurse Licensure Compact allows nurses to have one multistate license in the state where they reside, with the privilege to practice in their home state and all other states that are members of the NLC.</w:t>
                              </w:r>
                            </w:p>
                            <w:p w:rsidR="00DA13F6" w:rsidRDefault="00DA13F6" w:rsidP="00CC6598">
                              <w:pPr>
                                <w:numPr>
                                  <w:ilvl w:val="0"/>
                                  <w:numId w:val="1"/>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Maine and New Hampshire, along with 24 other states, are already members of the NLC. Now is the time for our state to join the Compact.</w:t>
                              </w:r>
                            </w:p>
                            <w:p w:rsidR="00DA13F6" w:rsidRDefault="00DA13F6" w:rsidP="00CC6598">
                              <w:pPr>
                                <w:numPr>
                                  <w:ilvl w:val="0"/>
                                  <w:numId w:val="1"/>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There are 14,000 nurses currently residing in Massachusetts who hold a license in another state and would benefit from this legislation.</w:t>
                              </w:r>
                            </w:p>
                            <w:p w:rsidR="00DA13F6" w:rsidRDefault="00DA13F6">
                              <w:pPr>
                                <w:rPr>
                                  <w:rFonts w:ascii="Verdana" w:eastAsia="Times New Roman" w:hAnsi="Verdana"/>
                                  <w:color w:val="000000"/>
                                  <w:sz w:val="20"/>
                                  <w:szCs w:val="20"/>
                                </w:rPr>
                              </w:pPr>
                              <w:r>
                                <w:rPr>
                                  <w:rFonts w:ascii="Verdana" w:eastAsia="Times New Roman" w:hAnsi="Verdana"/>
                                  <w:color w:val="000000"/>
                                  <w:sz w:val="20"/>
                                  <w:szCs w:val="20"/>
                                </w:rPr>
                                <w:t>Please contact your lawmakers to support amendment #105 to S. 2190 regarding the Nurse Licensure Compact.</w:t>
                              </w:r>
                              <w:r>
                                <w:rPr>
                                  <w:rFonts w:ascii="Verdana" w:eastAsia="Times New Roman" w:hAnsi="Verdana"/>
                                  <w:color w:val="000000"/>
                                  <w:sz w:val="20"/>
                                  <w:szCs w:val="20"/>
                                </w:rPr>
                                <w:br/>
                              </w:r>
                              <w:r>
                                <w:rPr>
                                  <w:rFonts w:ascii="Verdana" w:eastAsia="Times New Roman" w:hAnsi="Verdana"/>
                                  <w:color w:val="000000"/>
                                  <w:sz w:val="20"/>
                                  <w:szCs w:val="20"/>
                                </w:rPr>
                                <w:br/>
                                <w:t>Thank you for your continued support,</w:t>
                              </w:r>
                              <w:r>
                                <w:rPr>
                                  <w:rFonts w:ascii="Verdana" w:eastAsia="Times New Roman" w:hAnsi="Verdana"/>
                                  <w:color w:val="000000"/>
                                  <w:sz w:val="20"/>
                                  <w:szCs w:val="20"/>
                                </w:rPr>
                                <w:br/>
                                <w:t> </w:t>
                              </w:r>
                              <w:r>
                                <w:rPr>
                                  <w:rFonts w:ascii="Verdana" w:eastAsia="Times New Roman" w:hAnsi="Verdana"/>
                                  <w:color w:val="000000"/>
                                  <w:sz w:val="20"/>
                                  <w:szCs w:val="20"/>
                                </w:rPr>
                                <w:br/>
                                <w:t>Nurse Licensure Compact</w:t>
                              </w:r>
                            </w:p>
                            <w:p w:rsidR="00DA13F6" w:rsidRDefault="00DA13F6" w:rsidP="00DA13F6">
                              <w:pPr>
                                <w:jc w:val="center"/>
                                <w:rPr>
                                  <w:rFonts w:ascii="Verdana" w:eastAsia="Times New Roman" w:hAnsi="Verdana"/>
                                  <w:color w:val="000000"/>
                                  <w:sz w:val="20"/>
                                  <w:szCs w:val="20"/>
                                </w:rPr>
                              </w:pPr>
                              <w:r>
                                <w:rPr>
                                  <w:rFonts w:ascii="Verdana" w:eastAsia="Times New Roman" w:hAnsi="Verdana"/>
                                  <w:color w:val="000000"/>
                                  <w:sz w:val="20"/>
                                  <w:szCs w:val="20"/>
                                </w:rPr>
                                <w:pict>
                                  <v:rect id="_x0000_i1025" style="width:468pt;height:.75pt" o:hralign="center" o:hrstd="t" o:hr="t" fillcolor="#a0a0a0" stroked="f"/>
                                </w:pict>
                              </w:r>
                            </w:p>
                          </w:tc>
                        </w:tr>
                      </w:tbl>
                      <w:p w:rsidR="00DA13F6" w:rsidRDefault="00DA13F6">
                        <w:pPr>
                          <w:rPr>
                            <w:rFonts w:eastAsia="Times New Roman"/>
                            <w:sz w:val="20"/>
                            <w:szCs w:val="20"/>
                          </w:rPr>
                        </w:pPr>
                      </w:p>
                    </w:tc>
                  </w:tr>
                </w:tbl>
                <w:p w:rsidR="00DA13F6" w:rsidRDefault="00DA13F6">
                  <w:pPr>
                    <w:rPr>
                      <w:rFonts w:eastAsia="Times New Roman"/>
                      <w:sz w:val="20"/>
                      <w:szCs w:val="20"/>
                    </w:rPr>
                  </w:pPr>
                </w:p>
              </w:tc>
            </w:tr>
          </w:tbl>
          <w:p w:rsidR="00DA13F6" w:rsidRDefault="00DA13F6">
            <w:pPr>
              <w:jc w:val="center"/>
              <w:rPr>
                <w:rFonts w:eastAsia="Times New Roman"/>
                <w:sz w:val="20"/>
                <w:szCs w:val="20"/>
              </w:rPr>
            </w:pPr>
          </w:p>
        </w:tc>
      </w:tr>
    </w:tbl>
    <w:p w:rsidR="002C7C6B" w:rsidRDefault="002C7C6B"/>
    <w:sectPr w:rsidR="002C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36EC5"/>
    <w:multiLevelType w:val="multilevel"/>
    <w:tmpl w:val="A838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F6"/>
    <w:rsid w:val="002C7C6B"/>
    <w:rsid w:val="00DA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3F6"/>
    <w:rPr>
      <w:color w:val="0000FF"/>
      <w:u w:val="single"/>
    </w:rPr>
  </w:style>
  <w:style w:type="paragraph" w:styleId="BalloonText">
    <w:name w:val="Balloon Text"/>
    <w:basedOn w:val="Normal"/>
    <w:link w:val="BalloonTextChar"/>
    <w:uiPriority w:val="99"/>
    <w:semiHidden/>
    <w:unhideWhenUsed/>
    <w:rsid w:val="00DA13F6"/>
    <w:rPr>
      <w:rFonts w:ascii="Tahoma" w:hAnsi="Tahoma" w:cs="Tahoma"/>
      <w:sz w:val="16"/>
      <w:szCs w:val="16"/>
    </w:rPr>
  </w:style>
  <w:style w:type="character" w:customStyle="1" w:styleId="BalloonTextChar">
    <w:name w:val="Balloon Text Char"/>
    <w:basedOn w:val="DefaultParagraphFont"/>
    <w:link w:val="BalloonText"/>
    <w:uiPriority w:val="99"/>
    <w:semiHidden/>
    <w:rsid w:val="00DA13F6"/>
    <w:rPr>
      <w:rFonts w:ascii="Tahoma" w:hAnsi="Tahoma" w:cs="Tahoma"/>
      <w:sz w:val="16"/>
      <w:szCs w:val="16"/>
    </w:rPr>
  </w:style>
  <w:style w:type="character" w:styleId="FollowedHyperlink">
    <w:name w:val="FollowedHyperlink"/>
    <w:basedOn w:val="DefaultParagraphFont"/>
    <w:uiPriority w:val="99"/>
    <w:semiHidden/>
    <w:unhideWhenUsed/>
    <w:rsid w:val="00DA13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3F6"/>
    <w:rPr>
      <w:color w:val="0000FF"/>
      <w:u w:val="single"/>
    </w:rPr>
  </w:style>
  <w:style w:type="paragraph" w:styleId="BalloonText">
    <w:name w:val="Balloon Text"/>
    <w:basedOn w:val="Normal"/>
    <w:link w:val="BalloonTextChar"/>
    <w:uiPriority w:val="99"/>
    <w:semiHidden/>
    <w:unhideWhenUsed/>
    <w:rsid w:val="00DA13F6"/>
    <w:rPr>
      <w:rFonts w:ascii="Tahoma" w:hAnsi="Tahoma" w:cs="Tahoma"/>
      <w:sz w:val="16"/>
      <w:szCs w:val="16"/>
    </w:rPr>
  </w:style>
  <w:style w:type="character" w:customStyle="1" w:styleId="BalloonTextChar">
    <w:name w:val="Balloon Text Char"/>
    <w:basedOn w:val="DefaultParagraphFont"/>
    <w:link w:val="BalloonText"/>
    <w:uiPriority w:val="99"/>
    <w:semiHidden/>
    <w:rsid w:val="00DA13F6"/>
    <w:rPr>
      <w:rFonts w:ascii="Tahoma" w:hAnsi="Tahoma" w:cs="Tahoma"/>
      <w:sz w:val="16"/>
      <w:szCs w:val="16"/>
    </w:rPr>
  </w:style>
  <w:style w:type="character" w:styleId="FollowedHyperlink">
    <w:name w:val="FollowedHyperlink"/>
    <w:basedOn w:val="DefaultParagraphFont"/>
    <w:uiPriority w:val="99"/>
    <w:semiHidden/>
    <w:unhideWhenUsed/>
    <w:rsid w:val="00DA1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37928">
      <w:bodyDiv w:val="1"/>
      <w:marLeft w:val="0"/>
      <w:marRight w:val="0"/>
      <w:marTop w:val="0"/>
      <w:marBottom w:val="0"/>
      <w:divBdr>
        <w:top w:val="none" w:sz="0" w:space="0" w:color="auto"/>
        <w:left w:val="none" w:sz="0" w:space="0" w:color="auto"/>
        <w:bottom w:val="none" w:sz="0" w:space="0" w:color="auto"/>
        <w:right w:val="none" w:sz="0" w:space="0" w:color="auto"/>
      </w:divBdr>
      <w:divsChild>
        <w:div w:id="5760629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rldefense.proofpoint.com/v2/url?u=https-3A__www.votervoice.net_BroadcastLinks_6f0dcy2HYLd2C-5FcjtzPBpA&amp;d=DwMFaQ&amp;c=UE1eNsedaKncO0Yl_u8bfw&amp;r=ii33jtI2759KMMVw-pmCDgKWEY3KNO1-AUNRw5a2C7E&amp;m=sArQA9zUpOD9dthwa6bjs8HoIkGwUdD_gMnF2W6G1rg&amp;s=knAnngbd6YTf5iY58DZYFhSRcEDgO_bibiLASmxuA_w&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CLARKP19</dc:creator>
  <cp:lastModifiedBy>CLARKP19</cp:lastModifiedBy>
  <cp:revision>1</cp:revision>
  <dcterms:created xsi:type="dcterms:W3CDTF">2017-11-10T16:36:00Z</dcterms:created>
  <dcterms:modified xsi:type="dcterms:W3CDTF">2017-11-10T16:37:00Z</dcterms:modified>
</cp:coreProperties>
</file>