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2AD" w:rsidRDefault="005532AD" w:rsidP="005532AD">
      <w:pPr>
        <w:jc w:val="center"/>
        <w:rPr>
          <w:rFonts w:ascii="Georgia" w:hAnsi="Georgia"/>
          <w:b/>
          <w:bCs/>
          <w:color w:val="323232"/>
          <w:sz w:val="28"/>
          <w:szCs w:val="28"/>
        </w:rPr>
      </w:pPr>
      <w:r>
        <w:rPr>
          <w:rFonts w:ascii="Georgia" w:hAnsi="Georgia"/>
          <w:b/>
          <w:bCs/>
          <w:color w:val="00629B"/>
          <w:sz w:val="32"/>
          <w:szCs w:val="32"/>
        </w:rPr>
        <w:t>Updated Changes to HPAR Requirements </w:t>
      </w:r>
    </w:p>
    <w:p w:rsidR="005532AD" w:rsidRDefault="005532AD" w:rsidP="005532AD">
      <w:pPr>
        <w:jc w:val="center"/>
        <w:rPr>
          <w:rFonts w:ascii="Georgia" w:hAnsi="Georgia"/>
          <w:b/>
          <w:bCs/>
          <w:color w:val="323232"/>
          <w:sz w:val="28"/>
          <w:szCs w:val="28"/>
        </w:rPr>
      </w:pPr>
      <w:r>
        <w:rPr>
          <w:rFonts w:ascii="Georgia" w:hAnsi="Georgia"/>
          <w:b/>
          <w:bCs/>
          <w:color w:val="00629B"/>
          <w:sz w:val="32"/>
          <w:szCs w:val="32"/>
        </w:rPr>
        <w:t>Provide More Opportunity and Flexibility</w:t>
      </w:r>
      <w:r>
        <w:rPr>
          <w:rFonts w:ascii="Verdana" w:hAnsi="Verdana"/>
          <w:b/>
          <w:bCs/>
          <w:color w:val="323232"/>
        </w:rPr>
        <w:t>  </w:t>
      </w:r>
    </w:p>
    <w:p w:rsidR="005532AD" w:rsidRDefault="005532AD" w:rsidP="005532AD">
      <w:pPr>
        <w:rPr>
          <w:rFonts w:ascii="Verdana" w:hAnsi="Verdana"/>
          <w:color w:val="323232"/>
          <w:sz w:val="20"/>
          <w:szCs w:val="20"/>
        </w:rPr>
      </w:pPr>
    </w:p>
    <w:p w:rsidR="005532AD" w:rsidRDefault="005532AD" w:rsidP="005532AD">
      <w:pPr>
        <w:rPr>
          <w:rFonts w:ascii="Verdana" w:hAnsi="Verdana"/>
          <w:color w:val="323232"/>
          <w:sz w:val="20"/>
          <w:szCs w:val="20"/>
        </w:rPr>
      </w:pPr>
      <w:r>
        <w:rPr>
          <w:rFonts w:ascii="Verdana" w:hAnsi="Verdana"/>
          <w:color w:val="323232"/>
          <w:sz w:val="20"/>
          <w:szCs w:val="20"/>
        </w:rPr>
        <w:t>HPCC is excited to announce updates to our Hospice and Palliative Accrual for Recertification (HPAR) process, which will provide more opportunity and flexibility to obtain points in professional development activities. Each certification will now need a total of 100 points. In addition, the following activities have been enhanced:</w:t>
      </w:r>
    </w:p>
    <w:p w:rsidR="005532AD" w:rsidRDefault="005532AD" w:rsidP="005532AD">
      <w:pPr>
        <w:rPr>
          <w:rFonts w:ascii="Verdana" w:hAnsi="Verdana"/>
          <w:color w:val="323232"/>
          <w:sz w:val="20"/>
          <w:szCs w:val="20"/>
        </w:rPr>
      </w:pPr>
    </w:p>
    <w:p w:rsidR="005532AD" w:rsidRDefault="005532AD" w:rsidP="005532AD">
      <w:pPr>
        <w:rPr>
          <w:rFonts w:ascii="Verdana" w:hAnsi="Verdana"/>
          <w:color w:val="323232"/>
          <w:sz w:val="20"/>
          <w:szCs w:val="20"/>
        </w:rPr>
      </w:pPr>
      <w:r>
        <w:rPr>
          <w:rFonts w:ascii="Verdana" w:hAnsi="Verdana"/>
          <w:color w:val="323232"/>
          <w:sz w:val="20"/>
          <w:szCs w:val="20"/>
        </w:rPr>
        <w:t>Professional Development Activities </w:t>
      </w:r>
    </w:p>
    <w:p w:rsidR="005532AD" w:rsidRDefault="005532AD" w:rsidP="005532AD">
      <w:pPr>
        <w:numPr>
          <w:ilvl w:val="0"/>
          <w:numId w:val="1"/>
        </w:numPr>
        <w:spacing w:before="100" w:beforeAutospacing="1" w:after="100" w:afterAutospacing="1" w:line="240" w:lineRule="auto"/>
        <w:rPr>
          <w:rFonts w:ascii="Verdana" w:hAnsi="Verdana"/>
          <w:color w:val="323232"/>
          <w:sz w:val="20"/>
          <w:szCs w:val="20"/>
        </w:rPr>
      </w:pPr>
      <w:r>
        <w:rPr>
          <w:rFonts w:ascii="Verdana" w:hAnsi="Verdana"/>
          <w:color w:val="323232"/>
          <w:sz w:val="20"/>
          <w:szCs w:val="20"/>
        </w:rPr>
        <w:t xml:space="preserve">ACHPN and CHPCA point totals have decreased from 125 to 100, but ACHPNs are still required to have a minimum of 10 points in </w:t>
      </w:r>
      <w:r>
        <w:rPr>
          <w:rStyle w:val="Emphasis"/>
          <w:rFonts w:ascii="Verdana" w:hAnsi="Verdana"/>
          <w:color w:val="323232"/>
          <w:sz w:val="20"/>
          <w:szCs w:val="20"/>
        </w:rPr>
        <w:t>Scholarly Accomplishments</w:t>
      </w:r>
      <w:r>
        <w:rPr>
          <w:rFonts w:ascii="Verdana" w:hAnsi="Verdana"/>
          <w:color w:val="323232"/>
          <w:sz w:val="20"/>
          <w:szCs w:val="20"/>
        </w:rPr>
        <w:t xml:space="preserve"> and/or </w:t>
      </w:r>
      <w:r>
        <w:rPr>
          <w:rStyle w:val="Emphasis"/>
          <w:rFonts w:ascii="Verdana" w:hAnsi="Verdana"/>
          <w:color w:val="323232"/>
          <w:sz w:val="20"/>
          <w:szCs w:val="20"/>
        </w:rPr>
        <w:t>Professional Contributions. </w:t>
      </w:r>
    </w:p>
    <w:p w:rsidR="005532AD" w:rsidRDefault="005532AD" w:rsidP="005532AD">
      <w:pPr>
        <w:numPr>
          <w:ilvl w:val="0"/>
          <w:numId w:val="1"/>
        </w:numPr>
        <w:spacing w:before="100" w:beforeAutospacing="1" w:after="100" w:afterAutospacing="1" w:line="240" w:lineRule="auto"/>
        <w:rPr>
          <w:rFonts w:ascii="Verdana" w:hAnsi="Verdana"/>
          <w:color w:val="323232"/>
          <w:sz w:val="20"/>
          <w:szCs w:val="20"/>
        </w:rPr>
      </w:pPr>
      <w:r>
        <w:rPr>
          <w:rFonts w:ascii="Verdana" w:hAnsi="Verdana"/>
          <w:color w:val="323232"/>
          <w:sz w:val="20"/>
          <w:szCs w:val="20"/>
        </w:rPr>
        <w:t>CHPLN point totals have increased from 75 to 100, but 75 points for recertification will be accepted through December 31, 2017.</w:t>
      </w:r>
    </w:p>
    <w:p w:rsidR="005532AD" w:rsidRDefault="005532AD" w:rsidP="005532AD">
      <w:pPr>
        <w:numPr>
          <w:ilvl w:val="0"/>
          <w:numId w:val="1"/>
        </w:numPr>
        <w:spacing w:before="100" w:beforeAutospacing="1" w:after="100" w:afterAutospacing="1" w:line="240" w:lineRule="auto"/>
        <w:rPr>
          <w:rFonts w:ascii="Verdana" w:hAnsi="Verdana"/>
          <w:color w:val="323232"/>
          <w:sz w:val="20"/>
          <w:szCs w:val="20"/>
        </w:rPr>
      </w:pPr>
      <w:r>
        <w:rPr>
          <w:rFonts w:ascii="Verdana" w:hAnsi="Verdana"/>
          <w:color w:val="323232"/>
          <w:sz w:val="20"/>
          <w:szCs w:val="20"/>
        </w:rPr>
        <w:t xml:space="preserve">CHPN, CHPPN, CHPLN, CHPCA, and CPLC </w:t>
      </w:r>
      <w:proofErr w:type="spellStart"/>
      <w:r>
        <w:rPr>
          <w:rFonts w:ascii="Verdana" w:hAnsi="Verdana"/>
          <w:color w:val="323232"/>
          <w:sz w:val="20"/>
          <w:szCs w:val="20"/>
        </w:rPr>
        <w:t>certificants</w:t>
      </w:r>
      <w:proofErr w:type="spellEnd"/>
      <w:r>
        <w:rPr>
          <w:rFonts w:ascii="Verdana" w:hAnsi="Verdana"/>
          <w:color w:val="323232"/>
          <w:sz w:val="20"/>
          <w:szCs w:val="20"/>
        </w:rPr>
        <w:t xml:space="preserve"> are no longer required to submit 10 points in </w:t>
      </w:r>
      <w:r>
        <w:rPr>
          <w:rFonts w:ascii="Verdana" w:hAnsi="Verdana"/>
          <w:i/>
          <w:iCs/>
          <w:color w:val="323232"/>
          <w:sz w:val="20"/>
          <w:szCs w:val="20"/>
        </w:rPr>
        <w:t>Scholarly Accomplishments</w:t>
      </w:r>
      <w:r>
        <w:rPr>
          <w:rFonts w:ascii="Verdana" w:hAnsi="Verdana"/>
          <w:color w:val="323232"/>
          <w:sz w:val="20"/>
          <w:szCs w:val="20"/>
        </w:rPr>
        <w:t xml:space="preserve"> and/or </w:t>
      </w:r>
      <w:r>
        <w:rPr>
          <w:rFonts w:ascii="Verdana" w:hAnsi="Verdana"/>
          <w:i/>
          <w:iCs/>
          <w:color w:val="323232"/>
          <w:sz w:val="20"/>
          <w:szCs w:val="20"/>
        </w:rPr>
        <w:t>Professional Contributions</w:t>
      </w:r>
      <w:r>
        <w:rPr>
          <w:rFonts w:ascii="Verdana" w:hAnsi="Verdana"/>
          <w:color w:val="323232"/>
          <w:sz w:val="20"/>
          <w:szCs w:val="20"/>
        </w:rPr>
        <w:t xml:space="preserve"> activities</w:t>
      </w:r>
    </w:p>
    <w:p w:rsidR="005532AD" w:rsidRDefault="005532AD" w:rsidP="005532AD">
      <w:pPr>
        <w:rPr>
          <w:rFonts w:ascii="Verdana" w:hAnsi="Verdana"/>
          <w:color w:val="323232"/>
          <w:sz w:val="20"/>
          <w:szCs w:val="20"/>
        </w:rPr>
      </w:pPr>
      <w:r>
        <w:rPr>
          <w:rFonts w:ascii="Verdana" w:hAnsi="Verdana"/>
          <w:color w:val="323232"/>
          <w:sz w:val="20"/>
          <w:szCs w:val="20"/>
        </w:rPr>
        <w:t>Scholarly Accomplishments</w:t>
      </w:r>
    </w:p>
    <w:p w:rsidR="005532AD" w:rsidRDefault="005532AD" w:rsidP="005532AD">
      <w:pPr>
        <w:numPr>
          <w:ilvl w:val="0"/>
          <w:numId w:val="2"/>
        </w:numPr>
        <w:spacing w:before="100" w:beforeAutospacing="1" w:after="100" w:afterAutospacing="1" w:line="240" w:lineRule="auto"/>
        <w:rPr>
          <w:rFonts w:ascii="Verdana" w:hAnsi="Verdana"/>
          <w:color w:val="323232"/>
          <w:sz w:val="20"/>
          <w:szCs w:val="20"/>
        </w:rPr>
      </w:pPr>
      <w:r>
        <w:rPr>
          <w:rFonts w:ascii="Verdana" w:hAnsi="Verdana"/>
          <w:color w:val="323232"/>
          <w:sz w:val="20"/>
          <w:szCs w:val="20"/>
        </w:rPr>
        <w:t xml:space="preserve">Maximum point limit has increased from 20 to 30 for professional presentations </w:t>
      </w:r>
    </w:p>
    <w:p w:rsidR="005532AD" w:rsidRDefault="005532AD" w:rsidP="005532AD">
      <w:pPr>
        <w:rPr>
          <w:rFonts w:ascii="Verdana" w:hAnsi="Verdana"/>
          <w:color w:val="323232"/>
          <w:sz w:val="20"/>
          <w:szCs w:val="20"/>
        </w:rPr>
      </w:pPr>
      <w:r>
        <w:rPr>
          <w:rFonts w:ascii="Verdana" w:hAnsi="Verdana"/>
          <w:color w:val="323232"/>
          <w:sz w:val="20"/>
          <w:szCs w:val="20"/>
        </w:rPr>
        <w:t>Professional Contributions</w:t>
      </w:r>
    </w:p>
    <w:p w:rsidR="005532AD" w:rsidRDefault="005532AD" w:rsidP="005532AD">
      <w:pPr>
        <w:numPr>
          <w:ilvl w:val="0"/>
          <w:numId w:val="3"/>
        </w:numPr>
        <w:spacing w:before="100" w:beforeAutospacing="1" w:after="100" w:afterAutospacing="1" w:line="240" w:lineRule="auto"/>
        <w:rPr>
          <w:rFonts w:ascii="Verdana" w:hAnsi="Verdana"/>
          <w:color w:val="323232"/>
          <w:sz w:val="20"/>
          <w:szCs w:val="20"/>
        </w:rPr>
      </w:pPr>
      <w:proofErr w:type="spellStart"/>
      <w:r>
        <w:rPr>
          <w:rFonts w:ascii="Verdana" w:hAnsi="Verdana"/>
          <w:color w:val="323232"/>
          <w:sz w:val="20"/>
          <w:szCs w:val="20"/>
        </w:rPr>
        <w:t>Precepting</w:t>
      </w:r>
      <w:proofErr w:type="spellEnd"/>
      <w:r>
        <w:rPr>
          <w:rFonts w:ascii="Verdana" w:hAnsi="Verdana"/>
          <w:color w:val="323232"/>
          <w:sz w:val="20"/>
          <w:szCs w:val="20"/>
        </w:rPr>
        <w:t xml:space="preserve"> hours have increased from 5 HPAR points to 10 HPAR points per 25 hours.  The maximum limit has increased to 30 HPAR points.</w:t>
      </w:r>
    </w:p>
    <w:p w:rsidR="005532AD" w:rsidRDefault="005532AD" w:rsidP="005532AD">
      <w:pPr>
        <w:numPr>
          <w:ilvl w:val="0"/>
          <w:numId w:val="3"/>
        </w:numPr>
        <w:spacing w:before="100" w:beforeAutospacing="1" w:after="100" w:afterAutospacing="1" w:line="240" w:lineRule="auto"/>
        <w:rPr>
          <w:rFonts w:ascii="Verdana" w:hAnsi="Verdana"/>
          <w:color w:val="323232"/>
          <w:sz w:val="20"/>
          <w:szCs w:val="20"/>
        </w:rPr>
      </w:pPr>
      <w:r>
        <w:rPr>
          <w:rFonts w:ascii="Verdana" w:hAnsi="Verdana"/>
          <w:color w:val="323232"/>
          <w:sz w:val="20"/>
          <w:szCs w:val="20"/>
        </w:rPr>
        <w:t>Orienting Staff has increased from 5 HPAR points to 10 HPAR points per 40 hours.  The maximum limit has increased to 20 HPAR points.</w:t>
      </w:r>
    </w:p>
    <w:p w:rsidR="005532AD" w:rsidRDefault="005532AD" w:rsidP="005532AD">
      <w:pPr>
        <w:numPr>
          <w:ilvl w:val="0"/>
          <w:numId w:val="3"/>
        </w:numPr>
        <w:spacing w:before="100" w:beforeAutospacing="1" w:after="100" w:afterAutospacing="1" w:line="240" w:lineRule="auto"/>
        <w:rPr>
          <w:rFonts w:ascii="Verdana" w:hAnsi="Verdana"/>
          <w:color w:val="323232"/>
          <w:sz w:val="20"/>
          <w:szCs w:val="20"/>
        </w:rPr>
      </w:pPr>
      <w:r>
        <w:rPr>
          <w:rFonts w:ascii="Verdana" w:hAnsi="Verdana"/>
          <w:color w:val="323232"/>
          <w:sz w:val="20"/>
          <w:szCs w:val="20"/>
        </w:rPr>
        <w:t>One (1) year of volunteer service is now equal to 10 HPAR points.  The maximum limit has increased to 20 HPAR points.</w:t>
      </w:r>
    </w:p>
    <w:p w:rsidR="005532AD" w:rsidRDefault="005532AD" w:rsidP="005532AD">
      <w:pPr>
        <w:rPr>
          <w:rFonts w:ascii="Verdana" w:hAnsi="Verdana"/>
          <w:color w:val="323232"/>
          <w:sz w:val="20"/>
          <w:szCs w:val="20"/>
        </w:rPr>
      </w:pPr>
      <w:r>
        <w:rPr>
          <w:rFonts w:ascii="Verdana" w:hAnsi="Verdana"/>
          <w:color w:val="323232"/>
          <w:sz w:val="20"/>
          <w:szCs w:val="20"/>
        </w:rPr>
        <w:t>Please refer to the current HPAR packet for your specific certification for complete details, through the link below.  Our goal for these changes is to make your certification renewal more beneficial and important to your practice. We appreciate your patience and feedback in this process. </w:t>
      </w:r>
    </w:p>
    <w:p w:rsidR="005532AD" w:rsidRDefault="005532AD" w:rsidP="005532AD">
      <w:pPr>
        <w:rPr>
          <w:rFonts w:ascii="Verdana" w:hAnsi="Verdana"/>
          <w:color w:val="323232"/>
          <w:sz w:val="20"/>
          <w:szCs w:val="20"/>
        </w:rPr>
      </w:pPr>
    </w:p>
    <w:p w:rsidR="007E51DC" w:rsidRDefault="005532AD" w:rsidP="005532AD">
      <w:pPr>
        <w:rPr>
          <w:rFonts w:ascii="Verdana" w:hAnsi="Verdana"/>
          <w:color w:val="323232"/>
          <w:sz w:val="20"/>
          <w:szCs w:val="20"/>
        </w:rPr>
      </w:pPr>
      <w:hyperlink r:id="rId6" w:tgtFrame="_blank" w:history="1">
        <w:r>
          <w:rPr>
            <w:rStyle w:val="Hyperlink"/>
            <w:rFonts w:ascii="Verdana" w:hAnsi="Verdana"/>
            <w:b/>
            <w:bCs/>
            <w:sz w:val="20"/>
            <w:szCs w:val="20"/>
          </w:rPr>
          <w:t>advancingexpertcare.org/certifications-handbooks-applications</w:t>
        </w:r>
      </w:hyperlink>
    </w:p>
    <w:p w:rsidR="005532AD" w:rsidRDefault="005532AD" w:rsidP="005532AD">
      <w:pPr>
        <w:rPr>
          <w:rFonts w:ascii="Verdana" w:hAnsi="Verdana"/>
          <w:color w:val="323232"/>
          <w:sz w:val="20"/>
          <w:szCs w:val="20"/>
        </w:rPr>
      </w:pPr>
      <w:bookmarkStart w:id="0" w:name="_GoBack"/>
      <w:bookmarkEnd w:id="0"/>
    </w:p>
    <w:tbl>
      <w:tblPr>
        <w:tblW w:w="5000" w:type="pct"/>
        <w:jc w:val="center"/>
        <w:tblCellSpacing w:w="0" w:type="dxa"/>
        <w:tblCellMar>
          <w:left w:w="0" w:type="dxa"/>
          <w:right w:w="0" w:type="dxa"/>
        </w:tblCellMar>
        <w:tblLook w:val="04A0" w:firstRow="1" w:lastRow="0" w:firstColumn="1" w:lastColumn="0" w:noHBand="0" w:noVBand="1"/>
      </w:tblPr>
      <w:tblGrid>
        <w:gridCol w:w="9960"/>
      </w:tblGrid>
      <w:tr w:rsidR="005532AD" w:rsidTr="005532AD">
        <w:trPr>
          <w:tblCellSpacing w:w="0" w:type="dxa"/>
          <w:jc w:val="center"/>
        </w:trPr>
        <w:tc>
          <w:tcPr>
            <w:tcW w:w="0" w:type="auto"/>
            <w:tcMar>
              <w:top w:w="120" w:type="dxa"/>
              <w:left w:w="300" w:type="dxa"/>
              <w:bottom w:w="135" w:type="dxa"/>
              <w:right w:w="300" w:type="dxa"/>
            </w:tcMar>
            <w:hideMark/>
          </w:tcPr>
          <w:p w:rsidR="005532AD" w:rsidRDefault="005532AD">
            <w:pPr>
              <w:jc w:val="center"/>
              <w:rPr>
                <w:rFonts w:ascii="Georgia" w:hAnsi="Georgia"/>
                <w:b/>
                <w:bCs/>
                <w:color w:val="323232"/>
                <w:sz w:val="28"/>
                <w:szCs w:val="28"/>
              </w:rPr>
            </w:pPr>
            <w:r>
              <w:rPr>
                <w:rFonts w:ascii="Georgia" w:hAnsi="Georgia"/>
                <w:b/>
                <w:bCs/>
                <w:color w:val="00629B"/>
                <w:sz w:val="32"/>
                <w:szCs w:val="32"/>
              </w:rPr>
              <w:lastRenderedPageBreak/>
              <w:t>December is the Last Opportunity </w:t>
            </w:r>
          </w:p>
          <w:p w:rsidR="005532AD" w:rsidRDefault="005532AD">
            <w:pPr>
              <w:jc w:val="center"/>
              <w:rPr>
                <w:rFonts w:ascii="Georgia" w:hAnsi="Georgia"/>
                <w:b/>
                <w:bCs/>
                <w:color w:val="323232"/>
                <w:sz w:val="28"/>
                <w:szCs w:val="28"/>
              </w:rPr>
            </w:pPr>
            <w:r>
              <w:rPr>
                <w:rFonts w:ascii="Georgia" w:hAnsi="Georgia"/>
                <w:b/>
                <w:bCs/>
                <w:color w:val="00629B"/>
                <w:sz w:val="32"/>
                <w:szCs w:val="32"/>
              </w:rPr>
              <w:t>to Test in 2017, so Apply Early!</w:t>
            </w:r>
          </w:p>
          <w:p w:rsidR="005532AD" w:rsidRDefault="005532AD">
            <w:pPr>
              <w:rPr>
                <w:rFonts w:ascii="Georgia" w:hAnsi="Georgia"/>
                <w:color w:val="323232"/>
                <w:sz w:val="28"/>
                <w:szCs w:val="28"/>
              </w:rPr>
            </w:pPr>
            <w:r>
              <w:rPr>
                <w:rFonts w:ascii="Verdana" w:hAnsi="Verdana"/>
                <w:color w:val="323232"/>
              </w:rPr>
              <w:t>  </w:t>
            </w:r>
          </w:p>
          <w:p w:rsidR="005532AD" w:rsidRDefault="005532AD">
            <w:pPr>
              <w:rPr>
                <w:rFonts w:ascii="Verdana" w:hAnsi="Verdana"/>
                <w:color w:val="323232"/>
                <w:sz w:val="20"/>
                <w:szCs w:val="20"/>
              </w:rPr>
            </w:pPr>
            <w:r>
              <w:rPr>
                <w:rFonts w:ascii="Verdana" w:hAnsi="Verdana"/>
                <w:color w:val="323232"/>
                <w:sz w:val="20"/>
                <w:szCs w:val="20"/>
              </w:rPr>
              <w:t>The application period for December 2017 begins on </w:t>
            </w:r>
            <w:r>
              <w:rPr>
                <w:rFonts w:ascii="Verdana" w:hAnsi="Verdana"/>
                <w:b/>
                <w:bCs/>
                <w:color w:val="323232"/>
                <w:sz w:val="20"/>
                <w:szCs w:val="20"/>
              </w:rPr>
              <w:t>Friday, September 1</w:t>
            </w:r>
            <w:r>
              <w:rPr>
                <w:rFonts w:ascii="Verdana" w:hAnsi="Verdana"/>
                <w:color w:val="323232"/>
                <w:sz w:val="20"/>
                <w:szCs w:val="20"/>
              </w:rPr>
              <w:t xml:space="preserve">.  Paper applications are due </w:t>
            </w:r>
            <w:r>
              <w:rPr>
                <w:rFonts w:ascii="Verdana" w:hAnsi="Verdana"/>
                <w:b/>
                <w:bCs/>
                <w:color w:val="323232"/>
                <w:sz w:val="20"/>
                <w:szCs w:val="20"/>
              </w:rPr>
              <w:t>October 15</w:t>
            </w:r>
            <w:r>
              <w:rPr>
                <w:rFonts w:ascii="Verdana" w:hAnsi="Verdana"/>
                <w:color w:val="323232"/>
                <w:sz w:val="20"/>
                <w:szCs w:val="20"/>
              </w:rPr>
              <w:t xml:space="preserve">, and the </w:t>
            </w:r>
            <w:hyperlink r:id="rId7" w:tgtFrame="_blank" w:history="1">
              <w:r>
                <w:rPr>
                  <w:rStyle w:val="Hyperlink"/>
                  <w:rFonts w:ascii="Verdana" w:hAnsi="Verdana"/>
                  <w:b/>
                  <w:bCs/>
                  <w:sz w:val="20"/>
                  <w:szCs w:val="20"/>
                </w:rPr>
                <w:t>online application</w:t>
              </w:r>
            </w:hyperlink>
            <w:r>
              <w:rPr>
                <w:rFonts w:ascii="Verdana" w:hAnsi="Verdana"/>
                <w:color w:val="323232"/>
                <w:sz w:val="20"/>
                <w:szCs w:val="20"/>
              </w:rPr>
              <w:t xml:space="preserve"> deadline is </w:t>
            </w:r>
            <w:r>
              <w:rPr>
                <w:rFonts w:ascii="Verdana" w:hAnsi="Verdana"/>
                <w:b/>
                <w:bCs/>
                <w:color w:val="323232"/>
                <w:sz w:val="20"/>
                <w:szCs w:val="20"/>
              </w:rPr>
              <w:t>November 15</w:t>
            </w:r>
            <w:r>
              <w:rPr>
                <w:rFonts w:ascii="Verdana" w:hAnsi="Verdana"/>
                <w:color w:val="323232"/>
                <w:sz w:val="20"/>
                <w:szCs w:val="20"/>
              </w:rPr>
              <w:t xml:space="preserve">.   Please download and/or print the appropriate handbook for the exam you plan to take. The </w:t>
            </w:r>
            <w:hyperlink r:id="rId8" w:tgtFrame="_blank" w:history="1">
              <w:r>
                <w:rPr>
                  <w:rStyle w:val="Hyperlink"/>
                  <w:rFonts w:ascii="Verdana" w:hAnsi="Verdana"/>
                  <w:b/>
                  <w:bCs/>
                  <w:sz w:val="20"/>
                  <w:szCs w:val="20"/>
                </w:rPr>
                <w:t>candidate handbooks</w:t>
              </w:r>
            </w:hyperlink>
            <w:r>
              <w:rPr>
                <w:rFonts w:ascii="Verdana" w:hAnsi="Verdana"/>
                <w:color w:val="323232"/>
                <w:sz w:val="20"/>
                <w:szCs w:val="20"/>
              </w:rPr>
              <w:t xml:space="preserve"> are available online at </w:t>
            </w:r>
            <w:hyperlink r:id="rId9" w:tgtFrame="_blank" w:history="1">
              <w:r>
                <w:rPr>
                  <w:rStyle w:val="Hyperlink"/>
                  <w:rFonts w:ascii="Verdana" w:hAnsi="Verdana"/>
                  <w:b/>
                  <w:bCs/>
                  <w:sz w:val="20"/>
                  <w:szCs w:val="20"/>
                </w:rPr>
                <w:t>www.goHPCC.org</w:t>
              </w:r>
            </w:hyperlink>
            <w:r>
              <w:rPr>
                <w:rFonts w:ascii="Verdana" w:hAnsi="Verdana"/>
                <w:color w:val="323232"/>
                <w:sz w:val="20"/>
                <w:szCs w:val="20"/>
              </w:rPr>
              <w:t xml:space="preserve"> and contain information about each exam such as how to apply, fees, schedules, detailed test content outline of the information covered on the exam, suggested references for study, and much more!</w:t>
            </w:r>
          </w:p>
          <w:p w:rsidR="005532AD" w:rsidRDefault="005532AD">
            <w:pPr>
              <w:rPr>
                <w:rFonts w:ascii="Verdana" w:hAnsi="Verdana"/>
                <w:color w:val="323232"/>
                <w:sz w:val="20"/>
                <w:szCs w:val="20"/>
              </w:rPr>
            </w:pPr>
            <w:r>
              <w:rPr>
                <w:rFonts w:ascii="Verdana" w:hAnsi="Verdana"/>
                <w:color w:val="323232"/>
                <w:sz w:val="20"/>
                <w:szCs w:val="20"/>
              </w:rPr>
              <w:t> </w:t>
            </w:r>
          </w:p>
          <w:p w:rsidR="005532AD" w:rsidRDefault="005532AD">
            <w:pPr>
              <w:rPr>
                <w:rFonts w:ascii="Verdana" w:hAnsi="Verdana"/>
                <w:color w:val="323232"/>
                <w:sz w:val="20"/>
                <w:szCs w:val="20"/>
              </w:rPr>
            </w:pPr>
            <w:r>
              <w:rPr>
                <w:rFonts w:ascii="Verdana" w:hAnsi="Verdana"/>
                <w:color w:val="323232"/>
                <w:sz w:val="20"/>
                <w:szCs w:val="20"/>
              </w:rPr>
              <w:t xml:space="preserve">Be sure to view the 2017 certification </w:t>
            </w:r>
            <w:hyperlink r:id="rId10" w:tgtFrame="_blank" w:history="1">
              <w:r>
                <w:rPr>
                  <w:rStyle w:val="Hyperlink"/>
                  <w:rFonts w:ascii="Verdana" w:hAnsi="Verdana"/>
                  <w:b/>
                  <w:bCs/>
                  <w:sz w:val="20"/>
                  <w:szCs w:val="20"/>
                </w:rPr>
                <w:t>application fee schedule</w:t>
              </w:r>
            </w:hyperlink>
            <w:r>
              <w:rPr>
                <w:rFonts w:ascii="Verdana" w:hAnsi="Verdana"/>
                <w:color w:val="323232"/>
                <w:sz w:val="20"/>
                <w:szCs w:val="20"/>
              </w:rPr>
              <w:t xml:space="preserve">. HPNA members continue to receive substantial exam discounts as a membership benefit! Keep your HPNA membership current to receive this as well as many other benefits. If interested, visit </w:t>
            </w:r>
            <w:hyperlink r:id="rId11" w:tgtFrame="_blank" w:history="1">
              <w:r>
                <w:rPr>
                  <w:rStyle w:val="Hyperlink"/>
                  <w:rFonts w:ascii="Verdana" w:hAnsi="Verdana"/>
                  <w:b/>
                  <w:bCs/>
                  <w:sz w:val="20"/>
                  <w:szCs w:val="20"/>
                </w:rPr>
                <w:t>advancingexpertcare.org/membership</w:t>
              </w:r>
            </w:hyperlink>
            <w:r>
              <w:rPr>
                <w:rFonts w:ascii="Verdana" w:hAnsi="Verdana"/>
                <w:color w:val="323232"/>
                <w:sz w:val="20"/>
                <w:szCs w:val="20"/>
              </w:rPr>
              <w:t>.</w:t>
            </w:r>
          </w:p>
        </w:tc>
      </w:tr>
    </w:tbl>
    <w:p w:rsidR="005532AD" w:rsidRDefault="005532AD" w:rsidP="005532AD">
      <w:pPr>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960"/>
      </w:tblGrid>
      <w:tr w:rsidR="005532AD" w:rsidTr="005532AD">
        <w:trPr>
          <w:trHeight w:val="15"/>
          <w:tblCellSpacing w:w="0" w:type="dxa"/>
          <w:jc w:val="center"/>
        </w:trPr>
        <w:tc>
          <w:tcPr>
            <w:tcW w:w="5000" w:type="pct"/>
            <w:tcMar>
              <w:top w:w="225" w:type="dxa"/>
              <w:left w:w="300" w:type="dxa"/>
              <w:bottom w:w="225" w:type="dxa"/>
              <w:right w:w="3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5532AD">
              <w:trPr>
                <w:trHeight w:val="15"/>
                <w:tblCellSpacing w:w="0" w:type="dxa"/>
                <w:jc w:val="center"/>
              </w:trPr>
              <w:tc>
                <w:tcPr>
                  <w:tcW w:w="0" w:type="auto"/>
                  <w:shd w:val="clear" w:color="auto" w:fill="00629B"/>
                  <w:vAlign w:val="center"/>
                  <w:hideMark/>
                </w:tcPr>
                <w:p w:rsidR="005532AD" w:rsidRDefault="005532AD">
                  <w:pPr>
                    <w:spacing w:line="15" w:lineRule="atLeast"/>
                    <w:jc w:val="center"/>
                    <w:rPr>
                      <w:sz w:val="24"/>
                      <w:szCs w:val="24"/>
                    </w:rPr>
                  </w:pPr>
                  <w:r>
                    <w:rPr>
                      <w:noProof/>
                    </w:rPr>
                    <w:drawing>
                      <wp:inline distT="0" distB="0" distL="0" distR="0">
                        <wp:extent cx="47625" cy="9525"/>
                        <wp:effectExtent l="0" t="0" r="0" b="0"/>
                        <wp:docPr id="2" name="Picture 2"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ssl.constantcontact.com/letters/images/sys/S.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rsidR="005532AD" w:rsidRDefault="005532AD">
            <w:pPr>
              <w:jc w:val="center"/>
              <w:rPr>
                <w:sz w:val="20"/>
                <w:szCs w:val="20"/>
              </w:rPr>
            </w:pPr>
          </w:p>
        </w:tc>
      </w:tr>
    </w:tbl>
    <w:p w:rsidR="005532AD" w:rsidRDefault="005532AD" w:rsidP="005532AD">
      <w:pPr>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960"/>
      </w:tblGrid>
      <w:tr w:rsidR="005532AD" w:rsidTr="005532AD">
        <w:trPr>
          <w:tblCellSpacing w:w="0" w:type="dxa"/>
          <w:jc w:val="center"/>
        </w:trPr>
        <w:tc>
          <w:tcPr>
            <w:tcW w:w="0" w:type="auto"/>
            <w:tcMar>
              <w:top w:w="120" w:type="dxa"/>
              <w:left w:w="300" w:type="dxa"/>
              <w:bottom w:w="135" w:type="dxa"/>
              <w:right w:w="300" w:type="dxa"/>
            </w:tcMar>
            <w:hideMark/>
          </w:tcPr>
          <w:p w:rsidR="005532AD" w:rsidRDefault="005532AD">
            <w:pPr>
              <w:jc w:val="center"/>
              <w:rPr>
                <w:rFonts w:ascii="Georgia" w:hAnsi="Georgia"/>
                <w:b/>
                <w:bCs/>
                <w:color w:val="323232"/>
                <w:sz w:val="28"/>
                <w:szCs w:val="28"/>
              </w:rPr>
            </w:pPr>
            <w:r>
              <w:rPr>
                <w:rFonts w:ascii="Georgia" w:hAnsi="Georgia"/>
                <w:b/>
                <w:bCs/>
                <w:color w:val="00629B"/>
                <w:sz w:val="32"/>
                <w:szCs w:val="32"/>
              </w:rPr>
              <w:t>Results of the June 2017 Certification Exams</w:t>
            </w:r>
          </w:p>
          <w:p w:rsidR="005532AD" w:rsidRDefault="005532AD">
            <w:pPr>
              <w:rPr>
                <w:rFonts w:ascii="Georgia" w:hAnsi="Georgia"/>
                <w:color w:val="323232"/>
                <w:sz w:val="28"/>
                <w:szCs w:val="28"/>
              </w:rPr>
            </w:pPr>
            <w:r>
              <w:rPr>
                <w:rFonts w:ascii="Verdana" w:hAnsi="Verdana"/>
                <w:color w:val="323232"/>
              </w:rPr>
              <w:t>  </w:t>
            </w:r>
          </w:p>
          <w:p w:rsidR="005532AD" w:rsidRDefault="005532AD">
            <w:pPr>
              <w:rPr>
                <w:rFonts w:ascii="Verdana" w:hAnsi="Verdana"/>
                <w:color w:val="323232"/>
                <w:sz w:val="20"/>
                <w:szCs w:val="20"/>
              </w:rPr>
            </w:pPr>
            <w:r>
              <w:rPr>
                <w:rFonts w:ascii="Verdana" w:hAnsi="Verdana"/>
                <w:color w:val="323232"/>
                <w:sz w:val="20"/>
                <w:szCs w:val="20"/>
              </w:rPr>
              <w:t xml:space="preserve">Successful candidates for certification and recertification from the June 2017 testing window include </w:t>
            </w:r>
            <w:r>
              <w:rPr>
                <w:rStyle w:val="Strong"/>
                <w:rFonts w:ascii="Verdana" w:hAnsi="Verdana"/>
                <w:color w:val="323232"/>
                <w:sz w:val="20"/>
                <w:szCs w:val="20"/>
              </w:rPr>
              <w:t xml:space="preserve">647 additional </w:t>
            </w:r>
            <w:proofErr w:type="spellStart"/>
            <w:r>
              <w:rPr>
                <w:rStyle w:val="Strong"/>
                <w:rFonts w:ascii="Verdana" w:hAnsi="Verdana"/>
                <w:color w:val="323232"/>
                <w:sz w:val="20"/>
                <w:szCs w:val="20"/>
              </w:rPr>
              <w:t>certificants</w:t>
            </w:r>
            <w:proofErr w:type="spellEnd"/>
            <w:r>
              <w:rPr>
                <w:rFonts w:ascii="Verdana" w:hAnsi="Verdana"/>
                <w:color w:val="323232"/>
                <w:sz w:val="20"/>
                <w:szCs w:val="20"/>
              </w:rPr>
              <w:t>. </w:t>
            </w:r>
          </w:p>
          <w:p w:rsidR="005532AD" w:rsidRDefault="005532AD">
            <w:pPr>
              <w:pStyle w:val="NormalWeb"/>
              <w:spacing w:before="0" w:beforeAutospacing="0" w:after="0" w:afterAutospacing="0"/>
              <w:ind w:left="450"/>
              <w:rPr>
                <w:rFonts w:ascii="Verdana" w:hAnsi="Verdana"/>
                <w:color w:val="323232"/>
                <w:sz w:val="20"/>
                <w:szCs w:val="20"/>
              </w:rPr>
            </w:pPr>
            <w:r>
              <w:rPr>
                <w:rFonts w:ascii="Verdana" w:hAnsi="Verdana"/>
                <w:color w:val="323232"/>
                <w:sz w:val="20"/>
                <w:szCs w:val="20"/>
              </w:rPr>
              <w:t> </w:t>
            </w:r>
          </w:p>
          <w:p w:rsidR="005532AD" w:rsidRDefault="005532AD">
            <w:pPr>
              <w:pStyle w:val="NormalWeb"/>
              <w:spacing w:before="0" w:beforeAutospacing="0" w:after="0" w:afterAutospacing="0"/>
              <w:ind w:left="900"/>
              <w:rPr>
                <w:rFonts w:ascii="Verdana" w:hAnsi="Verdana"/>
                <w:color w:val="323232"/>
                <w:sz w:val="20"/>
                <w:szCs w:val="20"/>
              </w:rPr>
            </w:pPr>
            <w:r>
              <w:rPr>
                <w:rFonts w:ascii="Verdana" w:hAnsi="Verdana"/>
                <w:color w:val="323232"/>
                <w:sz w:val="20"/>
                <w:szCs w:val="20"/>
              </w:rPr>
              <w:t>70    Advanced Certified Hospice and Palliative Nurses (ACHPN)</w:t>
            </w:r>
          </w:p>
          <w:p w:rsidR="005532AD" w:rsidRDefault="005532AD">
            <w:pPr>
              <w:pStyle w:val="NormalWeb"/>
              <w:spacing w:before="0" w:beforeAutospacing="0" w:after="0" w:afterAutospacing="0"/>
              <w:ind w:left="900"/>
              <w:rPr>
                <w:rFonts w:ascii="Verdana" w:hAnsi="Verdana"/>
                <w:color w:val="323232"/>
                <w:sz w:val="20"/>
                <w:szCs w:val="20"/>
              </w:rPr>
            </w:pPr>
            <w:r>
              <w:rPr>
                <w:rFonts w:ascii="Verdana" w:hAnsi="Verdana"/>
                <w:color w:val="323232"/>
                <w:sz w:val="20"/>
                <w:szCs w:val="20"/>
              </w:rPr>
              <w:t>330  Certified Hospice and Palliative Nurses (CHPN)</w:t>
            </w:r>
          </w:p>
          <w:p w:rsidR="005532AD" w:rsidRDefault="005532AD">
            <w:pPr>
              <w:pStyle w:val="NormalWeb"/>
              <w:spacing w:before="0" w:beforeAutospacing="0" w:after="0" w:afterAutospacing="0"/>
              <w:ind w:left="900"/>
              <w:rPr>
                <w:rFonts w:ascii="Verdana" w:hAnsi="Verdana"/>
                <w:color w:val="323232"/>
                <w:sz w:val="20"/>
                <w:szCs w:val="20"/>
              </w:rPr>
            </w:pPr>
            <w:r>
              <w:rPr>
                <w:rFonts w:ascii="Verdana" w:hAnsi="Verdana"/>
                <w:color w:val="323232"/>
                <w:sz w:val="20"/>
                <w:szCs w:val="20"/>
              </w:rPr>
              <w:t>10    Certified Hospice and Palliative Pediatric Nurses (CHPPN)</w:t>
            </w:r>
          </w:p>
          <w:p w:rsidR="005532AD" w:rsidRDefault="005532AD">
            <w:pPr>
              <w:pStyle w:val="NormalWeb"/>
              <w:spacing w:before="0" w:beforeAutospacing="0" w:after="0" w:afterAutospacing="0"/>
              <w:ind w:left="900"/>
              <w:rPr>
                <w:rFonts w:ascii="Verdana" w:hAnsi="Verdana"/>
                <w:color w:val="323232"/>
                <w:sz w:val="20"/>
                <w:szCs w:val="20"/>
              </w:rPr>
            </w:pPr>
            <w:r>
              <w:rPr>
                <w:rFonts w:ascii="Verdana" w:hAnsi="Verdana"/>
                <w:color w:val="323232"/>
                <w:sz w:val="20"/>
                <w:szCs w:val="20"/>
              </w:rPr>
              <w:t>58    Certified Hospice and Palliative Licensed Nurse (CHPLN)</w:t>
            </w:r>
          </w:p>
          <w:p w:rsidR="005532AD" w:rsidRDefault="005532AD">
            <w:pPr>
              <w:pStyle w:val="NormalWeb"/>
              <w:spacing w:before="0" w:beforeAutospacing="0" w:after="0" w:afterAutospacing="0"/>
              <w:ind w:left="900"/>
              <w:rPr>
                <w:rFonts w:ascii="Verdana" w:hAnsi="Verdana"/>
                <w:color w:val="323232"/>
                <w:sz w:val="20"/>
                <w:szCs w:val="20"/>
              </w:rPr>
            </w:pPr>
            <w:r>
              <w:rPr>
                <w:rFonts w:ascii="Verdana" w:hAnsi="Verdana"/>
                <w:color w:val="323232"/>
                <w:sz w:val="20"/>
                <w:szCs w:val="20"/>
              </w:rPr>
              <w:t>150  Certified Hospice and Palliative Nursing Assistants (CHPNA)</w:t>
            </w:r>
          </w:p>
          <w:p w:rsidR="005532AD" w:rsidRDefault="005532AD">
            <w:pPr>
              <w:pStyle w:val="NormalWeb"/>
              <w:spacing w:before="0" w:beforeAutospacing="0" w:after="0" w:afterAutospacing="0"/>
              <w:ind w:left="900"/>
              <w:rPr>
                <w:rFonts w:ascii="Verdana" w:hAnsi="Verdana"/>
                <w:color w:val="323232"/>
                <w:sz w:val="20"/>
                <w:szCs w:val="20"/>
              </w:rPr>
            </w:pPr>
            <w:r>
              <w:rPr>
                <w:rFonts w:ascii="Verdana" w:hAnsi="Verdana"/>
                <w:color w:val="323232"/>
                <w:sz w:val="20"/>
                <w:szCs w:val="20"/>
              </w:rPr>
              <w:t>17    Certified Hospice and Palliative Care Administrator (CHPCA)</w:t>
            </w:r>
          </w:p>
          <w:p w:rsidR="005532AD" w:rsidRDefault="005532AD">
            <w:pPr>
              <w:pStyle w:val="NormalWeb"/>
              <w:spacing w:before="0" w:beforeAutospacing="0" w:after="0" w:afterAutospacing="0"/>
              <w:ind w:left="900"/>
              <w:rPr>
                <w:rFonts w:ascii="Verdana" w:hAnsi="Verdana"/>
                <w:color w:val="323232"/>
                <w:sz w:val="20"/>
                <w:szCs w:val="20"/>
              </w:rPr>
            </w:pPr>
            <w:r>
              <w:rPr>
                <w:rFonts w:ascii="Verdana" w:hAnsi="Verdana"/>
                <w:color w:val="323232"/>
                <w:sz w:val="20"/>
                <w:szCs w:val="20"/>
              </w:rPr>
              <w:t>12    Certified in Perinatal Loss Care (CPLC) </w:t>
            </w:r>
          </w:p>
          <w:p w:rsidR="005532AD" w:rsidRDefault="005532AD">
            <w:pPr>
              <w:pStyle w:val="NormalWeb"/>
              <w:spacing w:before="0" w:beforeAutospacing="0" w:after="0" w:afterAutospacing="0"/>
              <w:rPr>
                <w:rFonts w:ascii="Verdana" w:hAnsi="Verdana"/>
                <w:color w:val="323232"/>
                <w:sz w:val="20"/>
                <w:szCs w:val="20"/>
              </w:rPr>
            </w:pPr>
            <w:r>
              <w:rPr>
                <w:rFonts w:ascii="Verdana" w:hAnsi="Verdana"/>
                <w:color w:val="323232"/>
                <w:sz w:val="20"/>
                <w:szCs w:val="20"/>
              </w:rPr>
              <w:br/>
              <w:t>As of July 1, 2017, HPCC certifies over 18,000 individuals! For more details on all seven of our certifications, visit the link below.</w:t>
            </w:r>
          </w:p>
          <w:p w:rsidR="005532AD" w:rsidRDefault="005532AD">
            <w:pPr>
              <w:pStyle w:val="NormalWeb"/>
              <w:spacing w:before="0" w:beforeAutospacing="0" w:after="0" w:afterAutospacing="0"/>
              <w:rPr>
                <w:rFonts w:ascii="Verdana" w:hAnsi="Verdana"/>
                <w:color w:val="323232"/>
                <w:sz w:val="20"/>
                <w:szCs w:val="20"/>
              </w:rPr>
            </w:pPr>
            <w:r>
              <w:rPr>
                <w:rFonts w:ascii="Verdana" w:hAnsi="Verdana"/>
                <w:color w:val="323232"/>
                <w:sz w:val="20"/>
                <w:szCs w:val="20"/>
              </w:rPr>
              <w:t> </w:t>
            </w:r>
          </w:p>
          <w:p w:rsidR="005532AD" w:rsidRDefault="005532AD">
            <w:pPr>
              <w:jc w:val="center"/>
              <w:rPr>
                <w:rFonts w:ascii="Verdana" w:hAnsi="Verdana"/>
                <w:color w:val="323232"/>
                <w:sz w:val="20"/>
                <w:szCs w:val="20"/>
              </w:rPr>
            </w:pPr>
            <w:hyperlink r:id="rId13" w:tgtFrame="_blank" w:history="1">
              <w:r>
                <w:rPr>
                  <w:rStyle w:val="Hyperlink"/>
                  <w:rFonts w:ascii="Verdana" w:hAnsi="Verdana"/>
                  <w:b/>
                  <w:bCs/>
                  <w:sz w:val="20"/>
                  <w:szCs w:val="20"/>
                </w:rPr>
                <w:t>advancingexpertcare.org/certifications-handbooks-applications</w:t>
              </w:r>
            </w:hyperlink>
            <w:r>
              <w:rPr>
                <w:rFonts w:ascii="Verdana" w:hAnsi="Verdana"/>
                <w:color w:val="323232"/>
                <w:sz w:val="20"/>
                <w:szCs w:val="20"/>
              </w:rPr>
              <w:t> </w:t>
            </w:r>
          </w:p>
          <w:p w:rsidR="005532AD" w:rsidRDefault="005532AD">
            <w:pPr>
              <w:jc w:val="center"/>
              <w:rPr>
                <w:rFonts w:ascii="Verdana" w:hAnsi="Verdana"/>
                <w:color w:val="323232"/>
                <w:sz w:val="20"/>
                <w:szCs w:val="20"/>
              </w:rPr>
            </w:pPr>
          </w:p>
        </w:tc>
      </w:tr>
    </w:tbl>
    <w:p w:rsidR="005532AD" w:rsidRDefault="005532AD" w:rsidP="005532AD">
      <w:pPr>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960"/>
      </w:tblGrid>
      <w:tr w:rsidR="005532AD" w:rsidTr="005532AD">
        <w:trPr>
          <w:trHeight w:val="15"/>
          <w:tblCellSpacing w:w="0" w:type="dxa"/>
          <w:jc w:val="center"/>
        </w:trPr>
        <w:tc>
          <w:tcPr>
            <w:tcW w:w="5000" w:type="pct"/>
            <w:tcMar>
              <w:top w:w="225" w:type="dxa"/>
              <w:left w:w="300" w:type="dxa"/>
              <w:bottom w:w="225" w:type="dxa"/>
              <w:right w:w="3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5532AD">
              <w:trPr>
                <w:trHeight w:val="15"/>
                <w:tblCellSpacing w:w="0" w:type="dxa"/>
                <w:jc w:val="center"/>
              </w:trPr>
              <w:tc>
                <w:tcPr>
                  <w:tcW w:w="0" w:type="auto"/>
                  <w:shd w:val="clear" w:color="auto" w:fill="00629B"/>
                  <w:vAlign w:val="center"/>
                  <w:hideMark/>
                </w:tcPr>
                <w:p w:rsidR="005532AD" w:rsidRDefault="005532AD">
                  <w:pPr>
                    <w:spacing w:line="15" w:lineRule="atLeast"/>
                    <w:jc w:val="center"/>
                    <w:rPr>
                      <w:sz w:val="24"/>
                      <w:szCs w:val="24"/>
                    </w:rPr>
                  </w:pPr>
                  <w:r>
                    <w:rPr>
                      <w:noProof/>
                    </w:rPr>
                    <w:lastRenderedPageBreak/>
                    <w:drawing>
                      <wp:inline distT="0" distB="0" distL="0" distR="0">
                        <wp:extent cx="47625" cy="9525"/>
                        <wp:effectExtent l="0" t="0" r="0" b="0"/>
                        <wp:docPr id="1" name="Picture 1"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ssl.constantcontact.com/letters/images/sys/S.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rsidR="005532AD" w:rsidRDefault="005532AD">
            <w:pPr>
              <w:jc w:val="center"/>
              <w:rPr>
                <w:sz w:val="20"/>
                <w:szCs w:val="20"/>
              </w:rPr>
            </w:pPr>
          </w:p>
        </w:tc>
      </w:tr>
    </w:tbl>
    <w:p w:rsidR="005532AD" w:rsidRDefault="005532AD" w:rsidP="005532AD">
      <w:pPr>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960"/>
      </w:tblGrid>
      <w:tr w:rsidR="005532AD" w:rsidTr="005532AD">
        <w:trPr>
          <w:tblCellSpacing w:w="0" w:type="dxa"/>
          <w:jc w:val="center"/>
        </w:trPr>
        <w:tc>
          <w:tcPr>
            <w:tcW w:w="0" w:type="auto"/>
            <w:tcMar>
              <w:top w:w="120" w:type="dxa"/>
              <w:left w:w="300" w:type="dxa"/>
              <w:bottom w:w="135" w:type="dxa"/>
              <w:right w:w="300" w:type="dxa"/>
            </w:tcMar>
          </w:tcPr>
          <w:p w:rsidR="005532AD" w:rsidRDefault="005532AD">
            <w:pPr>
              <w:jc w:val="center"/>
              <w:rPr>
                <w:rFonts w:ascii="Georgia" w:hAnsi="Georgia"/>
                <w:b/>
                <w:bCs/>
                <w:color w:val="323232"/>
                <w:sz w:val="28"/>
                <w:szCs w:val="28"/>
              </w:rPr>
            </w:pPr>
            <w:r>
              <w:rPr>
                <w:rFonts w:ascii="Georgia" w:hAnsi="Georgia"/>
                <w:b/>
                <w:bCs/>
                <w:color w:val="00629B"/>
                <w:sz w:val="32"/>
                <w:szCs w:val="32"/>
              </w:rPr>
              <w:t>December 2017 Testing Window is the Final Opportunity for CHPLN and CHPCA Exams</w:t>
            </w:r>
            <w:r>
              <w:rPr>
                <w:rFonts w:ascii="Verdana" w:hAnsi="Verdana"/>
                <w:b/>
                <w:bCs/>
                <w:color w:val="323232"/>
              </w:rPr>
              <w:t>  </w:t>
            </w:r>
          </w:p>
          <w:p w:rsidR="005532AD" w:rsidRDefault="005532AD">
            <w:pPr>
              <w:rPr>
                <w:rFonts w:ascii="Verdana" w:hAnsi="Verdana"/>
                <w:color w:val="323232"/>
                <w:sz w:val="20"/>
                <w:szCs w:val="20"/>
              </w:rPr>
            </w:pPr>
          </w:p>
          <w:p w:rsidR="005532AD" w:rsidRDefault="005532AD">
            <w:pPr>
              <w:rPr>
                <w:rFonts w:ascii="Verdana" w:hAnsi="Verdana"/>
                <w:color w:val="323232"/>
                <w:sz w:val="20"/>
                <w:szCs w:val="20"/>
              </w:rPr>
            </w:pPr>
            <w:r>
              <w:rPr>
                <w:rFonts w:ascii="Verdana" w:hAnsi="Verdana"/>
                <w:color w:val="323232"/>
                <w:sz w:val="20"/>
                <w:szCs w:val="20"/>
              </w:rPr>
              <w:t>This December's testing window is the last opportunity to take the Certified Hospice and Palliative Care Administrator (CHPCA) or Certified Hospice and Palliative Licensed Nurse (CHPLN) examinations as a new credential. Beginning on January 1, 2018, the Hospice and Palliative Credentialing Center will no longer offer these exams.  </w:t>
            </w:r>
          </w:p>
          <w:p w:rsidR="005532AD" w:rsidRDefault="005532AD">
            <w:pPr>
              <w:rPr>
                <w:rFonts w:ascii="Verdana" w:hAnsi="Verdana"/>
                <w:color w:val="323232"/>
                <w:sz w:val="20"/>
                <w:szCs w:val="20"/>
              </w:rPr>
            </w:pPr>
          </w:p>
          <w:p w:rsidR="005532AD" w:rsidRDefault="005532AD">
            <w:pPr>
              <w:rPr>
                <w:rFonts w:ascii="Verdana" w:hAnsi="Verdana"/>
                <w:color w:val="323232"/>
                <w:sz w:val="20"/>
                <w:szCs w:val="20"/>
              </w:rPr>
            </w:pPr>
            <w:r>
              <w:rPr>
                <w:rFonts w:ascii="Verdana" w:hAnsi="Verdana"/>
                <w:color w:val="323232"/>
                <w:sz w:val="20"/>
                <w:szCs w:val="20"/>
              </w:rPr>
              <w:t xml:space="preserve">However, HPCC will continue to offer a recertification process for individuals who have obtained and maintained these two credentials. Detailed information on the Hospice and Palliative Accrual for Recertification Process (HPAR) is available under </w:t>
            </w:r>
            <w:r>
              <w:rPr>
                <w:rStyle w:val="Strong"/>
                <w:rFonts w:ascii="Verdana" w:hAnsi="Verdana"/>
                <w:color w:val="323232"/>
                <w:sz w:val="20"/>
                <w:szCs w:val="20"/>
              </w:rPr>
              <w:t>Recertification</w:t>
            </w:r>
            <w:r>
              <w:rPr>
                <w:rFonts w:ascii="Verdana" w:hAnsi="Verdana"/>
                <w:color w:val="323232"/>
                <w:sz w:val="20"/>
                <w:szCs w:val="20"/>
              </w:rPr>
              <w:t xml:space="preserve"> under either </w:t>
            </w:r>
            <w:hyperlink r:id="rId14" w:tgtFrame="_blank" w:history="1">
              <w:r>
                <w:rPr>
                  <w:rStyle w:val="Hyperlink"/>
                  <w:rFonts w:ascii="Verdana" w:hAnsi="Verdana"/>
                  <w:b/>
                  <w:bCs/>
                  <w:sz w:val="20"/>
                  <w:szCs w:val="20"/>
                </w:rPr>
                <w:t>advancingexpertcare.org/chpca</w:t>
              </w:r>
            </w:hyperlink>
            <w:r>
              <w:rPr>
                <w:rFonts w:ascii="Verdana" w:hAnsi="Verdana"/>
                <w:color w:val="323232"/>
                <w:sz w:val="20"/>
                <w:szCs w:val="20"/>
              </w:rPr>
              <w:t xml:space="preserve"> or </w:t>
            </w:r>
            <w:hyperlink r:id="rId15" w:tgtFrame="_blank" w:history="1">
              <w:r>
                <w:rPr>
                  <w:rStyle w:val="Hyperlink"/>
                  <w:rFonts w:ascii="Verdana" w:hAnsi="Verdana"/>
                  <w:b/>
                  <w:bCs/>
                  <w:sz w:val="20"/>
                  <w:szCs w:val="20"/>
                </w:rPr>
                <w:t>advancingexpertcare.org/chpln</w:t>
              </w:r>
            </w:hyperlink>
            <w:r>
              <w:rPr>
                <w:rFonts w:ascii="Verdana" w:hAnsi="Verdana"/>
                <w:color w:val="323232"/>
                <w:sz w:val="20"/>
                <w:szCs w:val="20"/>
              </w:rPr>
              <w:t xml:space="preserve">, or you may contact the HPCC staff for additional assistance at 412-787-1057 or </w:t>
            </w:r>
            <w:hyperlink r:id="rId16" w:tgtFrame="_blank" w:history="1">
              <w:r>
                <w:rPr>
                  <w:rStyle w:val="Hyperlink"/>
                  <w:rFonts w:ascii="Verdana" w:hAnsi="Verdana"/>
                  <w:b/>
                  <w:bCs/>
                  <w:sz w:val="20"/>
                  <w:szCs w:val="20"/>
                </w:rPr>
                <w:t>hpcc@gohpcc.org</w:t>
              </w:r>
            </w:hyperlink>
            <w:r>
              <w:rPr>
                <w:rFonts w:ascii="Verdana" w:hAnsi="Verdana"/>
                <w:color w:val="323232"/>
                <w:sz w:val="20"/>
                <w:szCs w:val="20"/>
              </w:rPr>
              <w:t>. </w:t>
            </w:r>
          </w:p>
        </w:tc>
      </w:tr>
    </w:tbl>
    <w:p w:rsidR="005532AD" w:rsidRDefault="005532AD" w:rsidP="005532AD"/>
    <w:sectPr w:rsidR="00553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F06C7"/>
    <w:multiLevelType w:val="multilevel"/>
    <w:tmpl w:val="5F64F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69A23066"/>
    <w:multiLevelType w:val="multilevel"/>
    <w:tmpl w:val="C7D48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6C46761A"/>
    <w:multiLevelType w:val="multilevel"/>
    <w:tmpl w:val="05EA5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2AD"/>
    <w:rsid w:val="000E17C0"/>
    <w:rsid w:val="005532AD"/>
    <w:rsid w:val="008A1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32AD"/>
    <w:rPr>
      <w:color w:val="0000FF"/>
      <w:u w:val="single"/>
    </w:rPr>
  </w:style>
  <w:style w:type="character" w:styleId="Emphasis">
    <w:name w:val="Emphasis"/>
    <w:basedOn w:val="DefaultParagraphFont"/>
    <w:uiPriority w:val="20"/>
    <w:qFormat/>
    <w:rsid w:val="005532AD"/>
    <w:rPr>
      <w:i/>
      <w:iCs/>
    </w:rPr>
  </w:style>
  <w:style w:type="paragraph" w:styleId="NormalWeb">
    <w:name w:val="Normal (Web)"/>
    <w:basedOn w:val="Normal"/>
    <w:uiPriority w:val="99"/>
    <w:semiHidden/>
    <w:unhideWhenUsed/>
    <w:rsid w:val="005532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32AD"/>
    <w:rPr>
      <w:b/>
      <w:bCs/>
    </w:rPr>
  </w:style>
  <w:style w:type="paragraph" w:styleId="BalloonText">
    <w:name w:val="Balloon Text"/>
    <w:basedOn w:val="Normal"/>
    <w:link w:val="BalloonTextChar"/>
    <w:uiPriority w:val="99"/>
    <w:semiHidden/>
    <w:unhideWhenUsed/>
    <w:rsid w:val="005532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2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32AD"/>
    <w:rPr>
      <w:color w:val="0000FF"/>
      <w:u w:val="single"/>
    </w:rPr>
  </w:style>
  <w:style w:type="character" w:styleId="Emphasis">
    <w:name w:val="Emphasis"/>
    <w:basedOn w:val="DefaultParagraphFont"/>
    <w:uiPriority w:val="20"/>
    <w:qFormat/>
    <w:rsid w:val="005532AD"/>
    <w:rPr>
      <w:i/>
      <w:iCs/>
    </w:rPr>
  </w:style>
  <w:style w:type="paragraph" w:styleId="NormalWeb">
    <w:name w:val="Normal (Web)"/>
    <w:basedOn w:val="Normal"/>
    <w:uiPriority w:val="99"/>
    <w:semiHidden/>
    <w:unhideWhenUsed/>
    <w:rsid w:val="005532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32AD"/>
    <w:rPr>
      <w:b/>
      <w:bCs/>
    </w:rPr>
  </w:style>
  <w:style w:type="paragraph" w:styleId="BalloonText">
    <w:name w:val="Balloon Text"/>
    <w:basedOn w:val="Normal"/>
    <w:link w:val="BalloonTextChar"/>
    <w:uiPriority w:val="99"/>
    <w:semiHidden/>
    <w:unhideWhenUsed/>
    <w:rsid w:val="005532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2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734212">
      <w:bodyDiv w:val="1"/>
      <w:marLeft w:val="0"/>
      <w:marRight w:val="0"/>
      <w:marTop w:val="0"/>
      <w:marBottom w:val="0"/>
      <w:divBdr>
        <w:top w:val="none" w:sz="0" w:space="0" w:color="auto"/>
        <w:left w:val="none" w:sz="0" w:space="0" w:color="auto"/>
        <w:bottom w:val="none" w:sz="0" w:space="0" w:color="auto"/>
        <w:right w:val="none" w:sz="0" w:space="0" w:color="auto"/>
      </w:divBdr>
    </w:div>
    <w:div w:id="442962886">
      <w:bodyDiv w:val="1"/>
      <w:marLeft w:val="0"/>
      <w:marRight w:val="0"/>
      <w:marTop w:val="0"/>
      <w:marBottom w:val="0"/>
      <w:divBdr>
        <w:top w:val="none" w:sz="0" w:space="0" w:color="auto"/>
        <w:left w:val="none" w:sz="0" w:space="0" w:color="auto"/>
        <w:bottom w:val="none" w:sz="0" w:space="0" w:color="auto"/>
        <w:right w:val="none" w:sz="0" w:space="0" w:color="auto"/>
      </w:divBdr>
    </w:div>
    <w:div w:id="85977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20.rs6.net/tn.jsp?f=001OfsooNFHlaw4TEbVg_N9Mlp_We_tSYONCz4UsVgLdCRl1qRlPvKHfvFnQozqjgqpQf6ELK-fDfCPTcvWaK9AuXjxWga7hYgB_xDsV_J7mYTq3-f4jqKh8Rt40WK9j6fcivjwyMZhJtxhLM8Fx1dll9Twq_kk1utJBVO0BXsTznYw6kiaK4qXYnE6xqxH5L82NnTBCJ3WiUB77jjSvF2KWlHBtm7tDG0AIf36CzB-ssA=&amp;c=P3prJO9s65WLyTJRlPB4GlLbLIO_jpXFuknPESKrI_pEm-WIqDopag==&amp;ch=spmmlrpFl8E4kh3iv3o4zWy-rW6s-ksneGN9Pu36_47QvA8h-6UVNg==" TargetMode="External"/><Relationship Id="rId13" Type="http://schemas.openxmlformats.org/officeDocument/2006/relationships/hyperlink" Target="http://r20.rs6.net/tn.jsp?f=001OfsooNFHlaw4TEbVg_N9Mlp_We_tSYONCz4UsVgLdCRl1qRlPvKHfvFnQozqjgqpQf6ELK-fDfCPTcvWaK9AuXjxWga7hYgB_xDsV_J7mYTq3-f4jqKh8Rt40WK9j6fcivjwyMZhJtxhLM8Fx1dll9Twq_kk1utJBVO0BXsTznYw6kiaK4qXYnE6xqxH5L82NnTBCJ3WiUB77jjSvF2KWlHBtm7tDG0AIf36CzB-ssA=&amp;c=P3prJO9s65WLyTJRlPB4GlLbLIO_jpXFuknPESKrI_pEm-WIqDopag==&amp;ch=spmmlrpFl8E4kh3iv3o4zWy-rW6s-ksneGN9Pu36_47QvA8h-6UVN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r20.rs6.net/tn.jsp?f=001OfsooNFHlaw4TEbVg_N9Mlp_We_tSYONCz4UsVgLdCRl1qRlPvKHfj8oQ3Vwqt4tuWZTLFPpcy1PYyJ70ErFPlCFeQyvWfVWO-cIixJcl25x1KiIFZ27XHV0wa0P2ri3Ybx0OJ6npjnnVvi7KzyXAhqbkwEZeUykqxxj5fdzbTLzNJnrEiQly9VZhDvP3FI6XQfBBcqiJpZ7aIDXN3QXtg==&amp;c=P3prJO9s65WLyTJRlPB4GlLbLIO_jpXFuknPESKrI_pEm-WIqDopag==&amp;ch=spmmlrpFl8E4kh3iv3o4zWy-rW6s-ksneGN9Pu36_47QvA8h-6UVNg==" TargetMode="External"/><Relationship Id="rId12" Type="http://schemas.openxmlformats.org/officeDocument/2006/relationships/image" Target="media/image1.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pcc@gohpcc.org" TargetMode="External"/><Relationship Id="rId1" Type="http://schemas.openxmlformats.org/officeDocument/2006/relationships/numbering" Target="numbering.xml"/><Relationship Id="rId6" Type="http://schemas.openxmlformats.org/officeDocument/2006/relationships/hyperlink" Target="http://r20.rs6.net/tn.jsp?f=001OfsooNFHlaw4TEbVg_N9Mlp_We_tSYONCz4UsVgLdCRl1qRlPvKHfvFnQozqjgqpQf6ELK-fDfCPTcvWaK9AuXjxWga7hYgB_xDsV_J7mYTq3-f4jqKh8Rt40WK9j6fcivjwyMZhJtxhLM8Fx1dll9Twq_kk1utJBVO0BXsTznYw6kiaK4qXYnE6xqxH5L82NnTBCJ3WiUB77jjSvF2KWlHBtm7tDG0AIf36CzB-ssA=&amp;c=P3prJO9s65WLyTJRlPB4GlLbLIO_jpXFuknPESKrI_pEm-WIqDopag==&amp;ch=spmmlrpFl8E4kh3iv3o4zWy-rW6s-ksneGN9Pu36_47QvA8h-6UVNg==" TargetMode="External"/><Relationship Id="rId11" Type="http://schemas.openxmlformats.org/officeDocument/2006/relationships/hyperlink" Target="http://r20.rs6.net/tn.jsp?f=001OfsooNFHlaw4TEbVg_N9Mlp_We_tSYONCz4UsVgLdCRl1qRlPvKHfvFnQozqjgqprWIolVubs3xtPXZMdCCvCYE2hdOE9KKiGNXcuKZSgxfJbImr9Iv1jHbbTaJCXrwlpmORox0ayXMqg2ue-pdclSEo4RRyfnyeC5of31kdyes9vQaU0UzutJkNpjS3gn332Dh9f_MGd_s=&amp;c=P3prJO9s65WLyTJRlPB4GlLbLIO_jpXFuknPESKrI_pEm-WIqDopag==&amp;ch=spmmlrpFl8E4kh3iv3o4zWy-rW6s-ksneGN9Pu36_47QvA8h-6UVNg==" TargetMode="External"/><Relationship Id="rId5" Type="http://schemas.openxmlformats.org/officeDocument/2006/relationships/webSettings" Target="webSettings.xml"/><Relationship Id="rId15" Type="http://schemas.openxmlformats.org/officeDocument/2006/relationships/hyperlink" Target="http://r20.rs6.net/tn.jsp?f=001OfsooNFHlaw4TEbVg_N9Mlp_We_tSYONCz4UsVgLdCRl1qRlPvKHfvFnQozqjgqpdMuiolkoiBdzpiQRC31b_U_wyWYpRLFGtvYO9dPx6svX_xkGbhvS1tMhyGP1J1iWj9an3FlkvVBrVVEw7S5t-7vAs_5JTqqQeXzvB63bPk5BkDe0SOwAAOlYcWBdSvAC&amp;c=P3prJO9s65WLyTJRlPB4GlLbLIO_jpXFuknPESKrI_pEm-WIqDopag==&amp;ch=spmmlrpFl8E4kh3iv3o4zWy-rW6s-ksneGN9Pu36_47QvA8h-6UVNg==" TargetMode="External"/><Relationship Id="rId10" Type="http://schemas.openxmlformats.org/officeDocument/2006/relationships/hyperlink" Target="http://r20.rs6.net/tn.jsp?f=001OfsooNFHlaw4TEbVg_N9Mlp_We_tSYONCz4UsVgLdCRl1qRlPvKHfvFnQozqjgqpEm55v65dAJXQxwsZd9BcDaIzHEOVcRWZ0zQRTh87NGwLDVBW5SRV5oZ_fipJAuwrGE8hayEnR-jDLvx4Km8P8ALbSdUWhp7PqREruxGOHPCEawZThL9cUVkEnEqzJntlG9zAmkuTUyI=&amp;c=P3prJO9s65WLyTJRlPB4GlLbLIO_jpXFuknPESKrI_pEm-WIqDopag==&amp;ch=spmmlrpFl8E4kh3iv3o4zWy-rW6s-ksneGN9Pu36_47QvA8h-6UVNg==" TargetMode="External"/><Relationship Id="rId4" Type="http://schemas.openxmlformats.org/officeDocument/2006/relationships/settings" Target="settings.xml"/><Relationship Id="rId9" Type="http://schemas.openxmlformats.org/officeDocument/2006/relationships/hyperlink" Target="http://r20.rs6.net/tn.jsp?f=001OfsooNFHlaw4TEbVg_N9Mlp_We_tSYONCz4UsVgLdCRl1qRlPvKHfngNdjUAJbBHCUIZcmwKzYqnmge4UWtlKs862H5td-ftC0ONXok7NkfMx7nZTUwQVt8PtzgxMsmCfyQ0rxDeNXTqD0E_PXWt8oDvZHLqlwmKypDOkT17iDI=&amp;c=P3prJO9s65WLyTJRlPB4GlLbLIO_jpXFuknPESKrI_pEm-WIqDopag==&amp;ch=spmmlrpFl8E4kh3iv3o4zWy-rW6s-ksneGN9Pu36_47QvA8h-6UVNg==" TargetMode="External"/><Relationship Id="rId14" Type="http://schemas.openxmlformats.org/officeDocument/2006/relationships/hyperlink" Target="http://r20.rs6.net/tn.jsp?f=001OfsooNFHlaw4TEbVg_N9Mlp_We_tSYONCz4UsVgLdCRl1qRlPvKHfvFnQozqjgqplW6HBPWp7O7u8Cq8oK6yfgFQ6Sj1YkOmRj6I2f1mimD2MSMDuHfQsKEeffzA9PWS9eBRSmgvtgq6JoIC4NEC0Lj8-EHK5SjxUByeAO6fDzS6pZfzbFGFUhckyDDSNGhv&amp;c=P3prJO9s65WLyTJRlPB4GlLbLIO_jpXFuknPESKrI_pEm-WIqDopag==&amp;ch=spmmlrpFl8E4kh3iv3o4zWy-rW6s-ksneGN9Pu36_47QvA8h-6UV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 Kristin (HOS)</dc:creator>
  <cp:lastModifiedBy>Reid, Kristin (HOS)</cp:lastModifiedBy>
  <cp:revision>1</cp:revision>
  <dcterms:created xsi:type="dcterms:W3CDTF">2017-09-06T15:17:00Z</dcterms:created>
  <dcterms:modified xsi:type="dcterms:W3CDTF">2017-09-06T15:21:00Z</dcterms:modified>
</cp:coreProperties>
</file>