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AC" w:rsidRDefault="00F933AC" w:rsidP="00F933AC">
      <w:pPr>
        <w:jc w:val="center"/>
        <w:rPr>
          <w:rFonts w:ascii="Arial" w:hAnsi="Arial" w:cs="Arial"/>
          <w:b/>
          <w:sz w:val="24"/>
        </w:rPr>
      </w:pPr>
    </w:p>
    <w:p w:rsidR="00F933AC" w:rsidRDefault="00F933AC" w:rsidP="00F933AC">
      <w:pPr>
        <w:jc w:val="center"/>
        <w:rPr>
          <w:rFonts w:ascii="Arial" w:hAnsi="Arial" w:cs="Arial"/>
          <w:b/>
          <w:sz w:val="24"/>
        </w:rPr>
      </w:pPr>
      <w:r w:rsidRPr="00F933AC">
        <w:rPr>
          <w:rFonts w:ascii="Arial" w:hAnsi="Arial" w:cs="Arial"/>
          <w:b/>
          <w:noProof/>
          <w:sz w:val="24"/>
        </w:rPr>
        <w:drawing>
          <wp:inline distT="0" distB="0" distL="0" distR="0">
            <wp:extent cx="2209800" cy="1104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sidRPr="00F933AC">
        <w:rPr>
          <w:rFonts w:ascii="Arial" w:hAnsi="Arial" w:cs="Arial"/>
          <w:b/>
          <w:noProof/>
          <w:sz w:val="24"/>
        </w:rPr>
        <w:drawing>
          <wp:inline distT="0" distB="0" distL="0" distR="0">
            <wp:extent cx="1047750" cy="1028700"/>
            <wp:effectExtent l="19050" t="0" r="0" b="0"/>
            <wp:docPr id="5" name="Picture 1" descr="static compass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 compass image">
                      <a:hlinkClick r:id="rId6"/>
                    </pic:cNvPr>
                    <pic:cNvPicPr>
                      <a:picLocks noChangeAspect="1" noChangeArrowheads="1"/>
                    </pic:cNvPicPr>
                  </pic:nvPicPr>
                  <pic:blipFill>
                    <a:blip r:embed="rId7" cstate="print"/>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933AC" w:rsidRDefault="00F933AC" w:rsidP="00F933AC">
      <w:pPr>
        <w:jc w:val="center"/>
        <w:rPr>
          <w:rFonts w:ascii="Arial" w:hAnsi="Arial" w:cs="Arial"/>
          <w:b/>
          <w:sz w:val="24"/>
        </w:rPr>
      </w:pPr>
    </w:p>
    <w:p w:rsidR="00F933AC" w:rsidRPr="00C34D94" w:rsidRDefault="00931773" w:rsidP="00931773">
      <w:pPr>
        <w:rPr>
          <w:rFonts w:ascii="Arial" w:hAnsi="Arial" w:cs="Arial"/>
        </w:rPr>
      </w:pPr>
      <w:r>
        <w:rPr>
          <w:rFonts w:ascii="Arial" w:hAnsi="Arial" w:cs="Arial"/>
          <w:b/>
          <w:sz w:val="24"/>
        </w:rPr>
        <w:t xml:space="preserve">                 </w:t>
      </w:r>
      <w:r w:rsidR="00F933AC" w:rsidRPr="00C34D94">
        <w:rPr>
          <w:rFonts w:ascii="Arial" w:hAnsi="Arial" w:cs="Arial"/>
          <w:b/>
          <w:sz w:val="24"/>
        </w:rPr>
        <w:t>DEPARTMENT OF TEACHER EDUCATION AND ADMINISTRATION</w:t>
      </w:r>
    </w:p>
    <w:p w:rsidR="00F933AC" w:rsidRPr="00C34D94" w:rsidRDefault="00F933AC" w:rsidP="00F933AC">
      <w:pPr>
        <w:jc w:val="center"/>
        <w:rPr>
          <w:rFonts w:ascii="Arial" w:hAnsi="Arial" w:cs="Arial"/>
        </w:rPr>
      </w:pPr>
      <w:r w:rsidRPr="00C34D94">
        <w:rPr>
          <w:rFonts w:ascii="Arial" w:hAnsi="Arial" w:cs="Arial"/>
          <w:b/>
          <w:sz w:val="24"/>
        </w:rPr>
        <w:t xml:space="preserve">SYLLABUS </w:t>
      </w:r>
    </w:p>
    <w:p w:rsidR="00F933AC" w:rsidRPr="00C34D94" w:rsidRDefault="00F933AC" w:rsidP="00F933AC">
      <w:pPr>
        <w:jc w:val="center"/>
        <w:rPr>
          <w:rFonts w:ascii="Arial" w:hAnsi="Arial" w:cs="Arial"/>
        </w:rPr>
      </w:pPr>
      <w:r w:rsidRPr="00C34D94">
        <w:rPr>
          <w:rFonts w:ascii="Arial" w:hAnsi="Arial" w:cs="Arial"/>
          <w:b/>
          <w:sz w:val="24"/>
        </w:rPr>
        <w:t>FALL 20</w:t>
      </w:r>
      <w:r>
        <w:rPr>
          <w:rFonts w:ascii="Arial" w:hAnsi="Arial" w:cs="Arial"/>
          <w:b/>
          <w:sz w:val="24"/>
        </w:rPr>
        <w:t>10</w:t>
      </w:r>
      <w:r w:rsidRPr="00C34D94">
        <w:rPr>
          <w:rFonts w:ascii="Arial" w:hAnsi="Arial" w:cs="Arial"/>
          <w:b/>
          <w:sz w:val="24"/>
        </w:rPr>
        <w:t xml:space="preserve"> </w:t>
      </w:r>
    </w:p>
    <w:p w:rsidR="00F933AC" w:rsidRPr="00850743" w:rsidRDefault="00F933AC"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sidR="00E920C5">
        <w:rPr>
          <w:rFonts w:ascii="Arial" w:hAnsi="Arial" w:cs="Arial"/>
        </w:rPr>
        <w:t>EDBE 347</w:t>
      </w:r>
      <w:r w:rsidR="0048768C">
        <w:rPr>
          <w:rFonts w:ascii="Arial" w:hAnsi="Arial" w:cs="Arial"/>
        </w:rPr>
        <w:t>0 Section 00</w:t>
      </w:r>
      <w:r w:rsidR="002621E2">
        <w:rPr>
          <w:rFonts w:ascii="Arial" w:hAnsi="Arial" w:cs="Arial"/>
        </w:rPr>
        <w:t>1</w:t>
      </w:r>
    </w:p>
    <w:p w:rsidR="00F933AC" w:rsidRPr="00850743" w:rsidRDefault="00F933AC" w:rsidP="00F933AC">
      <w:pPr>
        <w:ind w:left="360" w:firstLine="360"/>
        <w:rPr>
          <w:rFonts w:ascii="Arial" w:hAnsi="Arial" w:cs="Arial"/>
        </w:rPr>
      </w:pPr>
      <w:r w:rsidRPr="00850743">
        <w:rPr>
          <w:rFonts w:ascii="Arial" w:hAnsi="Arial" w:cs="Arial"/>
          <w:b/>
        </w:rPr>
        <w:t xml:space="preserve">TITLE:  </w:t>
      </w:r>
      <w:r w:rsidR="00C73573" w:rsidRPr="000307EC">
        <w:rPr>
          <w:rFonts w:ascii="Arial" w:hAnsi="Arial" w:cs="Arial"/>
          <w:bCs/>
          <w:iCs/>
        </w:rPr>
        <w:t>Foundations of Bilingual and English as a Second Language Education</w:t>
      </w:r>
    </w:p>
    <w:p w:rsidR="00F933AC" w:rsidRPr="00850743" w:rsidRDefault="00F933AC" w:rsidP="00F933AC">
      <w:pPr>
        <w:spacing w:after="0" w:line="240" w:lineRule="auto"/>
        <w:rPr>
          <w:rFonts w:ascii="Arial" w:hAnsi="Arial" w:cs="Arial"/>
          <w:b/>
          <w:lang w:val="es-ES"/>
        </w:rPr>
      </w:pPr>
      <w:r w:rsidRPr="00850743">
        <w:rPr>
          <w:rFonts w:ascii="Arial" w:hAnsi="Arial" w:cs="Arial"/>
          <w:b/>
          <w:lang w:val="es-ES"/>
        </w:rPr>
        <w:t>II.</w:t>
      </w:r>
      <w:r w:rsidRPr="00850743">
        <w:rPr>
          <w:rFonts w:ascii="Arial" w:hAnsi="Arial" w:cs="Arial"/>
          <w:b/>
          <w:lang w:val="es-ES"/>
        </w:rPr>
        <w:tab/>
        <w:t>INSTRUCTOR: Yuliya Summers</w:t>
      </w:r>
      <w:r w:rsidRPr="00850743">
        <w:rPr>
          <w:rFonts w:ascii="Arial" w:hAnsi="Arial" w:cs="Arial"/>
          <w:b/>
          <w:lang w:val="es-ES"/>
        </w:rPr>
        <w:tab/>
      </w:r>
      <w:r w:rsidRPr="00850743">
        <w:rPr>
          <w:rFonts w:ascii="Arial" w:hAnsi="Arial" w:cs="Arial"/>
          <w:b/>
          <w:lang w:val="es-ES"/>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OFFICE HOURS:</w:t>
      </w:r>
      <w:r w:rsidRPr="00850743">
        <w:rPr>
          <w:rFonts w:ascii="Arial" w:hAnsi="Arial" w:cs="Arial"/>
          <w:i/>
        </w:rPr>
        <w:t xml:space="preserve">  Monday-Thursday</w:t>
      </w:r>
      <w:r w:rsidR="002C0014">
        <w:rPr>
          <w:rFonts w:ascii="Arial" w:hAnsi="Arial" w:cs="Arial"/>
        </w:rPr>
        <w:t xml:space="preserve"> 9:30-10:30; 12:30-1:00</w:t>
      </w:r>
      <w:r w:rsidR="00032DEC">
        <w:rPr>
          <w:rFonts w:ascii="Arial" w:hAnsi="Arial" w:cs="Arial"/>
        </w:rPr>
        <w:t xml:space="preserve"> </w:t>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933AC" w:rsidRPr="00850743" w:rsidRDefault="00F933AC" w:rsidP="00F933AC">
      <w:pPr>
        <w:spacing w:after="0" w:line="240" w:lineRule="auto"/>
        <w:ind w:left="2880" w:hanging="2174"/>
        <w:rPr>
          <w:rFonts w:ascii="Arial" w:hAnsi="Arial" w:cs="Arial"/>
        </w:rPr>
      </w:pPr>
    </w:p>
    <w:p w:rsidR="00F933AC" w:rsidRPr="00850743" w:rsidRDefault="00F933AC" w:rsidP="00F933AC">
      <w:pPr>
        <w:numPr>
          <w:ilvl w:val="0"/>
          <w:numId w:val="2"/>
        </w:numPr>
        <w:tabs>
          <w:tab w:val="clear" w:pos="1426"/>
          <w:tab w:val="num" w:pos="720"/>
        </w:tabs>
        <w:spacing w:after="0" w:line="240" w:lineRule="auto"/>
        <w:ind w:hanging="1426"/>
        <w:rPr>
          <w:rFonts w:ascii="Arial" w:hAnsi="Arial" w:cs="Arial"/>
        </w:rPr>
      </w:pPr>
      <w:r w:rsidRPr="00850743">
        <w:rPr>
          <w:rFonts w:ascii="Arial" w:hAnsi="Arial" w:cs="Arial"/>
          <w:b/>
        </w:rPr>
        <w:t xml:space="preserve">CLASS MEETINGS:  </w:t>
      </w:r>
      <w:r w:rsidR="002C6198">
        <w:rPr>
          <w:rFonts w:ascii="Arial" w:hAnsi="Arial" w:cs="Arial"/>
        </w:rPr>
        <w:t>Monday &amp; Wednesday</w:t>
      </w:r>
      <w:r w:rsidRPr="00850743">
        <w:rPr>
          <w:rFonts w:ascii="Arial" w:hAnsi="Arial" w:cs="Arial"/>
        </w:rPr>
        <w:t xml:space="preserve">   </w:t>
      </w:r>
      <w:r w:rsidR="005F7E85">
        <w:rPr>
          <w:rFonts w:ascii="Arial" w:hAnsi="Arial" w:cs="Arial"/>
        </w:rPr>
        <w:t>Times: 8:00-9:2</w:t>
      </w:r>
      <w:r w:rsidR="006F49A9">
        <w:rPr>
          <w:rFonts w:ascii="Arial" w:hAnsi="Arial" w:cs="Arial"/>
        </w:rPr>
        <w:t>0</w:t>
      </w:r>
    </w:p>
    <w:p w:rsidR="001C4EAE" w:rsidRDefault="00F933AC" w:rsidP="001C4EAE">
      <w:pPr>
        <w:spacing w:after="0" w:line="240" w:lineRule="auto"/>
        <w:ind w:firstLine="706"/>
        <w:rPr>
          <w:rFonts w:ascii="Arial" w:hAnsi="Arial" w:cs="Arial"/>
        </w:rPr>
      </w:pPr>
      <w:r w:rsidRPr="00850743">
        <w:rPr>
          <w:rFonts w:ascii="Arial" w:hAnsi="Arial" w:cs="Arial"/>
          <w:b/>
        </w:rPr>
        <w:t xml:space="preserve">Location: </w:t>
      </w:r>
      <w:proofErr w:type="spellStart"/>
      <w:r w:rsidR="00F1244C">
        <w:rPr>
          <w:rFonts w:ascii="Arial" w:hAnsi="Arial" w:cs="Arial"/>
        </w:rPr>
        <w:t>Wh</w:t>
      </w:r>
      <w:proofErr w:type="spellEnd"/>
      <w:r w:rsidR="00F1244C">
        <w:rPr>
          <w:rFonts w:ascii="Arial" w:hAnsi="Arial" w:cs="Arial"/>
        </w:rPr>
        <w:t xml:space="preserve"> 210</w:t>
      </w:r>
    </w:p>
    <w:p w:rsidR="001C4EAE" w:rsidRDefault="001C4EAE" w:rsidP="001C4EAE">
      <w:pPr>
        <w:spacing w:after="0" w:line="240" w:lineRule="auto"/>
        <w:ind w:firstLine="706"/>
        <w:rPr>
          <w:rFonts w:ascii="Arial" w:hAnsi="Arial" w:cs="Arial"/>
        </w:rPr>
      </w:pPr>
    </w:p>
    <w:p w:rsidR="00F933AC" w:rsidRPr="001C4EAE" w:rsidRDefault="001C4EAE"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1C4EAE" w:rsidRPr="00AE27E2" w:rsidRDefault="00AE27E2" w:rsidP="00AE27E2">
      <w:pPr>
        <w:spacing w:line="307" w:lineRule="exact"/>
        <w:rPr>
          <w:rFonts w:ascii="Arial" w:hAnsi="Arial" w:cs="Arial"/>
        </w:rPr>
      </w:pPr>
      <w:r>
        <w:rPr>
          <w:rFonts w:ascii="Arial" w:hAnsi="Arial" w:cs="Arial"/>
        </w:rPr>
        <w:t xml:space="preserve">            </w:t>
      </w:r>
      <w:r w:rsidR="001C4EAE" w:rsidRPr="00AE27E2">
        <w:rPr>
          <w:rFonts w:ascii="Arial" w:hAnsi="Arial" w:cs="Arial"/>
        </w:rPr>
        <w:t xml:space="preserve">Baker, C. (2008). Foundations of Bilingual Education and Bilingualism: 4th Edition NY: Multilingual Matters.   </w:t>
      </w:r>
    </w:p>
    <w:p w:rsidR="001C4EAE" w:rsidRPr="00850743" w:rsidRDefault="001C4EAE" w:rsidP="00AE27E2">
      <w:pPr>
        <w:spacing w:after="0" w:line="240" w:lineRule="auto"/>
        <w:rPr>
          <w:rFonts w:ascii="Arial" w:hAnsi="Arial" w:cs="Arial"/>
          <w:b/>
        </w:rPr>
      </w:pPr>
    </w:p>
    <w:p w:rsidR="00F933AC" w:rsidRPr="00850743" w:rsidRDefault="00F933AC"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A3EB5" w:rsidRPr="00FA3EB5" w:rsidRDefault="001C4EAE"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A3EB5" w:rsidRDefault="00FA3EB5" w:rsidP="00FA3EB5">
      <w:pPr>
        <w:ind w:right="342"/>
        <w:rPr>
          <w:b/>
          <w:bCs/>
          <w:sz w:val="24"/>
          <w:szCs w:val="24"/>
        </w:rPr>
      </w:pPr>
    </w:p>
    <w:p w:rsidR="00FA3EB5" w:rsidRPr="00B54799" w:rsidRDefault="00FA3EB5"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FA3EB5" w:rsidRPr="004362A0" w:rsidTr="007A0D6B">
        <w:tc>
          <w:tcPr>
            <w:tcW w:w="4788" w:type="dxa"/>
          </w:tcPr>
          <w:p w:rsidR="00FA3EB5" w:rsidRPr="00FA3EB5" w:rsidRDefault="00FA3EB5" w:rsidP="007A0D6B">
            <w:pPr>
              <w:tabs>
                <w:tab w:val="left" w:pos="360"/>
              </w:tabs>
              <w:ind w:left="360" w:hanging="360"/>
              <w:rPr>
                <w:b/>
                <w:sz w:val="20"/>
                <w:szCs w:val="20"/>
              </w:rPr>
            </w:pPr>
          </w:p>
          <w:p w:rsidR="00FA3EB5" w:rsidRPr="00FA3EB5" w:rsidRDefault="00FA3EB5"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 xml:space="preserve">The bilingual education teacher will gain knowledge about the foundations of bilingual education, the concepts of bilingualism and biculturalism throughout </w:t>
            </w:r>
            <w:r w:rsidRPr="00FA3EB5">
              <w:rPr>
                <w:sz w:val="20"/>
                <w:szCs w:val="20"/>
              </w:rPr>
              <w:lastRenderedPageBreak/>
              <w:t>the world, demographic shifts (2.1k &amp; 2.1s &amp; 2.3k).</w:t>
            </w:r>
          </w:p>
        </w:tc>
        <w:tc>
          <w:tcPr>
            <w:tcW w:w="4788" w:type="dxa"/>
          </w:tcPr>
          <w:p w:rsidR="00FA3EB5" w:rsidRPr="00FA3EB5" w:rsidRDefault="00FA3EB5" w:rsidP="007A0D6B">
            <w:pPr>
              <w:spacing w:before="278" w:line="240" w:lineRule="exact"/>
              <w:rPr>
                <w:b/>
                <w:bCs/>
                <w:sz w:val="20"/>
                <w:szCs w:val="20"/>
              </w:rPr>
            </w:pPr>
            <w:r w:rsidRPr="00FA3EB5">
              <w:rPr>
                <w:b/>
                <w:bCs/>
                <w:sz w:val="20"/>
                <w:szCs w:val="20"/>
              </w:rPr>
              <w:lastRenderedPageBreak/>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A3EB5" w:rsidRPr="004362A0" w:rsidTr="007A0D6B">
        <w:trPr>
          <w:trHeight w:val="1160"/>
        </w:trPr>
        <w:tc>
          <w:tcPr>
            <w:tcW w:w="4788" w:type="dxa"/>
          </w:tcPr>
          <w:p w:rsidR="00FA3EB5" w:rsidRPr="00FA3EB5" w:rsidRDefault="00FA3EB5" w:rsidP="007A0D6B">
            <w:pPr>
              <w:tabs>
                <w:tab w:val="left" w:pos="360"/>
              </w:tabs>
              <w:rPr>
                <w:sz w:val="20"/>
                <w:szCs w:val="20"/>
              </w:rPr>
            </w:pPr>
            <w:r w:rsidRPr="00FA3EB5">
              <w:rPr>
                <w:b/>
                <w:bCs/>
                <w:sz w:val="20"/>
                <w:szCs w:val="20"/>
              </w:rPr>
              <w:lastRenderedPageBreak/>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A3EB5" w:rsidRPr="004362A0" w:rsidTr="007A0D6B">
        <w:trPr>
          <w:trHeight w:val="1232"/>
        </w:trPr>
        <w:tc>
          <w:tcPr>
            <w:tcW w:w="4788" w:type="dxa"/>
          </w:tcPr>
          <w:p w:rsidR="00FA3EB5" w:rsidRPr="00FA3EB5" w:rsidRDefault="00FA3EB5"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 xml:space="preserve">Gain knowledge about models related to bilingual education and </w:t>
            </w:r>
            <w:proofErr w:type="gramStart"/>
            <w:r w:rsidRPr="00FA3EB5">
              <w:rPr>
                <w:sz w:val="20"/>
                <w:szCs w:val="20"/>
              </w:rPr>
              <w:t>make</w:t>
            </w:r>
            <w:proofErr w:type="gramEnd"/>
            <w:r w:rsidRPr="00FA3EB5">
              <w:rPr>
                <w:sz w:val="20"/>
                <w:szCs w:val="20"/>
              </w:rPr>
              <w:t xml:space="preserve"> appropriate instructional decisions based on course content and design and based on the affective, linguistic, and cognitive needs of students (2.4k &amp; 2.3s).</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A3EB5" w:rsidRPr="004362A0" w:rsidTr="007A0D6B">
        <w:trPr>
          <w:trHeight w:val="1268"/>
        </w:trPr>
        <w:tc>
          <w:tcPr>
            <w:tcW w:w="4788" w:type="dxa"/>
          </w:tcPr>
          <w:p w:rsidR="00FA3EB5" w:rsidRPr="00FA3EB5" w:rsidRDefault="00FA3EB5"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A3EB5" w:rsidRPr="004362A0" w:rsidTr="007A0D6B">
        <w:tc>
          <w:tcPr>
            <w:tcW w:w="4788" w:type="dxa"/>
          </w:tcPr>
          <w:p w:rsidR="00FA3EB5" w:rsidRPr="00FA3EB5" w:rsidRDefault="00FA3EB5"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A3EB5" w:rsidRPr="004362A0" w:rsidTr="007A0D6B">
        <w:tc>
          <w:tcPr>
            <w:tcW w:w="4788" w:type="dxa"/>
          </w:tcPr>
          <w:p w:rsidR="00FA3EB5" w:rsidRPr="00FA3EB5" w:rsidRDefault="00FA3EB5"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A3EB5" w:rsidRPr="00FA3EB5" w:rsidRDefault="00FA3EB5" w:rsidP="007A0D6B">
            <w:pPr>
              <w:spacing w:before="278" w:line="240" w:lineRule="exact"/>
              <w:rPr>
                <w:b/>
                <w:bCs/>
                <w:sz w:val="20"/>
                <w:szCs w:val="20"/>
              </w:rPr>
            </w:pPr>
          </w:p>
        </w:tc>
      </w:tr>
      <w:tr w:rsidR="00FA3EB5" w:rsidRPr="004362A0" w:rsidTr="007A0D6B">
        <w:tc>
          <w:tcPr>
            <w:tcW w:w="4788" w:type="dxa"/>
          </w:tcPr>
          <w:p w:rsidR="00FA3EB5" w:rsidRPr="00FA3EB5" w:rsidRDefault="00FA3EB5"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A3EB5" w:rsidRPr="00FA3EB5" w:rsidRDefault="00FA3EB5" w:rsidP="007A0D6B">
            <w:pPr>
              <w:spacing w:before="278" w:line="240" w:lineRule="exact"/>
              <w:rPr>
                <w:b/>
                <w:bCs/>
                <w:sz w:val="20"/>
                <w:szCs w:val="20"/>
              </w:rPr>
            </w:pPr>
          </w:p>
        </w:tc>
      </w:tr>
    </w:tbl>
    <w:p w:rsidR="00F933AC" w:rsidRPr="00850743" w:rsidRDefault="00F933AC" w:rsidP="00FA3EB5">
      <w:pPr>
        <w:spacing w:after="0" w:line="240" w:lineRule="auto"/>
      </w:pPr>
    </w:p>
    <w:p w:rsidR="00F933AC" w:rsidRPr="00B3594E" w:rsidRDefault="00F933AC" w:rsidP="00F933AC">
      <w:pPr>
        <w:spacing w:after="0" w:line="240" w:lineRule="auto"/>
        <w:ind w:left="1440" w:hanging="720"/>
        <w:rPr>
          <w:sz w:val="20"/>
          <w:szCs w:val="20"/>
        </w:rPr>
      </w:pPr>
    </w:p>
    <w:p w:rsidR="00EC57C5" w:rsidRDefault="00EC57C5" w:rsidP="00F933AC">
      <w:pPr>
        <w:spacing w:after="0" w:line="240" w:lineRule="auto"/>
        <w:rPr>
          <w:rFonts w:ascii="Arial" w:hAnsi="Arial" w:cs="Arial"/>
          <w:b/>
        </w:rPr>
      </w:pPr>
      <w:r>
        <w:rPr>
          <w:rFonts w:ascii="Arial" w:hAnsi="Arial" w:cs="Arial"/>
          <w:b/>
        </w:rPr>
        <w:t xml:space="preserve">  </w:t>
      </w:r>
    </w:p>
    <w:p w:rsidR="00F933AC" w:rsidRDefault="00EC57C5" w:rsidP="00F933AC">
      <w:pPr>
        <w:spacing w:after="0" w:line="240" w:lineRule="auto"/>
        <w:rPr>
          <w:rFonts w:ascii="Arial" w:hAnsi="Arial" w:cs="Arial"/>
          <w:b/>
        </w:rPr>
      </w:pPr>
      <w:r>
        <w:rPr>
          <w:rFonts w:ascii="Arial" w:hAnsi="Arial" w:cs="Arial"/>
          <w:b/>
        </w:rPr>
        <w:t xml:space="preserve">VII. </w:t>
      </w:r>
      <w:r w:rsidR="00F933AC" w:rsidRPr="00850743">
        <w:rPr>
          <w:rFonts w:ascii="Arial" w:hAnsi="Arial" w:cs="Arial"/>
          <w:b/>
        </w:rPr>
        <w:t>INSTRUCTIONAL APPROACH</w:t>
      </w:r>
    </w:p>
    <w:p w:rsidR="00EC57C5" w:rsidRPr="00850743" w:rsidRDefault="00EC57C5" w:rsidP="00F933AC">
      <w:pPr>
        <w:spacing w:after="0" w:line="240" w:lineRule="auto"/>
        <w:rPr>
          <w:rFonts w:ascii="Arial" w:hAnsi="Arial" w:cs="Arial"/>
        </w:rPr>
      </w:pPr>
    </w:p>
    <w:p w:rsidR="00FA3EB5" w:rsidRPr="00FA3EB5" w:rsidRDefault="00FA3EB5"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933AC" w:rsidRDefault="00F933AC" w:rsidP="00F933AC">
      <w:pPr>
        <w:spacing w:after="0" w:line="240" w:lineRule="auto"/>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b/>
        </w:rPr>
        <w:t>VII</w:t>
      </w:r>
      <w:r w:rsidR="00EC57C5">
        <w:rPr>
          <w:rFonts w:ascii="Arial" w:hAnsi="Arial" w:cs="Arial"/>
          <w:b/>
        </w:rPr>
        <w:t>I</w:t>
      </w:r>
      <w:r w:rsidRPr="00850743">
        <w:rPr>
          <w:rFonts w:ascii="Arial" w:hAnsi="Arial" w:cs="Arial"/>
          <w:b/>
        </w:rPr>
        <w:t>.   EVALUATION CRITERIA</w:t>
      </w:r>
    </w:p>
    <w:p w:rsidR="00F933AC" w:rsidRPr="00850743" w:rsidRDefault="00F933AC" w:rsidP="00F933AC">
      <w:pPr>
        <w:spacing w:after="0" w:line="240" w:lineRule="auto"/>
        <w:rPr>
          <w:rFonts w:ascii="Arial" w:hAnsi="Arial" w:cs="Arial"/>
        </w:rPr>
      </w:pPr>
      <w:r w:rsidRPr="00850743">
        <w:rPr>
          <w:rFonts w:ascii="Arial" w:hAnsi="Arial" w:cs="Arial"/>
        </w:rPr>
        <w:t>UNT has established the following grading scale:</w:t>
      </w:r>
    </w:p>
    <w:p w:rsidR="00F933AC" w:rsidRPr="00C34D94" w:rsidRDefault="00F933AC" w:rsidP="00F933AC">
      <w:pPr>
        <w:spacing w:after="0" w:line="240" w:lineRule="auto"/>
        <w:rPr>
          <w:rFonts w:ascii="Arial" w:hAnsi="Arial" w:cs="Arial"/>
        </w:rPr>
      </w:pPr>
    </w:p>
    <w:p w:rsidR="00F933AC" w:rsidRPr="00C34D94" w:rsidRDefault="00F933AC"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933AC" w:rsidRPr="00C34D94" w:rsidRDefault="00F933AC" w:rsidP="00F933AC">
      <w:pPr>
        <w:spacing w:after="0" w:line="240" w:lineRule="auto"/>
        <w:rPr>
          <w:rFonts w:ascii="Arial" w:hAnsi="Arial" w:cs="Arial"/>
        </w:rPr>
      </w:pPr>
      <w:r>
        <w:rPr>
          <w:rFonts w:ascii="Arial" w:hAnsi="Arial" w:cs="Arial"/>
          <w:sz w:val="24"/>
        </w:rPr>
        <w:lastRenderedPageBreak/>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933AC" w:rsidRPr="00C34D94" w:rsidRDefault="00F933AC"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933AC" w:rsidRPr="00C34D94" w:rsidRDefault="00F933AC"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933AC" w:rsidRPr="00C34D94" w:rsidRDefault="00F933AC"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933AC" w:rsidRDefault="00F933AC" w:rsidP="00F933AC">
      <w:pPr>
        <w:spacing w:after="0" w:line="240" w:lineRule="auto"/>
        <w:rPr>
          <w:rFonts w:ascii="Arial" w:hAnsi="Arial" w:cs="Arial"/>
        </w:rPr>
      </w:pPr>
    </w:p>
    <w:p w:rsidR="00F933AC" w:rsidRPr="00C34D94" w:rsidRDefault="00620D6C" w:rsidP="00F933AC">
      <w:pPr>
        <w:spacing w:after="0" w:line="240" w:lineRule="auto"/>
        <w:rPr>
          <w:rFonts w:ascii="Arial" w:hAnsi="Arial" w:cs="Arial"/>
        </w:rPr>
      </w:pPr>
      <w:r>
        <w:rPr>
          <w:rFonts w:ascii="Arial" w:hAnsi="Arial" w:cs="Arial"/>
          <w:b/>
        </w:rPr>
        <w:t>IX</w:t>
      </w:r>
      <w:r w:rsidR="00F933AC" w:rsidRPr="000E3B0E">
        <w:rPr>
          <w:rFonts w:ascii="Arial" w:hAnsi="Arial" w:cs="Arial"/>
          <w:b/>
        </w:rPr>
        <w:t>.</w:t>
      </w:r>
      <w:r w:rsidR="00F933AC">
        <w:rPr>
          <w:rFonts w:ascii="Arial" w:hAnsi="Arial" w:cs="Arial"/>
        </w:rPr>
        <w:tab/>
      </w:r>
      <w:r w:rsidR="00F933AC" w:rsidRPr="00850743">
        <w:rPr>
          <w:rFonts w:ascii="Arial" w:hAnsi="Arial" w:cs="Arial"/>
          <w:b/>
        </w:rPr>
        <w:t>REQUIRED ASSIGNMENTS</w:t>
      </w:r>
    </w:p>
    <w:p w:rsidR="00F933AC" w:rsidRDefault="00F933AC"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153695" w:rsidRDefault="00153695"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CB2FAC" w:rsidRPr="002D6EBB" w:rsidTr="007A0D6B">
        <w:tc>
          <w:tcPr>
            <w:tcW w:w="4788" w:type="dxa"/>
          </w:tcPr>
          <w:p w:rsidR="00CB2FAC" w:rsidRPr="002D6EBB" w:rsidRDefault="00CB2FAC" w:rsidP="007A0D6B">
            <w:pPr>
              <w:jc w:val="center"/>
              <w:rPr>
                <w:b/>
                <w:sz w:val="24"/>
                <w:szCs w:val="24"/>
              </w:rPr>
            </w:pPr>
            <w:r w:rsidRPr="002D6EBB">
              <w:rPr>
                <w:b/>
                <w:sz w:val="24"/>
                <w:szCs w:val="24"/>
              </w:rPr>
              <w:t>Assi</w:t>
            </w:r>
            <w:r>
              <w:rPr>
                <w:b/>
                <w:sz w:val="24"/>
                <w:szCs w:val="24"/>
              </w:rPr>
              <w:t>gnments</w:t>
            </w:r>
          </w:p>
        </w:tc>
        <w:tc>
          <w:tcPr>
            <w:tcW w:w="4788" w:type="dxa"/>
          </w:tcPr>
          <w:p w:rsidR="00CB2FAC" w:rsidRPr="002D6EBB" w:rsidRDefault="00CB2FAC" w:rsidP="007A0D6B">
            <w:pPr>
              <w:jc w:val="center"/>
              <w:rPr>
                <w:b/>
                <w:sz w:val="24"/>
                <w:szCs w:val="24"/>
              </w:rPr>
            </w:pPr>
            <w:r>
              <w:rPr>
                <w:b/>
                <w:sz w:val="24"/>
                <w:szCs w:val="24"/>
              </w:rPr>
              <w:t xml:space="preserve">Percentage </w:t>
            </w:r>
            <w:r w:rsidRPr="002D6EBB">
              <w:rPr>
                <w:b/>
                <w:sz w:val="24"/>
                <w:szCs w:val="24"/>
              </w:rPr>
              <w:t>Points</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Attendance and participation</w:t>
            </w:r>
          </w:p>
        </w:tc>
        <w:tc>
          <w:tcPr>
            <w:tcW w:w="4788" w:type="dxa"/>
          </w:tcPr>
          <w:p w:rsidR="00CB2FAC" w:rsidRPr="00767A57" w:rsidRDefault="00CB2FAC" w:rsidP="007A0D6B">
            <w:pPr>
              <w:rPr>
                <w:rFonts w:ascii="Arial" w:hAnsi="Arial" w:cs="Arial"/>
              </w:rPr>
            </w:pPr>
            <w:r w:rsidRPr="00767A57">
              <w:rPr>
                <w:rFonts w:ascii="Arial" w:hAnsi="Arial" w:cs="Arial"/>
              </w:rPr>
              <w:t>10%</w:t>
            </w:r>
          </w:p>
        </w:tc>
      </w:tr>
      <w:tr w:rsidR="00CB2FAC" w:rsidRPr="0072385D" w:rsidTr="007A0D6B">
        <w:tc>
          <w:tcPr>
            <w:tcW w:w="4788" w:type="dxa"/>
          </w:tcPr>
          <w:p w:rsidR="00CB2FAC" w:rsidRPr="00CB2FAC" w:rsidRDefault="00CB2FAC" w:rsidP="007A0D6B">
            <w:pPr>
              <w:rPr>
                <w:rFonts w:ascii="Arial" w:hAnsi="Arial" w:cs="Arial"/>
              </w:rPr>
            </w:pPr>
            <w:r>
              <w:rPr>
                <w:rFonts w:ascii="Arial" w:hAnsi="Arial" w:cs="Arial"/>
              </w:rPr>
              <w:t>Reading Response Log</w:t>
            </w:r>
          </w:p>
        </w:tc>
        <w:tc>
          <w:tcPr>
            <w:tcW w:w="4788" w:type="dxa"/>
          </w:tcPr>
          <w:p w:rsidR="00CB2FAC" w:rsidRPr="00767A57" w:rsidRDefault="00767A57" w:rsidP="007A0D6B">
            <w:pPr>
              <w:rPr>
                <w:rFonts w:ascii="Arial" w:hAnsi="Arial" w:cs="Arial"/>
              </w:rPr>
            </w:pPr>
            <w:r w:rsidRPr="00767A57">
              <w:rPr>
                <w:rFonts w:ascii="Arial" w:hAnsi="Arial" w:cs="Arial"/>
              </w:rPr>
              <w:t>2</w:t>
            </w:r>
            <w:r w:rsidR="00CB2FAC" w:rsidRPr="00767A57">
              <w:rPr>
                <w:rFonts w:ascii="Arial" w:hAnsi="Arial" w:cs="Arial"/>
              </w:rPr>
              <w:t>0 %</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Create and submit a 3 page essay about the research findings about bilingual a</w:t>
            </w:r>
            <w:r w:rsidR="00767A57">
              <w:rPr>
                <w:rFonts w:ascii="Arial" w:hAnsi="Arial" w:cs="Arial"/>
              </w:rPr>
              <w:t xml:space="preserve">nd ESL education </w:t>
            </w:r>
          </w:p>
        </w:tc>
        <w:tc>
          <w:tcPr>
            <w:tcW w:w="4788" w:type="dxa"/>
          </w:tcPr>
          <w:p w:rsidR="00CB2FAC" w:rsidRPr="00767A57" w:rsidRDefault="00CB2FAC" w:rsidP="007A0D6B">
            <w:pPr>
              <w:rPr>
                <w:rFonts w:ascii="Arial" w:hAnsi="Arial" w:cs="Arial"/>
              </w:rPr>
            </w:pPr>
            <w:r w:rsidRPr="00767A57">
              <w:rPr>
                <w:rFonts w:ascii="Arial" w:hAnsi="Arial" w:cs="Arial"/>
              </w:rPr>
              <w:t>15%</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 xml:space="preserve">Create, submit and present a </w:t>
            </w:r>
            <w:r w:rsidR="002913C6" w:rsidRPr="00CB2FAC">
              <w:rPr>
                <w:rFonts w:ascii="Arial" w:hAnsi="Arial" w:cs="Arial"/>
              </w:rPr>
              <w:t>PowerPoint</w:t>
            </w:r>
            <w:r w:rsidRPr="00CB2FAC">
              <w:rPr>
                <w:rFonts w:ascii="Arial" w:hAnsi="Arial" w:cs="Arial"/>
              </w:rPr>
              <w:t xml:space="preserve"> about</w:t>
            </w:r>
            <w:r w:rsidR="00767A57" w:rsidRPr="00CB2FAC">
              <w:rPr>
                <w:rFonts w:ascii="Arial" w:hAnsi="Arial" w:cs="Arial"/>
              </w:rPr>
              <w:t xml:space="preserve"> </w:t>
            </w:r>
            <w:r w:rsidR="002913C6" w:rsidRPr="002913C6">
              <w:rPr>
                <w:rFonts w:ascii="Arial" w:hAnsi="Arial" w:cs="Arial"/>
              </w:rPr>
              <w:t>types of instructional programs for English Language Learners</w:t>
            </w:r>
          </w:p>
        </w:tc>
        <w:tc>
          <w:tcPr>
            <w:tcW w:w="4788" w:type="dxa"/>
          </w:tcPr>
          <w:p w:rsidR="00CB2FAC" w:rsidRPr="00767A57" w:rsidRDefault="00CB2FAC" w:rsidP="007A0D6B">
            <w:pPr>
              <w:rPr>
                <w:rFonts w:ascii="Arial" w:hAnsi="Arial" w:cs="Arial"/>
              </w:rPr>
            </w:pPr>
            <w:r w:rsidRPr="00767A57">
              <w:rPr>
                <w:rFonts w:ascii="Arial" w:hAnsi="Arial" w:cs="Arial"/>
              </w:rPr>
              <w:t>15 %</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 xml:space="preserve">Key assignment – Develop an ELL Family/child advocacy plan </w:t>
            </w:r>
          </w:p>
        </w:tc>
        <w:tc>
          <w:tcPr>
            <w:tcW w:w="4788" w:type="dxa"/>
          </w:tcPr>
          <w:p w:rsidR="00CB2FAC" w:rsidRPr="00767A57" w:rsidRDefault="00767A57" w:rsidP="007A0D6B">
            <w:pPr>
              <w:rPr>
                <w:rFonts w:ascii="Arial" w:hAnsi="Arial" w:cs="Arial"/>
              </w:rPr>
            </w:pPr>
            <w:r>
              <w:rPr>
                <w:rFonts w:ascii="Arial" w:hAnsi="Arial" w:cs="Arial"/>
              </w:rPr>
              <w:t>20</w:t>
            </w:r>
            <w:r w:rsidR="00CB2FAC" w:rsidRPr="00767A57">
              <w:rPr>
                <w:rFonts w:ascii="Arial" w:hAnsi="Arial" w:cs="Arial"/>
              </w:rPr>
              <w:t xml:space="preserve"> %</w:t>
            </w:r>
          </w:p>
        </w:tc>
      </w:tr>
      <w:tr w:rsidR="00CB2FAC" w:rsidRPr="0072385D" w:rsidTr="007A0D6B">
        <w:trPr>
          <w:trHeight w:val="719"/>
        </w:trPr>
        <w:tc>
          <w:tcPr>
            <w:tcW w:w="4788" w:type="dxa"/>
          </w:tcPr>
          <w:p w:rsidR="00CB2FAC" w:rsidRPr="00CB2FAC" w:rsidRDefault="00CB2FAC" w:rsidP="007A0D6B">
            <w:pPr>
              <w:pStyle w:val="ListParagraph"/>
              <w:ind w:left="0"/>
              <w:rPr>
                <w:rFonts w:ascii="Arial" w:hAnsi="Arial" w:cs="Arial"/>
              </w:rPr>
            </w:pPr>
            <w:r w:rsidRPr="00CB2FAC">
              <w:rPr>
                <w:rFonts w:ascii="Arial" w:hAnsi="Arial" w:cs="Arial"/>
              </w:rPr>
              <w:t>Final Exam</w:t>
            </w:r>
            <w:r w:rsidR="00560BDF">
              <w:rPr>
                <w:rFonts w:ascii="Arial" w:hAnsi="Arial" w:cs="Arial"/>
              </w:rPr>
              <w:t xml:space="preserve"> </w:t>
            </w:r>
          </w:p>
          <w:p w:rsidR="00CB2FAC" w:rsidRPr="00CB2FAC" w:rsidRDefault="00CB2FAC" w:rsidP="007A0D6B">
            <w:pPr>
              <w:pStyle w:val="ListParagraph"/>
              <w:ind w:left="0"/>
              <w:rPr>
                <w:rFonts w:ascii="Arial" w:hAnsi="Arial" w:cs="Arial"/>
              </w:rPr>
            </w:pPr>
          </w:p>
        </w:tc>
        <w:tc>
          <w:tcPr>
            <w:tcW w:w="4788" w:type="dxa"/>
          </w:tcPr>
          <w:p w:rsidR="00CB2FAC" w:rsidRPr="00767A57" w:rsidRDefault="00CB2FAC" w:rsidP="007A0D6B">
            <w:pPr>
              <w:rPr>
                <w:rFonts w:ascii="Arial" w:hAnsi="Arial" w:cs="Arial"/>
              </w:rPr>
            </w:pPr>
            <w:r w:rsidRPr="00767A57">
              <w:rPr>
                <w:rFonts w:ascii="Arial" w:hAnsi="Arial" w:cs="Arial"/>
              </w:rPr>
              <w:t>20 %</w:t>
            </w:r>
          </w:p>
        </w:tc>
      </w:tr>
      <w:tr w:rsidR="00CB2FAC" w:rsidRPr="0072385D" w:rsidTr="007A0D6B">
        <w:tc>
          <w:tcPr>
            <w:tcW w:w="4788" w:type="dxa"/>
          </w:tcPr>
          <w:p w:rsidR="00CB2FAC" w:rsidRPr="0072385D" w:rsidRDefault="00CB2FAC" w:rsidP="007A0D6B">
            <w:pPr>
              <w:rPr>
                <w:b/>
              </w:rPr>
            </w:pPr>
            <w:r w:rsidRPr="0072385D">
              <w:rPr>
                <w:b/>
              </w:rPr>
              <w:t>Total</w:t>
            </w:r>
          </w:p>
        </w:tc>
        <w:tc>
          <w:tcPr>
            <w:tcW w:w="4788" w:type="dxa"/>
          </w:tcPr>
          <w:p w:rsidR="00CB2FAC" w:rsidRPr="00153695" w:rsidRDefault="00CB2FAC" w:rsidP="00153695">
            <w:pPr>
              <w:pStyle w:val="ListParagraph"/>
              <w:numPr>
                <w:ilvl w:val="0"/>
                <w:numId w:val="17"/>
              </w:numPr>
              <w:rPr>
                <w:b/>
              </w:rPr>
            </w:pPr>
            <w:r w:rsidRPr="00153695">
              <w:rPr>
                <w:b/>
              </w:rPr>
              <w:t>%</w:t>
            </w:r>
          </w:p>
        </w:tc>
      </w:tr>
    </w:tbl>
    <w:p w:rsidR="00CB2FAC" w:rsidRPr="00850743" w:rsidRDefault="00CB2FAC" w:rsidP="00F933AC">
      <w:pPr>
        <w:spacing w:after="0" w:line="240" w:lineRule="auto"/>
        <w:rPr>
          <w:rFonts w:ascii="Arial" w:hAnsi="Arial" w:cs="Arial"/>
        </w:rPr>
      </w:pPr>
    </w:p>
    <w:p w:rsidR="00F933AC" w:rsidRDefault="00F933AC" w:rsidP="00F933AC">
      <w:pPr>
        <w:spacing w:after="0" w:line="240" w:lineRule="auto"/>
        <w:rPr>
          <w:rFonts w:ascii="Arial" w:hAnsi="Arial" w:cs="Arial"/>
          <w:sz w:val="24"/>
        </w:rPr>
      </w:pPr>
    </w:p>
    <w:p w:rsidR="007C0755" w:rsidRPr="00153695" w:rsidRDefault="007C0755" w:rsidP="00153695">
      <w:pPr>
        <w:pStyle w:val="ListParagraph"/>
        <w:numPr>
          <w:ilvl w:val="0"/>
          <w:numId w:val="18"/>
        </w:numPr>
        <w:spacing w:after="0" w:line="240" w:lineRule="auto"/>
        <w:rPr>
          <w:rFonts w:ascii="Arial" w:hAnsi="Arial" w:cs="Arial"/>
        </w:rPr>
      </w:pPr>
      <w:r w:rsidRPr="00153695">
        <w:rPr>
          <w:rFonts w:ascii="Arial" w:hAnsi="Arial" w:cs="Arial"/>
          <w:b/>
        </w:rPr>
        <w:t>Attendance</w:t>
      </w:r>
    </w:p>
    <w:p w:rsidR="007C0755" w:rsidRPr="00850743" w:rsidRDefault="007C0755" w:rsidP="007C0755">
      <w:pPr>
        <w:spacing w:after="0" w:line="240" w:lineRule="auto"/>
        <w:rPr>
          <w:rFonts w:ascii="Arial" w:hAnsi="Arial" w:cs="Arial"/>
        </w:rPr>
      </w:pPr>
      <w:r w:rsidRPr="00850743">
        <w:rPr>
          <w:rFonts w:ascii="Arial" w:hAnsi="Arial" w:cs="Arial"/>
        </w:rPr>
        <w:t xml:space="preserve">           Attendance and class participation in class are expected and will be considered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in</w:t>
      </w:r>
      <w:proofErr w:type="gramEnd"/>
      <w:r w:rsidRPr="00850743">
        <w:rPr>
          <w:rFonts w:ascii="Arial" w:hAnsi="Arial" w:cs="Arial"/>
        </w:rPr>
        <w:t xml:space="preserve"> assigning the final course grade.  If you know in advance that you will be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absent</w:t>
      </w:r>
      <w:proofErr w:type="gramEnd"/>
      <w:r w:rsidRPr="00850743">
        <w:rPr>
          <w:rFonts w:ascii="Arial" w:hAnsi="Arial" w:cs="Arial"/>
        </w:rPr>
        <w:t xml:space="preserve">, please send your instructor an e-mail before the absence.  In general,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three</w:t>
      </w:r>
      <w:proofErr w:type="gramEnd"/>
      <w:r w:rsidRPr="00850743">
        <w:rPr>
          <w:rFonts w:ascii="Arial" w:hAnsi="Arial" w:cs="Arial"/>
        </w:rPr>
        <w:t xml:space="preserve"> absences are acceptable in a long semester course.  Any absence after 3 </w:t>
      </w:r>
    </w:p>
    <w:p w:rsidR="00D1604F"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will</w:t>
      </w:r>
      <w:proofErr w:type="gramEnd"/>
      <w:r w:rsidRPr="00850743">
        <w:rPr>
          <w:rFonts w:ascii="Arial" w:hAnsi="Arial" w:cs="Arial"/>
        </w:rPr>
        <w:t xml:space="preserve"> be deducted one percent from the</w:t>
      </w:r>
      <w:r w:rsidR="0080549F">
        <w:rPr>
          <w:rFonts w:ascii="Arial" w:hAnsi="Arial" w:cs="Arial"/>
        </w:rPr>
        <w:t xml:space="preserve"> attendance percentage </w:t>
      </w:r>
      <w:r w:rsidR="007208EA">
        <w:rPr>
          <w:rFonts w:ascii="Arial" w:hAnsi="Arial" w:cs="Arial"/>
        </w:rPr>
        <w:t>points.</w:t>
      </w:r>
      <w:r w:rsidR="007208EA" w:rsidRPr="00850743">
        <w:rPr>
          <w:rFonts w:ascii="Arial" w:hAnsi="Arial" w:cs="Arial"/>
        </w:rPr>
        <w:t xml:space="preserve"> Three</w:t>
      </w:r>
      <w:r w:rsidR="00D1604F" w:rsidRPr="00850743">
        <w:rPr>
          <w:rFonts w:ascii="Arial" w:hAnsi="Arial" w:cs="Arial"/>
        </w:rPr>
        <w:t xml:space="preserve">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proofErr w:type="gramStart"/>
      <w:r w:rsidR="002E7046" w:rsidRPr="00850743">
        <w:rPr>
          <w:rFonts w:ascii="Arial" w:hAnsi="Arial" w:cs="Arial"/>
        </w:rPr>
        <w:t>tardy</w:t>
      </w:r>
      <w:proofErr w:type="gramEnd"/>
      <w:r w:rsidR="002E7046" w:rsidRPr="00850743">
        <w:rPr>
          <w:rFonts w:ascii="Arial" w:hAnsi="Arial" w:cs="Arial"/>
        </w:rPr>
        <w:t xml:space="preserve"> counts as one absence</w:t>
      </w:r>
      <w:r w:rsidR="00DE32AD" w:rsidRPr="00850743">
        <w:rPr>
          <w:rFonts w:ascii="Arial" w:hAnsi="Arial" w:cs="Arial"/>
        </w:rPr>
        <w:t xml:space="preserve">. </w:t>
      </w:r>
      <w:r w:rsidRPr="00850743">
        <w:rPr>
          <w:rFonts w:ascii="Arial" w:hAnsi="Arial" w:cs="Arial"/>
        </w:rPr>
        <w:t xml:space="preserve">The student is responsible for all content covered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in</w:t>
      </w:r>
      <w:proofErr w:type="gramEnd"/>
      <w:r w:rsidRPr="00850743">
        <w:rPr>
          <w:rFonts w:ascii="Arial" w:hAnsi="Arial" w:cs="Arial"/>
        </w:rPr>
        <w:t xml:space="preserve"> the classes missed and should arrange to get notes from another student. </w:t>
      </w:r>
    </w:p>
    <w:p w:rsidR="007C0755" w:rsidRDefault="00D1604F" w:rsidP="007C0755">
      <w:pPr>
        <w:spacing w:after="0" w:line="240" w:lineRule="auto"/>
        <w:rPr>
          <w:rFonts w:ascii="Arial" w:hAnsi="Arial" w:cs="Arial"/>
        </w:rPr>
      </w:pPr>
      <w:r w:rsidRPr="00850743">
        <w:rPr>
          <w:rFonts w:ascii="Arial" w:hAnsi="Arial" w:cs="Arial"/>
        </w:rPr>
        <w:t xml:space="preserve">           Absences do not change due dates for the assignments.</w:t>
      </w:r>
    </w:p>
    <w:p w:rsidR="00153695" w:rsidRDefault="00153695" w:rsidP="007C0755">
      <w:pPr>
        <w:spacing w:after="0" w:line="240" w:lineRule="auto"/>
        <w:rPr>
          <w:rFonts w:ascii="Arial" w:hAnsi="Arial" w:cs="Arial"/>
        </w:rPr>
      </w:pPr>
    </w:p>
    <w:p w:rsidR="00153695" w:rsidRDefault="00153695" w:rsidP="00153695">
      <w:pPr>
        <w:pStyle w:val="ListParagraph"/>
        <w:numPr>
          <w:ilvl w:val="0"/>
          <w:numId w:val="18"/>
        </w:numPr>
        <w:spacing w:after="0" w:line="240" w:lineRule="auto"/>
        <w:rPr>
          <w:rFonts w:ascii="Arial" w:hAnsi="Arial" w:cs="Arial"/>
        </w:rPr>
      </w:pPr>
      <w:r w:rsidRPr="00153695">
        <w:rPr>
          <w:rFonts w:ascii="Arial" w:hAnsi="Arial" w:cs="Arial"/>
          <w:b/>
        </w:rPr>
        <w:t>Reading Response Log</w:t>
      </w:r>
      <w:r>
        <w:rPr>
          <w:rFonts w:ascii="Arial" w:hAnsi="Arial" w:cs="Arial"/>
        </w:rPr>
        <w:t xml:space="preserve"> should be completed for each chapter. It is due on the day of the </w:t>
      </w:r>
      <w:r w:rsidR="002913C6">
        <w:rPr>
          <w:rFonts w:ascii="Arial" w:hAnsi="Arial" w:cs="Arial"/>
        </w:rPr>
        <w:t>class. The</w:t>
      </w:r>
      <w:r>
        <w:rPr>
          <w:rFonts w:ascii="Arial" w:hAnsi="Arial" w:cs="Arial"/>
        </w:rPr>
        <w:t xml:space="preserve"> format will be provided. </w:t>
      </w:r>
    </w:p>
    <w:p w:rsidR="002913C6" w:rsidRDefault="002913C6" w:rsidP="002913C6">
      <w:pPr>
        <w:pStyle w:val="ListParagraph"/>
        <w:spacing w:after="0" w:line="240" w:lineRule="auto"/>
        <w:rPr>
          <w:rFonts w:ascii="Arial" w:hAnsi="Arial" w:cs="Arial"/>
        </w:rPr>
      </w:pPr>
    </w:p>
    <w:p w:rsidR="002913C6" w:rsidRPr="002913C6" w:rsidRDefault="00153695"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  The essay should be no more than 3 pages, double spaced, 12 point font.</w:t>
      </w:r>
      <w:r>
        <w:rPr>
          <w:sz w:val="24"/>
          <w:szCs w:val="24"/>
        </w:rPr>
        <w:t xml:space="preserve"> </w:t>
      </w:r>
    </w:p>
    <w:p w:rsidR="002913C6" w:rsidRPr="002913C6" w:rsidRDefault="002913C6" w:rsidP="002913C6">
      <w:pPr>
        <w:pStyle w:val="ListParagraph"/>
        <w:rPr>
          <w:sz w:val="24"/>
          <w:szCs w:val="24"/>
        </w:rPr>
      </w:pPr>
    </w:p>
    <w:p w:rsidR="00153695" w:rsidRDefault="002913C6" w:rsidP="00153695">
      <w:pPr>
        <w:pStyle w:val="ListParagraph"/>
        <w:numPr>
          <w:ilvl w:val="0"/>
          <w:numId w:val="18"/>
        </w:numPr>
        <w:spacing w:after="0" w:line="240" w:lineRule="auto"/>
        <w:rPr>
          <w:rFonts w:ascii="Arial" w:hAnsi="Arial" w:cs="Arial"/>
        </w:rPr>
      </w:pPr>
      <w:r>
        <w:rPr>
          <w:rFonts w:ascii="Arial" w:hAnsi="Arial" w:cs="Arial"/>
          <w:b/>
        </w:rPr>
        <w:lastRenderedPageBreak/>
        <w:t xml:space="preserve"> P</w:t>
      </w:r>
      <w:r w:rsidRPr="002913C6">
        <w:rPr>
          <w:rFonts w:ascii="Arial" w:hAnsi="Arial" w:cs="Arial"/>
          <w:b/>
        </w:rPr>
        <w:t>owerPoint presentation</w:t>
      </w:r>
      <w:r>
        <w:rPr>
          <w:rFonts w:ascii="Arial" w:hAnsi="Arial" w:cs="Arial"/>
        </w:rPr>
        <w:t xml:space="preserve"> about types of instructional programs for English language learners.  The PowerPoint should be no more than 6 slides; it should include an introduction, the programs of focus, a description of the programs, and why they are effective for teaching ELL students.  Include colors and pictures to illustrate the slides.  Prepare to present it to the class as a whole.</w:t>
      </w:r>
    </w:p>
    <w:p w:rsidR="002913C6" w:rsidRPr="002913C6" w:rsidRDefault="002913C6" w:rsidP="002913C6">
      <w:pPr>
        <w:pStyle w:val="ListParagraph"/>
        <w:rPr>
          <w:rFonts w:ascii="Arial" w:hAnsi="Arial" w:cs="Arial"/>
        </w:rPr>
      </w:pPr>
    </w:p>
    <w:p w:rsidR="002913C6" w:rsidRPr="00153695" w:rsidRDefault="002913C6" w:rsidP="00153695">
      <w:pPr>
        <w:pStyle w:val="ListParagraph"/>
        <w:numPr>
          <w:ilvl w:val="0"/>
          <w:numId w:val="18"/>
        </w:numPr>
        <w:spacing w:after="0" w:line="240" w:lineRule="auto"/>
        <w:rPr>
          <w:rFonts w:ascii="Arial" w:hAnsi="Arial" w:cs="Arial"/>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sidR="00C2219F">
        <w:rPr>
          <w:rStyle w:val="Strong"/>
          <w:rFonts w:ascii="Arial" w:hAnsi="Arial" w:cs="Arial"/>
          <w:b w:val="0"/>
        </w:rPr>
        <w:t xml:space="preserve">. </w:t>
      </w:r>
      <w:r w:rsidR="00C2219F" w:rsidRPr="00C2219F">
        <w:rPr>
          <w:rStyle w:val="Strong"/>
          <w:rFonts w:ascii="Arial" w:hAnsi="Arial" w:cs="Arial"/>
          <w:b w:val="0"/>
        </w:rPr>
        <w:t>Students will describe what they would do as an advocate to solve or help solve the problem and then present their case and solutions to the class as a whole (WORD document, double spaced, 12 point size font).</w:t>
      </w:r>
      <w:r w:rsidR="00C2219F" w:rsidRPr="00814B7A">
        <w:rPr>
          <w:rStyle w:val="Strong"/>
          <w:rFonts w:ascii="Arial" w:hAnsi="Arial" w:cs="Arial"/>
        </w:rPr>
        <w:t xml:space="preserve"> </w:t>
      </w:r>
      <w:r w:rsidR="00C2219F">
        <w:rPr>
          <w:rStyle w:val="Strong"/>
          <w:rFonts w:ascii="Arial" w:hAnsi="Arial" w:cs="Arial"/>
        </w:rPr>
        <w:t xml:space="preserve">  </w:t>
      </w:r>
    </w:p>
    <w:p w:rsidR="00153695" w:rsidRPr="00850743" w:rsidRDefault="00153695" w:rsidP="007C0755">
      <w:pPr>
        <w:spacing w:after="0" w:line="240" w:lineRule="auto"/>
        <w:rPr>
          <w:rFonts w:ascii="Arial" w:hAnsi="Arial" w:cs="Arial"/>
        </w:rPr>
      </w:pPr>
    </w:p>
    <w:p w:rsidR="007C0755" w:rsidRPr="00850743" w:rsidRDefault="007C0755" w:rsidP="007C0755">
      <w:pPr>
        <w:spacing w:after="0" w:line="240" w:lineRule="auto"/>
        <w:rPr>
          <w:rFonts w:ascii="Arial" w:hAnsi="Arial" w:cs="Arial"/>
        </w:rPr>
      </w:pPr>
    </w:p>
    <w:p w:rsidR="000A5019" w:rsidRPr="000A5019" w:rsidRDefault="00AB489A" w:rsidP="000A5019">
      <w:pPr>
        <w:rPr>
          <w:rFonts w:ascii="Arial" w:hAnsi="Arial" w:cs="Arial"/>
          <w:b/>
          <w:sz w:val="24"/>
          <w:szCs w:val="24"/>
        </w:rPr>
      </w:pPr>
      <w:r w:rsidRPr="00C51E84">
        <w:rPr>
          <w:rFonts w:ascii="Arial" w:hAnsi="Arial" w:cs="Arial"/>
          <w:b/>
        </w:rPr>
        <w:t xml:space="preserve">X. </w:t>
      </w:r>
      <w:r w:rsidR="000A5019" w:rsidRPr="00C51E84">
        <w:rPr>
          <w:rFonts w:ascii="Arial" w:hAnsi="Arial" w:cs="Arial"/>
          <w:b/>
        </w:rPr>
        <w:t>CLASS POLICIES</w:t>
      </w:r>
      <w:r w:rsidR="000A5019" w:rsidRPr="000A5019">
        <w:rPr>
          <w:rFonts w:ascii="Arial" w:hAnsi="Arial" w:cs="Arial"/>
          <w:b/>
          <w:sz w:val="24"/>
          <w:szCs w:val="24"/>
        </w:rPr>
        <w:t>:</w:t>
      </w:r>
    </w:p>
    <w:p w:rsidR="000A5019" w:rsidRPr="00EF03C1" w:rsidRDefault="000A5019" w:rsidP="000A5019">
      <w:pPr>
        <w:rPr>
          <w:rFonts w:ascii="Arial" w:hAnsi="Arial" w:cs="Arial"/>
        </w:rPr>
      </w:pPr>
      <w:r w:rsidRPr="00EF03C1">
        <w:rPr>
          <w:rFonts w:ascii="Arial" w:hAnsi="Arial" w:cs="Arial"/>
          <w:i/>
        </w:rPr>
        <w:t xml:space="preserve">Disabilities Accommodation: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0A5019" w:rsidRPr="00EF03C1" w:rsidRDefault="000A5019" w:rsidP="000A5019">
      <w:pPr>
        <w:rPr>
          <w:rFonts w:ascii="Arial" w:hAnsi="Arial" w:cs="Arial"/>
        </w:rPr>
      </w:pPr>
      <w:r w:rsidRPr="00EF03C1">
        <w:rPr>
          <w:rFonts w:ascii="Arial" w:hAnsi="Arial" w:cs="Arial"/>
          <w:i/>
        </w:rPr>
        <w:t xml:space="preserve">Academic Integrity: </w:t>
      </w:r>
      <w:r w:rsidRPr="00EF03C1">
        <w:rPr>
          <w:rFonts w:ascii="Arial" w:hAnsi="Arial" w:cs="Arial"/>
        </w:rPr>
        <w:t xml:space="preserve">Students are encouraged to become familiar with UNT’s policy on academic integrity: </w:t>
      </w:r>
      <w:hyperlink r:id="rId8" w:history="1">
        <w:r w:rsidRPr="00EF03C1">
          <w:rPr>
            <w:rStyle w:val="Hyperlink"/>
            <w:rFonts w:ascii="Arial" w:hAnsi="Arial" w:cs="Arial"/>
          </w:rPr>
          <w:t>http://www.unt.edu/policy/UNT_Policy/volume3/18_1_16.pdf</w:t>
        </w:r>
      </w:hyperlink>
      <w:r w:rsidRPr="00EF03C1">
        <w:rPr>
          <w:rFonts w:ascii="Arial" w:hAnsi="Arial" w:cs="Arial"/>
        </w:rPr>
        <w:t xml:space="preserve">. Academic dishonesty, in the form of plagiarism, </w:t>
      </w:r>
      <w:proofErr w:type="gramStart"/>
      <w:r w:rsidRPr="00EF03C1">
        <w:rPr>
          <w:rFonts w:ascii="Arial" w:hAnsi="Arial" w:cs="Arial"/>
        </w:rPr>
        <w:t>cheating.</w:t>
      </w:r>
      <w:proofErr w:type="gramEnd"/>
      <w:r w:rsidRPr="00EF03C1">
        <w:rPr>
          <w:rFonts w:ascii="Arial" w:hAnsi="Arial" w:cs="Arial"/>
        </w:rPr>
        <w:t xml:space="preserve"> </w:t>
      </w:r>
      <w:proofErr w:type="gramStart"/>
      <w:r w:rsidRPr="00EF03C1">
        <w:rPr>
          <w:rFonts w:ascii="Arial" w:hAnsi="Arial" w:cs="Arial"/>
        </w:rPr>
        <w:t>or</w:t>
      </w:r>
      <w:proofErr w:type="gramEnd"/>
      <w:r w:rsidRPr="00EF03C1">
        <w:rPr>
          <w:rFonts w:ascii="Arial" w:hAnsi="Arial" w:cs="Arial"/>
        </w:rPr>
        <w:t xml:space="preserve"> fabrication, will not be tolerated in this class. Any act of academic dishonesty will be reported, and a penalty determined, which may be probation, suspension, or expulsion from the university. </w:t>
      </w:r>
    </w:p>
    <w:p w:rsidR="000A5019" w:rsidRPr="00EF03C1" w:rsidRDefault="000A5019" w:rsidP="000A5019">
      <w:pPr>
        <w:rPr>
          <w:rFonts w:ascii="Arial" w:hAnsi="Arial" w:cs="Arial"/>
        </w:rPr>
      </w:pPr>
      <w:r w:rsidRPr="00EF03C1">
        <w:rPr>
          <w:rFonts w:ascii="Arial" w:hAnsi="Arial" w:cs="Arial"/>
          <w:i/>
        </w:rPr>
        <w:t xml:space="preserve">Student Conduct: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9" w:history="1">
        <w:r w:rsidRPr="00EF03C1">
          <w:rPr>
            <w:rStyle w:val="Hyperlink"/>
            <w:rFonts w:ascii="Arial" w:hAnsi="Arial" w:cs="Arial"/>
          </w:rPr>
          <w:t>www.unt.edu/csrr</w:t>
        </w:r>
      </w:hyperlink>
      <w:r w:rsidRPr="00EF03C1">
        <w:rPr>
          <w:rFonts w:ascii="Arial" w:hAnsi="Arial" w:cs="Arial"/>
        </w:rPr>
        <w:t>.</w:t>
      </w:r>
    </w:p>
    <w:p w:rsidR="00DE32AD" w:rsidRPr="00EF03C1" w:rsidRDefault="000A5019" w:rsidP="00DE32AD">
      <w:pPr>
        <w:spacing w:after="0" w:line="240" w:lineRule="auto"/>
        <w:rPr>
          <w:rFonts w:ascii="Arial" w:hAnsi="Arial" w:cs="Arial"/>
        </w:rPr>
      </w:pPr>
      <w:r w:rsidRPr="00EF03C1">
        <w:rPr>
          <w:rFonts w:ascii="Arial" w:hAnsi="Arial" w:cs="Arial"/>
          <w:i/>
        </w:rPr>
        <w:t>Attendance:</w:t>
      </w:r>
      <w:r w:rsidR="00793748" w:rsidRPr="00EF03C1">
        <w:rPr>
          <w:rFonts w:ascii="Arial" w:hAnsi="Arial" w:cs="Arial"/>
        </w:rPr>
        <w:t xml:space="preserve">  Attendance and class participation in class are expected and will be considered in assigning the final course grade.  If you know in advance that you will be absent, please send your instructor an e-mail before the absence.  In general, three absences are acceptable in a long semester course.  Any absence after 3 will be deducted one percent from the</w:t>
      </w:r>
      <w:r w:rsidR="001A645B" w:rsidRPr="00EF03C1">
        <w:rPr>
          <w:rFonts w:ascii="Arial" w:hAnsi="Arial" w:cs="Arial"/>
        </w:rPr>
        <w:t xml:space="preserve"> attendance percentage points. </w:t>
      </w:r>
      <w:proofErr w:type="gramStart"/>
      <w:r w:rsidR="00DE32AD" w:rsidRPr="00EF03C1">
        <w:rPr>
          <w:rFonts w:ascii="Arial" w:hAnsi="Arial" w:cs="Arial"/>
        </w:rPr>
        <w:t xml:space="preserve">Three tardy counts as one </w:t>
      </w:r>
      <w:r w:rsidR="001A645B" w:rsidRPr="00EF03C1">
        <w:rPr>
          <w:rFonts w:ascii="Arial" w:hAnsi="Arial" w:cs="Arial"/>
        </w:rPr>
        <w:t>absence.</w:t>
      </w:r>
      <w:proofErr w:type="gramEnd"/>
      <w:r w:rsidR="001A645B" w:rsidRPr="00EF03C1">
        <w:rPr>
          <w:rFonts w:ascii="Arial" w:hAnsi="Arial" w:cs="Arial"/>
        </w:rPr>
        <w:t xml:space="preserve"> The student is responsible for all content covered</w:t>
      </w:r>
      <w:r w:rsidR="00D1604F" w:rsidRPr="00EF03C1">
        <w:rPr>
          <w:rFonts w:ascii="Arial" w:hAnsi="Arial" w:cs="Arial"/>
        </w:rPr>
        <w:t xml:space="preserve"> in the classes missed and should arrange to get notes from another student. Absences do not change due dates for the assignments. </w:t>
      </w:r>
    </w:p>
    <w:p w:rsidR="00F074AB" w:rsidRPr="00EF03C1" w:rsidRDefault="00F074AB" w:rsidP="00DE32AD">
      <w:pPr>
        <w:spacing w:after="0" w:line="240" w:lineRule="auto"/>
        <w:rPr>
          <w:rFonts w:ascii="Arial" w:hAnsi="Arial" w:cs="Arial"/>
        </w:rPr>
      </w:pPr>
    </w:p>
    <w:p w:rsidR="00F074AB" w:rsidRPr="00EF03C1" w:rsidRDefault="00F074AB" w:rsidP="00DE32AD">
      <w:pPr>
        <w:spacing w:after="0" w:line="240" w:lineRule="auto"/>
        <w:rPr>
          <w:rFonts w:ascii="Arial" w:hAnsi="Arial" w:cs="Arial"/>
        </w:rPr>
      </w:pPr>
      <w:r w:rsidRPr="00EF03C1">
        <w:rPr>
          <w:rFonts w:ascii="Arial" w:hAnsi="Arial" w:cs="Arial"/>
          <w:i/>
        </w:rPr>
        <w:lastRenderedPageBreak/>
        <w:t>Due Dates</w:t>
      </w:r>
      <w:r w:rsidRPr="00EF03C1">
        <w:rPr>
          <w:rFonts w:ascii="Arial" w:hAnsi="Arial" w:cs="Arial"/>
        </w:rPr>
        <w:t>: All assignments must be turned in at the beginning of class on the date agreed upon</w:t>
      </w:r>
      <w:r w:rsidR="003250D0" w:rsidRPr="00EF03C1">
        <w:rPr>
          <w:rFonts w:ascii="Arial" w:hAnsi="Arial" w:cs="Arial"/>
        </w:rPr>
        <w:t xml:space="preserve"> in class. The score of a late assignment will be reduced. Absence from class does not constitute notification about a late assignment. </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Request for</w:t>
      </w:r>
      <w:r w:rsidR="007A37F5" w:rsidRPr="00EF03C1">
        <w:rPr>
          <w:rFonts w:ascii="Arial" w:hAnsi="Arial" w:cs="Arial"/>
          <w:i/>
        </w:rPr>
        <w:t xml:space="preserve"> H</w:t>
      </w:r>
      <w:r w:rsidRPr="00EF03C1">
        <w:rPr>
          <w:rFonts w:ascii="Arial" w:hAnsi="Arial" w:cs="Arial"/>
          <w:i/>
        </w:rPr>
        <w:t>elp with Assignments</w:t>
      </w:r>
      <w:r w:rsidRPr="00EF03C1">
        <w:rPr>
          <w:rFonts w:ascii="Arial" w:hAnsi="Arial" w:cs="Arial"/>
        </w:rPr>
        <w:t xml:space="preserve">: </w:t>
      </w:r>
      <w:r w:rsidR="007A37F5" w:rsidRPr="00EF03C1">
        <w:rPr>
          <w:rFonts w:ascii="Arial" w:hAnsi="Arial" w:cs="Arial"/>
        </w:rPr>
        <w:t>Students should feel free to talk to the instructor- or e mail the instructor about any assignment. However, the student must take an effort to begin the assignment before asking for help.</w:t>
      </w:r>
    </w:p>
    <w:p w:rsidR="007A37F5" w:rsidRPr="00EF03C1" w:rsidRDefault="007A37F5" w:rsidP="00DE32AD">
      <w:pPr>
        <w:spacing w:after="0" w:line="240" w:lineRule="auto"/>
        <w:rPr>
          <w:rFonts w:ascii="Arial" w:hAnsi="Arial" w:cs="Arial"/>
          <w:i/>
        </w:rPr>
      </w:pPr>
    </w:p>
    <w:p w:rsidR="007A37F5" w:rsidRPr="00EF03C1" w:rsidRDefault="007A37F5" w:rsidP="00DE32AD">
      <w:pPr>
        <w:spacing w:after="0" w:line="240" w:lineRule="auto"/>
        <w:rPr>
          <w:rFonts w:ascii="Arial" w:hAnsi="Arial" w:cs="Arial"/>
        </w:rPr>
      </w:pPr>
      <w:r w:rsidRPr="00EF03C1">
        <w:rPr>
          <w:rFonts w:ascii="Arial" w:hAnsi="Arial" w:cs="Arial"/>
          <w:i/>
        </w:rPr>
        <w:t>Revision of Assignment</w:t>
      </w:r>
      <w:r w:rsidRPr="00EF03C1">
        <w:rPr>
          <w:rFonts w:ascii="Arial" w:hAnsi="Arial" w:cs="Arial"/>
        </w:rPr>
        <w:t xml:space="preserve">: If an assignment must be revised because it is unsatisfactory, the highest grade that can be earned on that assignment is 85% of total points for that assignment. </w:t>
      </w:r>
    </w:p>
    <w:p w:rsidR="007A37F5" w:rsidRPr="00EF03C1" w:rsidRDefault="007A37F5" w:rsidP="00DE32AD">
      <w:pPr>
        <w:spacing w:after="0" w:line="240" w:lineRule="auto"/>
        <w:rPr>
          <w:rFonts w:ascii="Arial" w:hAnsi="Arial" w:cs="Arial"/>
        </w:rPr>
      </w:pPr>
    </w:p>
    <w:p w:rsidR="007A37F5" w:rsidRPr="00EF03C1" w:rsidRDefault="007A37F5" w:rsidP="00DE32AD">
      <w:pPr>
        <w:spacing w:after="0" w:line="240" w:lineRule="auto"/>
        <w:rPr>
          <w:rFonts w:ascii="Arial" w:hAnsi="Arial" w:cs="Arial"/>
        </w:rPr>
      </w:pPr>
      <w:r w:rsidRPr="00EF03C1">
        <w:rPr>
          <w:rFonts w:ascii="Arial" w:hAnsi="Arial" w:cs="Arial"/>
          <w:i/>
        </w:rPr>
        <w:t>Requests for Grades of Incomplete</w:t>
      </w:r>
      <w:r w:rsidRPr="00EF03C1">
        <w:rPr>
          <w:rFonts w:ascii="Arial" w:hAnsi="Arial" w:cs="Arial"/>
        </w:rPr>
        <w:t xml:space="preserve">: Such requests are rarely granted by instructors.  </w:t>
      </w:r>
    </w:p>
    <w:p w:rsidR="00793748" w:rsidRPr="00EF03C1" w:rsidRDefault="00793748" w:rsidP="00793748">
      <w:pPr>
        <w:spacing w:after="0" w:line="240" w:lineRule="auto"/>
        <w:rPr>
          <w:rFonts w:ascii="Arial" w:hAnsi="Arial" w:cs="Arial"/>
        </w:rPr>
      </w:pPr>
    </w:p>
    <w:p w:rsidR="0007137A" w:rsidRPr="00EF03C1" w:rsidRDefault="000A5019" w:rsidP="000A5019">
      <w:pPr>
        <w:rPr>
          <w:rFonts w:ascii="Arial" w:hAnsi="Arial" w:cs="Arial"/>
        </w:rPr>
      </w:pPr>
      <w:r w:rsidRPr="00EF03C1">
        <w:rPr>
          <w:rFonts w:ascii="Arial" w:hAnsi="Arial" w:cs="Arial"/>
          <w:i/>
        </w:rPr>
        <w:t xml:space="preserve">Cell Phones and Laptop: </w:t>
      </w:r>
      <w:r w:rsidRPr="00EF03C1">
        <w:rPr>
          <w:rFonts w:ascii="Arial" w:hAnsi="Arial" w:cs="Arial"/>
        </w:rPr>
        <w:t xml:space="preserve">Students should turn off cell phones when they are in class. This means vibrate as well as ring modes. Also, there should be no texting during class. Laptops may be used in class for taking notes and for engaging in learning activities for the course. </w:t>
      </w:r>
    </w:p>
    <w:p w:rsidR="000A5019" w:rsidRPr="00EF03C1" w:rsidRDefault="000A5019" w:rsidP="000A5019">
      <w:pPr>
        <w:rPr>
          <w:rFonts w:ascii="Arial" w:hAnsi="Arial" w:cs="Arial"/>
          <w:color w:val="000000"/>
        </w:rPr>
      </w:pPr>
      <w:r w:rsidRPr="00EF03C1">
        <w:rPr>
          <w:rFonts w:ascii="Arial" w:hAnsi="Arial" w:cs="Arial"/>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0A5019" w:rsidRPr="00EF03C1" w:rsidRDefault="000A5019" w:rsidP="000A5019">
      <w:pPr>
        <w:rPr>
          <w:rFonts w:ascii="Arial" w:hAnsi="Arial" w:cs="Arial"/>
          <w:color w:val="000000"/>
        </w:rPr>
      </w:pPr>
      <w:r w:rsidRPr="00EF03C1">
        <w:rPr>
          <w:rFonts w:ascii="Arial" w:hAnsi="Arial" w:cs="Arial"/>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07137A" w:rsidRPr="00EF03C1" w:rsidRDefault="0007137A" w:rsidP="0007137A">
      <w:pPr>
        <w:spacing w:after="0" w:line="240" w:lineRule="auto"/>
        <w:rPr>
          <w:rFonts w:ascii="Arial" w:hAnsi="Arial" w:cs="Arial"/>
        </w:rPr>
      </w:pPr>
      <w:r w:rsidRPr="00EF03C1">
        <w:rPr>
          <w:rFonts w:ascii="Arial" w:hAnsi="Arial" w:cs="Arial"/>
          <w:i/>
        </w:rPr>
        <w:t>Professionalism and Leadership</w:t>
      </w:r>
      <w:r w:rsidRPr="00EF03C1">
        <w:rPr>
          <w:rFonts w:ascii="Arial" w:hAnsi="Arial" w:cs="Arial"/>
        </w:rPr>
        <w:t xml:space="preserve">:  </w:t>
      </w:r>
    </w:p>
    <w:p w:rsidR="0007137A" w:rsidRPr="00EF03C1" w:rsidRDefault="0007137A" w:rsidP="0007137A">
      <w:pPr>
        <w:spacing w:after="0" w:line="240" w:lineRule="auto"/>
        <w:rPr>
          <w:rFonts w:ascii="Arial" w:hAnsi="Arial" w:cs="Arial"/>
        </w:rPr>
      </w:pPr>
    </w:p>
    <w:p w:rsidR="0007137A" w:rsidRPr="00EF03C1" w:rsidRDefault="0007137A"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2B3116" w:rsidRPr="00EF03C1" w:rsidRDefault="0007137A" w:rsidP="002B3116">
      <w:pPr>
        <w:rPr>
          <w:rFonts w:ascii="Arial" w:hAnsi="Arial" w:cs="Arial"/>
        </w:rPr>
      </w:pPr>
      <w:r w:rsidRPr="00EF03C1">
        <w:rPr>
          <w:rFonts w:ascii="Arial" w:hAnsi="Arial" w:cs="Arial"/>
        </w:rPr>
        <w:t xml:space="preserve">Students are expected to show professionalism and respect for classmates and instructors by: not chewing gum while presenting in front of peers, </w:t>
      </w:r>
      <w:proofErr w:type="gramStart"/>
      <w:r w:rsidRPr="00EF03C1">
        <w:rPr>
          <w:rFonts w:ascii="Arial" w:hAnsi="Arial" w:cs="Arial"/>
        </w:rPr>
        <w:t>not reading from cell phones, not texting in class,</w:t>
      </w:r>
      <w:proofErr w:type="gramEnd"/>
      <w:r w:rsidRPr="00EF03C1">
        <w:rPr>
          <w:rFonts w:ascii="Arial" w:hAnsi="Arial" w:cs="Arial"/>
        </w:rPr>
        <w:t xml:space="preserve"> not using iPods in class.</w:t>
      </w:r>
    </w:p>
    <w:p w:rsidR="0009748D" w:rsidRPr="00A77B60" w:rsidRDefault="00AB489A" w:rsidP="0009748D">
      <w:pPr>
        <w:rPr>
          <w:rFonts w:ascii="Times New Roman Bold" w:hAnsi="Times New Roman Bold"/>
          <w:b/>
          <w:color w:val="000000"/>
        </w:rPr>
      </w:pPr>
      <w:r>
        <w:rPr>
          <w:rFonts w:ascii="Times New Roman Bold" w:hAnsi="Times New Roman Bold"/>
          <w:b/>
          <w:color w:val="000000"/>
        </w:rPr>
        <w:t xml:space="preserve">XI. </w:t>
      </w:r>
      <w:r w:rsidR="0009748D" w:rsidRPr="00A77B60">
        <w:rPr>
          <w:rFonts w:ascii="Times New Roman Bold" w:hAnsi="Times New Roman Bold"/>
          <w:b/>
          <w:color w:val="000000"/>
        </w:rPr>
        <w:t>Conceptual Framework</w:t>
      </w:r>
      <w:r w:rsidR="0009748D">
        <w:rPr>
          <w:rFonts w:ascii="Times New Roman Bold" w:hAnsi="Times New Roman Bold"/>
          <w:b/>
          <w:color w:val="000000"/>
        </w:rPr>
        <w:t>: The Educator as Agent of Engaged Learning</w:t>
      </w:r>
    </w:p>
    <w:p w:rsidR="0009748D" w:rsidRPr="00A77B60" w:rsidRDefault="0009748D" w:rsidP="0009748D">
      <w:pPr>
        <w:rPr>
          <w:color w:val="000000"/>
        </w:rPr>
      </w:pPr>
      <w:r w:rsidRPr="00A77B60">
        <w:rPr>
          <w:color w:val="00000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w:t>
      </w:r>
      <w:r w:rsidRPr="00A77B60">
        <w:rPr>
          <w:color w:val="000000"/>
        </w:rPr>
        <w:lastRenderedPageBreak/>
        <w:t>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09748D" w:rsidRPr="00A77B60" w:rsidRDefault="0009748D"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09748D" w:rsidRPr="00A77B60" w:rsidRDefault="0076638B" w:rsidP="0009748D">
      <w:pPr>
        <w:rPr>
          <w:color w:val="000000"/>
        </w:rPr>
      </w:pPr>
      <w:r>
        <w:rPr>
          <w:color w:val="000000"/>
        </w:rPr>
        <w:t>S</w:t>
      </w:r>
      <w:r w:rsidR="0009748D"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09748D" w:rsidRPr="00A77B60" w:rsidRDefault="0009748D"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09748D" w:rsidRPr="00A77B60" w:rsidRDefault="0009748D" w:rsidP="0009748D">
      <w:pPr>
        <w:rPr>
          <w:color w:val="000000"/>
        </w:rPr>
      </w:pPr>
      <w:r w:rsidRPr="00A77B60">
        <w:rPr>
          <w:color w:val="000000"/>
        </w:rPr>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09748D" w:rsidRPr="00A77B60" w:rsidRDefault="0009748D"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09748D" w:rsidRPr="00A77B60" w:rsidRDefault="0009748D"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09748D" w:rsidRPr="00A77B60" w:rsidRDefault="0009748D"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09748D" w:rsidRPr="00A77B60" w:rsidRDefault="0009748D" w:rsidP="0009748D">
      <w:pPr>
        <w:rPr>
          <w:color w:val="000000"/>
        </w:rPr>
      </w:pPr>
      <w:r w:rsidRPr="00A77B60">
        <w:rPr>
          <w:color w:val="000000"/>
        </w:rPr>
        <w:t>6. Engaged professional learning refers to the educator's commitment to ethical practice and to continued learning and professional development.</w:t>
      </w:r>
    </w:p>
    <w:p w:rsidR="0009748D" w:rsidRPr="00A77B60" w:rsidRDefault="0009748D"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09748D" w:rsidRDefault="0009748D"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D22031" w:rsidRPr="0092479C" w:rsidRDefault="00D22031" w:rsidP="00D22031">
      <w:pPr>
        <w:rPr>
          <w:color w:val="000000"/>
        </w:rPr>
      </w:pPr>
      <w:r>
        <w:lastRenderedPageBreak/>
        <w:t>X.</w:t>
      </w:r>
      <w:r w:rsidRPr="00272DF0">
        <w:t xml:space="preserve">COURSE OUTLINE:  The </w:t>
      </w:r>
      <w:r w:rsidRPr="00272DF0">
        <w:rPr>
          <w:b/>
          <w:i/>
        </w:rPr>
        <w:t>tentative</w:t>
      </w:r>
      <w:r w:rsidRPr="00272DF0">
        <w:t xml:space="preserve"> course outline and calendar are as follows:</w:t>
      </w:r>
    </w:p>
    <w:p w:rsidR="00D22031" w:rsidRPr="00272DF0" w:rsidRDefault="00D22031" w:rsidP="00D22031">
      <w:r w:rsidRPr="00272DF0">
        <w:t>ASSIGNMENT GUIDELINES</w:t>
      </w:r>
    </w:p>
    <w:p w:rsidR="00D22031" w:rsidRPr="00EA5471" w:rsidRDefault="00D22031" w:rsidP="00D22031">
      <w:pPr>
        <w:jc w:val="center"/>
        <w:rPr>
          <w:sz w:val="20"/>
        </w:rPr>
      </w:pPr>
      <w:r w:rsidRPr="00EA5471">
        <w:rPr>
          <w:sz w:val="20"/>
        </w:rPr>
        <w:t xml:space="preserve">This will be updated and completed once the semester is underway </w:t>
      </w:r>
    </w:p>
    <w:p w:rsidR="00D22031" w:rsidRDefault="00D22031" w:rsidP="00D22031">
      <w:pPr>
        <w:jc w:val="center"/>
        <w:rPr>
          <w:sz w:val="20"/>
        </w:rPr>
      </w:pPr>
      <w:proofErr w:type="gramStart"/>
      <w:r w:rsidRPr="00EA5471">
        <w:rPr>
          <w:sz w:val="20"/>
        </w:rPr>
        <w:t>and</w:t>
      </w:r>
      <w:proofErr w:type="gramEnd"/>
      <w:r w:rsidRPr="00EA5471">
        <w:rPr>
          <w:sz w:val="20"/>
        </w:rPr>
        <w:t xml:space="preserve"> we have mapped out our questions and inquiries together.</w:t>
      </w:r>
    </w:p>
    <w:tbl>
      <w:tblPr>
        <w:tblStyle w:val="TableGrid"/>
        <w:tblW w:w="0" w:type="auto"/>
        <w:tblLook w:val="04A0"/>
      </w:tblPr>
      <w:tblGrid>
        <w:gridCol w:w="3192"/>
        <w:gridCol w:w="3192"/>
        <w:gridCol w:w="3192"/>
      </w:tblGrid>
      <w:tr w:rsidR="00D22031" w:rsidTr="00D22031">
        <w:tc>
          <w:tcPr>
            <w:tcW w:w="3192" w:type="dxa"/>
          </w:tcPr>
          <w:p w:rsidR="00D22031" w:rsidRDefault="00D22031" w:rsidP="00D22031">
            <w:pPr>
              <w:jc w:val="center"/>
              <w:rPr>
                <w:sz w:val="20"/>
              </w:rPr>
            </w:pPr>
            <w:r>
              <w:rPr>
                <w:rFonts w:ascii="Arial" w:hAnsi="Arial" w:cs="Arial"/>
                <w:color w:val="000000"/>
                <w:sz w:val="24"/>
                <w:szCs w:val="24"/>
              </w:rPr>
              <w:t>CLASS MEETING</w:t>
            </w:r>
          </w:p>
        </w:tc>
        <w:tc>
          <w:tcPr>
            <w:tcW w:w="3192" w:type="dxa"/>
          </w:tcPr>
          <w:p w:rsidR="00D22031" w:rsidRDefault="00D22031" w:rsidP="00D22031">
            <w:pPr>
              <w:jc w:val="center"/>
              <w:rPr>
                <w:sz w:val="20"/>
              </w:rPr>
            </w:pPr>
            <w:r>
              <w:rPr>
                <w:rFonts w:ascii="Arial" w:hAnsi="Arial" w:cs="Arial"/>
                <w:color w:val="000000"/>
                <w:sz w:val="24"/>
                <w:szCs w:val="24"/>
              </w:rPr>
              <w:t>TOPIC</w:t>
            </w:r>
          </w:p>
        </w:tc>
        <w:tc>
          <w:tcPr>
            <w:tcW w:w="3192" w:type="dxa"/>
          </w:tcPr>
          <w:p w:rsidR="00D22031" w:rsidRDefault="00D22031" w:rsidP="00D22031">
            <w:pPr>
              <w:jc w:val="center"/>
              <w:rPr>
                <w:sz w:val="20"/>
              </w:rPr>
            </w:pPr>
            <w:r>
              <w:rPr>
                <w:rFonts w:ascii="Arial" w:hAnsi="Arial" w:cs="Arial"/>
                <w:color w:val="000000"/>
                <w:sz w:val="24"/>
                <w:szCs w:val="24"/>
              </w:rPr>
              <w:t>ASSIGNMENT</w:t>
            </w:r>
          </w:p>
        </w:tc>
      </w:tr>
      <w:tr w:rsidR="00D22031" w:rsidTr="00D22031">
        <w:tc>
          <w:tcPr>
            <w:tcW w:w="3192" w:type="dxa"/>
          </w:tcPr>
          <w:p w:rsidR="00304E62" w:rsidRDefault="00C036E5" w:rsidP="00304E62">
            <w:pPr>
              <w:rPr>
                <w:rFonts w:ascii="Arial" w:hAnsi="Arial" w:cs="Arial"/>
                <w:color w:val="000000"/>
                <w:sz w:val="24"/>
                <w:szCs w:val="24"/>
              </w:rPr>
            </w:pPr>
            <w:r>
              <w:rPr>
                <w:rFonts w:ascii="Arial" w:hAnsi="Arial" w:cs="Arial"/>
                <w:color w:val="000000"/>
                <w:sz w:val="24"/>
                <w:szCs w:val="24"/>
              </w:rPr>
              <w:t>August 30</w:t>
            </w:r>
          </w:p>
          <w:p w:rsidR="00D22031" w:rsidRDefault="00D22031" w:rsidP="00D22031">
            <w:pPr>
              <w:jc w:val="center"/>
              <w:rPr>
                <w:sz w:val="20"/>
              </w:rPr>
            </w:pPr>
          </w:p>
        </w:tc>
        <w:tc>
          <w:tcPr>
            <w:tcW w:w="3192" w:type="dxa"/>
          </w:tcPr>
          <w:p w:rsidR="00D22031" w:rsidRDefault="00026DED" w:rsidP="00D22031">
            <w:pPr>
              <w:jc w:val="center"/>
              <w:rPr>
                <w:sz w:val="20"/>
              </w:rPr>
            </w:pPr>
            <w:r w:rsidRPr="005427FE">
              <w:rPr>
                <w:rFonts w:ascii="Calibri" w:hAnsi="Calibri"/>
                <w:color w:val="000000"/>
              </w:rPr>
              <w:t>Introduction</w:t>
            </w:r>
            <w:r>
              <w:rPr>
                <w:rFonts w:ascii="Calibri" w:hAnsi="Calibri"/>
                <w:color w:val="000000"/>
              </w:rPr>
              <w:t xml:space="preserve">,  Review Course Syllabus, </w:t>
            </w:r>
            <w:proofErr w:type="spellStart"/>
            <w:smartTag w:uri="urn:schemas-microsoft-com:office:smarttags" w:element="place">
              <w:smartTag w:uri="urn:schemas-microsoft-com:office:smarttags" w:element="PlaceName">
                <w:r>
                  <w:rPr>
                    <w:rFonts w:ascii="Calibri" w:hAnsi="Calibri"/>
                    <w:color w:val="000000"/>
                  </w:rPr>
                  <w:t>TExES</w:t>
                </w:r>
              </w:smartTag>
              <w:proofErr w:type="spellEnd"/>
              <w:r>
                <w:rPr>
                  <w:rFonts w:ascii="Calibri" w:hAnsi="Calibri"/>
                  <w:color w:val="000000"/>
                </w:rPr>
                <w:t xml:space="preserve"> </w:t>
              </w:r>
              <w:smartTag w:uri="urn:schemas-microsoft-com:office:smarttags" w:element="PlaceType">
                <w:r>
                  <w:rPr>
                    <w:rFonts w:ascii="Calibri" w:hAnsi="Calibri"/>
                    <w:color w:val="000000"/>
                  </w:rPr>
                  <w:t>State</w:t>
                </w:r>
              </w:smartTag>
            </w:smartTag>
            <w:r>
              <w:rPr>
                <w:rFonts w:ascii="Calibri" w:hAnsi="Calibri"/>
                <w:color w:val="000000"/>
              </w:rPr>
              <w:t xml:space="preserve"> Educator Standards</w:t>
            </w:r>
          </w:p>
        </w:tc>
        <w:tc>
          <w:tcPr>
            <w:tcW w:w="3192" w:type="dxa"/>
          </w:tcPr>
          <w:p w:rsidR="00D22031" w:rsidRDefault="00D22031" w:rsidP="00D22031">
            <w:pPr>
              <w:jc w:val="center"/>
              <w:rPr>
                <w:sz w:val="20"/>
              </w:rPr>
            </w:pPr>
          </w:p>
        </w:tc>
      </w:tr>
      <w:tr w:rsidR="00D22031" w:rsidTr="00D22031">
        <w:tc>
          <w:tcPr>
            <w:tcW w:w="3192" w:type="dxa"/>
          </w:tcPr>
          <w:p w:rsidR="00D22031" w:rsidRDefault="00304E62" w:rsidP="00304E62">
            <w:pPr>
              <w:rPr>
                <w:sz w:val="20"/>
              </w:rPr>
            </w:pPr>
            <w:r>
              <w:rPr>
                <w:rFonts w:ascii="Arial" w:hAnsi="Arial" w:cs="Arial"/>
                <w:color w:val="000000"/>
                <w:sz w:val="24"/>
                <w:szCs w:val="24"/>
              </w:rPr>
              <w:t xml:space="preserve">September </w:t>
            </w:r>
            <w:r w:rsidR="00914995">
              <w:rPr>
                <w:rFonts w:ascii="Arial" w:hAnsi="Arial" w:cs="Arial"/>
                <w:color w:val="000000"/>
                <w:sz w:val="24"/>
                <w:szCs w:val="24"/>
              </w:rPr>
              <w:t>1</w:t>
            </w:r>
          </w:p>
        </w:tc>
        <w:tc>
          <w:tcPr>
            <w:tcW w:w="3192" w:type="dxa"/>
          </w:tcPr>
          <w:p w:rsidR="00D22031" w:rsidRDefault="00026DED" w:rsidP="00D22031">
            <w:pPr>
              <w:jc w:val="center"/>
              <w:rPr>
                <w:sz w:val="20"/>
              </w:rPr>
            </w:pPr>
            <w:r w:rsidRPr="006C5211">
              <w:rPr>
                <w:rFonts w:ascii="Calibri" w:hAnsi="Calibri" w:cs="Arial"/>
              </w:rPr>
              <w:t>Chapter 1</w:t>
            </w:r>
            <w:r>
              <w:rPr>
                <w:rFonts w:ascii="Calibri" w:hAnsi="Calibri" w:cs="Arial"/>
              </w:rPr>
              <w:t xml:space="preserve"> - </w:t>
            </w:r>
            <w:r w:rsidRPr="006C5211">
              <w:rPr>
                <w:rFonts w:ascii="Calibri" w:hAnsi="Calibri" w:cs="Arial"/>
                <w:i/>
              </w:rPr>
              <w:t xml:space="preserve"> </w:t>
            </w:r>
            <w:r w:rsidRPr="006C5211">
              <w:rPr>
                <w:rFonts w:ascii="Calibri" w:hAnsi="Calibri" w:cs="Arial"/>
              </w:rPr>
              <w:t>Bilingualism: Definitions and Distinctions</w:t>
            </w:r>
          </w:p>
        </w:tc>
        <w:tc>
          <w:tcPr>
            <w:tcW w:w="3192" w:type="dxa"/>
          </w:tcPr>
          <w:p w:rsidR="00D22031" w:rsidRDefault="00916486" w:rsidP="00D22031">
            <w:pPr>
              <w:jc w:val="center"/>
              <w:rPr>
                <w:sz w:val="20"/>
              </w:rPr>
            </w:pPr>
            <w:r>
              <w:rPr>
                <w:sz w:val="20"/>
              </w:rPr>
              <w:t>Reading Response Log due</w:t>
            </w:r>
          </w:p>
        </w:tc>
      </w:tr>
      <w:tr w:rsidR="00304E62" w:rsidTr="00D22031">
        <w:tc>
          <w:tcPr>
            <w:tcW w:w="3192" w:type="dxa"/>
          </w:tcPr>
          <w:p w:rsidR="00304E62" w:rsidRPr="00EE776D" w:rsidRDefault="00304E62" w:rsidP="00EF48D8">
            <w:pPr>
              <w:rPr>
                <w:rFonts w:ascii="Arial" w:hAnsi="Arial" w:cs="Arial"/>
                <w:color w:val="000000"/>
                <w:sz w:val="24"/>
                <w:szCs w:val="24"/>
              </w:rPr>
            </w:pPr>
            <w:r w:rsidRPr="00EE776D">
              <w:rPr>
                <w:rFonts w:ascii="Arial" w:hAnsi="Arial" w:cs="Arial"/>
                <w:color w:val="000000"/>
                <w:sz w:val="24"/>
                <w:szCs w:val="24"/>
              </w:rPr>
              <w:t xml:space="preserve">September </w:t>
            </w:r>
            <w:r w:rsidR="007A2850">
              <w:rPr>
                <w:rFonts w:ascii="Arial" w:hAnsi="Arial" w:cs="Arial"/>
                <w:color w:val="000000"/>
                <w:sz w:val="24"/>
                <w:szCs w:val="24"/>
              </w:rPr>
              <w:t>6</w:t>
            </w:r>
          </w:p>
        </w:tc>
        <w:tc>
          <w:tcPr>
            <w:tcW w:w="3192" w:type="dxa"/>
          </w:tcPr>
          <w:p w:rsidR="00304E62" w:rsidRDefault="00026DED" w:rsidP="00D22031">
            <w:pPr>
              <w:jc w:val="center"/>
              <w:rPr>
                <w:sz w:val="20"/>
              </w:rPr>
            </w:pPr>
            <w:r w:rsidRPr="006C5211">
              <w:rPr>
                <w:rFonts w:ascii="Calibri" w:hAnsi="Calibri" w:cs="Arial"/>
              </w:rPr>
              <w:t>Chapter 2</w:t>
            </w:r>
            <w:r>
              <w:rPr>
                <w:rFonts w:ascii="Calibri" w:hAnsi="Calibri" w:cs="Arial"/>
              </w:rPr>
              <w:t xml:space="preserve"> - </w:t>
            </w:r>
            <w:r w:rsidRPr="006C5211">
              <w:rPr>
                <w:rFonts w:ascii="Calibri" w:hAnsi="Calibri" w:cs="Arial"/>
                <w:i/>
              </w:rPr>
              <w:t xml:space="preserve"> </w:t>
            </w:r>
            <w:r w:rsidRPr="00226FF1">
              <w:rPr>
                <w:rFonts w:ascii="Calibri" w:hAnsi="Calibri" w:cs="Arial"/>
              </w:rPr>
              <w:t>The Measurement of Bilingualism</w:t>
            </w:r>
          </w:p>
        </w:tc>
        <w:tc>
          <w:tcPr>
            <w:tcW w:w="3192" w:type="dxa"/>
          </w:tcPr>
          <w:p w:rsidR="00304E62" w:rsidRDefault="007A2850" w:rsidP="00D22031">
            <w:pPr>
              <w:jc w:val="center"/>
              <w:rPr>
                <w:sz w:val="20"/>
              </w:rPr>
            </w:pPr>
            <w:r>
              <w:rPr>
                <w:sz w:val="20"/>
              </w:rPr>
              <w:t>No Class</w:t>
            </w:r>
          </w:p>
        </w:tc>
      </w:tr>
      <w:tr w:rsidR="00304E62" w:rsidTr="00D22031">
        <w:tc>
          <w:tcPr>
            <w:tcW w:w="3192" w:type="dxa"/>
          </w:tcPr>
          <w:p w:rsidR="00304E62" w:rsidRPr="00EE776D" w:rsidRDefault="00304E62" w:rsidP="00EF48D8">
            <w:pPr>
              <w:rPr>
                <w:rFonts w:ascii="Arial" w:hAnsi="Arial" w:cs="Arial"/>
                <w:color w:val="000000"/>
                <w:sz w:val="24"/>
                <w:szCs w:val="24"/>
              </w:rPr>
            </w:pPr>
            <w:r w:rsidRPr="00EE776D">
              <w:rPr>
                <w:rFonts w:ascii="Arial" w:hAnsi="Arial" w:cs="Arial"/>
                <w:color w:val="000000"/>
                <w:sz w:val="24"/>
                <w:szCs w:val="24"/>
              </w:rPr>
              <w:t xml:space="preserve">September </w:t>
            </w:r>
            <w:r w:rsidR="007A2850">
              <w:rPr>
                <w:rFonts w:ascii="Arial" w:hAnsi="Arial" w:cs="Arial"/>
                <w:color w:val="000000"/>
                <w:sz w:val="24"/>
                <w:szCs w:val="24"/>
              </w:rPr>
              <w:t>8</w:t>
            </w:r>
          </w:p>
        </w:tc>
        <w:tc>
          <w:tcPr>
            <w:tcW w:w="3192" w:type="dxa"/>
          </w:tcPr>
          <w:p w:rsidR="00304E62" w:rsidRDefault="00026DED" w:rsidP="00D22031">
            <w:pPr>
              <w:jc w:val="center"/>
              <w:rPr>
                <w:sz w:val="20"/>
              </w:rPr>
            </w:pPr>
            <w:r w:rsidRPr="006C5211">
              <w:rPr>
                <w:rFonts w:ascii="Calibri" w:hAnsi="Calibri" w:cs="Arial"/>
              </w:rPr>
              <w:t>Chapter 2</w:t>
            </w:r>
            <w:r>
              <w:rPr>
                <w:rFonts w:ascii="Calibri" w:hAnsi="Calibri" w:cs="Arial"/>
              </w:rPr>
              <w:t xml:space="preserve"> - </w:t>
            </w:r>
            <w:r w:rsidRPr="006C5211">
              <w:rPr>
                <w:rFonts w:ascii="Calibri" w:hAnsi="Calibri" w:cs="Arial"/>
                <w:i/>
              </w:rPr>
              <w:t xml:space="preserve"> </w:t>
            </w:r>
            <w:r w:rsidRPr="00226FF1">
              <w:rPr>
                <w:rFonts w:ascii="Calibri" w:hAnsi="Calibri" w:cs="Arial"/>
              </w:rPr>
              <w:t>The Measurement of Bilingualism</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EE776D" w:rsidRDefault="00304E62" w:rsidP="00EF48D8">
            <w:pPr>
              <w:rPr>
                <w:rFonts w:ascii="Arial" w:hAnsi="Arial" w:cs="Arial"/>
                <w:color w:val="000000"/>
                <w:sz w:val="24"/>
                <w:szCs w:val="24"/>
              </w:rPr>
            </w:pPr>
            <w:r>
              <w:rPr>
                <w:rFonts w:ascii="Arial" w:hAnsi="Arial" w:cs="Arial"/>
                <w:color w:val="000000"/>
                <w:sz w:val="24"/>
                <w:szCs w:val="24"/>
              </w:rPr>
              <w:t>September 1</w:t>
            </w:r>
            <w:r w:rsidR="009F1814">
              <w:rPr>
                <w:rFonts w:ascii="Arial" w:hAnsi="Arial" w:cs="Arial"/>
                <w:color w:val="000000"/>
                <w:sz w:val="24"/>
                <w:szCs w:val="24"/>
              </w:rPr>
              <w:t>3</w:t>
            </w:r>
          </w:p>
        </w:tc>
        <w:tc>
          <w:tcPr>
            <w:tcW w:w="3192" w:type="dxa"/>
          </w:tcPr>
          <w:p w:rsidR="00026DED" w:rsidRDefault="00026DED" w:rsidP="00026DED">
            <w:pPr>
              <w:rPr>
                <w:rFonts w:ascii="Calibri" w:hAnsi="Calibri" w:cs="Arial"/>
              </w:rPr>
            </w:pPr>
            <w:r w:rsidRPr="00226FF1">
              <w:rPr>
                <w:rFonts w:ascii="Calibri" w:hAnsi="Calibri" w:cs="Arial"/>
              </w:rPr>
              <w:t>Chapter 3 - Endangered Languages</w:t>
            </w:r>
            <w:r>
              <w:rPr>
                <w:rFonts w:ascii="Calibri" w:hAnsi="Calibri" w:cs="Arial"/>
              </w:rPr>
              <w:t>:</w:t>
            </w:r>
            <w:r w:rsidRPr="00226FF1">
              <w:rPr>
                <w:rFonts w:ascii="Calibri" w:hAnsi="Calibri" w:cs="Arial"/>
              </w:rPr>
              <w:t xml:space="preserve"> Planning and Revitalization</w:t>
            </w:r>
            <w:r w:rsidRPr="00226FF1">
              <w:rPr>
                <w:rFonts w:ascii="Calibri" w:hAnsi="Calibri" w:cs="Arial"/>
                <w:i/>
              </w:rPr>
              <w:t xml:space="preserve"> </w:t>
            </w:r>
          </w:p>
          <w:p w:rsidR="00304E62" w:rsidRDefault="00304E62"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EE776D" w:rsidRDefault="00304E62" w:rsidP="00EF48D8">
            <w:pPr>
              <w:rPr>
                <w:rFonts w:ascii="Arial" w:hAnsi="Arial" w:cs="Arial"/>
                <w:color w:val="000000"/>
                <w:sz w:val="24"/>
                <w:szCs w:val="24"/>
              </w:rPr>
            </w:pPr>
            <w:r w:rsidRPr="00EE776D">
              <w:rPr>
                <w:rFonts w:ascii="Arial" w:hAnsi="Arial" w:cs="Arial"/>
                <w:color w:val="000000"/>
                <w:sz w:val="24"/>
                <w:szCs w:val="24"/>
              </w:rPr>
              <w:t>September 1</w:t>
            </w:r>
            <w:r w:rsidR="009F1814">
              <w:rPr>
                <w:rFonts w:ascii="Arial" w:hAnsi="Arial" w:cs="Arial"/>
                <w:color w:val="000000"/>
                <w:sz w:val="24"/>
                <w:szCs w:val="24"/>
              </w:rPr>
              <w:t>5</w:t>
            </w:r>
          </w:p>
        </w:tc>
        <w:tc>
          <w:tcPr>
            <w:tcW w:w="3192" w:type="dxa"/>
          </w:tcPr>
          <w:p w:rsidR="00026DED" w:rsidRDefault="00026DED" w:rsidP="00026DED">
            <w:pPr>
              <w:rPr>
                <w:rFonts w:ascii="Calibri" w:hAnsi="Calibri" w:cs="Arial"/>
              </w:rPr>
            </w:pPr>
            <w:r w:rsidRPr="00226FF1">
              <w:rPr>
                <w:rFonts w:ascii="Calibri" w:hAnsi="Calibri" w:cs="Arial"/>
              </w:rPr>
              <w:t>Chapter 4</w:t>
            </w:r>
            <w:r w:rsidRPr="00226FF1">
              <w:rPr>
                <w:rFonts w:ascii="Calibri" w:hAnsi="Calibri" w:cs="Arial"/>
                <w:i/>
              </w:rPr>
              <w:t xml:space="preserve"> – </w:t>
            </w:r>
            <w:r w:rsidRPr="00226FF1">
              <w:rPr>
                <w:rFonts w:ascii="Calibri" w:hAnsi="Calibri" w:cs="Arial"/>
              </w:rPr>
              <w:t>Languages in Society</w:t>
            </w:r>
          </w:p>
          <w:p w:rsidR="00304E62" w:rsidRDefault="00304E62"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Pr>
                <w:rFonts w:ascii="Arial" w:hAnsi="Arial" w:cs="Arial"/>
                <w:color w:val="000000"/>
                <w:sz w:val="24"/>
                <w:szCs w:val="24"/>
              </w:rPr>
              <w:t>September 2</w:t>
            </w:r>
            <w:r w:rsidR="009F1814">
              <w:rPr>
                <w:rFonts w:ascii="Arial" w:hAnsi="Arial" w:cs="Arial"/>
                <w:color w:val="000000"/>
                <w:sz w:val="24"/>
                <w:szCs w:val="24"/>
              </w:rPr>
              <w:t>0</w:t>
            </w:r>
          </w:p>
        </w:tc>
        <w:tc>
          <w:tcPr>
            <w:tcW w:w="3192" w:type="dxa"/>
          </w:tcPr>
          <w:p w:rsidR="00304E62" w:rsidRDefault="00026DED" w:rsidP="00D22031">
            <w:pPr>
              <w:jc w:val="center"/>
              <w:rPr>
                <w:sz w:val="20"/>
              </w:rPr>
            </w:pPr>
            <w:r w:rsidRPr="00226FF1">
              <w:rPr>
                <w:rFonts w:ascii="Calibri" w:hAnsi="Calibri" w:cs="Arial"/>
              </w:rPr>
              <w:t>Chapter 5</w:t>
            </w:r>
            <w:r w:rsidRPr="00A84B53">
              <w:rPr>
                <w:rFonts w:ascii="Arial" w:hAnsi="Arial" w:cs="Arial"/>
              </w:rPr>
              <w:t xml:space="preserve"> - </w:t>
            </w:r>
            <w:r w:rsidRPr="00226FF1">
              <w:rPr>
                <w:rFonts w:ascii="Calibri" w:hAnsi="Calibri" w:cs="Arial"/>
              </w:rPr>
              <w:t>Th</w:t>
            </w:r>
            <w:r>
              <w:rPr>
                <w:rFonts w:ascii="Calibri" w:hAnsi="Calibri" w:cs="Arial"/>
              </w:rPr>
              <w:t xml:space="preserve">e Early </w:t>
            </w:r>
            <w:r w:rsidRPr="00226FF1">
              <w:rPr>
                <w:rFonts w:ascii="Calibri" w:hAnsi="Calibri" w:cs="Arial"/>
              </w:rPr>
              <w:t xml:space="preserve"> Development of Bilingua</w:t>
            </w:r>
            <w:r>
              <w:rPr>
                <w:rFonts w:ascii="Calibri" w:hAnsi="Calibri" w:cs="Arial"/>
              </w:rPr>
              <w:t>lism</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September 2</w:t>
            </w:r>
            <w:r w:rsidR="009F1814">
              <w:rPr>
                <w:rFonts w:ascii="Arial" w:hAnsi="Arial" w:cs="Arial"/>
                <w:color w:val="000000"/>
                <w:sz w:val="24"/>
                <w:szCs w:val="24"/>
              </w:rPr>
              <w:t>2</w:t>
            </w:r>
          </w:p>
        </w:tc>
        <w:tc>
          <w:tcPr>
            <w:tcW w:w="3192" w:type="dxa"/>
          </w:tcPr>
          <w:p w:rsidR="00304E62" w:rsidRDefault="00026DED" w:rsidP="00D22031">
            <w:pPr>
              <w:jc w:val="center"/>
              <w:rPr>
                <w:sz w:val="20"/>
              </w:rPr>
            </w:pPr>
            <w:r w:rsidRPr="00226FF1">
              <w:rPr>
                <w:rFonts w:ascii="Calibri" w:hAnsi="Calibri" w:cs="Arial"/>
              </w:rPr>
              <w:t>Chapter 6</w:t>
            </w:r>
            <w:r w:rsidRPr="00A84B53">
              <w:rPr>
                <w:rFonts w:ascii="Arial" w:hAnsi="Arial" w:cs="Arial"/>
                <w:i/>
              </w:rPr>
              <w:t xml:space="preserve"> – </w:t>
            </w:r>
            <w:r w:rsidRPr="00226FF1">
              <w:rPr>
                <w:rFonts w:ascii="Calibri" w:hAnsi="Calibri" w:cs="Arial"/>
              </w:rPr>
              <w:t>The Later Development of Bilingual</w:t>
            </w:r>
            <w:r>
              <w:rPr>
                <w:rFonts w:ascii="Calibri" w:hAnsi="Calibri" w:cs="Arial"/>
              </w:rPr>
              <w:t>ism</w:t>
            </w:r>
            <w:r w:rsidRPr="00A84B53">
              <w:rPr>
                <w:rFonts w:ascii="Arial" w:hAnsi="Arial" w:cs="Arial"/>
                <w:i/>
              </w:rPr>
              <w:t xml:space="preserve">  </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September 2</w:t>
            </w:r>
            <w:r w:rsidR="009F1814">
              <w:rPr>
                <w:rFonts w:ascii="Arial" w:hAnsi="Arial" w:cs="Arial"/>
                <w:color w:val="000000"/>
                <w:sz w:val="24"/>
                <w:szCs w:val="24"/>
              </w:rPr>
              <w:t>7</w:t>
            </w:r>
          </w:p>
        </w:tc>
        <w:tc>
          <w:tcPr>
            <w:tcW w:w="3192" w:type="dxa"/>
          </w:tcPr>
          <w:p w:rsidR="00304E62" w:rsidRDefault="00026DED" w:rsidP="00D22031">
            <w:pPr>
              <w:jc w:val="center"/>
              <w:rPr>
                <w:sz w:val="20"/>
              </w:rPr>
            </w:pPr>
            <w:r w:rsidRPr="00226FF1">
              <w:rPr>
                <w:rFonts w:ascii="Calibri" w:hAnsi="Calibri" w:cs="Arial"/>
              </w:rPr>
              <w:t>Chapter 7</w:t>
            </w:r>
            <w:r w:rsidRPr="00DD2FCC">
              <w:rPr>
                <w:rFonts w:ascii="Arial" w:hAnsi="Arial" w:cs="Arial"/>
              </w:rPr>
              <w:t>-</w:t>
            </w:r>
            <w:r w:rsidRPr="00DD2FCC">
              <w:rPr>
                <w:rFonts w:ascii="Arial" w:hAnsi="Arial" w:cs="Arial"/>
                <w:i/>
              </w:rPr>
              <w:t xml:space="preserve"> </w:t>
            </w:r>
            <w:r w:rsidRPr="00226FF1">
              <w:rPr>
                <w:rFonts w:ascii="Calibri" w:hAnsi="Calibri" w:cs="Arial"/>
              </w:rPr>
              <w:t>Bilingualism and Cognition</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 xml:space="preserve">September </w:t>
            </w:r>
            <w:r w:rsidR="009F1814">
              <w:rPr>
                <w:rFonts w:ascii="Arial" w:hAnsi="Arial" w:cs="Arial"/>
                <w:color w:val="000000"/>
                <w:sz w:val="24"/>
                <w:szCs w:val="24"/>
              </w:rPr>
              <w:t>29</w:t>
            </w:r>
          </w:p>
        </w:tc>
        <w:tc>
          <w:tcPr>
            <w:tcW w:w="3192" w:type="dxa"/>
          </w:tcPr>
          <w:p w:rsidR="00026DED" w:rsidRPr="00DD2FCC" w:rsidRDefault="00026DED" w:rsidP="00026DED">
            <w:pPr>
              <w:pStyle w:val="ListParagraph"/>
              <w:ind w:left="0"/>
              <w:rPr>
                <w:rFonts w:ascii="Arial" w:hAnsi="Arial" w:cs="Arial"/>
              </w:rPr>
            </w:pPr>
            <w:r w:rsidRPr="00226FF1">
              <w:rPr>
                <w:rFonts w:ascii="Calibri" w:hAnsi="Calibri" w:cs="Arial"/>
              </w:rPr>
              <w:t>Chapter 8</w:t>
            </w:r>
            <w:r w:rsidRPr="00DD2FCC">
              <w:rPr>
                <w:rFonts w:ascii="Arial" w:hAnsi="Arial" w:cs="Arial"/>
              </w:rPr>
              <w:t xml:space="preserve">- </w:t>
            </w:r>
            <w:r w:rsidRPr="00226FF1">
              <w:rPr>
                <w:rFonts w:ascii="Calibri" w:hAnsi="Calibri" w:cs="Arial"/>
              </w:rPr>
              <w:t>Cognitive Theories of Bilingualism and the Curriculum</w:t>
            </w:r>
          </w:p>
          <w:p w:rsidR="00304E62" w:rsidRDefault="00304E62"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 xml:space="preserve">October </w:t>
            </w:r>
            <w:r w:rsidR="009F1814">
              <w:rPr>
                <w:rFonts w:ascii="Arial" w:hAnsi="Arial" w:cs="Arial"/>
                <w:color w:val="000000"/>
                <w:sz w:val="24"/>
                <w:szCs w:val="24"/>
              </w:rPr>
              <w:t>4</w:t>
            </w:r>
          </w:p>
        </w:tc>
        <w:tc>
          <w:tcPr>
            <w:tcW w:w="3192" w:type="dxa"/>
          </w:tcPr>
          <w:p w:rsidR="00304E62" w:rsidRDefault="00026DED" w:rsidP="00D22031">
            <w:pPr>
              <w:jc w:val="center"/>
              <w:rPr>
                <w:sz w:val="20"/>
              </w:rPr>
            </w:pPr>
            <w:r w:rsidRPr="00A91C59">
              <w:rPr>
                <w:rFonts w:ascii="Calibri" w:hAnsi="Calibri" w:cs="Arial"/>
              </w:rPr>
              <w:t>Chapter 9</w:t>
            </w:r>
            <w:r w:rsidRPr="00A0253D">
              <w:rPr>
                <w:rFonts w:ascii="Arial" w:hAnsi="Arial" w:cs="Arial"/>
              </w:rPr>
              <w:t xml:space="preserve"> –</w:t>
            </w:r>
            <w:r w:rsidRPr="00A91C59">
              <w:rPr>
                <w:rFonts w:ascii="Calibri" w:hAnsi="Calibri" w:cs="Arial"/>
              </w:rPr>
              <w:t xml:space="preserve"> Historical Introduction to Bilingual Education:  The </w:t>
            </w:r>
            <w:smartTag w:uri="urn:schemas-microsoft-com:office:smarttags" w:element="place">
              <w:smartTag w:uri="urn:schemas-microsoft-com:office:smarttags" w:element="country-region">
                <w:r w:rsidRPr="00A91C59">
                  <w:rPr>
                    <w:rFonts w:ascii="Calibri" w:hAnsi="Calibri" w:cs="Arial"/>
                  </w:rPr>
                  <w:t>United States</w:t>
                </w:r>
              </w:smartTag>
            </w:smartTag>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 xml:space="preserve">October </w:t>
            </w:r>
            <w:r w:rsidR="009F1814">
              <w:rPr>
                <w:rFonts w:ascii="Arial" w:hAnsi="Arial" w:cs="Arial"/>
                <w:color w:val="000000"/>
                <w:sz w:val="24"/>
                <w:szCs w:val="24"/>
              </w:rPr>
              <w:t>6</w:t>
            </w:r>
          </w:p>
        </w:tc>
        <w:tc>
          <w:tcPr>
            <w:tcW w:w="3192" w:type="dxa"/>
          </w:tcPr>
          <w:p w:rsidR="00304E62" w:rsidRDefault="00026DED" w:rsidP="00D22031">
            <w:pPr>
              <w:jc w:val="center"/>
              <w:rPr>
                <w:sz w:val="20"/>
              </w:rPr>
            </w:pPr>
            <w:r w:rsidRPr="00C04327">
              <w:rPr>
                <w:rFonts w:ascii="Calibri" w:hAnsi="Calibri" w:cs="Arial"/>
              </w:rPr>
              <w:t>Chapter 10</w:t>
            </w:r>
            <w:r w:rsidRPr="00A0253D">
              <w:rPr>
                <w:rFonts w:ascii="Arial" w:hAnsi="Arial" w:cs="Arial"/>
                <w:i/>
              </w:rPr>
              <w:t xml:space="preserve"> - </w:t>
            </w:r>
            <w:r w:rsidRPr="00C04327">
              <w:rPr>
                <w:rFonts w:ascii="Calibri" w:hAnsi="Calibri" w:cs="Arial"/>
              </w:rPr>
              <w:t>Types of Bilingual Education</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October 1</w:t>
            </w:r>
            <w:r w:rsidR="009F1814">
              <w:rPr>
                <w:rFonts w:ascii="Arial" w:hAnsi="Arial" w:cs="Arial"/>
                <w:color w:val="000000"/>
                <w:sz w:val="24"/>
                <w:szCs w:val="24"/>
              </w:rPr>
              <w:t>1</w:t>
            </w:r>
          </w:p>
        </w:tc>
        <w:tc>
          <w:tcPr>
            <w:tcW w:w="3192" w:type="dxa"/>
          </w:tcPr>
          <w:p w:rsidR="00304E62" w:rsidRDefault="00026DED" w:rsidP="00D22031">
            <w:pPr>
              <w:jc w:val="center"/>
              <w:rPr>
                <w:sz w:val="20"/>
              </w:rPr>
            </w:pPr>
            <w:r w:rsidRPr="00C04327">
              <w:rPr>
                <w:rFonts w:ascii="Arial" w:hAnsi="Arial" w:cs="Arial"/>
              </w:rPr>
              <w:t>Chapter 11</w:t>
            </w:r>
            <w:r w:rsidRPr="00B3468E">
              <w:rPr>
                <w:rFonts w:ascii="Arial" w:hAnsi="Arial" w:cs="Arial"/>
              </w:rPr>
              <w:t xml:space="preserve">- </w:t>
            </w:r>
            <w:r w:rsidRPr="00C04327">
              <w:rPr>
                <w:rFonts w:ascii="Calibri" w:hAnsi="Calibri" w:cs="Arial"/>
              </w:rPr>
              <w:t xml:space="preserve">Education for Bilingualism and </w:t>
            </w:r>
            <w:proofErr w:type="spellStart"/>
            <w:r w:rsidRPr="00C04327">
              <w:rPr>
                <w:rFonts w:ascii="Calibri" w:hAnsi="Calibri" w:cs="Arial"/>
              </w:rPr>
              <w:t>Biliteracy</w:t>
            </w:r>
            <w:proofErr w:type="spellEnd"/>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October 1</w:t>
            </w:r>
            <w:r w:rsidR="009F1814">
              <w:rPr>
                <w:rFonts w:ascii="Arial" w:hAnsi="Arial" w:cs="Arial"/>
                <w:color w:val="000000"/>
                <w:sz w:val="24"/>
                <w:szCs w:val="24"/>
              </w:rPr>
              <w:t>3</w:t>
            </w:r>
          </w:p>
        </w:tc>
        <w:tc>
          <w:tcPr>
            <w:tcW w:w="3192" w:type="dxa"/>
          </w:tcPr>
          <w:p w:rsidR="00304E62" w:rsidRDefault="00026DED" w:rsidP="00D22031">
            <w:pPr>
              <w:jc w:val="center"/>
              <w:rPr>
                <w:sz w:val="20"/>
              </w:rPr>
            </w:pPr>
            <w:r w:rsidRPr="00C04327">
              <w:rPr>
                <w:rFonts w:ascii="Calibri" w:hAnsi="Calibri" w:cs="Arial"/>
              </w:rPr>
              <w:t>Chapter 12</w:t>
            </w:r>
            <w:r w:rsidRPr="00B3468E">
              <w:rPr>
                <w:rFonts w:ascii="Arial" w:hAnsi="Arial" w:cs="Arial"/>
                <w:i/>
              </w:rPr>
              <w:t xml:space="preserve"> – </w:t>
            </w:r>
            <w:r w:rsidRPr="00C04327">
              <w:rPr>
                <w:rFonts w:ascii="Calibri" w:hAnsi="Calibri" w:cs="Arial"/>
              </w:rPr>
              <w:t>The Effectiveness of Bilingual Education</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October 1</w:t>
            </w:r>
            <w:r w:rsidR="009F1814">
              <w:rPr>
                <w:rFonts w:ascii="Arial" w:hAnsi="Arial" w:cs="Arial"/>
                <w:color w:val="000000"/>
                <w:sz w:val="24"/>
                <w:szCs w:val="24"/>
              </w:rPr>
              <w:t>8</w:t>
            </w:r>
          </w:p>
        </w:tc>
        <w:tc>
          <w:tcPr>
            <w:tcW w:w="3192" w:type="dxa"/>
          </w:tcPr>
          <w:p w:rsidR="00304E62" w:rsidRDefault="00026DED" w:rsidP="00D22031">
            <w:pPr>
              <w:jc w:val="center"/>
              <w:rPr>
                <w:rFonts w:ascii="Calibri" w:hAnsi="Calibri" w:cs="Arial"/>
              </w:rPr>
            </w:pPr>
            <w:r w:rsidRPr="00C04327">
              <w:rPr>
                <w:rFonts w:ascii="Calibri" w:hAnsi="Calibri" w:cs="Arial"/>
              </w:rPr>
              <w:t>Chapter 13</w:t>
            </w:r>
            <w:r w:rsidRPr="00B3468E">
              <w:rPr>
                <w:rFonts w:ascii="Arial" w:hAnsi="Arial" w:cs="Arial"/>
              </w:rPr>
              <w:t xml:space="preserve">- </w:t>
            </w:r>
            <w:smartTag w:uri="urn:schemas-microsoft-com:office:smarttags" w:element="place">
              <w:smartTag w:uri="urn:schemas-microsoft-com:office:smarttags" w:element="PlaceName">
                <w:r w:rsidRPr="00C04327">
                  <w:rPr>
                    <w:rFonts w:ascii="Calibri" w:hAnsi="Calibri" w:cs="Arial"/>
                  </w:rPr>
                  <w:t>Effective</w:t>
                </w:r>
              </w:smartTag>
              <w:r w:rsidRPr="00C04327">
                <w:rPr>
                  <w:rFonts w:ascii="Calibri" w:hAnsi="Calibri" w:cs="Arial"/>
                </w:rPr>
                <w:t xml:space="preserve"> </w:t>
              </w:r>
              <w:smartTag w:uri="urn:schemas-microsoft-com:office:smarttags" w:element="PlaceType">
                <w:r w:rsidRPr="00C04327">
                  <w:rPr>
                    <w:rFonts w:ascii="Calibri" w:hAnsi="Calibri" w:cs="Arial"/>
                  </w:rPr>
                  <w:t>Schools</w:t>
                </w:r>
              </w:smartTag>
            </w:smartTag>
            <w:r w:rsidRPr="00C04327">
              <w:rPr>
                <w:rFonts w:ascii="Calibri" w:hAnsi="Calibri" w:cs="Arial"/>
              </w:rPr>
              <w:t xml:space="preserve"> and Classrooms for Bilingual Students</w:t>
            </w:r>
          </w:p>
          <w:p w:rsidR="00714E68" w:rsidRDefault="00714E68"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 xml:space="preserve">October </w:t>
            </w:r>
            <w:r>
              <w:rPr>
                <w:rFonts w:ascii="Arial" w:hAnsi="Arial" w:cs="Arial"/>
                <w:color w:val="000000"/>
                <w:sz w:val="24"/>
                <w:szCs w:val="24"/>
              </w:rPr>
              <w:t>2</w:t>
            </w:r>
            <w:r w:rsidR="009F1814">
              <w:rPr>
                <w:rFonts w:ascii="Arial" w:hAnsi="Arial" w:cs="Arial"/>
                <w:color w:val="000000"/>
                <w:sz w:val="24"/>
                <w:szCs w:val="24"/>
              </w:rPr>
              <w:t>0</w:t>
            </w:r>
          </w:p>
        </w:tc>
        <w:tc>
          <w:tcPr>
            <w:tcW w:w="3192" w:type="dxa"/>
          </w:tcPr>
          <w:p w:rsidR="00026DED" w:rsidRDefault="00026DED" w:rsidP="00026DED">
            <w:pPr>
              <w:rPr>
                <w:rFonts w:ascii="Calibri" w:hAnsi="Calibri" w:cs="Arial"/>
              </w:rPr>
            </w:pPr>
            <w:r w:rsidRPr="00C04327">
              <w:rPr>
                <w:rFonts w:ascii="Calibri" w:hAnsi="Calibri" w:cs="Arial"/>
              </w:rPr>
              <w:t>Chapter 14</w:t>
            </w:r>
            <w:r w:rsidRPr="00B3468E">
              <w:rPr>
                <w:rFonts w:ascii="Arial" w:hAnsi="Arial" w:cs="Arial"/>
              </w:rPr>
              <w:t xml:space="preserve"> – </w:t>
            </w:r>
            <w:r w:rsidRPr="00C04327">
              <w:rPr>
                <w:rFonts w:ascii="Calibri" w:hAnsi="Calibri" w:cs="Arial"/>
              </w:rPr>
              <w:t xml:space="preserve">Literacy, </w:t>
            </w:r>
            <w:proofErr w:type="spellStart"/>
            <w:r w:rsidRPr="00C04327">
              <w:rPr>
                <w:rFonts w:ascii="Calibri" w:hAnsi="Calibri" w:cs="Arial"/>
              </w:rPr>
              <w:t>Biliteracy</w:t>
            </w:r>
            <w:proofErr w:type="spellEnd"/>
            <w:r w:rsidRPr="00C04327">
              <w:rPr>
                <w:rFonts w:ascii="Calibri" w:hAnsi="Calibri" w:cs="Arial"/>
              </w:rPr>
              <w:t xml:space="preserve">, and </w:t>
            </w:r>
            <w:proofErr w:type="spellStart"/>
            <w:r w:rsidRPr="00C04327">
              <w:rPr>
                <w:rFonts w:ascii="Calibri" w:hAnsi="Calibri" w:cs="Arial"/>
              </w:rPr>
              <w:t>Multiliteracies</w:t>
            </w:r>
            <w:proofErr w:type="spellEnd"/>
            <w:r w:rsidRPr="00C04327">
              <w:rPr>
                <w:rFonts w:ascii="Calibri" w:hAnsi="Calibri" w:cs="Arial"/>
              </w:rPr>
              <w:t xml:space="preserve"> for Bilinguals</w:t>
            </w:r>
          </w:p>
          <w:p w:rsidR="00304E62" w:rsidRDefault="00304E62" w:rsidP="00D22031">
            <w:pPr>
              <w:jc w:val="center"/>
              <w:rPr>
                <w:sz w:val="20"/>
              </w:rPr>
            </w:pP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lastRenderedPageBreak/>
              <w:t xml:space="preserve">October </w:t>
            </w:r>
            <w:r>
              <w:rPr>
                <w:rFonts w:ascii="Arial" w:hAnsi="Arial" w:cs="Arial"/>
                <w:color w:val="000000"/>
                <w:sz w:val="24"/>
                <w:szCs w:val="24"/>
              </w:rPr>
              <w:t>2</w:t>
            </w:r>
            <w:r w:rsidR="009F1814">
              <w:rPr>
                <w:rFonts w:ascii="Arial" w:hAnsi="Arial" w:cs="Arial"/>
                <w:color w:val="000000"/>
                <w:sz w:val="24"/>
                <w:szCs w:val="24"/>
              </w:rPr>
              <w:t>5</w:t>
            </w:r>
          </w:p>
        </w:tc>
        <w:tc>
          <w:tcPr>
            <w:tcW w:w="3192" w:type="dxa"/>
          </w:tcPr>
          <w:p w:rsidR="001A7438" w:rsidRDefault="001A7438" w:rsidP="001A7438">
            <w:pPr>
              <w:rPr>
                <w:rFonts w:ascii="Calibri" w:hAnsi="Calibri" w:cs="Arial"/>
              </w:rPr>
            </w:pPr>
            <w:r w:rsidRPr="00C04327">
              <w:rPr>
                <w:rFonts w:ascii="Calibri" w:hAnsi="Calibri" w:cs="Arial"/>
              </w:rPr>
              <w:t>Chapter 14</w:t>
            </w:r>
            <w:r w:rsidRPr="00B3468E">
              <w:rPr>
                <w:rFonts w:ascii="Arial" w:hAnsi="Arial" w:cs="Arial"/>
              </w:rPr>
              <w:t xml:space="preserve"> – </w:t>
            </w:r>
            <w:r w:rsidRPr="00C04327">
              <w:rPr>
                <w:rFonts w:ascii="Calibri" w:hAnsi="Calibri" w:cs="Arial"/>
              </w:rPr>
              <w:t xml:space="preserve">Literacy, </w:t>
            </w:r>
            <w:proofErr w:type="spellStart"/>
            <w:r w:rsidRPr="00C04327">
              <w:rPr>
                <w:rFonts w:ascii="Calibri" w:hAnsi="Calibri" w:cs="Arial"/>
              </w:rPr>
              <w:t>Biliteracy</w:t>
            </w:r>
            <w:proofErr w:type="spellEnd"/>
            <w:r w:rsidRPr="00C04327">
              <w:rPr>
                <w:rFonts w:ascii="Calibri" w:hAnsi="Calibri" w:cs="Arial"/>
              </w:rPr>
              <w:t xml:space="preserve">, and </w:t>
            </w:r>
            <w:proofErr w:type="spellStart"/>
            <w:r w:rsidRPr="00C04327">
              <w:rPr>
                <w:rFonts w:ascii="Calibri" w:hAnsi="Calibri" w:cs="Arial"/>
              </w:rPr>
              <w:t>Multiliteracies</w:t>
            </w:r>
            <w:proofErr w:type="spellEnd"/>
            <w:r w:rsidRPr="00C04327">
              <w:rPr>
                <w:rFonts w:ascii="Calibri" w:hAnsi="Calibri" w:cs="Arial"/>
              </w:rPr>
              <w:t xml:space="preserve"> for Bilinguals</w:t>
            </w:r>
          </w:p>
          <w:p w:rsidR="00304E62" w:rsidRPr="00970F9F" w:rsidRDefault="00304E62" w:rsidP="00D22031">
            <w:pPr>
              <w:jc w:val="center"/>
              <w:rPr>
                <w:rFonts w:asciiTheme="minorHAnsi" w:hAnsiTheme="minorHAnsi"/>
              </w:rPr>
            </w:pPr>
          </w:p>
        </w:tc>
        <w:tc>
          <w:tcPr>
            <w:tcW w:w="3192" w:type="dxa"/>
          </w:tcPr>
          <w:p w:rsidR="00304E62" w:rsidRDefault="00345774" w:rsidP="00D22031">
            <w:pPr>
              <w:jc w:val="center"/>
              <w:rPr>
                <w:sz w:val="20"/>
              </w:rPr>
            </w:pPr>
            <w:r>
              <w:rPr>
                <w:b/>
              </w:rPr>
              <w:t>Essay about Research Findings is due  15%</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 xml:space="preserve">October </w:t>
            </w:r>
            <w:r>
              <w:rPr>
                <w:rFonts w:ascii="Arial" w:hAnsi="Arial" w:cs="Arial"/>
                <w:color w:val="000000"/>
                <w:sz w:val="24"/>
                <w:szCs w:val="24"/>
              </w:rPr>
              <w:t>2</w:t>
            </w:r>
            <w:r w:rsidR="009F1814">
              <w:rPr>
                <w:rFonts w:ascii="Arial" w:hAnsi="Arial" w:cs="Arial"/>
                <w:color w:val="000000"/>
                <w:sz w:val="24"/>
                <w:szCs w:val="24"/>
              </w:rPr>
              <w:t>7</w:t>
            </w:r>
          </w:p>
        </w:tc>
        <w:tc>
          <w:tcPr>
            <w:tcW w:w="3192" w:type="dxa"/>
          </w:tcPr>
          <w:p w:rsidR="00304E62" w:rsidRDefault="00790A7D" w:rsidP="00D22031">
            <w:pPr>
              <w:jc w:val="center"/>
              <w:rPr>
                <w:sz w:val="20"/>
              </w:rPr>
            </w:pPr>
            <w:r w:rsidRPr="00970F9F">
              <w:rPr>
                <w:rFonts w:asciiTheme="minorHAnsi" w:hAnsiTheme="minorHAnsi"/>
              </w:rPr>
              <w:t>Chapter 15- The Assessment and Special Education Needs of Bilinguals</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Pr>
                <w:rFonts w:ascii="Arial" w:hAnsi="Arial" w:cs="Arial"/>
                <w:color w:val="000000"/>
                <w:sz w:val="24"/>
                <w:szCs w:val="24"/>
              </w:rPr>
              <w:t xml:space="preserve">November </w:t>
            </w:r>
            <w:r w:rsidR="009F1814">
              <w:rPr>
                <w:rFonts w:ascii="Arial" w:hAnsi="Arial" w:cs="Arial"/>
                <w:color w:val="000000"/>
                <w:sz w:val="24"/>
                <w:szCs w:val="24"/>
              </w:rPr>
              <w:t>1</w:t>
            </w:r>
          </w:p>
        </w:tc>
        <w:tc>
          <w:tcPr>
            <w:tcW w:w="3192" w:type="dxa"/>
          </w:tcPr>
          <w:p w:rsidR="00304E62" w:rsidRDefault="004D22D9" w:rsidP="00D22031">
            <w:pPr>
              <w:jc w:val="center"/>
              <w:rPr>
                <w:sz w:val="20"/>
              </w:rPr>
            </w:pPr>
            <w:r w:rsidRPr="00C04327">
              <w:rPr>
                <w:rFonts w:ascii="Calibri" w:hAnsi="Calibri" w:cs="Arial"/>
              </w:rPr>
              <w:t>Chapter 17</w:t>
            </w:r>
            <w:r w:rsidRPr="0067678F">
              <w:rPr>
                <w:rFonts w:ascii="Arial" w:hAnsi="Arial" w:cs="Arial"/>
              </w:rPr>
              <w:t xml:space="preserve"> –</w:t>
            </w:r>
            <w:r w:rsidRPr="00C04327">
              <w:rPr>
                <w:rFonts w:ascii="Calibri" w:hAnsi="Calibri" w:cs="Arial"/>
              </w:rPr>
              <w:t xml:space="preserve"> Bilingualism and Bilingual Education as a Problem, Right, and Resource</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Pr>
                <w:rFonts w:ascii="Arial" w:hAnsi="Arial" w:cs="Arial"/>
                <w:color w:val="000000"/>
                <w:sz w:val="24"/>
                <w:szCs w:val="24"/>
              </w:rPr>
              <w:t xml:space="preserve">November </w:t>
            </w:r>
            <w:r w:rsidR="009F1814">
              <w:rPr>
                <w:rFonts w:ascii="Arial" w:hAnsi="Arial" w:cs="Arial"/>
                <w:color w:val="000000"/>
                <w:sz w:val="24"/>
                <w:szCs w:val="24"/>
              </w:rPr>
              <w:t>3</w:t>
            </w:r>
          </w:p>
        </w:tc>
        <w:tc>
          <w:tcPr>
            <w:tcW w:w="3192" w:type="dxa"/>
          </w:tcPr>
          <w:p w:rsidR="00304E62" w:rsidRDefault="004D22D9" w:rsidP="00D22031">
            <w:pPr>
              <w:jc w:val="center"/>
              <w:rPr>
                <w:sz w:val="20"/>
              </w:rPr>
            </w:pPr>
            <w:r w:rsidRPr="00C04327">
              <w:rPr>
                <w:rFonts w:ascii="Calibri" w:hAnsi="Calibri" w:cs="Arial"/>
              </w:rPr>
              <w:t>Chapter 18 – Bilingualism and Bilingual Education:  Ideology, Identity and Empowerment</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Pr>
                <w:rFonts w:ascii="Arial" w:hAnsi="Arial" w:cs="Arial"/>
                <w:color w:val="000000"/>
                <w:sz w:val="24"/>
                <w:szCs w:val="24"/>
              </w:rPr>
              <w:t xml:space="preserve">November </w:t>
            </w:r>
            <w:r w:rsidR="009F1814">
              <w:rPr>
                <w:rFonts w:ascii="Arial" w:hAnsi="Arial" w:cs="Arial"/>
                <w:color w:val="000000"/>
                <w:sz w:val="24"/>
                <w:szCs w:val="24"/>
              </w:rPr>
              <w:t>8</w:t>
            </w:r>
          </w:p>
        </w:tc>
        <w:tc>
          <w:tcPr>
            <w:tcW w:w="3192" w:type="dxa"/>
          </w:tcPr>
          <w:p w:rsidR="00304E62" w:rsidRDefault="004D22D9" w:rsidP="00D22031">
            <w:pPr>
              <w:jc w:val="center"/>
              <w:rPr>
                <w:sz w:val="20"/>
              </w:rPr>
            </w:pPr>
            <w:r w:rsidRPr="00C04327">
              <w:rPr>
                <w:rFonts w:ascii="Calibri" w:hAnsi="Calibri" w:cs="Arial"/>
              </w:rPr>
              <w:t>Chapter 19</w:t>
            </w:r>
            <w:r w:rsidRPr="00B07181">
              <w:rPr>
                <w:rFonts w:ascii="Arial" w:hAnsi="Arial" w:cs="Arial"/>
              </w:rPr>
              <w:t xml:space="preserve"> </w:t>
            </w:r>
            <w:r>
              <w:rPr>
                <w:rFonts w:ascii="Arial" w:hAnsi="Arial" w:cs="Arial"/>
              </w:rPr>
              <w:t xml:space="preserve">- </w:t>
            </w:r>
            <w:r w:rsidRPr="00C04327">
              <w:rPr>
                <w:rFonts w:ascii="Calibri" w:hAnsi="Calibri" w:cs="Arial"/>
              </w:rPr>
              <w:t>Bilingualism in the Modern World</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Pr>
                <w:rFonts w:ascii="Arial" w:hAnsi="Arial" w:cs="Arial"/>
                <w:color w:val="000000"/>
                <w:sz w:val="24"/>
                <w:szCs w:val="24"/>
              </w:rPr>
              <w:t>November 1</w:t>
            </w:r>
            <w:r w:rsidR="009F1814">
              <w:rPr>
                <w:rFonts w:ascii="Arial" w:hAnsi="Arial" w:cs="Arial"/>
                <w:color w:val="000000"/>
                <w:sz w:val="24"/>
                <w:szCs w:val="24"/>
              </w:rPr>
              <w:t>0</w:t>
            </w:r>
          </w:p>
        </w:tc>
        <w:tc>
          <w:tcPr>
            <w:tcW w:w="3192" w:type="dxa"/>
          </w:tcPr>
          <w:p w:rsidR="00304E62" w:rsidRDefault="004D22D9" w:rsidP="00D22031">
            <w:pPr>
              <w:jc w:val="center"/>
              <w:rPr>
                <w:sz w:val="20"/>
              </w:rPr>
            </w:pPr>
            <w:r>
              <w:rPr>
                <w:rFonts w:ascii="Calibri" w:hAnsi="Calibri"/>
              </w:rPr>
              <w:t>V</w:t>
            </w:r>
            <w:r w:rsidRPr="00563DE5">
              <w:rPr>
                <w:rFonts w:ascii="Calibri" w:hAnsi="Calibri"/>
              </w:rPr>
              <w:t>ideo about Bilingual Education History in Texas</w:t>
            </w:r>
          </w:p>
        </w:tc>
        <w:tc>
          <w:tcPr>
            <w:tcW w:w="3192" w:type="dxa"/>
          </w:tcPr>
          <w:p w:rsidR="00304E62" w:rsidRDefault="00304E62" w:rsidP="00D22031">
            <w:pPr>
              <w:jc w:val="center"/>
              <w:rPr>
                <w:sz w:val="20"/>
              </w:rPr>
            </w:pPr>
          </w:p>
        </w:tc>
      </w:tr>
      <w:tr w:rsidR="004D22D9" w:rsidTr="00D22031">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1</w:t>
            </w:r>
            <w:r w:rsidR="009F1814">
              <w:rPr>
                <w:rFonts w:ascii="Arial" w:hAnsi="Arial" w:cs="Arial"/>
                <w:color w:val="000000"/>
                <w:sz w:val="24"/>
                <w:szCs w:val="24"/>
              </w:rPr>
              <w:t>5</w:t>
            </w:r>
          </w:p>
        </w:tc>
        <w:tc>
          <w:tcPr>
            <w:tcW w:w="3192" w:type="dxa"/>
          </w:tcPr>
          <w:p w:rsidR="004D22D9" w:rsidRDefault="004D22D9" w:rsidP="00EF48D8">
            <w:pPr>
              <w:jc w:val="center"/>
              <w:rPr>
                <w:sz w:val="20"/>
              </w:rPr>
            </w:pPr>
            <w:r w:rsidRPr="00563DE5">
              <w:rPr>
                <w:rFonts w:ascii="Calibri" w:hAnsi="Calibri" w:cs="Arial"/>
              </w:rPr>
              <w:t xml:space="preserve">Students present their </w:t>
            </w:r>
            <w:r w:rsidRPr="00563DE5">
              <w:rPr>
                <w:rFonts w:ascii="Calibri" w:hAnsi="Calibri" w:cs="Arial"/>
                <w:b/>
              </w:rPr>
              <w:t>PowerPoint presentation</w:t>
            </w:r>
            <w:r w:rsidRPr="00563DE5">
              <w:rPr>
                <w:rFonts w:ascii="Calibri" w:hAnsi="Calibri" w:cs="Arial"/>
              </w:rPr>
              <w:t xml:space="preserve"> to the class</w:t>
            </w:r>
          </w:p>
        </w:tc>
        <w:tc>
          <w:tcPr>
            <w:tcW w:w="3192" w:type="dxa"/>
          </w:tcPr>
          <w:p w:rsidR="004D22D9" w:rsidRDefault="00345774" w:rsidP="00D22031">
            <w:pPr>
              <w:jc w:val="center"/>
              <w:rPr>
                <w:sz w:val="20"/>
              </w:rPr>
            </w:pPr>
            <w:r w:rsidRPr="00563DE5">
              <w:rPr>
                <w:rFonts w:ascii="Calibri" w:hAnsi="Calibri" w:cs="Arial"/>
                <w:b/>
              </w:rPr>
              <w:t>PowerPoint presentation</w:t>
            </w:r>
            <w:r>
              <w:rPr>
                <w:rFonts w:ascii="Calibri" w:hAnsi="Calibri" w:cs="Arial"/>
                <w:b/>
              </w:rPr>
              <w:t xml:space="preserve"> due 15%</w:t>
            </w:r>
          </w:p>
        </w:tc>
      </w:tr>
      <w:tr w:rsidR="004D22D9" w:rsidTr="00ED7108">
        <w:trPr>
          <w:trHeight w:val="267"/>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1</w:t>
            </w:r>
            <w:r w:rsidR="009F1814">
              <w:rPr>
                <w:rFonts w:ascii="Arial" w:hAnsi="Arial" w:cs="Arial"/>
                <w:color w:val="000000"/>
                <w:sz w:val="24"/>
                <w:szCs w:val="24"/>
              </w:rPr>
              <w:t>7</w:t>
            </w:r>
          </w:p>
        </w:tc>
        <w:tc>
          <w:tcPr>
            <w:tcW w:w="3192" w:type="dxa"/>
          </w:tcPr>
          <w:p w:rsidR="004D22D9" w:rsidRDefault="004D22D9" w:rsidP="00EF48D8">
            <w:pPr>
              <w:jc w:val="center"/>
              <w:rPr>
                <w:sz w:val="20"/>
              </w:rPr>
            </w:pPr>
            <w:r w:rsidRPr="00563DE5">
              <w:rPr>
                <w:rFonts w:ascii="Calibri" w:hAnsi="Calibri" w:cs="Arial"/>
              </w:rPr>
              <w:t xml:space="preserve">Students present their </w:t>
            </w:r>
            <w:r w:rsidRPr="00563DE5">
              <w:rPr>
                <w:rFonts w:ascii="Calibri" w:hAnsi="Calibri" w:cs="Arial"/>
                <w:b/>
              </w:rPr>
              <w:t>PowerPoint presentation</w:t>
            </w:r>
            <w:r w:rsidRPr="00563DE5">
              <w:rPr>
                <w:rFonts w:ascii="Calibri" w:hAnsi="Calibri" w:cs="Arial"/>
              </w:rPr>
              <w:t xml:space="preserve"> to the class</w:t>
            </w:r>
          </w:p>
        </w:tc>
        <w:tc>
          <w:tcPr>
            <w:tcW w:w="3192" w:type="dxa"/>
          </w:tcPr>
          <w:p w:rsidR="004D22D9" w:rsidRDefault="004D22D9" w:rsidP="00EF48D8">
            <w:pPr>
              <w:rPr>
                <w:rFonts w:ascii="Arial" w:hAnsi="Arial" w:cs="Arial"/>
                <w:b/>
                <w:color w:val="000000"/>
                <w:sz w:val="24"/>
                <w:szCs w:val="24"/>
              </w:rPr>
            </w:pPr>
          </w:p>
        </w:tc>
      </w:tr>
      <w:tr w:rsidR="004D22D9" w:rsidTr="00ED7108">
        <w:trPr>
          <w:trHeight w:val="282"/>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2</w:t>
            </w:r>
            <w:r w:rsidR="009F1814">
              <w:rPr>
                <w:rFonts w:ascii="Arial" w:hAnsi="Arial" w:cs="Arial"/>
                <w:color w:val="000000"/>
                <w:sz w:val="24"/>
                <w:szCs w:val="24"/>
              </w:rPr>
              <w:t>2</w:t>
            </w:r>
          </w:p>
        </w:tc>
        <w:tc>
          <w:tcPr>
            <w:tcW w:w="3192" w:type="dxa"/>
          </w:tcPr>
          <w:p w:rsidR="004D22D9" w:rsidRDefault="004D22D9" w:rsidP="00EF48D8">
            <w:pPr>
              <w:jc w:val="center"/>
              <w:rPr>
                <w:sz w:val="20"/>
              </w:rPr>
            </w:pPr>
            <w:r w:rsidRPr="00563DE5">
              <w:rPr>
                <w:rFonts w:ascii="Calibri" w:hAnsi="Calibri" w:cs="Arial"/>
              </w:rPr>
              <w:t>Students work on ELL Family/Child Advocacy Paper and Presentation</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2</w:t>
            </w:r>
            <w:r w:rsidR="009F1814">
              <w:rPr>
                <w:rFonts w:ascii="Arial" w:hAnsi="Arial" w:cs="Arial"/>
                <w:color w:val="000000"/>
                <w:sz w:val="24"/>
                <w:szCs w:val="24"/>
              </w:rPr>
              <w:t>4</w:t>
            </w:r>
          </w:p>
        </w:tc>
        <w:tc>
          <w:tcPr>
            <w:tcW w:w="3192" w:type="dxa"/>
          </w:tcPr>
          <w:p w:rsidR="004D22D9" w:rsidRDefault="004D22D9" w:rsidP="00EF48D8">
            <w:pPr>
              <w:rPr>
                <w:rFonts w:ascii="Arial" w:hAnsi="Arial" w:cs="Arial"/>
                <w:b/>
                <w:color w:val="000000"/>
                <w:sz w:val="24"/>
                <w:szCs w:val="24"/>
              </w:rPr>
            </w:pPr>
            <w:r w:rsidRPr="00563DE5">
              <w:rPr>
                <w:rFonts w:ascii="Calibri" w:hAnsi="Calibri" w:cs="Arial"/>
              </w:rPr>
              <w:t>Students work on ELL Family/Child Advocacy Paper and Presentation</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 xml:space="preserve">November </w:t>
            </w:r>
            <w:r w:rsidR="009F1814">
              <w:rPr>
                <w:rFonts w:ascii="Arial" w:hAnsi="Arial" w:cs="Arial"/>
                <w:color w:val="000000"/>
                <w:sz w:val="24"/>
                <w:szCs w:val="24"/>
              </w:rPr>
              <w:t>29</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w:t>
            </w:r>
            <w:r w:rsidRPr="00C220A2">
              <w:rPr>
                <w:rFonts w:ascii="Calibri" w:hAnsi="Calibri" w:cs="Arial"/>
                <w:b/>
              </w:rPr>
              <w:t>present their advocacy plan</w:t>
            </w:r>
            <w:r w:rsidRPr="00C220A2">
              <w:rPr>
                <w:rFonts w:ascii="Calibri" w:hAnsi="Calibri" w:cs="Arial"/>
              </w:rPr>
              <w:t xml:space="preserve"> to the class</w:t>
            </w:r>
          </w:p>
        </w:tc>
        <w:tc>
          <w:tcPr>
            <w:tcW w:w="3192" w:type="dxa"/>
          </w:tcPr>
          <w:p w:rsidR="004D22D9" w:rsidRDefault="00970F9F" w:rsidP="00EF48D8">
            <w:pPr>
              <w:rPr>
                <w:rFonts w:ascii="Arial" w:hAnsi="Arial" w:cs="Arial"/>
                <w:b/>
                <w:color w:val="000000"/>
                <w:sz w:val="24"/>
                <w:szCs w:val="24"/>
              </w:rPr>
            </w:pPr>
            <w:r>
              <w:rPr>
                <w:rFonts w:ascii="Calibri" w:hAnsi="Calibri" w:cs="Arial"/>
                <w:b/>
              </w:rPr>
              <w:t>A</w:t>
            </w:r>
            <w:r w:rsidRPr="00C220A2">
              <w:rPr>
                <w:rFonts w:ascii="Calibri" w:hAnsi="Calibri" w:cs="Arial"/>
                <w:b/>
              </w:rPr>
              <w:t>dvocacy plan</w:t>
            </w:r>
            <w:r>
              <w:rPr>
                <w:rFonts w:ascii="Calibri" w:hAnsi="Calibri" w:cs="Arial"/>
                <w:b/>
              </w:rPr>
              <w:t xml:space="preserve"> due 20%</w:t>
            </w:r>
          </w:p>
        </w:tc>
      </w:tr>
      <w:tr w:rsidR="004D22D9" w:rsidTr="00ED7108">
        <w:trPr>
          <w:trHeight w:val="267"/>
        </w:trPr>
        <w:tc>
          <w:tcPr>
            <w:tcW w:w="3192" w:type="dxa"/>
          </w:tcPr>
          <w:p w:rsidR="004D22D9" w:rsidRPr="003A37CB" w:rsidRDefault="004D22D9" w:rsidP="00EF48D8">
            <w:pPr>
              <w:rPr>
                <w:rFonts w:ascii="Arial" w:hAnsi="Arial" w:cs="Arial"/>
                <w:color w:val="000000"/>
                <w:sz w:val="24"/>
                <w:szCs w:val="24"/>
              </w:rPr>
            </w:pPr>
            <w:r w:rsidRPr="003A37CB">
              <w:rPr>
                <w:rFonts w:ascii="Arial" w:hAnsi="Arial" w:cs="Arial"/>
                <w:color w:val="000000"/>
                <w:sz w:val="24"/>
                <w:szCs w:val="24"/>
              </w:rPr>
              <w:t xml:space="preserve">December </w:t>
            </w:r>
            <w:r w:rsidR="009F1814">
              <w:rPr>
                <w:rFonts w:ascii="Arial" w:hAnsi="Arial" w:cs="Arial"/>
                <w:color w:val="000000"/>
                <w:sz w:val="24"/>
                <w:szCs w:val="24"/>
              </w:rPr>
              <w:t>1</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w:t>
            </w:r>
            <w:r w:rsidRPr="00C220A2">
              <w:rPr>
                <w:rFonts w:ascii="Calibri" w:hAnsi="Calibri" w:cs="Arial"/>
                <w:b/>
              </w:rPr>
              <w:t>present their advocacy plan</w:t>
            </w:r>
            <w:r w:rsidRPr="00C220A2">
              <w:rPr>
                <w:rFonts w:ascii="Calibri" w:hAnsi="Calibri" w:cs="Arial"/>
              </w:rPr>
              <w:t xml:space="preserve"> to the class</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Pr="003A37CB" w:rsidRDefault="004D22D9" w:rsidP="00EF48D8">
            <w:pPr>
              <w:rPr>
                <w:rFonts w:ascii="Arial" w:hAnsi="Arial" w:cs="Arial"/>
                <w:color w:val="000000"/>
                <w:sz w:val="24"/>
                <w:szCs w:val="24"/>
              </w:rPr>
            </w:pPr>
            <w:r>
              <w:rPr>
                <w:rFonts w:ascii="Arial" w:hAnsi="Arial" w:cs="Arial"/>
                <w:color w:val="000000"/>
                <w:sz w:val="24"/>
                <w:szCs w:val="24"/>
              </w:rPr>
              <w:t xml:space="preserve">December </w:t>
            </w:r>
            <w:r w:rsidR="009F1814">
              <w:rPr>
                <w:rFonts w:ascii="Arial" w:hAnsi="Arial" w:cs="Arial"/>
                <w:color w:val="000000"/>
                <w:sz w:val="24"/>
                <w:szCs w:val="24"/>
              </w:rPr>
              <w:t>6</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develop </w:t>
            </w:r>
            <w:r w:rsidRPr="00C220A2">
              <w:rPr>
                <w:rFonts w:ascii="Calibri" w:hAnsi="Calibri" w:cs="Arial"/>
                <w:b/>
              </w:rPr>
              <w:t>study guide</w:t>
            </w:r>
            <w:r w:rsidRPr="00C220A2">
              <w:rPr>
                <w:rFonts w:ascii="Calibri" w:hAnsi="Calibri" w:cs="Arial"/>
              </w:rPr>
              <w:t xml:space="preserve"> and review for </w:t>
            </w:r>
            <w:r w:rsidRPr="00C220A2">
              <w:rPr>
                <w:rFonts w:ascii="Calibri" w:hAnsi="Calibri" w:cs="Arial"/>
                <w:b/>
              </w:rPr>
              <w:t>final exam</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color w:val="000000"/>
                <w:sz w:val="24"/>
                <w:szCs w:val="24"/>
              </w:rPr>
            </w:pPr>
            <w:r>
              <w:rPr>
                <w:rFonts w:ascii="Arial" w:hAnsi="Arial" w:cs="Arial"/>
                <w:color w:val="000000"/>
                <w:sz w:val="24"/>
                <w:szCs w:val="24"/>
              </w:rPr>
              <w:t xml:space="preserve">December </w:t>
            </w:r>
            <w:r w:rsidR="009F1814">
              <w:rPr>
                <w:rFonts w:ascii="Arial" w:hAnsi="Arial" w:cs="Arial"/>
                <w:color w:val="000000"/>
                <w:sz w:val="24"/>
                <w:szCs w:val="24"/>
              </w:rPr>
              <w:t>8</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develop </w:t>
            </w:r>
            <w:r w:rsidRPr="00C220A2">
              <w:rPr>
                <w:rFonts w:ascii="Calibri" w:hAnsi="Calibri" w:cs="Arial"/>
                <w:b/>
              </w:rPr>
              <w:t>study guide</w:t>
            </w:r>
            <w:r w:rsidRPr="00C220A2">
              <w:rPr>
                <w:rFonts w:ascii="Calibri" w:hAnsi="Calibri" w:cs="Arial"/>
              </w:rPr>
              <w:t xml:space="preserve"> and review for </w:t>
            </w:r>
            <w:r w:rsidRPr="00C220A2">
              <w:rPr>
                <w:rFonts w:ascii="Calibri" w:hAnsi="Calibri" w:cs="Arial"/>
                <w:b/>
              </w:rPr>
              <w:t>final exam</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color w:val="000000"/>
                <w:sz w:val="24"/>
                <w:szCs w:val="24"/>
              </w:rPr>
            </w:pPr>
            <w:r>
              <w:rPr>
                <w:rFonts w:ascii="Arial" w:hAnsi="Arial" w:cs="Arial"/>
                <w:color w:val="000000"/>
                <w:sz w:val="24"/>
                <w:szCs w:val="24"/>
              </w:rPr>
              <w:t>December 1</w:t>
            </w:r>
            <w:r w:rsidR="009F1814">
              <w:rPr>
                <w:rFonts w:ascii="Arial" w:hAnsi="Arial" w:cs="Arial"/>
                <w:color w:val="000000"/>
                <w:sz w:val="24"/>
                <w:szCs w:val="24"/>
              </w:rPr>
              <w:t>3</w:t>
            </w:r>
          </w:p>
        </w:tc>
        <w:tc>
          <w:tcPr>
            <w:tcW w:w="3192" w:type="dxa"/>
          </w:tcPr>
          <w:p w:rsidR="004D22D9" w:rsidRPr="003E1322" w:rsidRDefault="004D22D9" w:rsidP="004D22D9">
            <w:pPr>
              <w:pStyle w:val="ListParagraph"/>
              <w:ind w:left="0"/>
              <w:contextualSpacing w:val="0"/>
              <w:rPr>
                <w:rFonts w:ascii="Calibri" w:hAnsi="Calibri" w:cs="Arial"/>
                <w:b/>
              </w:rPr>
            </w:pPr>
          </w:p>
          <w:p w:rsidR="004D22D9" w:rsidRDefault="004D22D9" w:rsidP="00EF48D8">
            <w:pPr>
              <w:rPr>
                <w:rFonts w:ascii="Arial" w:hAnsi="Arial" w:cs="Arial"/>
                <w:b/>
                <w:color w:val="000000"/>
                <w:sz w:val="24"/>
                <w:szCs w:val="24"/>
              </w:rPr>
            </w:pPr>
          </w:p>
        </w:tc>
        <w:tc>
          <w:tcPr>
            <w:tcW w:w="3192" w:type="dxa"/>
          </w:tcPr>
          <w:p w:rsidR="004D22D9" w:rsidRDefault="004D22D9" w:rsidP="00EF48D8">
            <w:pPr>
              <w:rPr>
                <w:rFonts w:ascii="Arial" w:hAnsi="Arial" w:cs="Arial"/>
                <w:b/>
                <w:color w:val="000000"/>
                <w:sz w:val="24"/>
                <w:szCs w:val="24"/>
              </w:rPr>
            </w:pPr>
          </w:p>
        </w:tc>
      </w:tr>
      <w:tr w:rsidR="004D22D9" w:rsidTr="00ED7108">
        <w:trPr>
          <w:trHeight w:val="282"/>
        </w:trPr>
        <w:tc>
          <w:tcPr>
            <w:tcW w:w="3192" w:type="dxa"/>
          </w:tcPr>
          <w:p w:rsidR="004D22D9" w:rsidRDefault="004D22D9" w:rsidP="00EF48D8">
            <w:pPr>
              <w:rPr>
                <w:rFonts w:ascii="Arial" w:hAnsi="Arial" w:cs="Arial"/>
                <w:color w:val="000000"/>
                <w:sz w:val="24"/>
                <w:szCs w:val="24"/>
              </w:rPr>
            </w:pPr>
            <w:r>
              <w:rPr>
                <w:rFonts w:ascii="Arial" w:hAnsi="Arial" w:cs="Arial"/>
                <w:color w:val="000000"/>
                <w:sz w:val="24"/>
                <w:szCs w:val="24"/>
              </w:rPr>
              <w:t>December 1</w:t>
            </w:r>
            <w:r w:rsidR="009F1814">
              <w:rPr>
                <w:rFonts w:ascii="Arial" w:hAnsi="Arial" w:cs="Arial"/>
                <w:color w:val="000000"/>
                <w:sz w:val="24"/>
                <w:szCs w:val="24"/>
              </w:rPr>
              <w:t>5</w:t>
            </w:r>
          </w:p>
        </w:tc>
        <w:tc>
          <w:tcPr>
            <w:tcW w:w="3192" w:type="dxa"/>
          </w:tcPr>
          <w:p w:rsidR="00951843" w:rsidRPr="003E1322" w:rsidRDefault="00951843" w:rsidP="00951843">
            <w:pPr>
              <w:pStyle w:val="ListParagraph"/>
              <w:ind w:left="0"/>
              <w:contextualSpacing w:val="0"/>
              <w:rPr>
                <w:rFonts w:ascii="Calibri" w:hAnsi="Calibri" w:cs="Arial"/>
                <w:b/>
              </w:rPr>
            </w:pPr>
            <w:r w:rsidRPr="003E1322">
              <w:rPr>
                <w:rFonts w:ascii="Calibri" w:hAnsi="Calibri" w:cs="Arial"/>
                <w:b/>
              </w:rPr>
              <w:t>Final Exam</w:t>
            </w:r>
          </w:p>
          <w:p w:rsidR="004D22D9" w:rsidRDefault="004D22D9" w:rsidP="00EF48D8">
            <w:pPr>
              <w:rPr>
                <w:rFonts w:ascii="Arial" w:hAnsi="Arial" w:cs="Arial"/>
                <w:b/>
                <w:color w:val="000000"/>
                <w:sz w:val="24"/>
                <w:szCs w:val="24"/>
              </w:rPr>
            </w:pPr>
          </w:p>
        </w:tc>
        <w:tc>
          <w:tcPr>
            <w:tcW w:w="3192" w:type="dxa"/>
          </w:tcPr>
          <w:p w:rsidR="004D22D9" w:rsidRDefault="00970F9F" w:rsidP="00EF48D8">
            <w:pPr>
              <w:rPr>
                <w:rFonts w:ascii="Arial" w:hAnsi="Arial" w:cs="Arial"/>
                <w:b/>
                <w:color w:val="000000"/>
                <w:sz w:val="24"/>
                <w:szCs w:val="24"/>
              </w:rPr>
            </w:pPr>
            <w:r>
              <w:rPr>
                <w:rFonts w:ascii="Arial" w:hAnsi="Arial" w:cs="Arial"/>
                <w:b/>
                <w:color w:val="000000"/>
                <w:sz w:val="24"/>
                <w:szCs w:val="24"/>
              </w:rPr>
              <w:t>Final Exam 20 %</w:t>
            </w:r>
          </w:p>
        </w:tc>
      </w:tr>
    </w:tbl>
    <w:p w:rsidR="00D22031" w:rsidRPr="0092479C" w:rsidRDefault="00D22031" w:rsidP="00D22031">
      <w:pPr>
        <w:jc w:val="center"/>
        <w:rPr>
          <w:sz w:val="20"/>
        </w:rPr>
      </w:pPr>
    </w:p>
    <w:p w:rsidR="00850743" w:rsidRDefault="00850743" w:rsidP="00963F29"/>
    <w:p w:rsidR="00EB37BA" w:rsidRDefault="00EB37BA"/>
    <w:sectPr w:rsidR="00EB37BA" w:rsidSect="00353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D9F"/>
    <w:multiLevelType w:val="hybridMultilevel"/>
    <w:tmpl w:val="158CDD18"/>
    <w:lvl w:ilvl="0" w:tplc="F3CA28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48D"/>
    <w:multiLevelType w:val="hybridMultilevel"/>
    <w:tmpl w:val="3C086FAE"/>
    <w:lvl w:ilvl="0" w:tplc="C220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A3832"/>
    <w:multiLevelType w:val="hybridMultilevel"/>
    <w:tmpl w:val="FFDAECFE"/>
    <w:lvl w:ilvl="0" w:tplc="5400D63A">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nsid w:val="48BF0346"/>
    <w:multiLevelType w:val="hybridMultilevel"/>
    <w:tmpl w:val="5B2AE776"/>
    <w:lvl w:ilvl="0" w:tplc="954AD1F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D112039"/>
    <w:multiLevelType w:val="hybridMultilevel"/>
    <w:tmpl w:val="851AB9DE"/>
    <w:lvl w:ilvl="0" w:tplc="7AACAA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2E67D0"/>
    <w:multiLevelType w:val="hybridMultilevel"/>
    <w:tmpl w:val="BEFEC272"/>
    <w:lvl w:ilvl="0" w:tplc="CC4E635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0"/>
  </w:num>
  <w:num w:numId="5">
    <w:abstractNumId w:val="4"/>
  </w:num>
  <w:num w:numId="6">
    <w:abstractNumId w:val="10"/>
  </w:num>
  <w:num w:numId="7">
    <w:abstractNumId w:val="5"/>
  </w:num>
  <w:num w:numId="8">
    <w:abstractNumId w:val="12"/>
  </w:num>
  <w:num w:numId="9">
    <w:abstractNumId w:val="15"/>
  </w:num>
  <w:num w:numId="10">
    <w:abstractNumId w:val="6"/>
  </w:num>
  <w:num w:numId="11">
    <w:abstractNumId w:val="14"/>
  </w:num>
  <w:num w:numId="12">
    <w:abstractNumId w:val="13"/>
  </w:num>
  <w:num w:numId="13">
    <w:abstractNumId w:val="7"/>
  </w:num>
  <w:num w:numId="14">
    <w:abstractNumId w:val="2"/>
  </w:num>
  <w:num w:numId="15">
    <w:abstractNumId w:val="8"/>
  </w:num>
  <w:num w:numId="16">
    <w:abstractNumId w:val="16"/>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3AC"/>
    <w:rsid w:val="00026DED"/>
    <w:rsid w:val="00032DEC"/>
    <w:rsid w:val="000656FD"/>
    <w:rsid w:val="0007137A"/>
    <w:rsid w:val="00093D6D"/>
    <w:rsid w:val="0009748D"/>
    <w:rsid w:val="000A5019"/>
    <w:rsid w:val="000A6257"/>
    <w:rsid w:val="00153695"/>
    <w:rsid w:val="001A645B"/>
    <w:rsid w:val="001A7438"/>
    <w:rsid w:val="001C4EAE"/>
    <w:rsid w:val="001E6B11"/>
    <w:rsid w:val="00251083"/>
    <w:rsid w:val="002621E2"/>
    <w:rsid w:val="002913C6"/>
    <w:rsid w:val="002B3116"/>
    <w:rsid w:val="002C0014"/>
    <w:rsid w:val="002C6198"/>
    <w:rsid w:val="002E7046"/>
    <w:rsid w:val="00300A58"/>
    <w:rsid w:val="00304E62"/>
    <w:rsid w:val="003250D0"/>
    <w:rsid w:val="003265F7"/>
    <w:rsid w:val="00345774"/>
    <w:rsid w:val="00353D5F"/>
    <w:rsid w:val="00356B92"/>
    <w:rsid w:val="003700E0"/>
    <w:rsid w:val="00382CAD"/>
    <w:rsid w:val="003A37CB"/>
    <w:rsid w:val="004073D6"/>
    <w:rsid w:val="00411E28"/>
    <w:rsid w:val="00466420"/>
    <w:rsid w:val="0048768C"/>
    <w:rsid w:val="004D22D9"/>
    <w:rsid w:val="004D4A2C"/>
    <w:rsid w:val="004D5F32"/>
    <w:rsid w:val="00560BDF"/>
    <w:rsid w:val="005614E9"/>
    <w:rsid w:val="005C42D3"/>
    <w:rsid w:val="005F5C36"/>
    <w:rsid w:val="005F7E85"/>
    <w:rsid w:val="00620D6C"/>
    <w:rsid w:val="00661091"/>
    <w:rsid w:val="00667A81"/>
    <w:rsid w:val="006B0184"/>
    <w:rsid w:val="006B7B54"/>
    <w:rsid w:val="006E3304"/>
    <w:rsid w:val="006F49A9"/>
    <w:rsid w:val="00714E68"/>
    <w:rsid w:val="007208EA"/>
    <w:rsid w:val="007575EC"/>
    <w:rsid w:val="0076638B"/>
    <w:rsid w:val="00767A57"/>
    <w:rsid w:val="00790A7D"/>
    <w:rsid w:val="00793748"/>
    <w:rsid w:val="007A2850"/>
    <w:rsid w:val="007A37F5"/>
    <w:rsid w:val="007B1AF1"/>
    <w:rsid w:val="007C0755"/>
    <w:rsid w:val="007E46A3"/>
    <w:rsid w:val="007F0B15"/>
    <w:rsid w:val="007F2457"/>
    <w:rsid w:val="0080549F"/>
    <w:rsid w:val="00850743"/>
    <w:rsid w:val="00865070"/>
    <w:rsid w:val="00877DC9"/>
    <w:rsid w:val="008A1040"/>
    <w:rsid w:val="008D1672"/>
    <w:rsid w:val="00914995"/>
    <w:rsid w:val="00916486"/>
    <w:rsid w:val="00931773"/>
    <w:rsid w:val="0094353E"/>
    <w:rsid w:val="0094434D"/>
    <w:rsid w:val="00951843"/>
    <w:rsid w:val="00963F29"/>
    <w:rsid w:val="00970F9F"/>
    <w:rsid w:val="009F1814"/>
    <w:rsid w:val="00A62179"/>
    <w:rsid w:val="00AB489A"/>
    <w:rsid w:val="00AE27E2"/>
    <w:rsid w:val="00C036E5"/>
    <w:rsid w:val="00C2219F"/>
    <w:rsid w:val="00C302D3"/>
    <w:rsid w:val="00C51E84"/>
    <w:rsid w:val="00C6142E"/>
    <w:rsid w:val="00C73573"/>
    <w:rsid w:val="00CB2FAC"/>
    <w:rsid w:val="00CF62AA"/>
    <w:rsid w:val="00D1604F"/>
    <w:rsid w:val="00D22031"/>
    <w:rsid w:val="00D642D6"/>
    <w:rsid w:val="00DC0E64"/>
    <w:rsid w:val="00DE32AD"/>
    <w:rsid w:val="00E35B19"/>
    <w:rsid w:val="00E920C5"/>
    <w:rsid w:val="00EB37BA"/>
    <w:rsid w:val="00EC57C5"/>
    <w:rsid w:val="00ED7108"/>
    <w:rsid w:val="00EE776D"/>
    <w:rsid w:val="00EF03C1"/>
    <w:rsid w:val="00F074AB"/>
    <w:rsid w:val="00F1244C"/>
    <w:rsid w:val="00F70451"/>
    <w:rsid w:val="00F933AC"/>
    <w:rsid w:val="00FA3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AC"/>
    <w:rPr>
      <w:rFonts w:ascii="Tahoma" w:hAnsi="Tahoma" w:cs="Tahoma"/>
      <w:sz w:val="16"/>
      <w:szCs w:val="16"/>
    </w:rPr>
  </w:style>
  <w:style w:type="paragraph" w:customStyle="1" w:styleId="Default">
    <w:name w:val="Default"/>
    <w:uiPriority w:val="99"/>
    <w:rsid w:val="00F933A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F0B15"/>
    <w:pPr>
      <w:ind w:left="720"/>
      <w:contextualSpacing/>
    </w:pPr>
  </w:style>
  <w:style w:type="character" w:styleId="Hyperlink">
    <w:name w:val="Hyperlink"/>
    <w:basedOn w:val="DefaultParagraphFont"/>
    <w:rsid w:val="000A5019"/>
    <w:rPr>
      <w:color w:val="0000FF"/>
      <w:u w:val="single"/>
    </w:rPr>
  </w:style>
  <w:style w:type="table" w:styleId="TableGrid">
    <w:name w:val="Table Grid"/>
    <w:basedOn w:val="TableNormal"/>
    <w:uiPriority w:val="59"/>
    <w:rsid w:val="00097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link w:val="BodyTextIndent"/>
    <w:uiPriority w:val="99"/>
    <w:semiHidden/>
    <w:rsid w:val="00C302D3"/>
    <w:rPr>
      <w:rFonts w:ascii="Times New Roman" w:eastAsia="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eastAsia="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policy/UNT_Policy/volume3/18_1_16.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e.unt.edu/conceptual-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c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summers</dc:creator>
  <cp:keywords/>
  <dc:description/>
  <cp:lastModifiedBy>yuliya summers</cp:lastModifiedBy>
  <cp:revision>11</cp:revision>
  <cp:lastPrinted>2010-08-25T22:22:00Z</cp:lastPrinted>
  <dcterms:created xsi:type="dcterms:W3CDTF">2010-08-26T18:17:00Z</dcterms:created>
  <dcterms:modified xsi:type="dcterms:W3CDTF">2010-08-27T17:32:00Z</dcterms:modified>
</cp:coreProperties>
</file>