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UNTH1"/>
        <w:rPr/>
      </w:pPr>
      <w:r>
        <w:rPr/>
        <w:t>English 1320: College Writing II</w:t>
      </w:r>
    </w:p>
    <w:tbl>
      <w:tblPr>
        <w:tblStyle w:val="TableGrid"/>
        <w:tblpPr w:vertAnchor="text" w:horzAnchor="margin" w:leftFromText="180" w:rightFromText="180" w:tblpX="0" w:tblpY="749"/>
        <w:tblW w:w="935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963"/>
        <w:gridCol w:w="6386"/>
      </w:tblGrid>
      <w:tr>
        <w:trPr/>
        <w:tc>
          <w:tcPr>
            <w:tcW w:w="2963" w:type="dxa"/>
            <w:tcBorders/>
            <w:shd w:color="auto" w:fill="4EA72E" w:themeFill="accent6" w:val="clear"/>
            <w:vAlign w:val="center"/>
          </w:tcPr>
          <w:p>
            <w:pPr>
              <w:pStyle w:val="Normal"/>
              <w:widowControl/>
              <w:suppressAutoHyphens w:val="true"/>
              <w:spacing w:before="0" w:after="120"/>
              <w:rPr>
                <w:sz w:val="20"/>
                <w:szCs w:val="20"/>
                <w:lang w:val="en-US" w:eastAsia="en-US" w:bidi="ar-SA"/>
              </w:rPr>
            </w:pPr>
            <w:r>
              <w:rPr>
                <w:sz w:val="20"/>
                <w:szCs w:val="20"/>
                <w:lang w:val="en-US" w:eastAsia="en-US" w:bidi="ar-SA"/>
              </w:rPr>
              <w:drawing>
                <wp:anchor behindDoc="0" distT="0" distB="0" distL="0" distR="0" simplePos="0" locked="0" layoutInCell="1" allowOverlap="1" relativeHeight="22">
                  <wp:simplePos x="0" y="0"/>
                  <wp:positionH relativeFrom="column">
                    <wp:posOffset>-130175</wp:posOffset>
                  </wp:positionH>
                  <wp:positionV relativeFrom="page">
                    <wp:posOffset>-118745</wp:posOffset>
                  </wp:positionV>
                  <wp:extent cx="1943100" cy="1388745"/>
                  <wp:effectExtent l="0" t="0" r="0" b="0"/>
                  <wp:wrapNone/>
                  <wp:docPr id="1"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mage preview"/>
                          <pic:cNvPicPr>
                            <a:picLocks noChangeAspect="1" noChangeArrowheads="1"/>
                          </pic:cNvPicPr>
                        </pic:nvPicPr>
                        <pic:blipFill>
                          <a:blip r:embed="rId2"/>
                          <a:srcRect l="16089" t="22954" r="19662" b="31161"/>
                          <a:stretch>
                            <a:fillRect/>
                          </a:stretch>
                        </pic:blipFill>
                        <pic:spPr bwMode="auto">
                          <a:xfrm>
                            <a:off x="0" y="0"/>
                            <a:ext cx="1943100" cy="1388745"/>
                          </a:xfrm>
                          <a:prstGeom prst="rect">
                            <a:avLst/>
                          </a:prstGeom>
                        </pic:spPr>
                      </pic:pic>
                    </a:graphicData>
                  </a:graphic>
                </wp:anchor>
              </w:drawing>
            </w:r>
          </w:p>
        </w:tc>
        <w:tc>
          <w:tcPr>
            <w:tcW w:w="6386" w:type="dxa"/>
            <w:tcBorders/>
            <w:shd w:color="auto" w:fill="4EA72E" w:themeFill="accent6" w:val="clear"/>
          </w:tcPr>
          <w:p>
            <w:pPr>
              <w:pStyle w:val="SyllabusHeading2"/>
              <w:widowControl/>
              <w:suppressAutoHyphens w:val="true"/>
              <w:spacing w:before="120" w:after="120"/>
              <w:rPr>
                <w:sz w:val="20"/>
                <w:szCs w:val="20"/>
                <w:highlight w:val="none"/>
                <w:shd w:fill="auto" w:val="clear"/>
                <w:lang w:val="en-US" w:eastAsia="en-US" w:bidi="ar-SA"/>
              </w:rPr>
            </w:pPr>
            <w:r>
              <w:rPr>
                <w:color w:themeColor="background1" w:val="FFFFFF"/>
                <w:sz w:val="24"/>
                <w:szCs w:val="24"/>
                <w:shd w:fill="auto" w:val="clear"/>
                <w:lang w:val="en-US" w:eastAsia="en-US" w:bidi="ar-SA"/>
              </w:rPr>
              <w:t>Instructor: Sera Harris</w:t>
            </w:r>
          </w:p>
          <w:p>
            <w:pPr>
              <w:pStyle w:val="SyllabusHeading2"/>
              <w:widowControl/>
              <w:suppressAutoHyphens w:val="true"/>
              <w:spacing w:before="0" w:after="120"/>
              <w:rPr>
                <w:sz w:val="20"/>
                <w:szCs w:val="20"/>
                <w:highlight w:val="none"/>
                <w:shd w:fill="auto" w:val="clear"/>
                <w:lang w:val="en-US" w:eastAsia="en-US" w:bidi="ar-SA"/>
              </w:rPr>
            </w:pPr>
            <w:r>
              <w:rPr>
                <w:color w:themeColor="background1" w:val="FFFFFF"/>
                <w:sz w:val="24"/>
                <w:szCs w:val="24"/>
                <w:shd w:fill="auto" w:val="clear"/>
                <w:lang w:val="en-US" w:eastAsia="en-US" w:bidi="ar-SA"/>
              </w:rPr>
              <w:t>Class Times: 12:30 – 1:50 PM, Tuesday and Thursday</w:t>
            </w:r>
          </w:p>
          <w:p>
            <w:pPr>
              <w:pStyle w:val="SyllabusHeading2"/>
              <w:widowControl/>
              <w:suppressAutoHyphens w:val="true"/>
              <w:spacing w:before="0" w:after="120"/>
              <w:rPr>
                <w:sz w:val="20"/>
                <w:szCs w:val="20"/>
                <w:highlight w:val="none"/>
                <w:shd w:fill="auto" w:val="clear"/>
                <w:lang w:val="en-US" w:eastAsia="en-US" w:bidi="ar-SA"/>
              </w:rPr>
            </w:pPr>
            <w:r>
              <w:rPr>
                <w:color w:themeColor="background1" w:val="FFFFFF"/>
                <w:sz w:val="24"/>
                <w:szCs w:val="24"/>
                <w:shd w:fill="auto" w:val="clear"/>
                <w:lang w:val="en-US" w:eastAsia="en-US" w:bidi="ar-SA"/>
              </w:rPr>
              <w:t>Email: SeraHarris@my.unt.edu</w:t>
            </w:r>
          </w:p>
          <w:p>
            <w:pPr>
              <w:pStyle w:val="SyllabusHeading2"/>
              <w:widowControl/>
              <w:suppressAutoHyphens w:val="true"/>
              <w:spacing w:before="0" w:after="120"/>
              <w:rPr>
                <w:sz w:val="20"/>
                <w:szCs w:val="20"/>
                <w:highlight w:val="none"/>
                <w:shd w:fill="auto" w:val="clear"/>
                <w:lang w:val="en-US" w:eastAsia="en-US" w:bidi="ar-SA"/>
              </w:rPr>
            </w:pPr>
            <w:r>
              <w:rPr>
                <w:color w:themeColor="background1" w:val="FFFFFF"/>
                <w:sz w:val="24"/>
                <w:szCs w:val="24"/>
                <w:shd w:fill="auto" w:val="clear"/>
                <w:lang w:val="en-US" w:eastAsia="en-US" w:bidi="ar-SA"/>
              </w:rPr>
              <w:t>Office Hours: Wednesday, 12:30 – 2:30 PM</w:t>
            </w:r>
          </w:p>
          <w:p>
            <w:pPr>
              <w:pStyle w:val="SyllabusHeading2"/>
              <w:widowControl/>
              <w:suppressAutoHyphens w:val="true"/>
              <w:spacing w:before="0" w:after="120"/>
              <w:rPr>
                <w:sz w:val="20"/>
                <w:szCs w:val="20"/>
                <w:highlight w:val="none"/>
                <w:shd w:fill="auto" w:val="clear"/>
                <w:lang w:val="en-US" w:eastAsia="en-US" w:bidi="ar-SA"/>
              </w:rPr>
            </w:pPr>
            <w:r>
              <w:rPr>
                <w:color w:themeColor="background1" w:val="FFFFFF"/>
                <w:sz w:val="24"/>
                <w:szCs w:val="24"/>
                <w:shd w:fill="auto" w:val="clear"/>
                <w:lang w:val="en-US" w:eastAsia="en-US" w:bidi="ar-SA"/>
              </w:rPr>
              <w:t>Office Location: GAB 515</w:t>
            </w:r>
          </w:p>
        </w:tc>
      </w:tr>
    </w:tbl>
    <w:p>
      <w:pPr>
        <w:pStyle w:val="Heading2"/>
        <w:rPr/>
      </w:pPr>
      <w:r/>
      <w:r>
        <w:rPr/>
        <w:t xml:space="preserve"> </w:t>
      </w:r>
      <w:r>
        <w:rPr/>
        <w:t>Spring 2026| University of North Texas</w:t>
      </w:r>
    </w:p>
    <w:p>
      <w:pPr>
        <w:pStyle w:val="Normal"/>
        <w:rPr>
          <w:b/>
          <w:bCs/>
          <w:color w:val="EE0000"/>
        </w:rPr>
      </w:pPr>
      <w:r>
        <w:rPr>
          <w:b/>
          <w:bCs/>
          <w:color w:val="EE0000"/>
        </w:rPr>
      </w:r>
    </w:p>
    <w:p>
      <w:pPr>
        <w:pStyle w:val="Scheduleheadings"/>
        <w:rPr/>
      </w:pPr>
      <w:r>
        <w:rPr/>
        <w:t>Course Description</w:t>
      </w:r>
    </w:p>
    <w:p>
      <w:pPr>
        <w:pStyle w:val="Normal"/>
        <w:rPr/>
      </w:pPr>
      <w:r>
        <w:rPr/>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pPr>
        <w:pStyle w:val="Normal"/>
        <w:rPr/>
      </w:pPr>
      <w:r>
        <w:rPr/>
        <w:t>In order to focus your research, this course will be themed around a topic chosen by your instructor. For the first few weeks, we will read in this common theme and you will use this to brainstorm your research paper topic(s). This will also encourage a classroom community of knowledge so that we can support and help each other with our varying topics and research processes.</w:t>
      </w:r>
    </w:p>
    <w:p>
      <w:pPr>
        <w:pStyle w:val="Scheduleheadings"/>
        <w:rPr/>
      </w:pPr>
      <w:r>
        <w:rPr/>
        <w:t>Course Outcomes:</w:t>
      </w:r>
    </w:p>
    <w:p>
      <w:pPr>
        <w:pStyle w:val="SyllabusList"/>
        <w:numPr>
          <w:ilvl w:val="0"/>
          <w:numId w:val="1"/>
        </w:numPr>
        <w:rPr/>
      </w:pPr>
      <w:r>
        <w:rPr/>
        <w:t>Hone and develop reading, writing, and research skills through practice, repetition, and careful attention to style and strategy</w:t>
      </w:r>
    </w:p>
    <w:p>
      <w:pPr>
        <w:pStyle w:val="SyllabusList"/>
        <w:numPr>
          <w:ilvl w:val="0"/>
          <w:numId w:val="1"/>
        </w:numPr>
        <w:rPr/>
      </w:pPr>
      <w:r>
        <w:rPr/>
        <w:t>Develop a relevant research question</w:t>
      </w:r>
    </w:p>
    <w:p>
      <w:pPr>
        <w:pStyle w:val="SyllabusList"/>
        <w:numPr>
          <w:ilvl w:val="0"/>
          <w:numId w:val="1"/>
        </w:numPr>
        <w:rPr/>
      </w:pPr>
      <w:r>
        <w:rPr/>
        <w:t>Locate and analyze academic sources to use as evidence</w:t>
      </w:r>
    </w:p>
    <w:p>
      <w:pPr>
        <w:pStyle w:val="SyllabusList"/>
        <w:numPr>
          <w:ilvl w:val="0"/>
          <w:numId w:val="1"/>
        </w:numPr>
        <w:rPr/>
      </w:pPr>
      <w:r>
        <w:rPr/>
        <w:t>Synthesize sources into a larger analytical argument</w:t>
      </w:r>
    </w:p>
    <w:p>
      <w:pPr>
        <w:pStyle w:val="SyllabusList"/>
        <w:numPr>
          <w:ilvl w:val="0"/>
          <w:numId w:val="1"/>
        </w:numPr>
        <w:rPr/>
      </w:pPr>
      <w:r>
        <w:rPr/>
        <w:t>Draft and revise a research paper that is appropriate to academic audiences</w:t>
      </w:r>
    </w:p>
    <w:p>
      <w:pPr>
        <w:pStyle w:val="SyllabusList"/>
        <w:numPr>
          <w:ilvl w:val="0"/>
          <w:numId w:val="1"/>
        </w:numPr>
        <w:rPr/>
      </w:pPr>
      <w:r>
        <w:rPr/>
        <w:t>Collaborate with peers and provide useful feedback</w:t>
      </w:r>
    </w:p>
    <w:p>
      <w:pPr>
        <w:pStyle w:val="Scheduleheadings"/>
        <w:rPr/>
      </w:pPr>
      <w:r>
        <w:rPr/>
        <w:t>CORE Requirements</w:t>
      </w:r>
    </w:p>
    <w:p>
      <w:pPr>
        <w:pStyle w:val="Normal"/>
        <w:rPr/>
      </w:pPr>
      <w:r>
        <w:rPr>
          <w:b/>
          <w:bCs/>
        </w:rPr>
        <w:t>Catalog Description</w:t>
      </w:r>
      <w:r>
        <w:rPr/>
        <w:t xml:space="preserve">: 3 hours. Writing as inquiry. Develops habits of critical thinking, research-based inquiry, and argument through written engagement with relevant social and cultural issues. </w:t>
      </w:r>
      <w:r>
        <w:rPr>
          <w:b/>
          <w:bCs/>
        </w:rPr>
        <w:t xml:space="preserve">Prerequisite(s): </w:t>
      </w:r>
      <w:hyperlink r:id="rId3" w:tgtFrame="_blank">
        <w:r>
          <w:rPr>
            <w:rStyle w:val="ListLabel82"/>
            <w:rFonts w:eastAsia="" w:eastAsiaTheme="majorEastAsia"/>
          </w:rPr>
          <w:t>ENGL 1310</w:t>
        </w:r>
      </w:hyperlink>
      <w:r>
        <w:rPr/>
        <w:t>,  </w:t>
      </w:r>
      <w:hyperlink r:id="rId4" w:tgtFrame="_blank">
        <w:r>
          <w:rPr>
            <w:rStyle w:val="ListLabel82"/>
            <w:rFonts w:eastAsia="" w:eastAsiaTheme="majorEastAsia"/>
          </w:rPr>
          <w:t>ENGL 1311</w:t>
        </w:r>
      </w:hyperlink>
      <w:r>
        <w:rPr/>
        <w:t>, or equivalent.</w:t>
      </w:r>
    </w:p>
    <w:p>
      <w:pPr>
        <w:pStyle w:val="Normal"/>
        <w:rPr/>
      </w:pPr>
      <w:r>
        <w:rPr>
          <w:b/>
          <w:bCs/>
        </w:rPr>
        <w:t>CORE Category:</w:t>
      </w:r>
      <w:r>
        <w:rPr/>
        <w:t> Communication (English Composition and Rhetoric)</w:t>
      </w:r>
    </w:p>
    <w:p>
      <w:pPr>
        <w:pStyle w:val="Normal"/>
        <w:rPr/>
      </w:pPr>
      <w:r>
        <w:rPr/>
        <w:t xml:space="preserve">As ENGL 1320 meets one of your CORE Communication requirements. This course has four CORE skill objectives: </w:t>
      </w:r>
    </w:p>
    <w:p>
      <w:pPr>
        <w:pStyle w:val="SyllabusList"/>
        <w:numPr>
          <w:ilvl w:val="0"/>
          <w:numId w:val="1"/>
        </w:numPr>
        <w:rPr/>
      </w:pPr>
      <w:r>
        <w:rPr>
          <w:rFonts w:eastAsia="Times New Roman"/>
        </w:rPr>
        <w:t>Critical Thinking</w:t>
      </w:r>
      <w:r>
        <w:rPr/>
        <w:t xml:space="preserve"> | The written activity explains insights that the writer has gained through careful consideration of the research and reading done in the course. The writer coherently represents the complexity and nuance of the ideas they are writing about.</w:t>
      </w:r>
    </w:p>
    <w:p>
      <w:pPr>
        <w:pStyle w:val="SyllabusList"/>
        <w:numPr>
          <w:ilvl w:val="0"/>
          <w:numId w:val="1"/>
        </w:numPr>
        <w:rPr/>
      </w:pPr>
      <w:r>
        <w:rPr>
          <w:rFonts w:eastAsia="Times New Roman"/>
        </w:rPr>
        <w:t>Clarity of Communication</w:t>
      </w:r>
      <w:r>
        <w:rPr/>
        <w:t xml:space="preserve"> |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pPr>
        <w:pStyle w:val="SyllabusList"/>
        <w:numPr>
          <w:ilvl w:val="0"/>
          <w:numId w:val="1"/>
        </w:numPr>
        <w:rPr/>
      </w:pPr>
      <w:r>
        <w:rPr>
          <w:rFonts w:eastAsia="Times New Roman"/>
        </w:rPr>
        <w:t>Organization and Structure</w:t>
      </w:r>
      <w:r>
        <w:rPr/>
        <w:t xml:space="preserve"> | The written activity is clearly organized with a structure that allows audiences to understand its main point as well as the supporting examples and sources that contribute to the main point. </w:t>
      </w:r>
    </w:p>
    <w:p>
      <w:pPr>
        <w:pStyle w:val="SyllabusList"/>
        <w:numPr>
          <w:ilvl w:val="0"/>
          <w:numId w:val="1"/>
        </w:numPr>
        <w:rPr/>
      </w:pPr>
      <w:r>
        <w:rPr>
          <w:lang w:val="en-US"/>
        </w:rPr>
        <w:t xml:space="preserve">Consideration of Other Perspectives | The written activity demonstrates careful listening to course ideas, course texts, and to consider other perspectives related to the topic the writer is addressing. The writer considers the cultural and social implications of their topic and argument. </w:t>
      </w:r>
    </w:p>
    <w:p>
      <w:pPr>
        <w:pStyle w:val="Scheduleheadings"/>
        <w:rPr/>
      </w:pPr>
      <w:r>
        <w:rPr/>
        <w:t>Course Books &amp; Materials</w:t>
        <w:tab/>
        <w:t xml:space="preserve"> </w:t>
      </w:r>
    </w:p>
    <w:p>
      <w:pPr>
        <w:pStyle w:val="SyllabusList"/>
        <w:numPr>
          <w:ilvl w:val="0"/>
          <w:numId w:val="1"/>
        </w:numPr>
        <w:rPr/>
      </w:pPr>
      <w:r>
        <w:rPr>
          <w:i/>
          <w:iCs/>
        </w:rPr>
        <w:t>Steps to Writing Well with Additional Readings</w:t>
      </w:r>
      <w:r>
        <w:rPr/>
        <w:t xml:space="preserve"> (MindTap Course)</w:t>
      </w:r>
      <w:r>
        <w:rPr>
          <w:i/>
          <w:iCs/>
        </w:rPr>
        <w:t xml:space="preserve"> </w:t>
      </w:r>
      <w:r>
        <w:rPr/>
        <w:t>Eleventh Edition, Jean Wyrick, Cengage, 2017, ISBN 9798214162119</w:t>
      </w:r>
    </w:p>
    <w:p>
      <w:pPr>
        <w:pStyle w:val="SyllabusList"/>
        <w:numPr>
          <w:ilvl w:val="0"/>
          <w:numId w:val="1"/>
        </w:numPr>
        <w:rPr/>
      </w:pPr>
      <w:r>
        <w:rPr/>
        <w:t xml:space="preserve">All other materials will be supplied by me or available at the library. </w:t>
      </w:r>
    </w:p>
    <w:p>
      <w:pPr>
        <w:pStyle w:val="Scheduleheadings"/>
        <w:rPr/>
      </w:pPr>
      <w:r>
        <w:rPr/>
        <w:t>Technical Requirements &amp; Skills</w:t>
      </w:r>
    </w:p>
    <w:p>
      <w:pPr>
        <w:pStyle w:val="Normal"/>
        <w:rPr/>
      </w:pPr>
      <w:r>
        <w:rPr/>
        <w:t xml:space="preserve">You’ll need </w:t>
      </w:r>
      <w:r>
        <w:fldChar w:fldCharType="begin"/>
      </w:r>
      <w:r>
        <w:rPr>
          <w:rStyle w:val="Hyperlink"/>
        </w:rPr>
        <w:instrText xml:space="preserve"> HYPERLINK "https://guides.library.unt.edu/spark/Computing" \l "s-lib-ctab-31692025-5"</w:instrText>
      </w:r>
      <w:r>
        <w:rPr>
          <w:rStyle w:val="Hyperlink"/>
        </w:rPr>
        <w:fldChar w:fldCharType="separate"/>
      </w:r>
      <w:r>
        <w:rPr>
          <w:rStyle w:val="Hyperlink"/>
        </w:rPr>
        <w:t>a computer</w:t>
      </w:r>
      <w:r>
        <w:rPr>
          <w:rStyle w:val="Hyperlink"/>
        </w:rPr>
        <w:fldChar w:fldCharType="end"/>
      </w:r>
      <w:r>
        <w:rPr/>
        <w:t xml:space="preserve"> with </w:t>
      </w:r>
      <w:hyperlink r:id="rId5">
        <w:r>
          <w:rPr>
            <w:rStyle w:val="Hyperlink"/>
          </w:rPr>
          <w:t>internet access</w:t>
        </w:r>
      </w:hyperlink>
      <w:r>
        <w:rPr/>
        <w:t xml:space="preserve"> and know the basic skills necessary to:  </w:t>
      </w:r>
    </w:p>
    <w:p>
      <w:pPr>
        <w:pStyle w:val="SyllabusList"/>
        <w:numPr>
          <w:ilvl w:val="0"/>
          <w:numId w:val="1"/>
        </w:numPr>
        <w:rPr/>
      </w:pPr>
      <w:r>
        <w:rPr/>
        <w:t xml:space="preserve">Use </w:t>
      </w:r>
      <w:hyperlink r:id="rId6">
        <w:r>
          <w:rPr>
            <w:rStyle w:val="Hyperlink"/>
          </w:rPr>
          <w:t>Outlook for UNT email</w:t>
        </w:r>
      </w:hyperlink>
    </w:p>
    <w:p>
      <w:pPr>
        <w:pStyle w:val="SyllabusList"/>
        <w:numPr>
          <w:ilvl w:val="0"/>
          <w:numId w:val="1"/>
        </w:numPr>
        <w:rPr/>
      </w:pPr>
      <w:r>
        <w:rPr/>
        <w:t xml:space="preserve">Use </w:t>
      </w:r>
      <w:hyperlink r:id="rId7">
        <w:r>
          <w:rPr>
            <w:rStyle w:val="Hyperlink"/>
          </w:rPr>
          <w:t>Canvas</w:t>
        </w:r>
      </w:hyperlink>
    </w:p>
    <w:p>
      <w:pPr>
        <w:pStyle w:val="SyllabusList"/>
        <w:numPr>
          <w:ilvl w:val="0"/>
          <w:numId w:val="1"/>
        </w:numPr>
        <w:rPr/>
      </w:pPr>
      <w:r>
        <w:rPr/>
        <w:t xml:space="preserve">Use </w:t>
      </w:r>
      <w:hyperlink r:id="rId8">
        <w:r>
          <w:rPr>
            <w:rStyle w:val="Hyperlink"/>
          </w:rPr>
          <w:t>Microsoft Word and PowerPoint</w:t>
        </w:r>
      </w:hyperlink>
    </w:p>
    <w:p>
      <w:pPr>
        <w:pStyle w:val="Normal"/>
        <w:tabs>
          <w:tab w:val="clear" w:pos="720"/>
          <w:tab w:val="left" w:pos="3060" w:leader="none"/>
        </w:tabs>
        <w:jc w:val="left"/>
        <w:rPr>
          <w:b/>
          <w:caps/>
          <w:color w:val="008000"/>
          <w:sz w:val="32"/>
          <w:szCs w:val="32"/>
        </w:rPr>
      </w:pPr>
      <w:r>
        <w:rPr>
          <w:b/>
          <w:caps/>
          <w:color w:val="008000"/>
          <w:sz w:val="32"/>
          <w:szCs w:val="32"/>
        </w:rPr>
        <w:t>Grade Distribution</w:t>
      </w:r>
    </w:p>
    <w:tbl>
      <w:tblPr>
        <w:tblStyle w:val="TableGri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5950"/>
        <w:gridCol w:w="1072"/>
        <w:gridCol w:w="2338"/>
      </w:tblGrid>
      <w:tr>
        <w:trPr>
          <w:trHeight w:val="269" w:hRule="atLeast"/>
        </w:trPr>
        <w:tc>
          <w:tcPr>
            <w:tcW w:w="5950" w:type="dxa"/>
            <w:tcBorders/>
          </w:tcPr>
          <w:p>
            <w:pPr>
              <w:pStyle w:val="Normal"/>
              <w:widowControl/>
              <w:suppressAutoHyphens w:val="true"/>
              <w:spacing w:before="0" w:after="120"/>
              <w:rPr>
                <w:rFonts w:eastAsia="" w:eastAsiaTheme="minorEastAsia"/>
                <w:b/>
                <w:bCs/>
              </w:rPr>
            </w:pPr>
            <w:r>
              <w:rPr>
                <w:rFonts w:eastAsia="" w:eastAsiaTheme="minorEastAsia"/>
                <w:b/>
                <w:bCs/>
                <w:sz w:val="20"/>
                <w:szCs w:val="20"/>
                <w:lang w:val="en-US" w:eastAsia="en-US" w:bidi="ar-SA"/>
              </w:rPr>
              <w:t>Assignment</w:t>
            </w:r>
          </w:p>
        </w:tc>
        <w:tc>
          <w:tcPr>
            <w:tcW w:w="1072" w:type="dxa"/>
            <w:tcBorders/>
          </w:tcPr>
          <w:p>
            <w:pPr>
              <w:pStyle w:val="Normal"/>
              <w:widowControl/>
              <w:suppressAutoHyphens w:val="true"/>
              <w:spacing w:before="0" w:after="120"/>
              <w:rPr>
                <w:rFonts w:eastAsia="" w:eastAsiaTheme="minorEastAsia"/>
                <w:b/>
                <w:bCs/>
              </w:rPr>
            </w:pPr>
            <w:r>
              <w:rPr>
                <w:rFonts w:eastAsia="" w:eastAsiaTheme="minorEastAsia"/>
                <w:b/>
                <w:bCs/>
                <w:sz w:val="20"/>
                <w:szCs w:val="20"/>
                <w:lang w:val="en-US" w:eastAsia="en-US" w:bidi="ar-SA"/>
              </w:rPr>
              <w:t>Weight</w:t>
            </w:r>
          </w:p>
        </w:tc>
        <w:tc>
          <w:tcPr>
            <w:tcW w:w="2338" w:type="dxa"/>
            <w:tcBorders/>
          </w:tcPr>
          <w:p>
            <w:pPr>
              <w:pStyle w:val="Normal"/>
              <w:widowControl/>
              <w:suppressAutoHyphens w:val="true"/>
              <w:spacing w:before="0" w:after="120"/>
              <w:rPr>
                <w:rFonts w:eastAsia="" w:eastAsiaTheme="minorEastAsia"/>
                <w:b/>
                <w:bCs/>
              </w:rPr>
            </w:pPr>
            <w:r>
              <w:rPr>
                <w:rFonts w:eastAsia="" w:eastAsiaTheme="minorEastAsia"/>
                <w:b/>
                <w:bCs/>
                <w:sz w:val="20"/>
                <w:szCs w:val="20"/>
                <w:lang w:val="en-US" w:eastAsia="en-US" w:bidi="ar-SA"/>
              </w:rPr>
              <w:t>Due Date</w:t>
            </w:r>
          </w:p>
        </w:tc>
      </w:tr>
      <w:tr>
        <w:trPr>
          <w:trHeight w:val="269" w:hRule="atLeast"/>
        </w:trPr>
        <w:tc>
          <w:tcPr>
            <w:tcW w:w="5950"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Major Assignment 1 (MA 1) | Drafting the Research Essay</w:t>
            </w:r>
          </w:p>
          <w:p>
            <w:pPr>
              <w:pStyle w:val="Normal"/>
              <w:widowControl/>
              <w:numPr>
                <w:ilvl w:val="0"/>
                <w:numId w:val="4"/>
              </w:numPr>
              <w:suppressAutoHyphens w:val="true"/>
              <w:spacing w:before="0" w:after="120"/>
              <w:rPr>
                <w:rFonts w:eastAsia="" w:eastAsiaTheme="minorEastAsia"/>
              </w:rPr>
            </w:pPr>
            <w:r>
              <w:rPr>
                <w:rFonts w:eastAsia="" w:eastAsiaTheme="minorEastAsia"/>
                <w:sz w:val="20"/>
                <w:szCs w:val="20"/>
                <w:lang w:val="en-US" w:eastAsia="en-US" w:bidi="ar-SA"/>
              </w:rPr>
              <w:t>In this unit, you will plan and write a clear, focused, and well-researched essay that addresses the issue you have chosen to write about. You will submit both a rough draft and  eventually a final draft of your research paper.</w:t>
            </w:r>
          </w:p>
        </w:tc>
        <w:tc>
          <w:tcPr>
            <w:tcW w:w="1072"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20%</w:t>
            </w:r>
          </w:p>
        </w:tc>
        <w:tc>
          <w:tcPr>
            <w:tcW w:w="2338" w:type="dxa"/>
            <w:tcBorders/>
            <w:shd w:color="auto" w:fill="FFFFFF" w:themeFill="background1" w:val="clear"/>
          </w:tcPr>
          <w:p>
            <w:pPr>
              <w:pStyle w:val="Normal"/>
              <w:widowControl/>
              <w:suppressAutoHyphens w:val="true"/>
              <w:spacing w:before="0" w:after="120"/>
              <w:rPr>
                <w:rFonts w:eastAsia="" w:eastAsiaTheme="minorEastAsia"/>
                <w:highlight w:val="yellow"/>
              </w:rPr>
            </w:pPr>
            <w:r>
              <w:rPr>
                <w:rFonts w:eastAsia="" w:eastAsiaTheme="minorEastAsia"/>
                <w:sz w:val="20"/>
                <w:szCs w:val="20"/>
                <w:highlight w:val="yellow"/>
                <w:lang w:val="en-US" w:eastAsia="en-US" w:bidi="ar-SA"/>
              </w:rPr>
              <w:t>02/09/2026</w:t>
            </w:r>
          </w:p>
        </w:tc>
      </w:tr>
      <w:tr>
        <w:trPr>
          <w:trHeight w:val="269" w:hRule="atLeast"/>
        </w:trPr>
        <w:tc>
          <w:tcPr>
            <w:tcW w:w="5950"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Major Assignment 2 (MA 2) |Annotated Bibliography</w:t>
            </w:r>
          </w:p>
          <w:p>
            <w:pPr>
              <w:pStyle w:val="Normal"/>
              <w:widowControl/>
              <w:numPr>
                <w:ilvl w:val="0"/>
                <w:numId w:val="4"/>
              </w:numPr>
              <w:suppressAutoHyphens w:val="true"/>
              <w:spacing w:before="0" w:after="120"/>
              <w:rPr>
                <w:rFonts w:eastAsia="" w:eastAsiaTheme="minorEastAsia"/>
              </w:rPr>
            </w:pPr>
            <w:r>
              <w:rPr>
                <w:rFonts w:eastAsia="" w:eastAsiaTheme="minorEastAsia"/>
                <w:sz w:val="20"/>
                <w:szCs w:val="20"/>
                <w:lang w:val="en-US" w:eastAsia="en-US" w:bidi="ar-SA"/>
              </w:rPr>
              <w:t>This unit focuses on defining the context for the issue you have chosen and locating sources that offer a perspective on the issue. You will draft an annotated bibliography at the end of this unit.</w:t>
            </w:r>
          </w:p>
        </w:tc>
        <w:tc>
          <w:tcPr>
            <w:tcW w:w="1072"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20%</w:t>
            </w:r>
          </w:p>
        </w:tc>
        <w:tc>
          <w:tcPr>
            <w:tcW w:w="2338" w:type="dxa"/>
            <w:tcBorders/>
            <w:shd w:color="auto" w:fill="FFFFFF" w:themeFill="background1" w:val="clear"/>
          </w:tcPr>
          <w:p>
            <w:pPr>
              <w:pStyle w:val="Normal"/>
              <w:widowControl/>
              <w:suppressAutoHyphens w:val="true"/>
              <w:spacing w:before="0" w:after="120"/>
              <w:rPr>
                <w:rFonts w:eastAsia="" w:eastAsiaTheme="minorEastAsia"/>
                <w:highlight w:val="yellow"/>
              </w:rPr>
            </w:pPr>
            <w:r>
              <w:rPr>
                <w:rFonts w:eastAsia="" w:eastAsiaTheme="minorEastAsia"/>
                <w:sz w:val="20"/>
                <w:szCs w:val="20"/>
                <w:highlight w:val="yellow"/>
                <w:lang w:val="en-US" w:eastAsia="en-US" w:bidi="ar-SA"/>
              </w:rPr>
              <w:t>03/01/2026</w:t>
            </w:r>
          </w:p>
        </w:tc>
      </w:tr>
      <w:tr>
        <w:trPr/>
        <w:tc>
          <w:tcPr>
            <w:tcW w:w="5950"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Major Assignment 3 (MA 3) | Abstract</w:t>
            </w:r>
          </w:p>
          <w:p>
            <w:pPr>
              <w:pStyle w:val="Normal"/>
              <w:widowControl/>
              <w:numPr>
                <w:ilvl w:val="0"/>
                <w:numId w:val="5"/>
              </w:numPr>
              <w:suppressAutoHyphens w:val="true"/>
              <w:spacing w:before="0" w:after="120"/>
              <w:rPr>
                <w:sz w:val="20"/>
                <w:szCs w:val="20"/>
                <w:lang w:val="en-US" w:eastAsia="en-US" w:bidi="ar-SA"/>
              </w:rPr>
            </w:pPr>
            <w:r>
              <w:rPr>
                <w:sz w:val="20"/>
                <w:szCs w:val="20"/>
                <w:lang w:val="en-US" w:eastAsia="en-US" w:bidi="ar-SA"/>
              </w:rPr>
              <w:t>In this unit, you will draft an abstract that succinctly encapsulates both the argument you crafted in the rought draft and the research you compiled in your bibliography.</w:t>
            </w:r>
          </w:p>
        </w:tc>
        <w:tc>
          <w:tcPr>
            <w:tcW w:w="1072"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10%</w:t>
            </w:r>
          </w:p>
        </w:tc>
        <w:tc>
          <w:tcPr>
            <w:tcW w:w="2338" w:type="dxa"/>
            <w:tcBorders/>
            <w:shd w:color="auto" w:fill="FFFFFF" w:themeFill="background1" w:val="clear"/>
          </w:tcPr>
          <w:p>
            <w:pPr>
              <w:pStyle w:val="Normal"/>
              <w:widowControl/>
              <w:suppressAutoHyphens w:val="true"/>
              <w:spacing w:before="0" w:after="120"/>
              <w:rPr>
                <w:rFonts w:eastAsia="" w:eastAsiaTheme="minorEastAsia"/>
                <w:highlight w:val="yellow"/>
              </w:rPr>
            </w:pPr>
            <w:r>
              <w:rPr>
                <w:rFonts w:eastAsia="" w:eastAsiaTheme="minorEastAsia"/>
                <w:sz w:val="20"/>
                <w:szCs w:val="20"/>
                <w:highlight w:val="yellow"/>
                <w:lang w:val="en-US" w:eastAsia="en-US" w:bidi="ar-SA"/>
              </w:rPr>
              <w:t>03/30/2026</w:t>
            </w:r>
          </w:p>
        </w:tc>
      </w:tr>
      <w:tr>
        <w:trPr/>
        <w:tc>
          <w:tcPr>
            <w:tcW w:w="5950"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Major Assignment 4 (MA 4) | Final Draft</w:t>
            </w:r>
          </w:p>
          <w:p>
            <w:pPr>
              <w:pStyle w:val="Normal"/>
              <w:widowControl/>
              <w:numPr>
                <w:ilvl w:val="0"/>
                <w:numId w:val="4"/>
              </w:numPr>
              <w:suppressAutoHyphens w:val="true"/>
              <w:spacing w:before="0" w:after="120"/>
              <w:rPr>
                <w:rFonts w:eastAsia="" w:eastAsiaTheme="minorEastAsia"/>
              </w:rPr>
            </w:pPr>
            <w:r>
              <w:rPr>
                <w:rFonts w:eastAsia="" w:eastAsiaTheme="minorEastAsia"/>
                <w:sz w:val="20"/>
                <w:szCs w:val="20"/>
                <w:lang w:val="en-US" w:eastAsia="en-US" w:bidi="ar-SA"/>
              </w:rPr>
              <w:t>In this unit, You will learn about how to work a paper from a rough draft into a polished final draft. You will polish your draft from unit 3 for this unit.</w:t>
            </w:r>
          </w:p>
        </w:tc>
        <w:tc>
          <w:tcPr>
            <w:tcW w:w="1072"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20%</w:t>
            </w:r>
          </w:p>
        </w:tc>
        <w:tc>
          <w:tcPr>
            <w:tcW w:w="2338"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highlight w:val="yellow"/>
                <w:lang w:val="en-US" w:eastAsia="en-US" w:bidi="ar-SA"/>
              </w:rPr>
              <w:t>04/19/2026</w:t>
            </w:r>
          </w:p>
        </w:tc>
      </w:tr>
      <w:tr>
        <w:trPr/>
        <w:tc>
          <w:tcPr>
            <w:tcW w:w="5950"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Major Assignment 5 (MA 5) | Remixing your Research Project</w:t>
            </w:r>
          </w:p>
          <w:p>
            <w:pPr>
              <w:pStyle w:val="Normal"/>
              <w:widowControl/>
              <w:numPr>
                <w:ilvl w:val="0"/>
                <w:numId w:val="4"/>
              </w:numPr>
              <w:suppressAutoHyphens w:val="true"/>
              <w:spacing w:before="0" w:after="120"/>
              <w:rPr>
                <w:rFonts w:eastAsia="" w:eastAsiaTheme="minorEastAsia"/>
              </w:rPr>
            </w:pPr>
            <w:r>
              <w:rPr>
                <w:rFonts w:eastAsia="" w:eastAsiaTheme="minorEastAsia"/>
                <w:sz w:val="20"/>
                <w:szCs w:val="20"/>
                <w:lang w:val="en-US" w:eastAsia="en-US" w:bidi="ar-SA"/>
              </w:rPr>
              <w:t>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w:t>
            </w:r>
          </w:p>
        </w:tc>
        <w:tc>
          <w:tcPr>
            <w:tcW w:w="1072"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10%</w:t>
            </w:r>
          </w:p>
        </w:tc>
        <w:tc>
          <w:tcPr>
            <w:tcW w:w="2338" w:type="dxa"/>
            <w:tcBorders/>
            <w:shd w:color="auto" w:fill="FFFFFF" w:themeFill="background1" w:val="clear"/>
          </w:tcPr>
          <w:p>
            <w:pPr>
              <w:pStyle w:val="Normal"/>
              <w:widowControl/>
              <w:suppressAutoHyphens w:val="true"/>
              <w:spacing w:before="0" w:after="120"/>
              <w:rPr>
                <w:rFonts w:eastAsia="" w:eastAsiaTheme="minorEastAsia"/>
                <w:highlight w:val="yellow"/>
              </w:rPr>
            </w:pPr>
            <w:r>
              <w:rPr>
                <w:rFonts w:eastAsia="" w:eastAsiaTheme="minorEastAsia"/>
                <w:sz w:val="20"/>
                <w:szCs w:val="20"/>
                <w:highlight w:val="yellow"/>
                <w:lang w:val="en-US" w:eastAsia="en-US" w:bidi="ar-SA"/>
              </w:rPr>
              <w:t>05/03/2026</w:t>
            </w:r>
          </w:p>
        </w:tc>
      </w:tr>
      <w:tr>
        <w:trPr/>
        <w:tc>
          <w:tcPr>
            <w:tcW w:w="5950"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Quizzes and Discussions</w:t>
            </w:r>
          </w:p>
          <w:p>
            <w:pPr>
              <w:pStyle w:val="Normal"/>
              <w:widowControl/>
              <w:numPr>
                <w:ilvl w:val="0"/>
                <w:numId w:val="4"/>
              </w:numPr>
              <w:suppressAutoHyphens w:val="true"/>
              <w:spacing w:before="0" w:after="120"/>
              <w:rPr>
                <w:rFonts w:eastAsia="" w:eastAsiaTheme="minorEastAsia"/>
              </w:rPr>
            </w:pPr>
            <w:r>
              <w:rPr>
                <w:rFonts w:eastAsia="" w:eastAsiaTheme="minorEastAsia"/>
                <w:sz w:val="20"/>
                <w:szCs w:val="20"/>
                <w:lang w:val="en-US" w:eastAsia="en-US" w:bidi="ar-SA"/>
              </w:rPr>
              <w:t>Short quizzes over the assigned readings.</w:t>
            </w:r>
          </w:p>
        </w:tc>
        <w:tc>
          <w:tcPr>
            <w:tcW w:w="1072"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10%</w:t>
            </w:r>
          </w:p>
        </w:tc>
        <w:tc>
          <w:tcPr>
            <w:tcW w:w="2338"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Varies</w:t>
            </w:r>
          </w:p>
        </w:tc>
      </w:tr>
      <w:tr>
        <w:trPr/>
        <w:tc>
          <w:tcPr>
            <w:tcW w:w="5950"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Attendance and Participation</w:t>
            </w:r>
          </w:p>
        </w:tc>
        <w:tc>
          <w:tcPr>
            <w:tcW w:w="1072"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10%</w:t>
            </w:r>
          </w:p>
        </w:tc>
        <w:tc>
          <w:tcPr>
            <w:tcW w:w="2338" w:type="dxa"/>
            <w:tcBorders/>
            <w:shd w:color="auto" w:fill="FFFFFF" w:themeFill="background1" w:val="clear"/>
          </w:tcPr>
          <w:p>
            <w:pPr>
              <w:pStyle w:val="Normal"/>
              <w:widowControl/>
              <w:suppressAutoHyphens w:val="true"/>
              <w:spacing w:before="0" w:after="120"/>
              <w:rPr>
                <w:rFonts w:eastAsia="" w:eastAsiaTheme="minorEastAsia"/>
              </w:rPr>
            </w:pPr>
            <w:r>
              <w:rPr>
                <w:rFonts w:eastAsia="" w:eastAsiaTheme="minorEastAsia"/>
                <w:sz w:val="20"/>
                <w:szCs w:val="20"/>
                <w:lang w:val="en-US" w:eastAsia="en-US" w:bidi="ar-SA"/>
              </w:rPr>
              <w:t>Varies</w:t>
            </w:r>
          </w:p>
        </w:tc>
      </w:tr>
    </w:tbl>
    <w:p>
      <w:pPr>
        <w:pStyle w:val="Normal"/>
        <w:tabs>
          <w:tab w:val="clear" w:pos="720"/>
          <w:tab w:val="left" w:pos="3060" w:leader="none"/>
        </w:tabs>
        <w:jc w:val="left"/>
        <w:rPr>
          <w:b/>
          <w:caps/>
          <w:color w:val="008000"/>
          <w:sz w:val="32"/>
          <w:szCs w:val="32"/>
        </w:rPr>
      </w:pPr>
      <w:r>
        <w:rPr>
          <w:b/>
          <w:caps/>
          <w:color w:val="008000"/>
          <w:sz w:val="32"/>
          <w:szCs w:val="32"/>
        </w:rPr>
      </w:r>
    </w:p>
    <w:p>
      <w:pPr>
        <w:pStyle w:val="Normal"/>
        <w:tabs>
          <w:tab w:val="clear" w:pos="720"/>
          <w:tab w:val="left" w:pos="3060" w:leader="none"/>
        </w:tabs>
        <w:jc w:val="left"/>
        <w:rPr>
          <w:b/>
          <w:caps/>
          <w:color w:val="008000"/>
          <w:sz w:val="32"/>
          <w:szCs w:val="32"/>
        </w:rPr>
      </w:pPr>
      <w:r>
        <w:rPr>
          <w:b/>
          <w:caps/>
          <w:color w:val="008000"/>
          <w:sz w:val="32"/>
          <w:szCs w:val="32"/>
        </w:rPr>
        <w:t>Grading</w:t>
      </w:r>
    </w:p>
    <w:p>
      <w:pPr>
        <w:pStyle w:val="Normal"/>
        <w:rPr/>
      </w:pPr>
      <w:r>
        <w:rPr/>
        <w:t>This class uses a non-standard, process-based grading system that does away with standard numerical grades. Please familiarize yourself with the various tiers.</w:t>
      </w:r>
    </w:p>
    <w:tbl>
      <w:tblPr>
        <w:tblStyle w:val="TableGrid1"/>
        <w:tblW w:w="93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973"/>
        <w:gridCol w:w="7376"/>
      </w:tblGrid>
      <w:tr>
        <w:trPr/>
        <w:tc>
          <w:tcPr>
            <w:tcW w:w="1973"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GRADE</w:t>
            </w:r>
          </w:p>
        </w:tc>
        <w:tc>
          <w:tcPr>
            <w:tcW w:w="7376"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DESCRIPTION</w:t>
            </w:r>
          </w:p>
        </w:tc>
      </w:tr>
      <w:tr>
        <w:trPr/>
        <w:tc>
          <w:tcPr>
            <w:tcW w:w="1973"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A</w:t>
            </w:r>
          </w:p>
        </w:tc>
        <w:tc>
          <w:tcPr>
            <w:tcW w:w="7376"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Work meets all parameters for a B, and the student has completed additional tasks listed in assignment requirements.</w:t>
            </w:r>
          </w:p>
        </w:tc>
      </w:tr>
      <w:tr>
        <w:trPr/>
        <w:tc>
          <w:tcPr>
            <w:tcW w:w="1973"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B (Default Grade)</w:t>
            </w:r>
          </w:p>
        </w:tc>
        <w:tc>
          <w:tcPr>
            <w:tcW w:w="7376"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Work meets the assignment's length and source requirements and the student has turned in the requisite number of prewriting assignments.</w:t>
            </w:r>
          </w:p>
        </w:tc>
      </w:tr>
      <w:tr>
        <w:trPr/>
        <w:tc>
          <w:tcPr>
            <w:tcW w:w="1973"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C</w:t>
            </w:r>
          </w:p>
        </w:tc>
        <w:tc>
          <w:tcPr>
            <w:tcW w:w="7376"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Work is either below the B-grade length/source threshold or the student has not turned in the requisite number of assignments.</w:t>
            </w:r>
          </w:p>
        </w:tc>
      </w:tr>
      <w:tr>
        <w:trPr/>
        <w:tc>
          <w:tcPr>
            <w:tcW w:w="1973" w:type="dxa"/>
            <w:tcBorders/>
          </w:tcPr>
          <w:p>
            <w:pPr>
              <w:pStyle w:val="Normal"/>
              <w:widowControl/>
              <w:suppressAutoHyphens w:val="true"/>
              <w:spacing w:before="0" w:after="120"/>
              <w:rPr>
                <w:rFonts w:eastAsia="Aptos" w:eastAsiaTheme="minorHAnsi"/>
              </w:rPr>
            </w:pPr>
            <w:r>
              <w:rPr>
                <w:rFonts w:eastAsia="Aptos" w:eastAsiaTheme="minorHAnsi"/>
                <w:sz w:val="22"/>
                <w:szCs w:val="22"/>
                <w:lang w:val="en-US" w:eastAsia="en-US" w:bidi="ar-SA"/>
              </w:rPr>
              <w:t>F</w:t>
            </w:r>
          </w:p>
        </w:tc>
        <w:tc>
          <w:tcPr>
            <w:tcW w:w="7376" w:type="dxa"/>
            <w:tcBorders/>
          </w:tcPr>
          <w:p>
            <w:pPr>
              <w:pStyle w:val="BodyText"/>
              <w:widowControl/>
              <w:suppressAutoHyphens w:val="true"/>
              <w:spacing w:before="0" w:after="120"/>
              <w:rPr>
                <w:rFonts w:eastAsia="Aptos" w:eastAsiaTheme="minorHAnsi"/>
              </w:rPr>
            </w:pPr>
            <w:r>
              <w:rPr>
                <w:rFonts w:eastAsia="Aptos" w:eastAsiaTheme="minorHAnsi"/>
                <w:sz w:val="22"/>
                <w:szCs w:val="22"/>
                <w:lang w:val="en-US" w:eastAsia="en-US" w:bidi="ar-SA"/>
              </w:rPr>
              <w:t>Work turned-in is below one-half of the assignment's required length.</w:t>
            </w:r>
          </w:p>
        </w:tc>
      </w:tr>
    </w:tbl>
    <w:p>
      <w:pPr>
        <w:pStyle w:val="Normal"/>
        <w:rPr/>
      </w:pPr>
      <w:r>
        <w:rPr/>
      </w:r>
    </w:p>
    <w:p>
      <w:pPr>
        <w:pStyle w:val="Normal"/>
        <w:rPr/>
      </w:pPr>
      <w:r>
        <w:rPr/>
        <w:t xml:space="preserve">All major assignments must be turned in on Canvas and processed through Turnitin to be eligible to pass this course. </w:t>
      </w:r>
    </w:p>
    <w:p>
      <w:pPr>
        <w:pStyle w:val="Normal"/>
        <w:rPr/>
      </w:pPr>
      <w:r>
        <w:rPr>
          <w:highlight w:val="yellow"/>
        </w:rPr>
        <w:t xml:space="preserve">I encourage you to monitor your score and review feedback posted on Canvas; However, Canvas’s gradebook is not always accurate. Some grades, such as attendance or extra credit, are not incorporated until </w:t>
      </w:r>
      <w:r>
        <w:rPr>
          <w:i/>
          <w:iCs/>
          <w:highlight w:val="yellow"/>
        </w:rPr>
        <w:t>after</w:t>
      </w:r>
      <w:r>
        <w:rPr>
          <w:highlight w:val="yellow"/>
        </w:rPr>
        <w:t xml:space="preserve"> the last time the class meets. If you are concerned about your grades, please set up a meeting so we can discuss them.</w:t>
      </w:r>
      <w:r>
        <w:rPr/>
        <w:t xml:space="preserve"> </w:t>
      </w:r>
    </w:p>
    <w:p>
      <w:pPr>
        <w:pStyle w:val="Scheduleheadings"/>
        <w:rPr/>
      </w:pPr>
      <w:r>
        <w:rPr/>
        <w:t>Communication Expectations</w:t>
      </w:r>
    </w:p>
    <w:p>
      <w:pPr>
        <w:pStyle w:val="SyllabusHeading2"/>
        <w:rPr/>
      </w:pPr>
      <w:r>
        <w:rPr/>
        <w:t>Feedback</w:t>
      </w:r>
    </w:p>
    <w:p>
      <w:pPr>
        <w:pStyle w:val="Normal"/>
        <w:rPr>
          <w:highlight w:val="none"/>
          <w:shd w:fill="auto" w:val="clear"/>
          <w14:ligatures w14:val="none"/>
        </w:rPr>
      </w:pPr>
      <w:r>
        <w:rPr>
          <w:shd w:fill="auto" w:val="clear"/>
          <w14:ligatures w14:val="none"/>
        </w:rPr>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pPr>
        <w:pStyle w:val="SyllabusHeading2"/>
        <w:rPr/>
      </w:pPr>
      <w:r>
        <w:rPr/>
        <w:t>Student Hours</w:t>
      </w:r>
    </w:p>
    <w:p>
      <w:pPr>
        <w:pStyle w:val="Normal"/>
        <w:rPr>
          <w:highlight w:val="none"/>
          <w:shd w:fill="auto" w:val="clear"/>
          <w14:ligatures w14:val="none"/>
        </w:rPr>
      </w:pPr>
      <w:r>
        <w:rPr>
          <w:shd w:fill="auto" w:val="clear"/>
          <w14:ligatures w14:val="none"/>
        </w:rPr>
        <w:t>Feel free to use my office hours as often as you'd like to chat with me, review an assignment, or discuss any questions/concerns you have. It's been my experience that a quick conversation is the most effective way to resolve any confusion. </w:t>
      </w:r>
    </w:p>
    <w:p>
      <w:pPr>
        <w:pStyle w:val="SyllabusHeading2"/>
        <w:rPr/>
      </w:pPr>
      <w:r>
        <w:rPr/>
        <w:t xml:space="preserve">Email </w:t>
      </w:r>
    </w:p>
    <w:p>
      <w:pPr>
        <w:pStyle w:val="Normal"/>
        <w:rPr>
          <w:highlight w:val="none"/>
          <w:shd w:fill="auto" w:val="clear"/>
          <w14:ligatures w14:val="none"/>
        </w:rPr>
      </w:pPr>
      <w:r>
        <w:rPr>
          <w:shd w:fill="auto" w:val="clear"/>
          <w14:ligatures w14:val="none"/>
        </w:rPr>
        <w:t>I will respond to all official correspondence addressed to my UNT email (SeraHarris@my.unt.edu) in person or via email within three business days</w:t>
      </w:r>
      <w:r>
        <w:rPr>
          <w:i/>
          <w:iCs/>
          <w:shd w:fill="auto" w:val="clear"/>
          <w14:ligatures w14:val="none"/>
        </w:rPr>
        <w:t>.</w:t>
      </w:r>
      <w:r>
        <w:rPr>
          <w:b/>
          <w:bCs/>
          <w:i/>
          <w:iCs/>
          <w:shd w:fill="auto" w:val="clear"/>
          <w14:ligatures w14:val="none"/>
        </w:rPr>
        <w:t xml:space="preserve"> </w:t>
      </w:r>
      <w:r>
        <w:rPr>
          <w:shd w:fill="auto" w:val="clear"/>
          <w14:ligatures w14:val="none"/>
        </w:rPr>
        <w:t>All other communication methods—Canvas Messenger, assignment comments, personal emails, physical letters, etc.—</w:t>
      </w:r>
      <w:r>
        <w:rPr>
          <w:i/>
          <w:iCs/>
          <w:u w:val="single"/>
          <w:shd w:fill="auto" w:val="clear"/>
          <w14:ligatures w14:val="none"/>
        </w:rPr>
        <w:t>are</w:t>
      </w:r>
      <w:r>
        <w:rPr>
          <w:shd w:fill="auto" w:val="clear"/>
          <w14:ligatures w14:val="none"/>
        </w:rPr>
        <w:t xml:space="preserve"> </w:t>
      </w:r>
      <w:r>
        <w:rPr>
          <w:i/>
          <w:iCs/>
          <w:u w:val="single"/>
          <w:shd w:fill="auto" w:val="clear"/>
          <w14:ligatures w14:val="none"/>
        </w:rPr>
        <w:t>unreliable</w:t>
      </w:r>
      <w:r>
        <w:rPr>
          <w:shd w:fill="auto" w:val="clear"/>
          <w14:ligatures w14:val="none"/>
        </w:rPr>
        <w:t xml:space="preserve"> ways to contact me. I cannot guarantee that I will see your message on other platforms within any specific time frame, if ever. </w:t>
      </w:r>
    </w:p>
    <w:p>
      <w:pPr>
        <w:pStyle w:val="Normal"/>
        <w:rPr/>
      </w:pPr>
      <w:r>
        <w:rPr>
          <w:i/>
          <w:iCs/>
          <w:shd w:fill="auto" w:val="clear"/>
          <w14:ligatures w14:val="none"/>
        </w:rPr>
        <w:t>Please</w:t>
      </w:r>
      <w:r>
        <w:rPr>
          <w:shd w:fill="auto" w:val="clear"/>
          <w14:ligatures w14:val="none"/>
        </w:rPr>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9">
        <w:r>
          <w:rPr>
            <w:rStyle w:val="ListLabel84"/>
            <w:color w:themeColor="hyperlink" w:val="467886"/>
            <w:u w:val="single"/>
            <w:shd w:fill="auto" w:val="clear"/>
            <w14:ligatures w14:val="none"/>
          </w:rPr>
          <w:t>How to Email Your Professor</w:t>
        </w:r>
      </w:hyperlink>
      <w:r>
        <w:rPr>
          <w:shd w:fill="auto" w:val="clear"/>
          <w14:ligatures w14:val="none"/>
        </w:rPr>
        <w:t xml:space="preserve">.” Or, for a checklist on effective email communication between yourself and instructors, see </w:t>
      </w:r>
      <w:hyperlink r:id="rId10">
        <w:r>
          <w:rPr>
            <w:rStyle w:val="ListLabel85"/>
            <w:color w:themeColor="hyperlink" w:val="467886"/>
            <w:u w:val="single"/>
            <w:shd w:fill="auto" w:val="clear"/>
            <w14:ligatures w14:val="none"/>
          </w:rPr>
          <w:t>https://www.wikihow.com/Email-a-Professor.</w:t>
        </w:r>
      </w:hyperlink>
      <w:r>
        <w:rPr>
          <w:shd w:fill="auto" w:val="clear"/>
          <w14:ligatures w14:val="none"/>
        </w:rPr>
        <w:t xml:space="preserve"> </w:t>
      </w:r>
    </w:p>
    <w:p>
      <w:pPr>
        <w:pStyle w:val="Normal"/>
        <w:rPr>
          <w:highlight w:val="none"/>
          <w:shd w:fill="auto" w:val="clear"/>
          <w14:ligatures w14:val="none"/>
        </w:rPr>
      </w:pPr>
      <w:r>
        <w:rPr>
          <w:shd w:fill="auto" w:val="clear"/>
          <w14:ligatures w14:val="none"/>
        </w:rPr>
        <w:t>It is your responsibility to check your UNT email during your ‘business’ hours each day to ensure you do not miss any time-sensitive information.</w:t>
      </w:r>
    </w:p>
    <w:p>
      <w:pPr>
        <w:pStyle w:val="SyllabusHeading2"/>
        <w:rPr/>
      </w:pPr>
      <w:r>
        <w:rPr/>
        <w:t>Public Writing</w:t>
      </w:r>
    </w:p>
    <w:p>
      <w:pPr>
        <w:pStyle w:val="Normal"/>
        <w:rPr/>
      </w:pPr>
      <w:r>
        <w:rPr/>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pPr>
        <w:pStyle w:val="SyllabusHeading2"/>
        <w:rPr/>
      </w:pPr>
      <w:r>
        <w:rPr/>
        <w:t>Syllabus Change Policy</w:t>
      </w:r>
    </w:p>
    <w:p>
      <w:pPr>
        <w:pStyle w:val="Normal"/>
        <w:rPr>
          <w:bCs/>
        </w:rPr>
      </w:pPr>
      <w:r>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pPr>
        <w:pStyle w:val="Scheduleheadings"/>
        <w:rPr/>
      </w:pPr>
      <w:r>
        <w:rPr/>
        <w:t>Attendance</w:t>
      </w:r>
    </w:p>
    <w:p>
      <w:pPr>
        <w:pStyle w:val="Normal"/>
        <w:rPr/>
      </w:pPr>
      <w:r>
        <w:rPr/>
        <w:t>Attendance Policy (</w:t>
      </w:r>
      <w:hyperlink r:id="rId11">
        <w:r>
          <w:rPr>
            <w:rStyle w:val="ListLabel86"/>
            <w:color w:themeColor="hyperlink" w:val="467886"/>
            <w:u w:val="single"/>
          </w:rPr>
          <w:t>UNT Policy 06.039</w:t>
        </w:r>
      </w:hyperlink>
      <w:r>
        <w:rPr/>
        <w:t>)</w:t>
      </w:r>
    </w:p>
    <w:p>
      <w:pPr>
        <w:pStyle w:val="Normal"/>
        <w:rPr/>
      </w:pPr>
      <w:r>
        <w:rPr/>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pPr>
        <w:pStyle w:val="SyllabusHeading2"/>
        <w:rPr>
          <w:highlight w:val="none"/>
          <w:shd w:fill="auto" w:val="clear"/>
        </w:rPr>
      </w:pPr>
      <w:r>
        <w:rPr>
          <w:shd w:fill="auto" w:val="clear"/>
        </w:rPr>
        <w:t>FYW Program Attendance Guidelines (2x/week class):</w:t>
      </w:r>
    </w:p>
    <w:p>
      <w:pPr>
        <w:pStyle w:val="SyllabusList"/>
        <w:numPr>
          <w:ilvl w:val="0"/>
          <w:numId w:val="1"/>
        </w:numPr>
        <w:rPr>
          <w:highlight w:val="none"/>
          <w:shd w:fill="auto" w:val="clear"/>
        </w:rPr>
      </w:pPr>
      <w:r>
        <w:rPr>
          <w:shd w:fill="auto" w:val="clear"/>
        </w:rPr>
        <w:t>Per university policy, missing more than 20% of classes results in automatic failure, regardless of assignment grades.</w:t>
      </w:r>
    </w:p>
    <w:p>
      <w:pPr>
        <w:pStyle w:val="SyllabusList"/>
        <w:numPr>
          <w:ilvl w:val="0"/>
          <w:numId w:val="1"/>
        </w:numPr>
        <w:rPr>
          <w:highlight w:val="none"/>
          <w:shd w:fill="auto" w:val="clear"/>
        </w:rPr>
      </w:pPr>
      <w:r>
        <w:rPr>
          <w:shd w:fill="auto" w:val="clear"/>
        </w:rPr>
        <w:t>Attendance will be taken during every class period.</w:t>
      </w:r>
    </w:p>
    <w:p>
      <w:pPr>
        <w:pStyle w:val="SyllabusList"/>
        <w:numPr>
          <w:ilvl w:val="0"/>
          <w:numId w:val="1"/>
        </w:numPr>
        <w:rPr>
          <w:highlight w:val="none"/>
          <w:shd w:fill="auto" w:val="clear"/>
        </w:rPr>
      </w:pPr>
      <w:r>
        <w:rPr>
          <w:shd w:fill="auto" w:val="clear"/>
        </w:rPr>
        <w:t>With every absence, your roll call grade will drop.</w:t>
      </w:r>
    </w:p>
    <w:p>
      <w:pPr>
        <w:pStyle w:val="SyllabusList"/>
        <w:numPr>
          <w:ilvl w:val="0"/>
          <w:numId w:val="1"/>
        </w:numPr>
        <w:rPr>
          <w:highlight w:val="none"/>
          <w:shd w:fill="auto" w:val="clear"/>
        </w:rPr>
      </w:pPr>
      <w:r>
        <w:rPr>
          <w:shd w:fill="auto" w:val="clear"/>
        </w:rPr>
        <w:t>Two tardies equal one absence.</w:t>
      </w:r>
    </w:p>
    <w:p>
      <w:pPr>
        <w:pStyle w:val="SyllabusList"/>
        <w:numPr>
          <w:ilvl w:val="0"/>
          <w:numId w:val="1"/>
        </w:numPr>
        <w:rPr>
          <w:highlight w:val="none"/>
          <w:shd w:fill="auto" w:val="clear"/>
        </w:rPr>
      </w:pPr>
      <w:r>
        <w:rPr>
          <w:shd w:fill="auto" w:val="clear"/>
        </w:rPr>
        <w:t>At 7 unexcused absences, you cannot pass the course.</w:t>
      </w:r>
    </w:p>
    <w:p>
      <w:pPr>
        <w:pStyle w:val="SyllabusList"/>
        <w:numPr>
          <w:ilvl w:val="0"/>
          <w:numId w:val="1"/>
        </w:numPr>
        <w:rPr>
          <w:highlight w:val="none"/>
          <w:shd w:fill="auto" w:val="clear"/>
        </w:rPr>
      </w:pPr>
      <w:r>
        <w:rPr>
          <w:shd w:fill="auto" w:val="clear"/>
        </w:rPr>
        <w:t>Excused absences are at your instructor’s discretion—stay in communication.</w:t>
      </w:r>
    </w:p>
    <w:p>
      <w:pPr>
        <w:pStyle w:val="SyllabusHeading2"/>
        <w:rPr/>
      </w:pPr>
      <w:r>
        <w:rPr/>
        <w:t>Excused Absences</w:t>
      </w:r>
    </w:p>
    <w:p>
      <w:pPr>
        <w:pStyle w:val="Normal"/>
        <w:rPr/>
      </w:pPr>
      <w:r>
        <w:rPr/>
        <w:t xml:space="preserve">Absences for the following reasons are considered excusable by the university based on </w:t>
      </w:r>
      <w:hyperlink r:id="rId12">
        <w:r>
          <w:rPr>
            <w:rStyle w:val="ListLabel87"/>
            <w:color w:themeColor="hyperlink" w:val="467886"/>
            <w:u w:val="single"/>
          </w:rPr>
          <w:t>UNT policy 6.039</w:t>
        </w:r>
      </w:hyperlink>
      <w:r>
        <w:rPr/>
        <w:t xml:space="preserve">, but you must obtain a note from the </w:t>
      </w:r>
      <w:hyperlink r:id="rId13">
        <w:r>
          <w:rPr>
            <w:rStyle w:val="ListLabel88"/>
            <w:color w:themeColor="hyperlink" w:val="467886"/>
            <w:u w:val="single"/>
          </w:rPr>
          <w:t>Dean of Students</w:t>
        </w:r>
      </w:hyperlink>
      <w:r>
        <w:rPr/>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to minimize any potential negative impact on your grades.</w:t>
      </w:r>
    </w:p>
    <w:p>
      <w:pPr>
        <w:pStyle w:val="Normal"/>
        <w:rPr/>
      </w:pPr>
      <w:r>
        <w:rPr/>
        <w:t xml:space="preserve">No other absences are eligible to be excused. Unless the absence is an illness or an extenuating circumstance that </w:t>
      </w:r>
      <w:r>
        <w:rPr>
          <w:i/>
          <w:iCs/>
        </w:rPr>
        <w:t>exceeds</w:t>
      </w:r>
      <w:r>
        <w:rPr/>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pPr>
        <w:pStyle w:val="SyllabusHeading2"/>
        <w:rPr/>
      </w:pPr>
      <w:r>
        <w:rPr/>
        <w:t xml:space="preserve">If you miss a class: </w:t>
      </w:r>
    </w:p>
    <w:p>
      <w:pPr>
        <w:pStyle w:val="Normal"/>
        <w:rPr/>
      </w:pPr>
      <w:r>
        <w:rPr>
          <w:shd w:fill="auto" w:val="clear"/>
          <w14:ligatures w14:val="none"/>
        </w:rPr>
        <w:t xml:space="preserve">You are responsible for finding out what you missed. </w:t>
      </w:r>
      <w:r>
        <w:rPr>
          <w:i/>
          <w:iCs/>
          <w:shd w:fill="auto" w:val="clear"/>
          <w14:ligatures w14:val="none"/>
        </w:rPr>
        <w:t>Before</w:t>
      </w:r>
      <w:r>
        <w:rPr>
          <w:shd w:fill="auto" w:val="clear"/>
          <w14:ligatures w14:val="none"/>
        </w:rPr>
        <w:t xml:space="preserve"> the next time our class meets, review the Canvas page and ask a classmate for notes on what you missed, or make an appointment to meet with me during office hours, or if needed, email me to ensure you are on track and prepared for the next class.</w:t>
      </w:r>
      <w:r>
        <w:rPr/>
        <w:t xml:space="preserve"> </w:t>
      </w:r>
    </w:p>
    <w:p>
      <w:pPr>
        <w:pStyle w:val="Scheduleheadings"/>
        <w:rPr/>
      </w:pPr>
      <w:r>
        <w:rPr/>
        <w:t>Late Work</w:t>
      </w:r>
    </w:p>
    <w:p>
      <w:pPr>
        <w:pStyle w:val="Normal"/>
        <w:rPr/>
      </w:pPr>
      <w:r>
        <w:rPr/>
        <w:t xml:space="preserve">All regular assignments have a 24-hour grace period following the due date during which said assignments may be submitted without penalty. After that however, I will refuse to take those assignments, barring some catastrophe that prevented your submitting the assignment. Major assignments, given their high stakes, I will take at any point in the semester. </w:t>
      </w:r>
      <w:r>
        <w:rPr>
          <w:b/>
          <w:bCs/>
        </w:rPr>
        <w:t>However</w:t>
      </w:r>
      <w:r>
        <w:rPr>
          <w:b w:val="false"/>
          <w:bCs w:val="false"/>
        </w:rPr>
        <w:t>,</w:t>
      </w:r>
      <w:r>
        <w:rPr>
          <w:b/>
          <w:bCs/>
          <w:i/>
          <w:iCs/>
        </w:rPr>
        <w:t xml:space="preserve"> </w:t>
      </w:r>
      <w:r>
        <w:rPr>
          <w:b w:val="false"/>
          <w:bCs w:val="false"/>
          <w:i w:val="false"/>
          <w:iCs w:val="false"/>
        </w:rPr>
        <w:t>students that leave these assignments to the last moment have a much higher risk of failing. Make use of this policy wisely.</w:t>
      </w:r>
    </w:p>
    <w:p>
      <w:pPr>
        <w:pStyle w:val="Normal"/>
        <w:rPr/>
      </w:pPr>
      <w:r>
        <w:rPr>
          <w:shd w:fill="auto" w:val="clear"/>
          <w14:ligatures w14:val="none"/>
        </w:rPr>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pPr>
        <w:pStyle w:val="Normal"/>
        <w:rPr>
          <w:b/>
          <w:bCs/>
          <w:color w:themeColor="accent6" w:themeShade="80" w:val="275317"/>
          <w:highlight w:val="yellow"/>
          <w:shd w:fill="auto" w:val="clear"/>
        </w:rPr>
      </w:pPr>
      <w:r>
        <w:rPr/>
      </w:r>
    </w:p>
    <w:p>
      <w:pPr>
        <w:pStyle w:val="Scheduleheadings"/>
        <w:rPr/>
      </w:pPr>
      <w:r>
        <w:rPr/>
        <w:t>UNT Policies</w:t>
      </w:r>
    </w:p>
    <w:p>
      <w:pPr>
        <w:pStyle w:val="SyllabusHeading2"/>
        <w:rPr/>
      </w:pPr>
      <w:r>
        <w:rPr/>
        <w:t>Academic Integrity Standards</w:t>
      </w:r>
    </w:p>
    <w:p>
      <w:pPr>
        <w:pStyle w:val="Normal"/>
        <w:rPr/>
      </w:pPr>
      <w:r>
        <w:rPr/>
        <w:t xml:space="preserve">According to </w:t>
      </w:r>
      <w:hyperlink r:id="rId14">
        <w:r>
          <w:rPr>
            <w:rStyle w:val="ListLabel89"/>
            <w:color w:themeColor="hyperlink" w:val="467886"/>
            <w:u w:val="single"/>
          </w:rPr>
          <w:t>UNT Policy 06.003</w:t>
        </w:r>
      </w:hyperlink>
      <w:r>
        <w:rPr/>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15">
        <w:r>
          <w:rPr>
            <w:rStyle w:val="ListLabel90"/>
            <w:color w:themeColor="hyperlink" w:val="467886"/>
            <w:u w:val="single"/>
          </w:rPr>
          <w:t>Office of Academic Integrity</w:t>
        </w:r>
      </w:hyperlink>
      <w:r>
        <w:rPr/>
        <w:t xml:space="preserve">. </w:t>
      </w:r>
    </w:p>
    <w:p>
      <w:pPr>
        <w:pStyle w:val="Normal"/>
        <w:rPr/>
      </w:pPr>
      <w:r>
        <w:rPr/>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pPr>
        <w:pStyle w:val="Normal"/>
        <w:rPr/>
      </w:pPr>
      <w:r>
        <w:rPr>
          <w:b/>
          <w:bCs/>
          <w:highlight w:val="yellow"/>
        </w:rPr>
        <w:t>Additionally, the use of any generative AI writing tools is prohibited in this class.</w:t>
      </w:r>
      <w:r>
        <w:rPr>
          <w:highlight w:val="yellow"/>
        </w:rPr>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Pr>
          <w:i/>
          <w:iCs/>
          <w:highlight w:val="yellow"/>
        </w:rPr>
        <w:t>Any</w:t>
      </w:r>
      <w:r>
        <w:rPr>
          <w:highlight w:val="yellow"/>
        </w:rPr>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Pr/>
        <w:t xml:space="preserve"> </w:t>
      </w:r>
    </w:p>
    <w:p>
      <w:pPr>
        <w:pStyle w:val="SyllabusHeading2"/>
        <w:rPr/>
      </w:pPr>
      <w:r>
        <w:rPr/>
        <w:t>Acceptable Student Behavior</w:t>
      </w:r>
    </w:p>
    <w:p>
      <w:pPr>
        <w:pStyle w:val="Normal"/>
        <w:rPr>
          <w:bCs/>
        </w:rPr>
      </w:pPr>
      <w:r>
        <w:rPr>
          <w:bCs/>
        </w:rPr>
        <w:t xml:space="preserve"> </w:t>
      </w:r>
      <w:r>
        <w:rPr>
          <w:bCs/>
        </w:rPr>
        <w:t xml:space="preserve">According to </w:t>
      </w:r>
      <w:hyperlink r:id="rId16">
        <w:r>
          <w:rPr>
            <w:rStyle w:val="ListLabel91"/>
            <w:bCs/>
            <w:color w:themeColor="hyperlink" w:val="467886"/>
            <w:u w:val="single"/>
          </w:rPr>
          <w:t>UNT policy 07.012</w:t>
        </w:r>
      </w:hyperlink>
      <w:r>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pPr>
        <w:pStyle w:val="Normal"/>
        <w:rPr>
          <w:bCs/>
        </w:rPr>
      </w:pPr>
      <w:r>
        <w:rPr>
          <w:bCs/>
        </w:rPr>
        <w:t xml:space="preserve">For additional information, refer to the </w:t>
      </w:r>
      <w:hyperlink r:id="rId17">
        <w:r>
          <w:rPr>
            <w:rStyle w:val="ListLabel92"/>
            <w:bCs/>
            <w:color w:themeColor="hyperlink" w:val="467886"/>
            <w:u w:val="single"/>
          </w:rPr>
          <w:t>Dean of Students</w:t>
        </w:r>
      </w:hyperlink>
      <w:r>
        <w:rPr>
          <w:bCs/>
        </w:rPr>
        <w:t xml:space="preserve"> website. </w:t>
      </w:r>
    </w:p>
    <w:p>
      <w:pPr>
        <w:pStyle w:val="SyllabusHeading2"/>
        <w:rPr/>
      </w:pPr>
      <w:r>
        <w:rPr/>
        <w:t>ADA Accommodations</w:t>
      </w:r>
    </w:p>
    <w:p>
      <w:pPr>
        <w:pStyle w:val="Normal"/>
        <w:rPr>
          <w:bCs/>
        </w:rPr>
      </w:pPr>
      <w:r>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pPr>
        <w:pStyle w:val="Normal"/>
        <w:rPr>
          <w:bCs/>
        </w:rPr>
      </w:pPr>
      <w:r>
        <w:rPr>
          <w:bCs/>
        </w:rPr>
        <w:t>For additional information, refer to the Office of Disability Access website.</w:t>
      </w:r>
    </w:p>
    <w:p>
      <w:pPr>
        <w:pStyle w:val="SyllabusHeading2"/>
        <w:rPr/>
      </w:pPr>
      <w:r>
        <w:rPr/>
        <w:t>Emergency Notification &amp; Procedures</w:t>
      </w:r>
    </w:p>
    <w:p>
      <w:pPr>
        <w:pStyle w:val="Normal"/>
        <w:rPr>
          <w:bCs/>
        </w:rPr>
      </w:pPr>
      <w:r>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pPr>
        <w:pStyle w:val="Normal"/>
        <w:rPr>
          <w:bCs/>
        </w:rPr>
      </w:pPr>
      <w:r>
        <w:rPr>
          <w:bCs/>
        </w:rPr>
        <w:t>For additional information, refer to the Eagle Alert website.</w:t>
      </w:r>
    </w:p>
    <w:p>
      <w:pPr>
        <w:pStyle w:val="Scheduleheadings"/>
        <w:rPr/>
      </w:pPr>
      <w:r>
        <w:rPr/>
        <w:t xml:space="preserve">UNT Resources </w:t>
      </w:r>
    </w:p>
    <w:p>
      <w:pPr>
        <w:pStyle w:val="SyllabusHeading2"/>
        <w:rPr/>
      </w:pPr>
      <w:r>
        <w:rPr/>
        <w:t xml:space="preserve">Technical Assistance: </w:t>
      </w:r>
    </w:p>
    <w:p>
      <w:pPr>
        <w:pStyle w:val="Normal"/>
        <w:spacing w:before="0" w:after="0"/>
        <w:rPr/>
      </w:pPr>
      <w:hyperlink r:id="rId18">
        <w:r>
          <w:rPr>
            <w:rStyle w:val="ListLabel93"/>
            <w:color w:themeColor="hyperlink" w:val="467886"/>
            <w:u w:val="single"/>
          </w:rPr>
          <w:t>Information Technology Help Desk | University of North Texas</w:t>
        </w:r>
      </w:hyperlink>
      <w:r>
        <w:rPr/>
        <w:t xml:space="preserve">   </w:t>
      </w:r>
    </w:p>
    <w:p>
      <w:pPr>
        <w:pStyle w:val="Normal"/>
        <w:spacing w:before="0" w:after="0"/>
        <w:rPr/>
      </w:pPr>
      <w:r>
        <w:rPr/>
        <w:t>Email: helpdesk@unt.edu</w:t>
      </w:r>
    </w:p>
    <w:p>
      <w:pPr>
        <w:pStyle w:val="Normal"/>
        <w:spacing w:before="0" w:after="0"/>
        <w:rPr/>
      </w:pPr>
      <w:r>
        <w:rPr/>
        <w:t>Phone: 940-565-2324</w:t>
      </w:r>
    </w:p>
    <w:p>
      <w:pPr>
        <w:pStyle w:val="Normal"/>
        <w:spacing w:before="0" w:after="0"/>
        <w:rPr/>
      </w:pPr>
      <w:r>
        <w:rPr/>
        <w:t>In Person: Sage Hall, Room 130</w:t>
      </w:r>
    </w:p>
    <w:p>
      <w:pPr>
        <w:pStyle w:val="Normal"/>
        <w:spacing w:before="0" w:after="0"/>
        <w:rPr/>
      </w:pPr>
      <w:r>
        <w:rPr/>
      </w:r>
    </w:p>
    <w:p>
      <w:pPr>
        <w:pStyle w:val="SyllabusHeading2"/>
        <w:rPr/>
      </w:pPr>
      <w:r>
        <w:rPr/>
        <w:t xml:space="preserve">Writing Assistance: </w:t>
      </w:r>
    </w:p>
    <w:p>
      <w:pPr>
        <w:pStyle w:val="Normal"/>
        <w:spacing w:before="0" w:after="0"/>
        <w:rPr/>
      </w:pPr>
      <w:hyperlink r:id="rId19">
        <w:r>
          <w:rPr>
            <w:rStyle w:val="ListLabel94"/>
            <w:color w:themeColor="hyperlink" w:val="467886"/>
            <w:u w:val="single"/>
          </w:rPr>
          <w:t>Writing Center | University of North Texas</w:t>
        </w:r>
      </w:hyperlink>
    </w:p>
    <w:p>
      <w:pPr>
        <w:pStyle w:val="Normal"/>
        <w:spacing w:before="0" w:after="0"/>
        <w:rPr/>
      </w:pPr>
      <w:r>
        <w:rPr/>
        <w:t>Email:WritingCenter@unt.edu </w:t>
      </w:r>
    </w:p>
    <w:p>
      <w:pPr>
        <w:pStyle w:val="Normal"/>
        <w:spacing w:before="0" w:after="0"/>
        <w:rPr/>
      </w:pPr>
      <w:r>
        <w:rPr/>
        <w:t>Phone: 940-565-2563</w:t>
      </w:r>
    </w:p>
    <w:p>
      <w:pPr>
        <w:pStyle w:val="Normal"/>
        <w:rPr/>
      </w:pPr>
      <w:r>
        <w:rPr/>
        <w:t>In Person: Sage Hall, Room 150</w:t>
      </w:r>
    </w:p>
    <w:p>
      <w:pPr>
        <w:pStyle w:val="Normal"/>
        <w:rPr/>
      </w:pPr>
      <w:r>
        <w:rPr/>
      </w:r>
    </w:p>
    <w:p>
      <w:pPr>
        <w:pStyle w:val="Normal"/>
        <w:spacing w:lineRule="auto" w:line="480" w:before="0" w:after="0"/>
        <w:jc w:val="left"/>
        <w:rPr/>
      </w:pPr>
      <w:r>
        <w:rPr/>
      </w:r>
    </w:p>
    <w:sectPr>
      <w:footerReference w:type="even" r:id="rId20"/>
      <w:footerReference w:type="default" r:id="rId21"/>
      <w:footerReference w:type="first" r:id="rId2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w Cen MT">
    <w:charset w:val="01"/>
    <w:family w:val="roman"/>
    <w:pitch w:val="variable"/>
  </w:font>
  <w:font w:name="Aptos">
    <w:charset w:val="01"/>
    <w:family w:val="roman"/>
    <w:pitch w:val="variable"/>
  </w:font>
  <w:font w:name="Garamond">
    <w:charset w:val="01"/>
    <w:family w:val="roman"/>
    <w:pitch w:val="variable"/>
  </w:font>
  <w:font w:name="Aptos Display">
    <w:charset w:val="01"/>
    <w:family w:val="roman"/>
    <w:pitch w:val="variable"/>
  </w:font>
  <w:font w:name="Modern No. 20">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rPr/>
        </w:pPr>
        <w:r>
          <w:drawing>
            <wp:anchor behindDoc="1" distT="0" distB="0" distL="0" distR="0" simplePos="0" locked="0" layoutInCell="1" allowOverlap="1" relativeHeight="10">
              <wp:simplePos x="0" y="0"/>
              <wp:positionH relativeFrom="column">
                <wp:posOffset>4732655</wp:posOffset>
              </wp:positionH>
              <wp:positionV relativeFrom="paragraph">
                <wp:posOffset>-323850</wp:posOffset>
              </wp:positionV>
              <wp:extent cx="1091565" cy="685165"/>
              <wp:effectExtent l="0" t="0" r="0" b="0"/>
              <wp:wrapNone/>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rcRect l="16817" t="24523" r="17320" b="34137"/>
                      <a:stretch>
                        <a:fillRect/>
                      </a:stretch>
                    </pic:blipFill>
                    <pic:spPr bwMode="auto">
                      <a:xfrm>
                        <a:off x="0" y="0"/>
                        <a:ext cx="1091565" cy="685165"/>
                      </a:xfrm>
                      <a:prstGeom prst="rect">
                        <a:avLst/>
                      </a:prstGeom>
                    </pic:spPr>
                  </pic:pic>
                </a:graphicData>
              </a:graphic>
            </wp:anchor>
          </w:drawing>
          <mc:AlternateContent>
            <mc:Choice Requires="wps">
              <w:drawing>
                <wp:anchor behindDoc="1" distT="13335" distB="12065" distL="12700" distR="12700" simplePos="0" locked="0" layoutInCell="1" allowOverlap="1" relativeHeight="20" wp14:anchorId="4E33B014">
                  <wp:simplePos x="0" y="0"/>
                  <wp:positionH relativeFrom="column">
                    <wp:posOffset>-1047750</wp:posOffset>
                  </wp:positionH>
                  <wp:positionV relativeFrom="paragraph">
                    <wp:posOffset>356235</wp:posOffset>
                  </wp:positionV>
                  <wp:extent cx="9486900" cy="142875"/>
                  <wp:effectExtent l="12700" t="13335" r="12700" b="12065"/>
                  <wp:wrapNone/>
                  <wp:docPr id="3" name="Rectangle 2"/>
                  <a:graphic xmlns:a="http://schemas.openxmlformats.org/drawingml/2006/main">
                    <a:graphicData uri="http://schemas.microsoft.com/office/word/2010/wordprocessingShape">
                      <wps:wsp>
                        <wps:cNvSpPr/>
                        <wps:spPr>
                          <a:xfrm>
                            <a:off x="0" y="0"/>
                            <a:ext cx="9487080" cy="142920"/>
                          </a:xfrm>
                          <a:prstGeom prst="rect">
                            <a:avLst/>
                          </a:prstGeom>
                          <a:solidFill>
                            <a:srgbClr val="4ea72e"/>
                          </a:solidFill>
                          <a:ln>
                            <a:solidFill>
                              <a:srgbClr val="ffffff"/>
                            </a:solidFill>
                          </a:ln>
                        </wps:spPr>
                        <wps:style>
                          <a:lnRef idx="3">
                            <a:schemeClr val="lt1"/>
                          </a:lnRef>
                          <a:fillRef idx="1">
                            <a:schemeClr val="accent6"/>
                          </a:fillRef>
                          <a:effectRef idx="1">
                            <a:schemeClr val="accent6"/>
                          </a:effectRef>
                          <a:fontRef idx="minor"/>
                        </wps:style>
                        <wps:bodyPr/>
                      </wps:wsp>
                    </a:graphicData>
                  </a:graphic>
                </wp:anchor>
              </w:drawing>
            </mc:Choice>
            <mc:Fallback>
              <w:pict>
                <v:rect id="shape_0" ID="Rectangle 2" path="m0,0l-2147483645,0l-2147483645,-2147483646l0,-2147483646xe" fillcolor="#4ea72e" stroked="t" o:allowincell="f" style="position:absolute;margin-left:-82.5pt;margin-top:28.05pt;width:746.95pt;height:11.2pt;mso-wrap-style:none;v-text-anchor:middle" wp14:anchorId="4E33B014">
                  <v:fill o:detectmouseclick="t" type="solid" color2="#b158d1"/>
                  <v:stroke color="white" weight="25560" joinstyle="miter" endcap="flat"/>
                  <w10:wrap type="none"/>
                </v:rect>
              </w:pict>
            </mc:Fallback>
          </mc:AlternateContent>
        </w:r>
        <w:r>
          <w:rPr/>
          <w:t>Revised 11.21.2025</w:t>
          <w:tab/>
          <w:tab/>
        </w:r>
        <w:r>
          <w:rPr/>
          <w:fldChar w:fldCharType="begin"/>
        </w:r>
        <w:r>
          <w:rPr/>
          <w:instrText xml:space="preserve"> PAGE </w:instrText>
        </w:r>
        <w:r>
          <w:rPr/>
          <w:fldChar w:fldCharType="separate"/>
        </w:r>
        <w:r>
          <w:rPr/>
          <w:t>9</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rPr/>
        </w:pPr>
        <w:r>
          <w:drawing>
            <wp:anchor behindDoc="1" distT="0" distB="0" distL="0" distR="0" simplePos="0" locked="0" layoutInCell="1" allowOverlap="1" relativeHeight="10">
              <wp:simplePos x="0" y="0"/>
              <wp:positionH relativeFrom="column">
                <wp:posOffset>4732655</wp:posOffset>
              </wp:positionH>
              <wp:positionV relativeFrom="paragraph">
                <wp:posOffset>-323850</wp:posOffset>
              </wp:positionV>
              <wp:extent cx="1091565" cy="685165"/>
              <wp:effectExtent l="0" t="0" r="0" b="0"/>
              <wp:wrapNone/>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1"/>
                      <a:srcRect l="16817" t="24523" r="17320" b="34137"/>
                      <a:stretch>
                        <a:fillRect/>
                      </a:stretch>
                    </pic:blipFill>
                    <pic:spPr bwMode="auto">
                      <a:xfrm>
                        <a:off x="0" y="0"/>
                        <a:ext cx="1091565" cy="685165"/>
                      </a:xfrm>
                      <a:prstGeom prst="rect">
                        <a:avLst/>
                      </a:prstGeom>
                    </pic:spPr>
                  </pic:pic>
                </a:graphicData>
              </a:graphic>
            </wp:anchor>
          </w:drawing>
          <mc:AlternateContent>
            <mc:Choice Requires="wps">
              <w:drawing>
                <wp:anchor behindDoc="1" distT="13335" distB="12065" distL="12700" distR="12700" simplePos="0" locked="0" layoutInCell="1" allowOverlap="1" relativeHeight="20" wp14:anchorId="4E33B014">
                  <wp:simplePos x="0" y="0"/>
                  <wp:positionH relativeFrom="column">
                    <wp:posOffset>-1047750</wp:posOffset>
                  </wp:positionH>
                  <wp:positionV relativeFrom="paragraph">
                    <wp:posOffset>356235</wp:posOffset>
                  </wp:positionV>
                  <wp:extent cx="9486900" cy="142875"/>
                  <wp:effectExtent l="12700" t="13335" r="12700" b="12065"/>
                  <wp:wrapNone/>
                  <wp:docPr id="5" name="Rectangle 2"/>
                  <a:graphic xmlns:a="http://schemas.openxmlformats.org/drawingml/2006/main">
                    <a:graphicData uri="http://schemas.microsoft.com/office/word/2010/wordprocessingShape">
                      <wps:wsp>
                        <wps:cNvSpPr/>
                        <wps:spPr>
                          <a:xfrm>
                            <a:off x="0" y="0"/>
                            <a:ext cx="9487080" cy="142920"/>
                          </a:xfrm>
                          <a:prstGeom prst="rect">
                            <a:avLst/>
                          </a:prstGeom>
                          <a:solidFill>
                            <a:srgbClr val="4ea72e"/>
                          </a:solidFill>
                          <a:ln>
                            <a:solidFill>
                              <a:srgbClr val="ffffff"/>
                            </a:solidFill>
                          </a:ln>
                        </wps:spPr>
                        <wps:style>
                          <a:lnRef idx="3">
                            <a:schemeClr val="lt1"/>
                          </a:lnRef>
                          <a:fillRef idx="1">
                            <a:schemeClr val="accent6"/>
                          </a:fillRef>
                          <a:effectRef idx="1">
                            <a:schemeClr val="accent6"/>
                          </a:effectRef>
                          <a:fontRef idx="minor"/>
                        </wps:style>
                        <wps:bodyPr/>
                      </wps:wsp>
                    </a:graphicData>
                  </a:graphic>
                </wp:anchor>
              </w:drawing>
            </mc:Choice>
            <mc:Fallback>
              <w:pict>
                <v:rect id="shape_0" ID="Rectangle 2" path="m0,0l-2147483645,0l-2147483645,-2147483646l0,-2147483646xe" fillcolor="#4ea72e" stroked="t" o:allowincell="f" style="position:absolute;margin-left:-82.5pt;margin-top:28.05pt;width:746.95pt;height:11.2pt;mso-wrap-style:none;v-text-anchor:middle" wp14:anchorId="4E33B014">
                  <v:fill o:detectmouseclick="t" type="solid" color2="#b158d1"/>
                  <v:stroke color="white" weight="25560" joinstyle="miter" endcap="flat"/>
                  <w10:wrap type="none"/>
                </v:rect>
              </w:pict>
            </mc:Fallback>
          </mc:AlternateContent>
        </w:r>
        <w:r>
          <w:rPr/>
          <w:t>Revised 11.21.2025</w:t>
          <w:tab/>
          <w:tab/>
        </w:r>
        <w:r>
          <w:rPr/>
          <w:fldChar w:fldCharType="begin"/>
        </w:r>
        <w:r>
          <w:rPr/>
          <w:instrText xml:space="preserve"> PAGE </w:instrText>
        </w:r>
        <w:r>
          <w:rPr/>
          <w:fldChar w:fldCharType="separate"/>
        </w:r>
        <w:r>
          <w:rPr/>
          <w:t>9</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z w:val="24"/>
        <w:szCs w:val="24"/>
        <w:color w:themeColor="text1"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720" w:hanging="360"/>
      </w:pPr>
      <w:rPr>
        <w:rFonts w:ascii="Symbol" w:hAnsi="Symbol" w:cs="Symbol"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ptos" w:cs="" w:cstheme="minorBidi" w:eastAsia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4a63"/>
    <w:pPr>
      <w:widowControl/>
      <w:suppressAutoHyphens w:val="true"/>
      <w:bidi w:val="0"/>
      <w:spacing w:lineRule="auto" w:line="240" w:before="0" w:after="120"/>
      <w:jc w:val="both"/>
    </w:pPr>
    <w:rPr>
      <w:rFonts w:ascii="Tw Cen MT" w:hAnsi="Tw Cen MT" w:eastAsia="Times New Roman" w:cs="Times New Roman"/>
      <w:color w:val="auto"/>
      <w:kern w:val="0"/>
      <w:sz w:val="24"/>
      <w:szCs w:val="24"/>
      <w:lang w:val="en-US" w:eastAsia="en-US" w:bidi="ar-SA"/>
      <w14:ligatures w14:val="none"/>
    </w:rPr>
  </w:style>
  <w:style w:type="paragraph" w:styleId="Heading1">
    <w:name w:val="Heading 1"/>
    <w:basedOn w:val="Normal"/>
    <w:link w:val="Heading1Char"/>
    <w:uiPriority w:val="9"/>
    <w:qFormat/>
    <w:rsid w:val="00e15252"/>
    <w:pPr>
      <w:keepNext w:val="true"/>
      <w:keepLines/>
      <w:jc w:val="center"/>
      <w:outlineLvl w:val="0"/>
    </w:pPr>
    <w:rPr>
      <w:rFonts w:eastAsia="" w:cs="" w:cstheme="majorBidi" w:eastAsiaTheme="majorEastAsia"/>
      <w:b/>
      <w:sz w:val="28"/>
      <w:szCs w:val="40"/>
    </w:rPr>
  </w:style>
  <w:style w:type="paragraph" w:styleId="Heading2">
    <w:name w:val="Heading 2"/>
    <w:basedOn w:val="Normal"/>
    <w:next w:val="Normal"/>
    <w:link w:val="Heading2Char"/>
    <w:uiPriority w:val="9"/>
    <w:unhideWhenUsed/>
    <w:qFormat/>
    <w:rsid w:val="00a62c35"/>
    <w:pPr>
      <w:spacing w:before="0" w:after="0"/>
      <w:jc w:val="center"/>
      <w:outlineLvl w:val="1"/>
    </w:pPr>
    <w:rPr>
      <w:bCs/>
      <w:color w:themeColor="accent6" w:themeShade="bf" w:val="3A7C22"/>
      <w:sz w:val="52"/>
      <w:szCs w:val="52"/>
    </w:rPr>
  </w:style>
  <w:style w:type="paragraph" w:styleId="Heading3">
    <w:name w:val="Heading 3"/>
    <w:basedOn w:val="Normal"/>
    <w:next w:val="Normal"/>
    <w:link w:val="Heading3Char"/>
    <w:uiPriority w:val="9"/>
    <w:semiHidden/>
    <w:unhideWhenUsed/>
    <w:qFormat/>
    <w:rsid w:val="00420cee"/>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Heading4Char"/>
    <w:uiPriority w:val="9"/>
    <w:semiHidden/>
    <w:unhideWhenUsed/>
    <w:qFormat/>
    <w:rsid w:val="00420cee"/>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Heading5Char"/>
    <w:uiPriority w:val="9"/>
    <w:semiHidden/>
    <w:unhideWhenUsed/>
    <w:qFormat/>
    <w:rsid w:val="00420cee"/>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Heading6Char"/>
    <w:uiPriority w:val="9"/>
    <w:semiHidden/>
    <w:unhideWhenUsed/>
    <w:qFormat/>
    <w:rsid w:val="00420cee"/>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420cee"/>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420cee"/>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420cee"/>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a62c35"/>
    <w:rPr>
      <w:rFonts w:ascii="Tw Cen MT" w:hAnsi="Tw Cen MT" w:eastAsia="Times New Roman" w:cs="Times New Roman"/>
      <w:bCs/>
      <w:color w:themeColor="accent6" w:themeShade="bf" w:val="3A7C22"/>
      <w:kern w:val="0"/>
      <w:sz w:val="52"/>
      <w:szCs w:val="52"/>
      <w14:ligatures w14:val="none"/>
    </w:rPr>
  </w:style>
  <w:style w:type="character" w:styleId="Heading1Char" w:customStyle="1">
    <w:name w:val="Heading 1 Char"/>
    <w:basedOn w:val="DefaultParagraphFont"/>
    <w:link w:val="Heading1"/>
    <w:uiPriority w:val="9"/>
    <w:qFormat/>
    <w:rsid w:val="00e15252"/>
    <w:rPr>
      <w:rFonts w:eastAsia="" w:cs="" w:cstheme="majorBidi" w:eastAsiaTheme="majorEastAsia"/>
      <w:b/>
      <w:sz w:val="28"/>
      <w:szCs w:val="40"/>
    </w:rPr>
  </w:style>
  <w:style w:type="character" w:styleId="ScheduleheadingsChar" w:customStyle="1">
    <w:name w:val="Schedule headings Char"/>
    <w:basedOn w:val="DefaultParagraphFont"/>
    <w:link w:val="Scheduleheadings"/>
    <w:qFormat/>
    <w:rsid w:val="008017e4"/>
    <w:rPr>
      <w:rFonts w:ascii="Tw Cen MT" w:hAnsi="Tw Cen MT" w:eastAsia="Times New Roman" w:cs="Times New Roman"/>
      <w:b/>
      <w:caps/>
      <w:color w:themeColor="accent6" w:themeShade="bf" w:val="3A7C22"/>
      <w:kern w:val="0"/>
      <w:sz w:val="32"/>
      <w:szCs w:val="32"/>
      <w14:ligatures w14:val="none"/>
    </w:rPr>
  </w:style>
  <w:style w:type="character" w:styleId="UNTH1Char" w:customStyle="1">
    <w:name w:val="UNT H1 Char"/>
    <w:basedOn w:val="DefaultParagraphFont"/>
    <w:link w:val="UNTH1"/>
    <w:qFormat/>
    <w:rsid w:val="008017e4"/>
    <w:rPr>
      <w:rFonts w:ascii="Tw Cen MT" w:hAnsi="Tw Cen MT" w:eastAsia="Times New Roman" w:cs="Times New Roman"/>
      <w:caps/>
      <w:color w:themeColor="accent6" w:themeShade="bf" w:val="3A7C22"/>
      <w:kern w:val="0"/>
      <w:sz w:val="60"/>
      <w:szCs w:val="60"/>
      <w14:ligatures w14:val="none"/>
    </w:rPr>
  </w:style>
  <w:style w:type="character" w:styleId="SyllabusHeading2Char" w:customStyle="1">
    <w:name w:val="Syllabus Heading 2 Char"/>
    <w:basedOn w:val="DefaultParagraphFont"/>
    <w:link w:val="SyllabusHeading2"/>
    <w:qFormat/>
    <w:rsid w:val="008b4c46"/>
    <w:rPr>
      <w:rFonts w:ascii="Tw Cen MT" w:hAnsi="Tw Cen MT" w:eastAsia="Times New Roman" w:cs="Times New Roman"/>
      <w:b/>
      <w:bCs/>
      <w:color w:themeColor="accent6" w:themeShade="80" w:val="275317"/>
      <w:kern w:val="0"/>
      <w14:ligatures w14:val="none"/>
    </w:rPr>
  </w:style>
  <w:style w:type="character" w:styleId="SyllabusListChar" w:customStyle="1">
    <w:name w:val="Syllabus List Char"/>
    <w:basedOn w:val="DefaultParagraphFont"/>
    <w:link w:val="SyllabusList"/>
    <w:qFormat/>
    <w:rsid w:val="00c6139f"/>
    <w:rPr>
      <w:rFonts w:ascii="Tw Cen MT" w:hAnsi="Tw Cen MT" w:eastAsia="Tw Cen MT" w:cs="Times New Roman"/>
      <w:color w:val="222222"/>
      <w:w w:val="105"/>
      <w:kern w:val="0"/>
      <w:shd w:fill="FFFFFF" w:val="clear"/>
      <w:lang w:val="en-GB" w:eastAsia="en-GB"/>
      <w14:ligatures w14:val="none"/>
    </w:rPr>
  </w:style>
  <w:style w:type="character" w:styleId="ListParagraphChar" w:customStyle="1">
    <w:name w:val="List Paragraph Char"/>
    <w:basedOn w:val="DefaultParagraphFont"/>
    <w:link w:val="ListParagraph"/>
    <w:uiPriority w:val="34"/>
    <w:qFormat/>
    <w:rsid w:val="000c40b9"/>
    <w:rPr>
      <w:rFonts w:ascii="Garamond" w:hAnsi="Garamond" w:eastAsia="Times New Roman" w:cs="Times New Roman"/>
      <w:kern w:val="0"/>
      <w14:ligatures w14:val="none"/>
    </w:rPr>
  </w:style>
  <w:style w:type="character" w:styleId="SyllabysSubHeading3Char" w:customStyle="1">
    <w:name w:val="Syllabys Sub Heading 3 Char"/>
    <w:basedOn w:val="DefaultParagraphFont"/>
    <w:link w:val="SyllabysSubHeading3"/>
    <w:qFormat/>
    <w:rsid w:val="00cf329c"/>
    <w:rPr>
      <w:rFonts w:ascii="Tw Cen MT" w:hAnsi="Tw Cen MT" w:eastAsia="Times New Roman" w:cs="Times New Roman"/>
      <w:bCs/>
      <w:caps/>
      <w:color w:themeColor="accent6" w:val="4EA72E"/>
      <w:kern w:val="0"/>
      <w:sz w:val="28"/>
      <w:szCs w:val="28"/>
      <w:lang w:val="x-none"/>
      <w14:ligatures w14:val="none"/>
    </w:rPr>
  </w:style>
  <w:style w:type="character" w:styleId="Heading3Char" w:customStyle="1">
    <w:name w:val="Heading 3 Char"/>
    <w:basedOn w:val="DefaultParagraphFont"/>
    <w:link w:val="Heading3"/>
    <w:uiPriority w:val="9"/>
    <w:semiHidden/>
    <w:qFormat/>
    <w:rsid w:val="00420cee"/>
    <w:rPr>
      <w:rFonts w:ascii="Aptos" w:hAnsi="Aptos" w:eastAsia="" w:cs="" w:asciiTheme="minorHAnsi" w:cstheme="majorBidi" w:eastAsiaTheme="majorEastAsia" w:hAnsiTheme="minorHAnsi"/>
      <w:color w:themeColor="accent1" w:themeShade="bf" w:val="0F4761"/>
      <w:kern w:val="0"/>
      <w:sz w:val="28"/>
      <w:szCs w:val="28"/>
      <w14:ligatures w14:val="none"/>
    </w:rPr>
  </w:style>
  <w:style w:type="character" w:styleId="Heading4Char" w:customStyle="1">
    <w:name w:val="Heading 4 Char"/>
    <w:basedOn w:val="DefaultParagraphFont"/>
    <w:link w:val="Heading4"/>
    <w:uiPriority w:val="9"/>
    <w:semiHidden/>
    <w:qFormat/>
    <w:rsid w:val="00420cee"/>
    <w:rPr>
      <w:rFonts w:ascii="Aptos" w:hAnsi="Aptos" w:eastAsia="" w:cs="" w:asciiTheme="minorHAnsi" w:cstheme="majorBidi" w:eastAsiaTheme="majorEastAsia" w:hAnsiTheme="minorHAnsi"/>
      <w:i/>
      <w:iCs/>
      <w:color w:themeColor="accent1" w:themeShade="bf" w:val="0F4761"/>
      <w:kern w:val="0"/>
      <w14:ligatures w14:val="none"/>
    </w:rPr>
  </w:style>
  <w:style w:type="character" w:styleId="Heading5Char" w:customStyle="1">
    <w:name w:val="Heading 5 Char"/>
    <w:basedOn w:val="DefaultParagraphFont"/>
    <w:link w:val="Heading5"/>
    <w:uiPriority w:val="9"/>
    <w:semiHidden/>
    <w:qFormat/>
    <w:rsid w:val="00420cee"/>
    <w:rPr>
      <w:rFonts w:ascii="Aptos" w:hAnsi="Aptos" w:eastAsia="" w:cs="" w:asciiTheme="minorHAnsi" w:cstheme="majorBidi" w:eastAsiaTheme="majorEastAsia" w:hAnsiTheme="minorHAnsi"/>
      <w:color w:themeColor="accent1" w:themeShade="bf" w:val="0F4761"/>
      <w:kern w:val="0"/>
      <w14:ligatures w14:val="none"/>
    </w:rPr>
  </w:style>
  <w:style w:type="character" w:styleId="Heading6Char" w:customStyle="1">
    <w:name w:val="Heading 6 Char"/>
    <w:basedOn w:val="DefaultParagraphFont"/>
    <w:link w:val="Heading6"/>
    <w:uiPriority w:val="9"/>
    <w:semiHidden/>
    <w:qFormat/>
    <w:rsid w:val="00420cee"/>
    <w:rPr>
      <w:rFonts w:ascii="Aptos" w:hAnsi="Aptos" w:eastAsia="" w:cs="" w:asciiTheme="minorHAnsi" w:cstheme="majorBidi" w:eastAsiaTheme="majorEastAsia" w:hAnsiTheme="minorHAnsi"/>
      <w:i/>
      <w:iCs/>
      <w:color w:themeColor="text1" w:themeTint="a6" w:val="595959"/>
      <w:kern w:val="0"/>
      <w14:ligatures w14:val="none"/>
    </w:rPr>
  </w:style>
  <w:style w:type="character" w:styleId="Heading7Char" w:customStyle="1">
    <w:name w:val="Heading 7 Char"/>
    <w:basedOn w:val="DefaultParagraphFont"/>
    <w:link w:val="Heading7"/>
    <w:uiPriority w:val="9"/>
    <w:semiHidden/>
    <w:qFormat/>
    <w:rsid w:val="00420cee"/>
    <w:rPr>
      <w:rFonts w:ascii="Aptos" w:hAnsi="Aptos" w:eastAsia="" w:cs="" w:asciiTheme="minorHAnsi" w:cstheme="majorBidi" w:eastAsiaTheme="majorEastAsia" w:hAnsiTheme="minorHAnsi"/>
      <w:color w:themeColor="text1" w:themeTint="a6" w:val="595959"/>
      <w:kern w:val="0"/>
      <w14:ligatures w14:val="none"/>
    </w:rPr>
  </w:style>
  <w:style w:type="character" w:styleId="Heading8Char" w:customStyle="1">
    <w:name w:val="Heading 8 Char"/>
    <w:basedOn w:val="DefaultParagraphFont"/>
    <w:link w:val="Heading8"/>
    <w:uiPriority w:val="9"/>
    <w:semiHidden/>
    <w:qFormat/>
    <w:rsid w:val="00420cee"/>
    <w:rPr>
      <w:rFonts w:ascii="Aptos" w:hAnsi="Aptos" w:eastAsia="" w:cs="" w:asciiTheme="minorHAnsi" w:cstheme="majorBidi" w:eastAsiaTheme="majorEastAsia" w:hAnsiTheme="minorHAnsi"/>
      <w:i/>
      <w:iCs/>
      <w:color w:themeColor="text1" w:themeTint="d8" w:val="272727"/>
      <w:kern w:val="0"/>
      <w14:ligatures w14:val="none"/>
    </w:rPr>
  </w:style>
  <w:style w:type="character" w:styleId="Heading9Char" w:customStyle="1">
    <w:name w:val="Heading 9 Char"/>
    <w:basedOn w:val="DefaultParagraphFont"/>
    <w:link w:val="Heading9"/>
    <w:uiPriority w:val="9"/>
    <w:semiHidden/>
    <w:qFormat/>
    <w:rsid w:val="00420cee"/>
    <w:rPr>
      <w:rFonts w:ascii="Aptos" w:hAnsi="Aptos" w:eastAsia="" w:cs="" w:asciiTheme="minorHAnsi" w:cstheme="majorBidi" w:eastAsiaTheme="majorEastAsia" w:hAnsiTheme="minorHAnsi"/>
      <w:color w:themeColor="text1" w:themeTint="d8" w:val="272727"/>
      <w:kern w:val="0"/>
      <w14:ligatures w14:val="none"/>
    </w:rPr>
  </w:style>
  <w:style w:type="character" w:styleId="TitleChar" w:customStyle="1">
    <w:name w:val="Title Char"/>
    <w:basedOn w:val="DefaultParagraphFont"/>
    <w:link w:val="Title"/>
    <w:uiPriority w:val="10"/>
    <w:qFormat/>
    <w:rsid w:val="00420cee"/>
    <w:rPr>
      <w:rFonts w:ascii="Aptos Display" w:hAnsi="Aptos Display" w:eastAsia="" w:cs="" w:asciiTheme="majorHAnsi" w:cstheme="majorBidi" w:eastAsiaTheme="majorEastAsia" w:hAnsiTheme="majorHAnsi"/>
      <w:spacing w:val="-10"/>
      <w:kern w:val="2"/>
      <w:sz w:val="56"/>
      <w:szCs w:val="56"/>
      <w14:ligatures w14:val="none"/>
    </w:rPr>
  </w:style>
  <w:style w:type="character" w:styleId="SubtitleChar" w:customStyle="1">
    <w:name w:val="Subtitle Char"/>
    <w:basedOn w:val="DefaultParagraphFont"/>
    <w:link w:val="Subtitle"/>
    <w:uiPriority w:val="11"/>
    <w:qFormat/>
    <w:rsid w:val="00420cee"/>
    <w:rPr>
      <w:rFonts w:ascii="Aptos" w:hAnsi="Aptos" w:eastAsia="" w:cs="" w:asciiTheme="minorHAnsi" w:cstheme="majorBidi" w:eastAsiaTheme="majorEastAsia" w:hAnsiTheme="minorHAnsi"/>
      <w:color w:themeColor="text1" w:themeTint="a6" w:val="595959"/>
      <w:spacing w:val="15"/>
      <w:kern w:val="0"/>
      <w:sz w:val="28"/>
      <w:szCs w:val="28"/>
      <w14:ligatures w14:val="none"/>
    </w:rPr>
  </w:style>
  <w:style w:type="character" w:styleId="QuoteChar" w:customStyle="1">
    <w:name w:val="Quote Char"/>
    <w:basedOn w:val="DefaultParagraphFont"/>
    <w:link w:val="Quote"/>
    <w:uiPriority w:val="29"/>
    <w:qFormat/>
    <w:rsid w:val="00420cee"/>
    <w:rPr>
      <w:rFonts w:ascii="Garamond" w:hAnsi="Garamond" w:eastAsia="Times New Roman" w:cs="Times New Roman"/>
      <w:i/>
      <w:iCs/>
      <w:color w:themeColor="text1" w:themeTint="bf" w:val="404040"/>
      <w:kern w:val="0"/>
      <w14:ligatures w14:val="none"/>
    </w:rPr>
  </w:style>
  <w:style w:type="character" w:styleId="IntenseQuoteChar" w:customStyle="1">
    <w:name w:val="Intense Quote Char"/>
    <w:basedOn w:val="DefaultParagraphFont"/>
    <w:link w:val="IntenseQuote"/>
    <w:uiPriority w:val="30"/>
    <w:qFormat/>
    <w:rsid w:val="00420cee"/>
    <w:rPr>
      <w:rFonts w:ascii="Garamond" w:hAnsi="Garamond" w:eastAsia="Times New Roman" w:cs="Times New Roman"/>
      <w:i/>
      <w:iCs/>
      <w:color w:themeColor="accent1" w:themeShade="bf" w:val="0F4761"/>
      <w:kern w:val="0"/>
      <w14:ligatures w14:val="none"/>
    </w:rPr>
  </w:style>
  <w:style w:type="character" w:styleId="IntenseReference">
    <w:name w:val="Intense Reference"/>
    <w:basedOn w:val="DefaultParagraphFont"/>
    <w:uiPriority w:val="32"/>
    <w:qFormat/>
    <w:rsid w:val="00420cee"/>
    <w:rPr>
      <w:b/>
      <w:bCs/>
      <w:smallCaps/>
      <w:color w:themeColor="accent1" w:themeShade="bf" w:val="0F4761"/>
      <w:spacing w:val="5"/>
    </w:rPr>
  </w:style>
  <w:style w:type="character" w:styleId="HeaderChar" w:customStyle="1">
    <w:name w:val="Header Char"/>
    <w:basedOn w:val="DefaultParagraphFont"/>
    <w:link w:val="Header"/>
    <w:uiPriority w:val="99"/>
    <w:qFormat/>
    <w:rsid w:val="00420cee"/>
    <w:rPr>
      <w:rFonts w:ascii="Garamond" w:hAnsi="Garamond" w:eastAsia="Times New Roman" w:cs="Times New Roman"/>
      <w:kern w:val="0"/>
      <w14:ligatures w14:val="none"/>
    </w:rPr>
  </w:style>
  <w:style w:type="character" w:styleId="FooterChar" w:customStyle="1">
    <w:name w:val="Footer Char"/>
    <w:basedOn w:val="DefaultParagraphFont"/>
    <w:link w:val="Footer"/>
    <w:uiPriority w:val="99"/>
    <w:qFormat/>
    <w:rsid w:val="00420cee"/>
    <w:rPr>
      <w:rFonts w:ascii="Garamond" w:hAnsi="Garamond" w:eastAsia="Times New Roman" w:cs="Times New Roman"/>
      <w:kern w:val="0"/>
      <w14:ligatures w14:val="none"/>
    </w:rPr>
  </w:style>
  <w:style w:type="character" w:styleId="Hyperlink">
    <w:name w:val="Hyperlink"/>
    <w:basedOn w:val="DefaultParagraphFont"/>
    <w:uiPriority w:val="99"/>
    <w:unhideWhenUsed/>
    <w:rsid w:val="001a0f82"/>
    <w:rPr>
      <w:color w:themeColor="hyperlink" w:val="467886"/>
      <w:u w:val="single"/>
    </w:rPr>
  </w:style>
  <w:style w:type="character" w:styleId="UnresolvedMention">
    <w:name w:val="Unresolved Mention"/>
    <w:basedOn w:val="DefaultParagraphFont"/>
    <w:uiPriority w:val="99"/>
    <w:semiHidden/>
    <w:unhideWhenUsed/>
    <w:qFormat/>
    <w:rsid w:val="001a0f82"/>
    <w:rPr>
      <w:color w:val="605E5C"/>
      <w:shd w:fill="E1DFDD" w:val="clear"/>
    </w:rPr>
  </w:style>
  <w:style w:type="character" w:styleId="BodyTextChar" w:customStyle="1">
    <w:name w:val="Body Text Char"/>
    <w:basedOn w:val="DefaultParagraphFont"/>
    <w:uiPriority w:val="99"/>
    <w:semiHidden/>
    <w:qFormat/>
    <w:rsid w:val="00cb2cdf"/>
    <w:rPr>
      <w:rFonts w:ascii="Tw Cen MT" w:hAnsi="Tw Cen MT" w:eastAsia="Times New Roman" w:cs="Times New Roman"/>
      <w:kern w:val="0"/>
      <w14:ligatures w14:val="none"/>
    </w:rPr>
  </w:style>
  <w:style w:type="character" w:styleId="SubheadChar" w:customStyle="1">
    <w:name w:val="Subhead Char"/>
    <w:link w:val="Subhead"/>
    <w:qFormat/>
    <w:rsid w:val="000165c8"/>
    <w:rPr>
      <w:rFonts w:ascii="Tw Cen MT" w:hAnsi="Tw Cen MT" w:eastAsia="Times New Roman" w:cs="Times New Roman"/>
      <w:bCs/>
      <w:caps/>
      <w:color w:val="3E625F"/>
      <w:kern w:val="0"/>
      <w:sz w:val="22"/>
      <w:szCs w:val="22"/>
      <w:lang w:val="x-none" w:eastAsia="x-none"/>
      <w14:ligatures w14:val="none"/>
    </w:rPr>
  </w:style>
  <w:style w:type="character" w:styleId="Sidebartextsyllabus" w:customStyle="1">
    <w:name w:val="Sidebar_text_syllabus"/>
    <w:uiPriority w:val="1"/>
    <w:qFormat/>
    <w:rsid w:val="00cc37d6"/>
    <w:rPr>
      <w:rFonts w:ascii="Modern No. 20" w:hAnsi="Modern No. 20" w:cs="Courier New"/>
      <w:sz w:val="20"/>
      <w:szCs w:val="20"/>
    </w:rPr>
  </w:style>
  <w:style w:type="character" w:styleId="Sub-SUbheadChar" w:customStyle="1">
    <w:name w:val="Sub-SUbhead Char"/>
    <w:link w:val="Sub-SUbhead"/>
    <w:qFormat/>
    <w:rsid w:val="004d4173"/>
    <w:rPr>
      <w:rFonts w:ascii="Tw Cen MT" w:hAnsi="Tw Cen MT" w:eastAsia="Times New Roman"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themeColor="followedHyperlink" w:val="96607D"/>
      <w:u w:val="single"/>
    </w:rPr>
  </w:style>
  <w:style w:type="character" w:styleId="Strong">
    <w:name w:val="Strong"/>
    <w:basedOn w:val="DefaultParagraphFont"/>
    <w:uiPriority w:val="22"/>
    <w:qFormat/>
    <w:rsid w:val="00657aa7"/>
    <w:rPr>
      <w:b/>
      <w:bCs/>
    </w:rPr>
  </w:style>
  <w:style w:type="character" w:styleId="IntenseEmphasis">
    <w:name w:val="Intense Emphasis"/>
    <w:basedOn w:val="DefaultParagraphFont"/>
    <w:uiPriority w:val="21"/>
    <w:qFormat/>
    <w:rsid w:val="00657aa7"/>
    <w:rPr>
      <w:i/>
      <w:iCs/>
      <w:color w:themeColor="accent1" w:val="156082"/>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99"/>
    <w:semiHidden/>
    <w:unhideWhenUsed/>
    <w:rsid w:val="00cb2cdf"/>
    <w:pPr/>
    <w:rPr/>
  </w:style>
  <w:style w:type="paragraph" w:styleId="List">
    <w:name w:val="List"/>
    <w:basedOn w:val="BodyText"/>
    <w:pPr/>
    <w:rPr>
      <w:rFonts w:cs="Noto Sans Devanagari"/>
    </w:rPr>
  </w:style>
  <w:style w:type="paragraph" w:styleId="Caption">
    <w:name w:val="Caption"/>
    <w:basedOn w:val="Normal"/>
    <w:next w:val="Normal"/>
    <w:uiPriority w:val="35"/>
    <w:unhideWhenUsed/>
    <w:qFormat/>
    <w:rsid w:val="000165c8"/>
    <w:pPr>
      <w:spacing w:before="0" w:after="200"/>
    </w:pPr>
    <w:rPr>
      <w:i/>
      <w:iCs/>
      <w:color w:themeColor="text2" w:val="0E2841"/>
      <w:sz w:val="18"/>
      <w:szCs w:val="18"/>
    </w:rPr>
  </w:style>
  <w:style w:type="paragraph" w:styleId="Index">
    <w:name w:val="Index"/>
    <w:basedOn w:val="Normal"/>
    <w:qFormat/>
    <w:pPr>
      <w:suppressLineNumbers/>
    </w:pPr>
    <w:rPr>
      <w:rFonts w:cs="Noto Sans Devanagari"/>
    </w:rPr>
  </w:style>
  <w:style w:type="paragraph" w:styleId="Scheduleheadings" w:customStyle="1">
    <w:name w:val="Schedule headings"/>
    <w:basedOn w:val="UNTH1"/>
    <w:link w:val="ScheduleheadingsChar"/>
    <w:qFormat/>
    <w:rsid w:val="008017e4"/>
    <w:pPr>
      <w:spacing w:lineRule="auto" w:line="240"/>
      <w:jc w:val="left"/>
    </w:pPr>
    <w:rPr>
      <w:b/>
      <w:sz w:val="32"/>
      <w:szCs w:val="32"/>
    </w:rPr>
  </w:style>
  <w:style w:type="paragraph" w:styleId="UNTH1" w:customStyle="1">
    <w:name w:val="UNT H1"/>
    <w:basedOn w:val="Normal"/>
    <w:link w:val="UNTH1Char"/>
    <w:qFormat/>
    <w:rsid w:val="008017e4"/>
    <w:pPr>
      <w:tabs>
        <w:tab w:val="clear" w:pos="720"/>
        <w:tab w:val="left" w:pos="3060" w:leader="none"/>
      </w:tabs>
      <w:spacing w:lineRule="exact" w:line="760"/>
      <w:jc w:val="center"/>
    </w:pPr>
    <w:rPr>
      <w:caps/>
      <w:color w:themeColor="accent6" w:themeShade="bf" w:val="3A7C22"/>
      <w:sz w:val="60"/>
      <w:szCs w:val="60"/>
    </w:rPr>
  </w:style>
  <w:style w:type="paragraph" w:styleId="SyllabusHeading2" w:customStyle="1">
    <w:name w:val="Syllabus Heading 2"/>
    <w:basedOn w:val="Normal"/>
    <w:link w:val="SyllabusHeading2Char"/>
    <w:qFormat/>
    <w:rsid w:val="008b4c46"/>
    <w:pPr/>
    <w:rPr>
      <w:b/>
      <w:bCs/>
      <w:color w:themeColor="accent6" w:themeShade="80" w:val="275317"/>
    </w:rPr>
  </w:style>
  <w:style w:type="paragraph" w:styleId="SyllabusList" w:customStyle="1">
    <w:name w:val="Syllabus List"/>
    <w:basedOn w:val="ListParagraph"/>
    <w:link w:val="SyllabusListChar"/>
    <w:autoRedefine/>
    <w:qFormat/>
    <w:rsid w:val="00c6139f"/>
    <w:pPr>
      <w:numPr>
        <w:ilvl w:val="0"/>
        <w:numId w:val="1"/>
      </w:numPr>
      <w:shd w:val="clear" w:color="auto" w:fill="FFFFFF"/>
      <w:jc w:val="left"/>
    </w:pPr>
    <w:rPr>
      <w:rFonts w:eastAsia="Tw Cen MT"/>
      <w:color w:val="222222"/>
      <w:w w:val="105"/>
      <w:lang w:val="en-GB" w:eastAsia="en-GB"/>
    </w:rPr>
  </w:style>
  <w:style w:type="paragraph" w:styleId="ListParagraph">
    <w:name w:val="List Paragraph"/>
    <w:basedOn w:val="Normal"/>
    <w:link w:val="ListParagraphChar"/>
    <w:uiPriority w:val="1"/>
    <w:qFormat/>
    <w:rsid w:val="000c40b9"/>
    <w:pPr>
      <w:spacing w:before="0" w:after="120"/>
      <w:ind w:left="720"/>
      <w:contextualSpacing/>
    </w:pPr>
    <w:rPr/>
  </w:style>
  <w:style w:type="paragraph" w:styleId="SyllabysSubHeading3" w:customStyle="1">
    <w:name w:val="Syllabys Sub Heading 3"/>
    <w:basedOn w:val="Scheduleheadings"/>
    <w:link w:val="SyllabysSubHeading3Char"/>
    <w:qFormat/>
    <w:rsid w:val="00cf329c"/>
    <w:pPr/>
    <w:rPr>
      <w:bCs/>
      <w:sz w:val="28"/>
      <w:szCs w:val="28"/>
      <w:lang w:val="x-none"/>
    </w:rPr>
  </w:style>
  <w:style w:type="paragraph" w:styleId="NoSpacing">
    <w:name w:val="No Spacing"/>
    <w:basedOn w:val="Normal"/>
    <w:uiPriority w:val="1"/>
    <w:qFormat/>
    <w:rsid w:val="000c40b9"/>
    <w:pPr/>
    <w:rPr>
      <w:rFonts w:ascii="Garamond" w:hAnsi="Garamond"/>
    </w:rPr>
  </w:style>
  <w:style w:type="paragraph" w:styleId="Title">
    <w:name w:val="Title"/>
    <w:basedOn w:val="Normal"/>
    <w:next w:val="Normal"/>
    <w:link w:val="TitleChar"/>
    <w:uiPriority w:val="10"/>
    <w:qFormat/>
    <w:rsid w:val="00420cee"/>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420cee"/>
    <w:pPr>
      <w:spacing w:before="0" w:after="160"/>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420cee"/>
    <w:pPr>
      <w:spacing w:before="160" w:after="160"/>
      <w:jc w:val="center"/>
    </w:pPr>
    <w:rPr>
      <w:i/>
      <w:iCs/>
      <w:color w:themeColor="text1" w:themeTint="bf" w:val="404040"/>
    </w:rPr>
  </w:style>
  <w:style w:type="paragraph" w:styleId="IntenseQuote">
    <w:name w:val="Intense Quote"/>
    <w:basedOn w:val="Normal"/>
    <w:next w:val="Normal"/>
    <w:link w:val="IntenseQuoteChar"/>
    <w:uiPriority w:val="30"/>
    <w:qFormat/>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rsid w:val="00420cee"/>
    <w:pPr>
      <w:tabs>
        <w:tab w:val="clear" w:pos="720"/>
        <w:tab w:val="center" w:pos="4680" w:leader="none"/>
        <w:tab w:val="right" w:pos="9360" w:leader="none"/>
      </w:tabs>
      <w:spacing w:before="0" w:after="0"/>
    </w:pPr>
    <w:rPr/>
  </w:style>
  <w:style w:type="paragraph" w:styleId="Footer">
    <w:name w:val="Footer"/>
    <w:basedOn w:val="Normal"/>
    <w:link w:val="FooterChar"/>
    <w:uiPriority w:val="99"/>
    <w:unhideWhenUsed/>
    <w:rsid w:val="00420cee"/>
    <w:pPr>
      <w:tabs>
        <w:tab w:val="clear" w:pos="720"/>
        <w:tab w:val="center" w:pos="4680" w:leader="none"/>
        <w:tab w:val="right" w:pos="9360" w:leader="none"/>
      </w:tabs>
      <w:spacing w:before="0" w:after="0"/>
    </w:pPr>
    <w:rPr/>
  </w:style>
  <w:style w:type="paragraph" w:styleId="ListBullet">
    <w:name w:val="List Bullet"/>
    <w:basedOn w:val="Normal"/>
    <w:uiPriority w:val="99"/>
    <w:unhideWhenUsed/>
    <w:rsid w:val="00f37c08"/>
    <w:pPr>
      <w:numPr>
        <w:ilvl w:val="0"/>
        <w:numId w:val="2"/>
      </w:numPr>
      <w:tabs>
        <w:tab w:val="clear" w:pos="720"/>
      </w:tabs>
      <w:spacing w:lineRule="auto" w:line="276" w:before="0" w:after="200"/>
      <w:ind w:hanging="0" w:left="0"/>
      <w:contextualSpacing/>
      <w:jc w:val="left"/>
    </w:pPr>
    <w:rPr>
      <w:rFonts w:ascii="Calibri" w:hAnsi="Calibri"/>
      <w:sz w:val="22"/>
      <w:szCs w:val="22"/>
    </w:rPr>
  </w:style>
  <w:style w:type="paragraph" w:styleId="Subhead" w:customStyle="1">
    <w:name w:val="Subhead"/>
    <w:basedOn w:val="Normal"/>
    <w:link w:val="SubheadChar"/>
    <w:qFormat/>
    <w:rsid w:val="000165c8"/>
    <w:pPr>
      <w:widowControl w:val="false"/>
      <w:spacing w:lineRule="auto" w:line="276" w:before="120" w:after="60"/>
      <w:jc w:val="left"/>
    </w:pPr>
    <w:rPr>
      <w:bCs/>
      <w:caps/>
      <w:color w:val="3E625F"/>
      <w:sz w:val="22"/>
      <w:szCs w:val="22"/>
      <w:lang w:val="x-none" w:eastAsia="x-none"/>
    </w:rPr>
  </w:style>
  <w:style w:type="paragraph" w:styleId="UNTListGeneric" w:customStyle="1">
    <w:name w:val="UNT List Generic"/>
    <w:basedOn w:val="ListParagraph"/>
    <w:qFormat/>
    <w:rsid w:val="000165c8"/>
    <w:pPr>
      <w:numPr>
        <w:ilvl w:val="0"/>
        <w:numId w:val="3"/>
      </w:numPr>
      <w:spacing w:lineRule="auto" w:line="259" w:before="0" w:after="160"/>
      <w:ind w:hanging="0" w:left="0"/>
      <w:contextualSpacing/>
      <w:jc w:val="left"/>
    </w:pPr>
    <w:rPr>
      <w:rFonts w:ascii="Times New Roman" w:hAnsi="Times New Roman" w:eastAsia="Calibri"/>
      <w:bCs/>
      <w:sz w:val="20"/>
      <w:szCs w:val="20"/>
    </w:rPr>
  </w:style>
  <w:style w:type="paragraph" w:styleId="Sub-SUbhead" w:customStyle="1">
    <w:name w:val="Sub-SUbhead"/>
    <w:basedOn w:val="Subhead"/>
    <w:link w:val="Sub-SUbheadChar"/>
    <w:qFormat/>
    <w:rsid w:val="004d4173"/>
    <w:pPr/>
    <w:rPr>
      <w:i/>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05851"/>
    <w:pPr>
      <w:spacing w:line="240" w:lineRule="auto"/>
    </w:pPr>
    <w:rPr>
      <w:rFonts w:asciiTheme="minorHAnsi" w:hAnsiTheme="minorHAnsi"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rsid w:val="000f4ae9"/>
    <w:pPr>
      <w:spacing w:line="240" w:lineRule="auto"/>
    </w:pPr>
    <w:rPr>
      <w:rFonts w:asciiTheme="minorHAnsi" w:hAnsi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catalog.unt.edu/preview_course_nopop.php?catoid=37&amp;coid=171012" TargetMode="External"/><Relationship Id="rId4" Type="http://schemas.openxmlformats.org/officeDocument/2006/relationships/hyperlink" Target="https://catalog.unt.edu/preview_course_nopop.php?catoid=37&amp;coid=171013" TargetMode="External"/><Relationship Id="rId5" Type="http://schemas.openxmlformats.org/officeDocument/2006/relationships/hyperlink" Target="https://aits.unt.edu/support/wifi.html" TargetMode="External"/><Relationship Id="rId6" Type="http://schemas.openxmlformats.org/officeDocument/2006/relationships/hyperlink" Target="https://aits.unt.edu/eagleconnect/index.html" TargetMode="External"/><Relationship Id="rId7" Type="http://schemas.openxmlformats.org/officeDocument/2006/relationships/hyperlink" Target="https://aits.unt.edu/support/faq.html" TargetMode="External"/><Relationship Id="rId8" Type="http://schemas.openxmlformats.org/officeDocument/2006/relationships/hyperlink" Target="https://aits.unt.edu/office365.html" TargetMode="External"/><Relationship Id="rId9" Type="http://schemas.openxmlformats.org/officeDocument/2006/relationships/hyperlink" Target="https://medium.com/@lportwoodstacer/how-to-email-your-professor-without-being-annoying-af-cf64ae0e4087" TargetMode="External"/><Relationship Id="rId10" Type="http://schemas.openxmlformats.org/officeDocument/2006/relationships/hyperlink" Target="https://www.wikihow.com/Email-a-Professor" TargetMode="External"/><Relationship Id="rId11" Type="http://schemas.openxmlformats.org/officeDocument/2006/relationships/hyperlink" Target="https://policy.unt.edu/policy/06-039" TargetMode="External"/><Relationship Id="rId12" Type="http://schemas.openxmlformats.org/officeDocument/2006/relationships/hyperlink" Target="https://policy.unt.edu/policy/06-039" TargetMode="External"/><Relationship Id="rId13" Type="http://schemas.openxmlformats.org/officeDocument/2006/relationships/hyperlink" Target="https://studentaffairs.unt.edu/dean-of-students/about-us/faq.html" TargetMode="External"/><Relationship Id="rId14" Type="http://schemas.openxmlformats.org/officeDocument/2006/relationships/hyperlink" Target="https://policy.unt.edu/sites/policy.unt.edu/files/06.003%20Student%20Academic%20Integrity.pdf" TargetMode="External"/><Relationship Id="rId15" Type="http://schemas.openxmlformats.org/officeDocument/2006/relationships/hyperlink" Target="https://vpaa.unt.edu/ss/integrity/index.html" TargetMode="External"/><Relationship Id="rId16" Type="http://schemas.openxmlformats.org/officeDocument/2006/relationships/hyperlink" Target="https://policy.unt.edu/policy/07-012" TargetMode="External"/><Relationship Id="rId17" Type="http://schemas.openxmlformats.org/officeDocument/2006/relationships/hyperlink" Target="https://studentaffairs.unt.edu/dean-of-students/conduct/index.html" TargetMode="External"/><Relationship Id="rId18" Type="http://schemas.openxmlformats.org/officeDocument/2006/relationships/hyperlink" Target="https://aits.unt.edu/support/index.html" TargetMode="External"/><Relationship Id="rId19" Type="http://schemas.openxmlformats.org/officeDocument/2006/relationships/hyperlink" Target="https://writingcenter.unt.edu/"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Relationship Id="rId28" Type="http://schemas.openxmlformats.org/officeDocument/2006/relationships/customXml" Target="../customXml/item2.xml"/><Relationship Id="rId29" Type="http://schemas.openxmlformats.org/officeDocument/2006/relationships/customXml" Target="../customXml/item3.xml"/><Relationship Id="rId30"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2.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4.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LibreOffice/24.2.7.2$Linux_X86_64 LibreOffice_project/420$Build-2</Application>
  <AppVersion>15.0000</AppVersion>
  <Pages>9</Pages>
  <Words>2555</Words>
  <Characters>13868</Characters>
  <CharactersWithSpaces>16297</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2025-12-11T21:21:00Z</dcterms:created>
  <dc:creator>Amber Walters-Molina</dc:creator>
  <dc:description/>
  <dc:language>en-US</dc:language>
  <cp:lastModifiedBy/>
  <dcterms:modified xsi:type="dcterms:W3CDTF">2026-03-30T06:20:43Z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0x010100803085D5B930E54A85E93E853B83C96C</vt:lpwstr>
  </property>
  <property fmtid="{D5CDD505-2E9C-101B-9397-08002B2CF9AE}" pid="3" name="GrammarlyDocumentId">
    <vt:lpwstr>37239fab-b12f-4736-a949-e69f6c3e8a7d</vt:lpwstr>
  </property>
  <property fmtid="{D5CDD505-2E9C-101B-9397-08002B2CF9AE}" pid="4" name="MediaServiceImageTags">
    <vt:lpwstr/>
  </property>
</Properties>
</file>