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footer3.xml.rels" ContentType="application/vnd.openxmlformats-package.relationships+xml"/>
  <Override PartName="/word/_rels/footer2.xml.rels" ContentType="application/vnd.openxmlformats-package.relationships+xml"/>
  <Override PartName="/word/_rels/document.xml.rels" ContentType="application/vnd.openxmlformats-package.relationships+xml"/>
  <Override PartName="/word/media/image1.png" ContentType="image/png"/>
  <Override PartName="/word/media/image2.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item2.xml" ContentType="application/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rPr>
          <w:b/>
          <w:bCs/>
        </w:rPr>
      </w:pPr>
      <w:r>
        <w:rPr>
          <w:b/>
          <w:bCs/>
        </w:rPr>
        <w:t>English 1310: College Writing I</w:t>
      </w:r>
    </w:p>
    <w:tbl>
      <w:tblPr>
        <w:tblStyle w:val="TableGrid"/>
        <w:tblpPr w:vertAnchor="text" w:horzAnchor="margin" w:leftFromText="180" w:rightFromText="180" w:tblpX="0" w:tblpY="749"/>
        <w:tblW w:w="9350"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2963"/>
        <w:gridCol w:w="6386"/>
      </w:tblGrid>
      <w:tr>
        <w:trPr/>
        <w:tc>
          <w:tcPr>
            <w:tcW w:w="2963" w:type="dxa"/>
            <w:tcBorders/>
            <w:shd w:color="auto" w:fill="4EA72E" w:themeFill="accent6" w:val="clear"/>
            <w:vAlign w:val="center"/>
          </w:tcPr>
          <w:p>
            <w:pPr>
              <w:pStyle w:val="Normal"/>
              <w:widowControl/>
              <w:suppressAutoHyphens w:val="true"/>
              <w:spacing w:before="0" w:after="120"/>
              <w:rPr>
                <w:rFonts w:eastAsia="游明朝"/>
                <w:sz w:val="20"/>
                <w:szCs w:val="20"/>
                <w:lang w:val="en-US" w:eastAsia="en-US" w:bidi="ar-SA"/>
              </w:rPr>
            </w:pPr>
            <w:r>
              <w:rPr>
                <w:rFonts w:eastAsia="游明朝"/>
                <w:sz w:val="20"/>
                <w:szCs w:val="20"/>
                <w:lang w:val="en-US" w:eastAsia="en-US" w:bidi="ar-SA"/>
              </w:rPr>
              <w:drawing>
                <wp:anchor behindDoc="0" distT="0" distB="0" distL="0" distR="0" simplePos="0" locked="0" layoutInCell="1" allowOverlap="1" relativeHeight="28">
                  <wp:simplePos x="0" y="0"/>
                  <wp:positionH relativeFrom="column">
                    <wp:posOffset>-130175</wp:posOffset>
                  </wp:positionH>
                  <wp:positionV relativeFrom="page">
                    <wp:posOffset>-118745</wp:posOffset>
                  </wp:positionV>
                  <wp:extent cx="1943100" cy="1388745"/>
                  <wp:effectExtent l="0" t="0" r="0" b="0"/>
                  <wp:wrapNone/>
                  <wp:docPr id="1" name="Picture 3"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Image preview"/>
                          <pic:cNvPicPr>
                            <a:picLocks noChangeAspect="1" noChangeArrowheads="1"/>
                          </pic:cNvPicPr>
                        </pic:nvPicPr>
                        <pic:blipFill>
                          <a:blip r:embed="rId2"/>
                          <a:srcRect l="16089" t="22954" r="19662" b="31161"/>
                          <a:stretch>
                            <a:fillRect/>
                          </a:stretch>
                        </pic:blipFill>
                        <pic:spPr bwMode="auto">
                          <a:xfrm>
                            <a:off x="0" y="0"/>
                            <a:ext cx="1943100" cy="1388745"/>
                          </a:xfrm>
                          <a:prstGeom prst="rect">
                            <a:avLst/>
                          </a:prstGeom>
                        </pic:spPr>
                      </pic:pic>
                    </a:graphicData>
                  </a:graphic>
                </wp:anchor>
              </w:drawing>
            </w:r>
          </w:p>
        </w:tc>
        <w:tc>
          <w:tcPr>
            <w:tcW w:w="6386" w:type="dxa"/>
            <w:tcBorders/>
            <w:shd w:color="auto" w:fill="4EA72E" w:themeFill="accent6" w:val="clear"/>
          </w:tcPr>
          <w:p>
            <w:pPr>
              <w:pStyle w:val="Normal"/>
              <w:widowControl/>
              <w:suppressAutoHyphens w:val="true"/>
              <w:spacing w:before="120" w:after="120"/>
              <w:rPr>
                <w:color w:val="FFFFFF"/>
                <w:highlight w:val="none"/>
                <w:shd w:fill="auto" w:val="clear"/>
              </w:rPr>
            </w:pPr>
            <w:r>
              <w:rPr>
                <w:rFonts w:eastAsia="游明朝"/>
                <w:b/>
                <w:bCs/>
                <w:color w:val="FFFFFF"/>
                <w:sz w:val="20"/>
                <w:szCs w:val="20"/>
                <w:shd w:fill="auto" w:val="clear"/>
                <w:lang w:val="en-US" w:eastAsia="en-US" w:bidi="ar-SA"/>
              </w:rPr>
              <w:t>Instructor: Sera Harris</w:t>
            </w:r>
          </w:p>
          <w:p>
            <w:pPr>
              <w:pStyle w:val="Normal"/>
              <w:widowControl/>
              <w:suppressAutoHyphens w:val="true"/>
              <w:spacing w:before="0" w:after="120"/>
              <w:rPr>
                <w:color w:val="FFFFFF"/>
                <w:highlight w:val="none"/>
                <w:shd w:fill="auto" w:val="clear"/>
              </w:rPr>
            </w:pPr>
            <w:r>
              <w:rPr>
                <w:rFonts w:eastAsia="游明朝"/>
                <w:b/>
                <w:bCs/>
                <w:color w:val="FFFFFF"/>
                <w:sz w:val="20"/>
                <w:szCs w:val="20"/>
                <w:shd w:fill="auto" w:val="clear"/>
                <w:lang w:val="en-US" w:eastAsia="en-US" w:bidi="ar-SA"/>
              </w:rPr>
              <w:t>Class Times: TR 11:10 AM – 12:30 PM</w:t>
            </w:r>
          </w:p>
          <w:p>
            <w:pPr>
              <w:pStyle w:val="Normal"/>
              <w:widowControl/>
              <w:suppressAutoHyphens w:val="true"/>
              <w:spacing w:before="0" w:after="120"/>
              <w:rPr>
                <w:color w:val="FFFFFF"/>
                <w:highlight w:val="none"/>
                <w:shd w:fill="auto" w:val="clear"/>
              </w:rPr>
            </w:pPr>
            <w:r>
              <w:rPr>
                <w:rFonts w:eastAsia="游明朝"/>
                <w:b/>
                <w:bCs/>
                <w:color w:val="FFFFFF"/>
                <w:sz w:val="20"/>
                <w:szCs w:val="20"/>
                <w:shd w:fill="auto" w:val="clear"/>
                <w:lang w:val="en-US" w:eastAsia="en-US" w:bidi="ar-SA"/>
              </w:rPr>
              <w:t>Email: SeraHarris@my.unt.edu</w:t>
            </w:r>
          </w:p>
          <w:p>
            <w:pPr>
              <w:pStyle w:val="Normal"/>
              <w:widowControl/>
              <w:suppressAutoHyphens w:val="true"/>
              <w:spacing w:before="0" w:after="120"/>
              <w:rPr>
                <w:color w:val="FFFFFF"/>
                <w:highlight w:val="none"/>
                <w:shd w:fill="auto" w:val="clear"/>
              </w:rPr>
            </w:pPr>
            <w:r>
              <w:rPr>
                <w:rFonts w:eastAsia="游明朝"/>
                <w:b/>
                <w:bCs/>
                <w:color w:val="FFFFFF"/>
                <w:sz w:val="20"/>
                <w:szCs w:val="20"/>
                <w:shd w:fill="auto" w:val="clear"/>
                <w:lang w:val="en-US" w:eastAsia="en-US" w:bidi="ar-SA"/>
              </w:rPr>
              <w:t>Office Hours: TR 1:10 PM – 2:10 PM</w:t>
            </w:r>
          </w:p>
          <w:p>
            <w:pPr>
              <w:pStyle w:val="Normal"/>
              <w:widowControl/>
              <w:suppressAutoHyphens w:val="true"/>
              <w:spacing w:before="0" w:after="120"/>
              <w:rPr>
                <w:color w:val="FFFFFF"/>
                <w:highlight w:val="none"/>
                <w:shd w:fill="auto" w:val="clear"/>
              </w:rPr>
            </w:pPr>
            <w:r>
              <w:rPr>
                <w:rFonts w:eastAsia="游明朝"/>
                <w:b/>
                <w:bCs/>
                <w:color w:val="FFFFFF"/>
                <w:sz w:val="20"/>
                <w:szCs w:val="20"/>
                <w:shd w:fill="auto" w:val="clear"/>
                <w:lang w:val="en-US" w:eastAsia="en-US" w:bidi="ar-SA"/>
              </w:rPr>
              <w:t>Office Location: GAB 515</w:t>
            </w:r>
          </w:p>
        </w:tc>
      </w:tr>
    </w:tbl>
    <w:p>
      <w:pPr>
        <w:pStyle w:val="Heading1"/>
        <w:rPr/>
      </w:pPr>
      <w:r/>
      <w:r>
        <w:rPr/>
        <w:t xml:space="preserve"> </w:t>
      </w:r>
      <w:r>
        <w:rPr/>
        <w:t>Spring 2026| University of North Texas</w:t>
      </w:r>
    </w:p>
    <w:p>
      <w:pPr>
        <w:pStyle w:val="Normal"/>
        <w:rPr>
          <w:color w:themeColor="text1" w:val="000000"/>
        </w:rPr>
      </w:pPr>
      <w:r>
        <w:rPr>
          <w:color w:themeColor="text1" w:val="000000"/>
        </w:rPr>
      </w:r>
    </w:p>
    <w:p>
      <w:pPr>
        <w:pStyle w:val="Scheduleheadings"/>
        <w:rPr/>
      </w:pPr>
      <w:r>
        <w:rPr/>
        <w:t>Course Description</w:t>
      </w:r>
    </w:p>
    <w:p>
      <w:pPr>
        <w:pStyle w:val="Normal"/>
        <w:rPr>
          <w:shd w:fill="FFFFFF" w:val="clear"/>
        </w:rPr>
      </w:pPr>
      <w:r>
        <w:rPr>
          <w:shd w:fill="FFFFFF" w:val="clear"/>
        </w:rPr>
        <w:t>The ENGL 1310 course serves as an entry point into the environment of academic inquiry and argument. Instruction in ENGL 1310 begins with an emphasis on cultivating writing through personal discovery, exploration, and reflection. Students learn about writing processes, explore genre conventions, and gain rhetorical knowledge while writing through their experiences and memories. With these more personal contexts as background, students are guided over the course of the semester towards becoming more comfortable with the conventions and habits of academic argument. The goals of ENGL 1310 include developing a working knowledge of writing processes, recognizing and using written genre conventions, and learning rhetoric for the purposes of analyzing and composing effective written texts. Students in ENGL 1310 fulfill these goals while engaging with nonfiction readings emphasizing narrative and description and focusing on issues of cultural significance.</w:t>
      </w:r>
    </w:p>
    <w:p>
      <w:pPr>
        <w:pStyle w:val="Scheduleheadings"/>
        <w:rPr/>
      </w:pPr>
      <w:r>
        <w:rPr/>
        <w:t>Course Outcomes:</w:t>
      </w:r>
    </w:p>
    <w:p>
      <w:pPr>
        <w:pStyle w:val="Normal"/>
        <w:rPr/>
      </w:pPr>
      <w:r>
        <w:rPr/>
        <w:t>By the end of this course, you will be able to:</w:t>
      </w:r>
    </w:p>
    <w:p>
      <w:pPr>
        <w:pStyle w:val="SyllabusList"/>
        <w:numPr>
          <w:ilvl w:val="0"/>
          <w:numId w:val="1"/>
        </w:numPr>
        <w:rPr/>
      </w:pPr>
      <w:r>
        <w:rPr/>
        <w:t>Read texts critically and analyze the varied situations that motivate writers, the choices that writers make, and the effects of those choices on readers, including your own.</w:t>
      </w:r>
    </w:p>
    <w:p>
      <w:pPr>
        <w:pStyle w:val="SyllabusList"/>
        <w:numPr>
          <w:ilvl w:val="0"/>
          <w:numId w:val="1"/>
        </w:numPr>
        <w:rPr/>
      </w:pPr>
      <w:r>
        <w:rPr/>
        <w:t>Write persuasive arguments that articulate a clear, thoughtful position, deploy support and evidence appropriate to the audience and purpose, and consider counterclaims and multiple points of view, including international and intercultural perspectives.</w:t>
      </w:r>
    </w:p>
    <w:p>
      <w:pPr>
        <w:pStyle w:val="SyllabusList"/>
        <w:numPr>
          <w:ilvl w:val="0"/>
          <w:numId w:val="1"/>
        </w:numPr>
        <w:rPr/>
      </w:pPr>
      <w:r>
        <w:rPr/>
        <w:t>Evaluate sources and integrate the ideas of others into their writing (through paraphrase, summary, analysis, and evaluation).</w:t>
      </w:r>
    </w:p>
    <w:p>
      <w:pPr>
        <w:pStyle w:val="SyllabusList"/>
        <w:numPr>
          <w:ilvl w:val="0"/>
          <w:numId w:val="1"/>
        </w:numPr>
        <w:rPr/>
      </w:pPr>
      <w:r>
        <w:rPr/>
        <w:t>Identify and describe events from your experiences that give insight into larger cultural issues.</w:t>
      </w:r>
    </w:p>
    <w:p>
      <w:pPr>
        <w:pStyle w:val="SyllabusList"/>
        <w:numPr>
          <w:ilvl w:val="0"/>
          <w:numId w:val="1"/>
        </w:numPr>
        <w:rPr/>
      </w:pPr>
      <w:r>
        <w:rPr/>
        <w:t>Observe details that make other people, objects, or places unique within specific cultural or social groups.</w:t>
      </w:r>
    </w:p>
    <w:p>
      <w:pPr>
        <w:pStyle w:val="SyllabusList"/>
        <w:numPr>
          <w:ilvl w:val="0"/>
          <w:numId w:val="1"/>
        </w:numPr>
        <w:rPr/>
      </w:pPr>
      <w:r>
        <w:rPr/>
        <w:t>Analyze and evaluate specific concepts or texts that have significance within larger cultural conversations.</w:t>
      </w:r>
    </w:p>
    <w:p>
      <w:pPr>
        <w:pStyle w:val="SyllabusList"/>
        <w:numPr>
          <w:ilvl w:val="0"/>
          <w:numId w:val="1"/>
        </w:numPr>
        <w:rPr/>
      </w:pPr>
      <w:r>
        <w:rPr/>
        <w:t>Compare and rate your contributions as a team member to peer review and other team-based assignments.</w:t>
      </w:r>
    </w:p>
    <w:p>
      <w:pPr>
        <w:pStyle w:val="SyllabusList"/>
        <w:numPr>
          <w:ilvl w:val="0"/>
          <w:numId w:val="1"/>
        </w:numPr>
        <w:rPr/>
      </w:pPr>
      <w:r>
        <w:rPr/>
        <w:t>Reflect critically on the ways that social, cultural, and historical contexts shape perceptions of language, then make informed rhetorical choices about grammar, usage, and mechanics by using their linguistic repertoires to effectively reach personal, social, and political priorities in their writing.</w:t>
      </w:r>
    </w:p>
    <w:p>
      <w:pPr>
        <w:pStyle w:val="Scheduleheadings"/>
        <w:rPr/>
      </w:pPr>
      <w:r>
        <w:rPr/>
        <w:t>CORE Requirements</w:t>
      </w:r>
    </w:p>
    <w:p>
      <w:pPr>
        <w:pStyle w:val="Normal"/>
        <w:spacing w:before="0" w:after="0"/>
        <w:rPr/>
      </w:pPr>
      <w:r>
        <w:rPr>
          <w:b/>
          <w:bCs/>
        </w:rPr>
        <w:t>Catalog Description</w:t>
      </w:r>
      <w:r>
        <w:rPr/>
        <w:t>: 3 hours. Writing as discovery introduces essential concepts, knowledge, skills, methods, and conventions for writing. It focuses on practicing writing processes and developing rhetorical knowledge through analysis, observation, and self-reflection.</w:t>
      </w:r>
    </w:p>
    <w:p>
      <w:pPr>
        <w:pStyle w:val="Normal"/>
        <w:spacing w:before="0" w:after="0"/>
        <w:rPr/>
      </w:pPr>
      <w:r>
        <w:rPr>
          <w:b/>
          <w:bCs/>
        </w:rPr>
        <w:t xml:space="preserve">Prerequisite(s): </w:t>
      </w:r>
      <w:r>
        <w:rPr/>
        <w:t>None</w:t>
      </w:r>
    </w:p>
    <w:p>
      <w:pPr>
        <w:pStyle w:val="Normal"/>
        <w:spacing w:before="0" w:after="0"/>
        <w:rPr/>
      </w:pPr>
      <w:r>
        <w:rPr>
          <w:b/>
          <w:bCs/>
        </w:rPr>
        <w:t>CORE Category:</w:t>
      </w:r>
      <w:r>
        <w:rPr/>
        <w:t> Communication (English Composition and Rhetoric)</w:t>
      </w:r>
    </w:p>
    <w:p>
      <w:pPr>
        <w:pStyle w:val="Normal"/>
        <w:rPr/>
      </w:pPr>
      <w:r>
        <w:rPr/>
        <w:t>As ENGL 1310 meets one of your CORE Communication requirements. This course has four CORE skill objectives:</w:t>
      </w:r>
    </w:p>
    <w:p>
      <w:pPr>
        <w:pStyle w:val="SyllabusList"/>
        <w:numPr>
          <w:ilvl w:val="0"/>
          <w:numId w:val="1"/>
        </w:numPr>
        <w:rPr/>
      </w:pPr>
      <w:r>
        <w:rPr/>
        <w:t>Critical Thinking Skills | innovation, inquiry, analysis, evaluation, and synthesis of information</w:t>
      </w:r>
    </w:p>
    <w:p>
      <w:pPr>
        <w:pStyle w:val="SyllabusList"/>
        <w:numPr>
          <w:ilvl w:val="0"/>
          <w:numId w:val="1"/>
        </w:numPr>
        <w:rPr/>
      </w:pPr>
      <w:r>
        <w:rPr/>
        <w:t>Communication Skills | effective development, interpretation, and expression of ideas through written, oral, and visual communication</w:t>
      </w:r>
    </w:p>
    <w:p>
      <w:pPr>
        <w:pStyle w:val="SyllabusList"/>
        <w:numPr>
          <w:ilvl w:val="0"/>
          <w:numId w:val="1"/>
        </w:numPr>
        <w:rPr/>
      </w:pPr>
      <w:r>
        <w:rPr/>
        <w:t>Teamwork Skills| ability to consider different points of view and to work effectively with others to support a shared purpose or goal</w:t>
      </w:r>
    </w:p>
    <w:p>
      <w:pPr>
        <w:pStyle w:val="SyllabusList"/>
        <w:numPr>
          <w:ilvl w:val="0"/>
          <w:numId w:val="1"/>
        </w:numPr>
        <w:rPr/>
      </w:pPr>
      <w:r>
        <w:rPr/>
        <w:t>Personal Responsibility Skills | ability to connect choices, actions, and consequences to ethical decision-making</w:t>
      </w:r>
    </w:p>
    <w:p>
      <w:pPr>
        <w:pStyle w:val="Scheduleheadings"/>
        <w:rPr/>
      </w:pPr>
      <w:r>
        <w:rPr/>
        <w:t>Course Books &amp; Materials</w:t>
        <w:tab/>
        <w:t xml:space="preserve"> </w:t>
      </w:r>
    </w:p>
    <w:p>
      <w:pPr>
        <w:pStyle w:val="SyllabusList"/>
        <w:numPr>
          <w:ilvl w:val="0"/>
          <w:numId w:val="1"/>
        </w:numPr>
        <w:rPr>
          <w:i/>
          <w:i/>
          <w:iCs/>
        </w:rPr>
      </w:pPr>
      <w:r>
        <w:rPr>
          <w:i/>
          <w:iCs/>
        </w:rPr>
        <w:t>Rhetorical Transformations: Making Meaning—</w:t>
      </w:r>
      <w:r>
        <w:rPr/>
        <w:t>custom textbook provided as an OER and/or in hard copy. See Canvas for more details on accessing your custom course text.</w:t>
      </w:r>
    </w:p>
    <w:p>
      <w:pPr>
        <w:pStyle w:val="SyllabusList"/>
        <w:numPr>
          <w:ilvl w:val="0"/>
          <w:numId w:val="0"/>
        </w:numPr>
        <w:ind w:hanging="0" w:left="720"/>
        <w:rPr/>
      </w:pPr>
      <w:r>
        <w:rPr/>
      </w:r>
    </w:p>
    <w:p>
      <w:pPr>
        <w:pStyle w:val="SyllabusList"/>
        <w:numPr>
          <w:ilvl w:val="0"/>
          <w:numId w:val="0"/>
        </w:numPr>
        <w:ind w:hanging="0" w:left="360"/>
        <w:rPr/>
      </w:pPr>
      <w:r>
        <w:rPr/>
        <w:t xml:space="preserve">You’ll need </w:t>
      </w:r>
      <w:r>
        <w:fldChar w:fldCharType="begin"/>
      </w:r>
      <w:r>
        <w:rPr>
          <w:rStyle w:val="Hyperlink"/>
        </w:rPr>
        <w:instrText xml:space="preserve"> HYPERLINK "https://guides.library.unt.edu/spark/Computing" \l "s-lib-ctab-31692025-5"</w:instrText>
      </w:r>
      <w:r>
        <w:rPr>
          <w:rStyle w:val="Hyperlink"/>
        </w:rPr>
        <w:fldChar w:fldCharType="separate"/>
      </w:r>
      <w:r>
        <w:rPr>
          <w:rStyle w:val="Hyperlink"/>
        </w:rPr>
        <w:t>a computer</w:t>
      </w:r>
      <w:r>
        <w:rPr>
          <w:rStyle w:val="Hyperlink"/>
        </w:rPr>
        <w:fldChar w:fldCharType="end"/>
      </w:r>
      <w:r>
        <w:rPr/>
        <w:t xml:space="preserve"> with </w:t>
      </w:r>
      <w:hyperlink r:id="rId3">
        <w:r>
          <w:rPr>
            <w:rStyle w:val="Hyperlink"/>
          </w:rPr>
          <w:t>internet access</w:t>
        </w:r>
      </w:hyperlink>
      <w:r>
        <w:rPr/>
        <w:t xml:space="preserve"> and know the basic skills necessary to:  </w:t>
      </w:r>
    </w:p>
    <w:p>
      <w:pPr>
        <w:pStyle w:val="SyllabusList"/>
        <w:numPr>
          <w:ilvl w:val="0"/>
          <w:numId w:val="1"/>
        </w:numPr>
        <w:rPr/>
      </w:pPr>
      <w:r>
        <w:rPr/>
        <w:t xml:space="preserve">Use </w:t>
      </w:r>
      <w:hyperlink r:id="rId4">
        <w:r>
          <w:rPr>
            <w:rStyle w:val="Hyperlink"/>
          </w:rPr>
          <w:t>Outlook for UNT email</w:t>
        </w:r>
      </w:hyperlink>
    </w:p>
    <w:p>
      <w:pPr>
        <w:pStyle w:val="SyllabusList"/>
        <w:numPr>
          <w:ilvl w:val="0"/>
          <w:numId w:val="1"/>
        </w:numPr>
        <w:rPr/>
      </w:pPr>
      <w:r>
        <w:rPr/>
        <w:t xml:space="preserve">Use </w:t>
      </w:r>
      <w:hyperlink r:id="rId5">
        <w:r>
          <w:rPr>
            <w:rStyle w:val="Hyperlink"/>
          </w:rPr>
          <w:t>Canvas</w:t>
        </w:r>
      </w:hyperlink>
    </w:p>
    <w:p>
      <w:pPr>
        <w:pStyle w:val="SyllabusList"/>
        <w:numPr>
          <w:ilvl w:val="0"/>
          <w:numId w:val="1"/>
        </w:numPr>
        <w:rPr/>
      </w:pPr>
      <w:r>
        <w:rPr/>
        <w:t xml:space="preserve">Use </w:t>
      </w:r>
      <w:hyperlink r:id="rId6">
        <w:r>
          <w:rPr>
            <w:rStyle w:val="Hyperlink"/>
          </w:rPr>
          <w:t>Microsoft Word and PowerPoint</w:t>
        </w:r>
      </w:hyperlink>
    </w:p>
    <w:p>
      <w:pPr>
        <w:pStyle w:val="Normal"/>
        <w:spacing w:lineRule="auto" w:line="480" w:before="0" w:after="0"/>
        <w:jc w:val="left"/>
        <w:rPr>
          <w:b/>
          <w:caps/>
          <w:color w:val="008000"/>
          <w:sz w:val="32"/>
          <w:szCs w:val="32"/>
        </w:rPr>
      </w:pPr>
      <w:r>
        <w:rPr>
          <w:b/>
          <w:caps/>
          <w:color w:val="008000"/>
          <w:sz w:val="32"/>
          <w:szCs w:val="32"/>
        </w:rPr>
      </w:r>
      <w:r>
        <w:br w:type="page"/>
      </w:r>
    </w:p>
    <w:p>
      <w:pPr>
        <w:pStyle w:val="Scheduleheadings"/>
        <w:spacing w:before="0" w:after="120"/>
        <w:rPr/>
      </w:pPr>
      <w:r>
        <w:rPr/>
        <w:t>Grade Distribution</w:t>
      </w:r>
    </w:p>
    <w:tbl>
      <w:tblPr>
        <w:tblStyle w:val="TableGrid"/>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5950"/>
        <w:gridCol w:w="1071"/>
        <w:gridCol w:w="2339"/>
      </w:tblGrid>
      <w:tr>
        <w:trPr>
          <w:trHeight w:val="269" w:hRule="atLeast"/>
        </w:trPr>
        <w:tc>
          <w:tcPr>
            <w:tcW w:w="5950" w:type="dxa"/>
            <w:tcBorders/>
          </w:tcPr>
          <w:p>
            <w:pPr>
              <w:pStyle w:val="Normal"/>
              <w:widowControl/>
              <w:suppressAutoHyphens w:val="true"/>
              <w:spacing w:before="0" w:after="120"/>
              <w:rPr>
                <w:b/>
                <w:bCs/>
              </w:rPr>
            </w:pPr>
            <w:r>
              <w:rPr>
                <w:rFonts w:eastAsia="游明朝"/>
                <w:b/>
                <w:bCs/>
                <w:sz w:val="20"/>
                <w:szCs w:val="20"/>
                <w:lang w:val="en-US" w:eastAsia="en-US" w:bidi="ar-SA"/>
              </w:rPr>
              <w:t>Assignment</w:t>
            </w:r>
          </w:p>
        </w:tc>
        <w:tc>
          <w:tcPr>
            <w:tcW w:w="1071" w:type="dxa"/>
            <w:tcBorders/>
          </w:tcPr>
          <w:p>
            <w:pPr>
              <w:pStyle w:val="Normal"/>
              <w:widowControl/>
              <w:suppressAutoHyphens w:val="true"/>
              <w:spacing w:before="0" w:after="120"/>
              <w:rPr>
                <w:b/>
                <w:bCs/>
              </w:rPr>
            </w:pPr>
            <w:r>
              <w:rPr>
                <w:rFonts w:eastAsia="游明朝"/>
                <w:b/>
                <w:bCs/>
                <w:sz w:val="20"/>
                <w:szCs w:val="20"/>
                <w:lang w:val="en-US" w:eastAsia="en-US" w:bidi="ar-SA"/>
              </w:rPr>
              <w:t>Weight</w:t>
            </w:r>
          </w:p>
        </w:tc>
        <w:tc>
          <w:tcPr>
            <w:tcW w:w="2339" w:type="dxa"/>
            <w:tcBorders/>
          </w:tcPr>
          <w:p>
            <w:pPr>
              <w:pStyle w:val="Normal"/>
              <w:widowControl/>
              <w:suppressAutoHyphens w:val="true"/>
              <w:spacing w:before="0" w:after="120"/>
              <w:rPr>
                <w:b/>
                <w:bCs/>
              </w:rPr>
            </w:pPr>
            <w:r>
              <w:rPr>
                <w:rFonts w:eastAsia="游明朝"/>
                <w:b/>
                <w:bCs/>
                <w:sz w:val="20"/>
                <w:szCs w:val="20"/>
                <w:lang w:val="en-US" w:eastAsia="en-US" w:bidi="ar-SA"/>
              </w:rPr>
              <w:t>Due Date</w:t>
            </w:r>
          </w:p>
        </w:tc>
      </w:tr>
      <w:tr>
        <w:trPr>
          <w:trHeight w:val="269" w:hRule="atLeast"/>
        </w:trPr>
        <w:tc>
          <w:tcPr>
            <w:tcW w:w="5950" w:type="dxa"/>
            <w:tcBorders/>
            <w:shd w:color="auto" w:fill="FFFFFF" w:themeFill="background1" w:val="clear"/>
          </w:tcPr>
          <w:p>
            <w:pPr>
              <w:pStyle w:val="Normal"/>
              <w:widowControl/>
              <w:suppressAutoHyphens w:val="true"/>
              <w:spacing w:before="0" w:after="120"/>
              <w:rPr>
                <w:rFonts w:eastAsia="游明朝"/>
                <w:sz w:val="20"/>
                <w:szCs w:val="20"/>
                <w:lang w:val="en-US" w:eastAsia="en-US" w:bidi="ar-SA"/>
              </w:rPr>
            </w:pPr>
            <w:r>
              <w:rPr>
                <w:rFonts w:eastAsia="游明朝"/>
                <w:sz w:val="20"/>
                <w:szCs w:val="20"/>
                <w:lang w:val="en-US" w:eastAsia="en-US" w:bidi="ar-SA"/>
              </w:rPr>
              <w:t>Major Assignment 1 (MA1) |Reading Response Essay</w:t>
            </w:r>
          </w:p>
        </w:tc>
        <w:tc>
          <w:tcPr>
            <w:tcW w:w="1071" w:type="dxa"/>
            <w:tcBorders/>
            <w:shd w:color="auto" w:fill="FFFFFF" w:themeFill="background1" w:val="clear"/>
          </w:tcPr>
          <w:p>
            <w:pPr>
              <w:pStyle w:val="Normal"/>
              <w:widowControl/>
              <w:suppressAutoHyphens w:val="true"/>
              <w:spacing w:before="0" w:after="120"/>
              <w:rPr>
                <w:rFonts w:eastAsia="游明朝"/>
                <w:sz w:val="20"/>
                <w:szCs w:val="20"/>
                <w:lang w:val="en-US" w:eastAsia="en-US" w:bidi="ar-SA"/>
              </w:rPr>
            </w:pPr>
            <w:r>
              <w:rPr>
                <w:rFonts w:eastAsia="游明朝"/>
                <w:sz w:val="20"/>
                <w:szCs w:val="20"/>
                <w:lang w:val="en-US" w:eastAsia="en-US" w:bidi="ar-SA"/>
              </w:rPr>
              <w:t>10%</w:t>
            </w:r>
          </w:p>
        </w:tc>
        <w:tc>
          <w:tcPr>
            <w:tcW w:w="2339" w:type="dxa"/>
            <w:tcBorders/>
            <w:shd w:color="auto" w:fill="FFFFFF" w:themeFill="background1" w:val="clear"/>
          </w:tcPr>
          <w:p>
            <w:pPr>
              <w:pStyle w:val="Normal"/>
              <w:widowControl/>
              <w:suppressAutoHyphens w:val="true"/>
              <w:spacing w:before="0" w:after="120"/>
              <w:rPr>
                <w:highlight w:val="none"/>
                <w:shd w:fill="auto" w:val="clear"/>
                <w14:ligatures w14:val="none"/>
              </w:rPr>
            </w:pPr>
            <w:r>
              <w:rPr>
                <w:rFonts w:eastAsia="游明朝"/>
                <w:sz w:val="20"/>
                <w:szCs w:val="20"/>
                <w:shd w:fill="auto" w:val="clear"/>
                <w:lang w:val="en-US" w:eastAsia="en-US" w:bidi="ar-SA"/>
                <w14:ligatures w14:val="none"/>
              </w:rPr>
              <w:t xml:space="preserve">Week </w:t>
            </w:r>
            <w:r>
              <w:rPr>
                <w:rFonts w:eastAsia="游明朝"/>
                <w:sz w:val="20"/>
                <w:szCs w:val="20"/>
                <w:shd w:fill="auto" w:val="clear"/>
                <w:lang w:val="en-US" w:eastAsia="en-US" w:bidi="ar-SA"/>
                <w14:ligatures w14:val="none"/>
              </w:rPr>
              <w:t>4</w:t>
            </w:r>
          </w:p>
        </w:tc>
      </w:tr>
      <w:tr>
        <w:trPr>
          <w:trHeight w:val="269" w:hRule="atLeast"/>
        </w:trPr>
        <w:tc>
          <w:tcPr>
            <w:tcW w:w="5950" w:type="dxa"/>
            <w:tcBorders/>
            <w:shd w:color="auto" w:fill="FFFFFF" w:themeFill="background1" w:val="clear"/>
          </w:tcPr>
          <w:p>
            <w:pPr>
              <w:pStyle w:val="Normal"/>
              <w:widowControl/>
              <w:suppressAutoHyphens w:val="true"/>
              <w:spacing w:before="0" w:after="120"/>
              <w:rPr>
                <w:rFonts w:eastAsia="游明朝"/>
                <w:sz w:val="20"/>
                <w:szCs w:val="20"/>
                <w:lang w:val="en-US" w:eastAsia="en-US" w:bidi="ar-SA"/>
              </w:rPr>
            </w:pPr>
            <w:r>
              <w:rPr>
                <w:rFonts w:eastAsia="游明朝"/>
                <w:sz w:val="20"/>
                <w:szCs w:val="20"/>
                <w:lang w:val="en-US" w:eastAsia="en-US" w:bidi="ar-SA"/>
              </w:rPr>
              <w:t>Major Assignment 2 (MA 2) | Narrative Essay</w:t>
            </w:r>
          </w:p>
        </w:tc>
        <w:tc>
          <w:tcPr>
            <w:tcW w:w="1071" w:type="dxa"/>
            <w:tcBorders/>
            <w:shd w:color="auto" w:fill="FFFFFF" w:themeFill="background1" w:val="clear"/>
          </w:tcPr>
          <w:p>
            <w:pPr>
              <w:pStyle w:val="Normal"/>
              <w:widowControl/>
              <w:suppressAutoHyphens w:val="true"/>
              <w:spacing w:before="0" w:after="120"/>
              <w:rPr>
                <w:rFonts w:eastAsia="游明朝"/>
                <w:sz w:val="20"/>
                <w:szCs w:val="20"/>
                <w:lang w:val="en-US" w:eastAsia="en-US" w:bidi="ar-SA"/>
              </w:rPr>
            </w:pPr>
            <w:r>
              <w:rPr>
                <w:rFonts w:eastAsia="游明朝"/>
                <w:sz w:val="20"/>
                <w:szCs w:val="20"/>
                <w:lang w:val="en-US" w:eastAsia="en-US" w:bidi="ar-SA"/>
              </w:rPr>
              <w:t>20%</w:t>
            </w:r>
          </w:p>
        </w:tc>
        <w:tc>
          <w:tcPr>
            <w:tcW w:w="2339" w:type="dxa"/>
            <w:tcBorders/>
            <w:shd w:color="auto" w:fill="FFFFFF" w:themeFill="background1" w:val="clear"/>
          </w:tcPr>
          <w:p>
            <w:pPr>
              <w:pStyle w:val="Normal"/>
              <w:widowControl/>
              <w:suppressAutoHyphens w:val="true"/>
              <w:spacing w:before="0" w:after="120"/>
              <w:rPr>
                <w:highlight w:val="none"/>
                <w:shd w:fill="auto" w:val="clear"/>
                <w14:ligatures w14:val="none"/>
              </w:rPr>
            </w:pPr>
            <w:r>
              <w:rPr>
                <w:rFonts w:eastAsia="游明朝"/>
                <w:sz w:val="20"/>
                <w:szCs w:val="20"/>
                <w:shd w:fill="auto" w:val="clear"/>
                <w:lang w:val="en-US" w:eastAsia="en-US" w:bidi="ar-SA"/>
                <w14:ligatures w14:val="none"/>
              </w:rPr>
              <w:t>Week 8</w:t>
            </w:r>
          </w:p>
        </w:tc>
      </w:tr>
      <w:tr>
        <w:trPr/>
        <w:tc>
          <w:tcPr>
            <w:tcW w:w="5950" w:type="dxa"/>
            <w:tcBorders/>
            <w:shd w:color="auto" w:fill="FFFFFF" w:themeFill="background1" w:val="clear"/>
          </w:tcPr>
          <w:p>
            <w:pPr>
              <w:pStyle w:val="Normal"/>
              <w:widowControl/>
              <w:suppressAutoHyphens w:val="true"/>
              <w:spacing w:before="0" w:after="120"/>
              <w:rPr>
                <w:rFonts w:eastAsia="游明朝"/>
                <w:sz w:val="20"/>
                <w:szCs w:val="20"/>
                <w:lang w:val="en-US" w:eastAsia="en-US" w:bidi="ar-SA"/>
              </w:rPr>
            </w:pPr>
            <w:r>
              <w:rPr>
                <w:rFonts w:eastAsia="游明朝"/>
                <w:sz w:val="20"/>
                <w:szCs w:val="20"/>
                <w:lang w:val="en-US" w:eastAsia="en-US" w:bidi="ar-SA"/>
              </w:rPr>
              <w:t>Major Assignment 3 (MA 3) | Analysis Essay</w:t>
            </w:r>
          </w:p>
        </w:tc>
        <w:tc>
          <w:tcPr>
            <w:tcW w:w="1071" w:type="dxa"/>
            <w:tcBorders/>
            <w:shd w:color="auto" w:fill="FFFFFF" w:themeFill="background1" w:val="clear"/>
          </w:tcPr>
          <w:p>
            <w:pPr>
              <w:pStyle w:val="Normal"/>
              <w:widowControl/>
              <w:suppressAutoHyphens w:val="true"/>
              <w:spacing w:before="0" w:after="120"/>
              <w:rPr>
                <w:rFonts w:eastAsia="游明朝"/>
                <w:sz w:val="20"/>
                <w:szCs w:val="20"/>
                <w:lang w:val="en-US" w:eastAsia="en-US" w:bidi="ar-SA"/>
              </w:rPr>
            </w:pPr>
            <w:r>
              <w:rPr>
                <w:rFonts w:eastAsia="游明朝"/>
                <w:sz w:val="20"/>
                <w:szCs w:val="20"/>
                <w:lang w:val="en-US" w:eastAsia="en-US" w:bidi="ar-SA"/>
              </w:rPr>
              <w:t>20%</w:t>
            </w:r>
          </w:p>
        </w:tc>
        <w:tc>
          <w:tcPr>
            <w:tcW w:w="2339" w:type="dxa"/>
            <w:tcBorders/>
            <w:shd w:color="auto" w:fill="FFFFFF" w:themeFill="background1" w:val="clear"/>
          </w:tcPr>
          <w:p>
            <w:pPr>
              <w:pStyle w:val="Normal"/>
              <w:widowControl/>
              <w:suppressAutoHyphens w:val="true"/>
              <w:spacing w:before="0" w:after="120"/>
              <w:rPr>
                <w:highlight w:val="none"/>
                <w:shd w:fill="auto" w:val="clear"/>
                <w14:ligatures w14:val="none"/>
              </w:rPr>
            </w:pPr>
            <w:r>
              <w:rPr>
                <w:rFonts w:eastAsia="游明朝"/>
                <w:sz w:val="20"/>
                <w:szCs w:val="20"/>
                <w:shd w:fill="auto" w:val="clear"/>
                <w:lang w:val="en-US" w:eastAsia="en-US" w:bidi="ar-SA"/>
                <w14:ligatures w14:val="none"/>
              </w:rPr>
              <w:t>Week 13</w:t>
            </w:r>
          </w:p>
        </w:tc>
      </w:tr>
      <w:tr>
        <w:trPr/>
        <w:tc>
          <w:tcPr>
            <w:tcW w:w="5950" w:type="dxa"/>
            <w:tcBorders/>
            <w:shd w:color="auto" w:fill="FFFFFF" w:themeFill="background1" w:val="clear"/>
          </w:tcPr>
          <w:p>
            <w:pPr>
              <w:pStyle w:val="Normal"/>
              <w:widowControl/>
              <w:suppressAutoHyphens w:val="true"/>
              <w:spacing w:before="0" w:after="120"/>
              <w:rPr>
                <w:rFonts w:eastAsia="游明朝"/>
                <w:sz w:val="20"/>
                <w:szCs w:val="20"/>
                <w:lang w:val="en-US" w:eastAsia="en-US" w:bidi="ar-SA"/>
              </w:rPr>
            </w:pPr>
            <w:r>
              <w:rPr>
                <w:rFonts w:eastAsia="游明朝"/>
                <w:sz w:val="20"/>
                <w:szCs w:val="20"/>
                <w:lang w:val="en-US" w:eastAsia="en-US" w:bidi="ar-SA"/>
              </w:rPr>
              <w:t>Major Assignment 4 (MA4) | Reimagining Your Audience</w:t>
            </w:r>
          </w:p>
        </w:tc>
        <w:tc>
          <w:tcPr>
            <w:tcW w:w="1071" w:type="dxa"/>
            <w:tcBorders/>
            <w:shd w:color="auto" w:fill="FFFFFF" w:themeFill="background1" w:val="clear"/>
          </w:tcPr>
          <w:p>
            <w:pPr>
              <w:pStyle w:val="Normal"/>
              <w:widowControl/>
              <w:suppressAutoHyphens w:val="true"/>
              <w:spacing w:before="0" w:after="120"/>
              <w:rPr>
                <w:rFonts w:eastAsia="游明朝"/>
                <w:sz w:val="20"/>
                <w:szCs w:val="20"/>
                <w:lang w:val="en-US" w:eastAsia="en-US" w:bidi="ar-SA"/>
              </w:rPr>
            </w:pPr>
            <w:r>
              <w:rPr>
                <w:rFonts w:eastAsia="游明朝"/>
                <w:sz w:val="20"/>
                <w:szCs w:val="20"/>
                <w:lang w:val="en-US" w:eastAsia="en-US" w:bidi="ar-SA"/>
              </w:rPr>
              <w:t>10%</w:t>
            </w:r>
          </w:p>
        </w:tc>
        <w:tc>
          <w:tcPr>
            <w:tcW w:w="2339" w:type="dxa"/>
            <w:tcBorders/>
            <w:shd w:color="auto" w:fill="FFFFFF" w:themeFill="background1" w:val="clear"/>
          </w:tcPr>
          <w:p>
            <w:pPr>
              <w:pStyle w:val="Normal"/>
              <w:widowControl/>
              <w:suppressAutoHyphens w:val="true"/>
              <w:spacing w:before="0" w:after="120"/>
              <w:rPr>
                <w:highlight w:val="none"/>
                <w:shd w:fill="auto" w:val="clear"/>
                <w14:ligatures w14:val="none"/>
              </w:rPr>
            </w:pPr>
            <w:r>
              <w:rPr>
                <w:rFonts w:eastAsia="游明朝"/>
                <w:sz w:val="20"/>
                <w:szCs w:val="20"/>
                <w:shd w:fill="auto" w:val="clear"/>
                <w:lang w:val="en-US" w:eastAsia="en-US" w:bidi="ar-SA"/>
                <w14:ligatures w14:val="none"/>
              </w:rPr>
              <w:t>Week 16</w:t>
            </w:r>
          </w:p>
        </w:tc>
      </w:tr>
      <w:tr>
        <w:trPr/>
        <w:tc>
          <w:tcPr>
            <w:tcW w:w="5950" w:type="dxa"/>
            <w:tcBorders/>
            <w:shd w:color="auto" w:fill="FFFFFF" w:themeFill="background1" w:val="clear"/>
          </w:tcPr>
          <w:p>
            <w:pPr>
              <w:pStyle w:val="Normal"/>
              <w:widowControl/>
              <w:suppressAutoHyphens w:val="true"/>
              <w:spacing w:before="0" w:after="0"/>
              <w:rPr>
                <w:rFonts w:eastAsia="游明朝"/>
                <w:sz w:val="20"/>
                <w:szCs w:val="20"/>
                <w:lang w:val="en-US" w:eastAsia="en-US" w:bidi="ar-SA"/>
              </w:rPr>
            </w:pPr>
            <w:r>
              <w:rPr>
                <w:rFonts w:eastAsia="游明朝"/>
                <w:sz w:val="20"/>
                <w:szCs w:val="20"/>
                <w:lang w:val="en-US" w:eastAsia="en-US" w:bidi="ar-SA"/>
              </w:rPr>
              <w:t>Weekly Assignments and Activities</w:t>
            </w:r>
          </w:p>
          <w:p>
            <w:pPr>
              <w:pStyle w:val="ListParagraph"/>
              <w:widowControl/>
              <w:numPr>
                <w:ilvl w:val="0"/>
                <w:numId w:val="2"/>
              </w:numPr>
              <w:suppressAutoHyphens w:val="true"/>
              <w:spacing w:before="0" w:after="0"/>
              <w:contextualSpacing/>
              <w:rPr>
                <w:rFonts w:ascii="Segoe UI" w:hAnsi="Segoe UI" w:eastAsia="Times New Roman" w:cs="Segoe UI"/>
                <w:sz w:val="21"/>
                <w:szCs w:val="21"/>
              </w:rPr>
            </w:pPr>
            <w:r>
              <w:rPr>
                <w:rFonts w:eastAsia="游明朝"/>
                <w:sz w:val="20"/>
                <w:szCs w:val="20"/>
                <w:lang w:val="en-US" w:eastAsia="en-US" w:bidi="ar-SA"/>
              </w:rPr>
              <w:t>Low-stakes writing assignments that correlate to the week’s readings, discussion, and lectures.</w:t>
            </w:r>
          </w:p>
        </w:tc>
        <w:tc>
          <w:tcPr>
            <w:tcW w:w="1071" w:type="dxa"/>
            <w:tcBorders/>
            <w:shd w:color="auto" w:fill="FFFFFF" w:themeFill="background1" w:val="clear"/>
          </w:tcPr>
          <w:p>
            <w:pPr>
              <w:pStyle w:val="Normal"/>
              <w:widowControl/>
              <w:suppressAutoHyphens w:val="true"/>
              <w:spacing w:before="0" w:after="120"/>
              <w:rPr>
                <w:rFonts w:eastAsia="游明朝"/>
                <w:sz w:val="20"/>
                <w:szCs w:val="20"/>
                <w:lang w:val="en-US" w:eastAsia="en-US" w:bidi="ar-SA"/>
              </w:rPr>
            </w:pPr>
            <w:r>
              <w:rPr>
                <w:rFonts w:eastAsia="游明朝"/>
                <w:sz w:val="20"/>
                <w:szCs w:val="20"/>
                <w:lang w:val="en-US" w:eastAsia="en-US" w:bidi="ar-SA"/>
              </w:rPr>
              <w:t>15%</w:t>
            </w:r>
          </w:p>
        </w:tc>
        <w:tc>
          <w:tcPr>
            <w:tcW w:w="2339" w:type="dxa"/>
            <w:tcBorders/>
            <w:shd w:color="auto" w:fill="FFFFFF" w:themeFill="background1" w:val="clear"/>
          </w:tcPr>
          <w:p>
            <w:pPr>
              <w:pStyle w:val="Normal"/>
              <w:widowControl/>
              <w:suppressAutoHyphens w:val="true"/>
              <w:spacing w:before="0" w:after="120"/>
              <w:rPr>
                <w:rFonts w:eastAsia="游明朝"/>
                <w:sz w:val="20"/>
                <w:szCs w:val="20"/>
                <w:lang w:val="en-US" w:eastAsia="en-US" w:bidi="ar-SA"/>
              </w:rPr>
            </w:pPr>
            <w:r>
              <w:rPr>
                <w:rFonts w:eastAsia="游明朝"/>
                <w:sz w:val="20"/>
                <w:szCs w:val="20"/>
                <w:lang w:val="en-US" w:eastAsia="en-US" w:bidi="ar-SA"/>
              </w:rPr>
              <w:t>Varies</w:t>
            </w:r>
          </w:p>
        </w:tc>
      </w:tr>
      <w:tr>
        <w:trPr/>
        <w:tc>
          <w:tcPr>
            <w:tcW w:w="5950" w:type="dxa"/>
            <w:tcBorders/>
            <w:shd w:color="auto" w:fill="FFFFFF" w:themeFill="background1" w:val="clear"/>
          </w:tcPr>
          <w:p>
            <w:pPr>
              <w:pStyle w:val="Normal"/>
              <w:widowControl/>
              <w:suppressAutoHyphens w:val="true"/>
              <w:spacing w:before="0" w:after="0"/>
              <w:rPr>
                <w:rFonts w:eastAsia="游明朝"/>
                <w:sz w:val="20"/>
                <w:szCs w:val="20"/>
                <w:lang w:val="en-US" w:eastAsia="en-US" w:bidi="ar-SA"/>
              </w:rPr>
            </w:pPr>
            <w:r>
              <w:rPr>
                <w:rFonts w:eastAsia="游明朝"/>
                <w:sz w:val="20"/>
                <w:szCs w:val="20"/>
                <w:lang w:val="en-US" w:eastAsia="en-US" w:bidi="ar-SA"/>
              </w:rPr>
              <w:t>Quizzes</w:t>
            </w:r>
          </w:p>
          <w:p>
            <w:pPr>
              <w:pStyle w:val="ListParagraph"/>
              <w:widowControl/>
              <w:numPr>
                <w:ilvl w:val="0"/>
                <w:numId w:val="2"/>
              </w:numPr>
              <w:suppressAutoHyphens w:val="true"/>
              <w:spacing w:before="0" w:after="0"/>
              <w:contextualSpacing/>
              <w:rPr>
                <w:rFonts w:eastAsia="游明朝"/>
                <w:sz w:val="20"/>
                <w:szCs w:val="20"/>
                <w:lang w:val="en-US" w:eastAsia="en-US" w:bidi="ar-SA"/>
              </w:rPr>
            </w:pPr>
            <w:r>
              <w:rPr>
                <w:rFonts w:eastAsia="游明朝"/>
                <w:sz w:val="20"/>
                <w:szCs w:val="20"/>
                <w:lang w:val="en-US" w:eastAsia="en-US" w:bidi="ar-SA"/>
              </w:rPr>
              <w:t>Short quizzes over the assigned readings.</w:t>
            </w:r>
          </w:p>
        </w:tc>
        <w:tc>
          <w:tcPr>
            <w:tcW w:w="1071" w:type="dxa"/>
            <w:tcBorders/>
            <w:shd w:color="auto" w:fill="FFFFFF" w:themeFill="background1" w:val="clear"/>
          </w:tcPr>
          <w:p>
            <w:pPr>
              <w:pStyle w:val="Normal"/>
              <w:widowControl/>
              <w:suppressAutoHyphens w:val="true"/>
              <w:spacing w:before="0" w:after="120"/>
              <w:rPr>
                <w:rFonts w:eastAsia="游明朝"/>
                <w:sz w:val="20"/>
                <w:szCs w:val="20"/>
                <w:lang w:val="en-US" w:eastAsia="en-US" w:bidi="ar-SA"/>
              </w:rPr>
            </w:pPr>
            <w:r>
              <w:rPr>
                <w:rFonts w:eastAsia="游明朝"/>
                <w:sz w:val="20"/>
                <w:szCs w:val="20"/>
                <w:lang w:val="en-US" w:eastAsia="en-US" w:bidi="ar-SA"/>
              </w:rPr>
              <w:t>10%</w:t>
            </w:r>
          </w:p>
        </w:tc>
        <w:tc>
          <w:tcPr>
            <w:tcW w:w="2339" w:type="dxa"/>
            <w:tcBorders/>
            <w:shd w:color="auto" w:fill="FFFFFF" w:themeFill="background1" w:val="clear"/>
          </w:tcPr>
          <w:p>
            <w:pPr>
              <w:pStyle w:val="Normal"/>
              <w:widowControl/>
              <w:suppressAutoHyphens w:val="true"/>
              <w:spacing w:before="0" w:after="120"/>
              <w:rPr>
                <w:rFonts w:eastAsia="游明朝"/>
                <w:sz w:val="20"/>
                <w:szCs w:val="20"/>
                <w:lang w:val="en-US" w:eastAsia="en-US" w:bidi="ar-SA"/>
              </w:rPr>
            </w:pPr>
            <w:r>
              <w:rPr>
                <w:rFonts w:eastAsia="游明朝"/>
                <w:sz w:val="20"/>
                <w:szCs w:val="20"/>
                <w:lang w:val="en-US" w:eastAsia="en-US" w:bidi="ar-SA"/>
              </w:rPr>
              <w:t>Varies</w:t>
            </w:r>
          </w:p>
        </w:tc>
      </w:tr>
      <w:tr>
        <w:trPr/>
        <w:tc>
          <w:tcPr>
            <w:tcW w:w="5950" w:type="dxa"/>
            <w:tcBorders/>
            <w:shd w:color="auto" w:fill="FFFFFF" w:themeFill="background1" w:val="clear"/>
          </w:tcPr>
          <w:p>
            <w:pPr>
              <w:pStyle w:val="Normal"/>
              <w:widowControl/>
              <w:suppressAutoHyphens w:val="true"/>
              <w:spacing w:before="0" w:after="120"/>
              <w:rPr>
                <w:rFonts w:eastAsia="游明朝"/>
                <w:sz w:val="20"/>
                <w:szCs w:val="20"/>
                <w:lang w:val="en-US" w:eastAsia="en-US" w:bidi="ar-SA"/>
              </w:rPr>
            </w:pPr>
            <w:r>
              <w:rPr>
                <w:rFonts w:eastAsia="游明朝"/>
                <w:sz w:val="20"/>
                <w:szCs w:val="20"/>
                <w:lang w:val="en-US" w:eastAsia="en-US" w:bidi="ar-SA"/>
              </w:rPr>
              <w:t>Attendance</w:t>
            </w:r>
          </w:p>
        </w:tc>
        <w:tc>
          <w:tcPr>
            <w:tcW w:w="1071" w:type="dxa"/>
            <w:tcBorders/>
            <w:shd w:color="auto" w:fill="FFFFFF" w:themeFill="background1" w:val="clear"/>
          </w:tcPr>
          <w:p>
            <w:pPr>
              <w:pStyle w:val="Normal"/>
              <w:widowControl/>
              <w:suppressAutoHyphens w:val="true"/>
              <w:spacing w:before="0" w:after="120"/>
              <w:rPr>
                <w:rFonts w:eastAsia="游明朝"/>
                <w:sz w:val="20"/>
                <w:szCs w:val="20"/>
                <w:lang w:val="en-US" w:eastAsia="en-US" w:bidi="ar-SA"/>
              </w:rPr>
            </w:pPr>
            <w:r>
              <w:rPr>
                <w:rFonts w:eastAsia="游明朝"/>
                <w:sz w:val="20"/>
                <w:szCs w:val="20"/>
                <w:lang w:val="en-US" w:eastAsia="en-US" w:bidi="ar-SA"/>
              </w:rPr>
              <w:t>10%</w:t>
            </w:r>
          </w:p>
        </w:tc>
        <w:tc>
          <w:tcPr>
            <w:tcW w:w="2339" w:type="dxa"/>
            <w:tcBorders/>
            <w:shd w:color="auto" w:fill="FFFFFF" w:themeFill="background1" w:val="clear"/>
          </w:tcPr>
          <w:p>
            <w:pPr>
              <w:pStyle w:val="Normal"/>
              <w:widowControl/>
              <w:suppressAutoHyphens w:val="true"/>
              <w:spacing w:before="0" w:after="120"/>
              <w:rPr>
                <w:rFonts w:eastAsia="游明朝"/>
                <w:sz w:val="20"/>
                <w:szCs w:val="20"/>
                <w:lang w:val="en-US" w:eastAsia="en-US" w:bidi="ar-SA"/>
              </w:rPr>
            </w:pPr>
            <w:r>
              <w:rPr>
                <w:rFonts w:eastAsia="游明朝"/>
                <w:sz w:val="20"/>
                <w:szCs w:val="20"/>
                <w:lang w:val="en-US" w:eastAsia="en-US" w:bidi="ar-SA"/>
              </w:rPr>
              <w:t>Varies</w:t>
            </w:r>
          </w:p>
        </w:tc>
      </w:tr>
      <w:tr>
        <w:trPr/>
        <w:tc>
          <w:tcPr>
            <w:tcW w:w="5950" w:type="dxa"/>
            <w:tcBorders/>
            <w:shd w:color="auto" w:fill="FFFFFF" w:themeFill="background1" w:val="clear"/>
          </w:tcPr>
          <w:p>
            <w:pPr>
              <w:pStyle w:val="Normal"/>
              <w:widowControl/>
              <w:suppressAutoHyphens w:val="true"/>
              <w:spacing w:before="0" w:after="0"/>
              <w:rPr>
                <w:rFonts w:eastAsia="游明朝"/>
                <w:sz w:val="20"/>
                <w:szCs w:val="20"/>
                <w:lang w:val="en-US" w:eastAsia="en-US" w:bidi="ar-SA"/>
              </w:rPr>
            </w:pPr>
            <w:r>
              <w:rPr>
                <w:rFonts w:eastAsia="游明朝"/>
                <w:sz w:val="20"/>
                <w:szCs w:val="20"/>
                <w:lang w:val="en-US" w:eastAsia="en-US" w:bidi="ar-SA"/>
              </w:rPr>
              <w:t>Peer Review</w:t>
            </w:r>
          </w:p>
          <w:p>
            <w:pPr>
              <w:pStyle w:val="ListParagraph"/>
              <w:widowControl/>
              <w:numPr>
                <w:ilvl w:val="0"/>
                <w:numId w:val="2"/>
              </w:numPr>
              <w:suppressAutoHyphens w:val="true"/>
              <w:spacing w:before="0" w:after="0"/>
              <w:contextualSpacing/>
              <w:rPr>
                <w:rFonts w:eastAsia="游明朝"/>
                <w:sz w:val="20"/>
                <w:szCs w:val="20"/>
                <w:lang w:val="en-US" w:eastAsia="en-US" w:bidi="ar-SA"/>
              </w:rPr>
            </w:pPr>
            <w:r>
              <w:rPr>
                <w:rFonts w:eastAsia="游明朝"/>
                <w:sz w:val="20"/>
                <w:szCs w:val="20"/>
                <w:lang w:val="en-US" w:eastAsia="en-US" w:bidi="ar-SA"/>
              </w:rPr>
              <w:t>There will be a required peer review for MA3</w:t>
            </w:r>
          </w:p>
        </w:tc>
        <w:tc>
          <w:tcPr>
            <w:tcW w:w="1071" w:type="dxa"/>
            <w:tcBorders/>
            <w:shd w:color="auto" w:fill="FFFFFF" w:themeFill="background1" w:val="clear"/>
          </w:tcPr>
          <w:p>
            <w:pPr>
              <w:pStyle w:val="Normal"/>
              <w:widowControl/>
              <w:suppressAutoHyphens w:val="true"/>
              <w:spacing w:before="0" w:after="120"/>
              <w:rPr>
                <w:rFonts w:eastAsia="游明朝"/>
                <w:sz w:val="20"/>
                <w:szCs w:val="20"/>
                <w:lang w:val="en-US" w:eastAsia="en-US" w:bidi="ar-SA"/>
              </w:rPr>
            </w:pPr>
            <w:r>
              <w:rPr>
                <w:rFonts w:eastAsia="游明朝"/>
                <w:sz w:val="20"/>
                <w:szCs w:val="20"/>
                <w:lang w:val="en-US" w:eastAsia="en-US" w:bidi="ar-SA"/>
              </w:rPr>
              <w:t>5%</w:t>
            </w:r>
          </w:p>
        </w:tc>
        <w:tc>
          <w:tcPr>
            <w:tcW w:w="2339" w:type="dxa"/>
            <w:tcBorders/>
            <w:shd w:color="auto" w:fill="FFFFFF" w:themeFill="background1" w:val="clear"/>
          </w:tcPr>
          <w:p>
            <w:pPr>
              <w:pStyle w:val="Normal"/>
              <w:widowControl/>
              <w:suppressAutoHyphens w:val="true"/>
              <w:spacing w:before="0" w:after="120"/>
              <w:rPr>
                <w:rFonts w:eastAsia="游明朝"/>
                <w:sz w:val="20"/>
                <w:szCs w:val="20"/>
                <w:lang w:val="en-US" w:eastAsia="en-US" w:bidi="ar-SA"/>
              </w:rPr>
            </w:pPr>
            <w:r>
              <w:rPr>
                <w:rFonts w:eastAsia="游明朝"/>
                <w:sz w:val="20"/>
                <w:szCs w:val="20"/>
                <w:lang w:val="en-US" w:eastAsia="en-US" w:bidi="ar-SA"/>
              </w:rPr>
              <w:t>Varies</w:t>
            </w:r>
          </w:p>
        </w:tc>
      </w:tr>
    </w:tbl>
    <w:p>
      <w:pPr>
        <w:pStyle w:val="Scheduleheadings"/>
        <w:rPr/>
      </w:pPr>
      <w:r>
        <w:rPr/>
      </w:r>
    </w:p>
    <w:p>
      <w:pPr>
        <w:pStyle w:val="Scheduleheadings"/>
        <w:rPr/>
      </w:pPr>
      <w:r>
        <w:rPr/>
        <w:t>Grading</w:t>
      </w:r>
    </w:p>
    <w:p>
      <w:pPr>
        <w:pStyle w:val="Normal"/>
        <w:rPr/>
      </w:pPr>
      <w:r>
        <w:rPr/>
        <w:t>This class uses a non-standard, process-based grading system that does away with standard numerical grades. Please familiarize yourself with the various tiers.</w:t>
      </w:r>
    </w:p>
    <w:tbl>
      <w:tblPr>
        <w:tblStyle w:val="TableGrid1"/>
        <w:tblW w:w="935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972"/>
        <w:gridCol w:w="7377"/>
      </w:tblGrid>
      <w:tr>
        <w:trPr/>
        <w:tc>
          <w:tcPr>
            <w:tcW w:w="1972" w:type="dxa"/>
            <w:tcBorders/>
          </w:tcPr>
          <w:p>
            <w:pPr>
              <w:pStyle w:val="Normal"/>
              <w:widowControl/>
              <w:suppressAutoHyphens w:val="true"/>
              <w:spacing w:before="0" w:after="120"/>
              <w:rPr>
                <w:rFonts w:eastAsia="Aptos"/>
                <w:sz w:val="22"/>
                <w:szCs w:val="22"/>
                <w:lang w:val="en-US" w:eastAsia="en-US" w:bidi="ar-SA"/>
              </w:rPr>
            </w:pPr>
            <w:r>
              <w:rPr>
                <w:rFonts w:eastAsia="Aptos"/>
                <w:sz w:val="22"/>
                <w:szCs w:val="22"/>
                <w:lang w:val="en-US" w:eastAsia="en-US" w:bidi="ar-SA"/>
              </w:rPr>
              <w:t>GRADE</w:t>
            </w:r>
          </w:p>
        </w:tc>
        <w:tc>
          <w:tcPr>
            <w:tcW w:w="7377" w:type="dxa"/>
            <w:tcBorders/>
          </w:tcPr>
          <w:p>
            <w:pPr>
              <w:pStyle w:val="Normal"/>
              <w:widowControl/>
              <w:suppressAutoHyphens w:val="true"/>
              <w:spacing w:before="0" w:after="120"/>
              <w:rPr>
                <w:rFonts w:eastAsia="Aptos"/>
                <w:sz w:val="22"/>
                <w:szCs w:val="22"/>
                <w:lang w:val="en-US" w:eastAsia="en-US" w:bidi="ar-SA"/>
              </w:rPr>
            </w:pPr>
            <w:r>
              <w:rPr>
                <w:rFonts w:eastAsia="Aptos"/>
                <w:sz w:val="22"/>
                <w:szCs w:val="22"/>
                <w:lang w:val="en-US" w:eastAsia="en-US" w:bidi="ar-SA"/>
              </w:rPr>
              <w:t>DESCRIPTION</w:t>
            </w:r>
          </w:p>
        </w:tc>
      </w:tr>
      <w:tr>
        <w:trPr/>
        <w:tc>
          <w:tcPr>
            <w:tcW w:w="1972" w:type="dxa"/>
            <w:tcBorders/>
          </w:tcPr>
          <w:p>
            <w:pPr>
              <w:pStyle w:val="Normal"/>
              <w:widowControl/>
              <w:suppressAutoHyphens w:val="true"/>
              <w:spacing w:before="0" w:after="120"/>
              <w:rPr>
                <w:rFonts w:eastAsia="Aptos"/>
                <w:sz w:val="22"/>
                <w:szCs w:val="22"/>
                <w:lang w:val="en-US" w:eastAsia="en-US" w:bidi="ar-SA"/>
              </w:rPr>
            </w:pPr>
            <w:r>
              <w:rPr>
                <w:rFonts w:eastAsia="Aptos"/>
                <w:sz w:val="22"/>
                <w:szCs w:val="22"/>
                <w:lang w:val="en-US" w:eastAsia="en-US" w:bidi="ar-SA"/>
              </w:rPr>
              <w:t>A</w:t>
            </w:r>
          </w:p>
        </w:tc>
        <w:tc>
          <w:tcPr>
            <w:tcW w:w="7377" w:type="dxa"/>
            <w:tcBorders/>
          </w:tcPr>
          <w:p>
            <w:pPr>
              <w:pStyle w:val="Normal"/>
              <w:widowControl/>
              <w:suppressAutoHyphens w:val="true"/>
              <w:spacing w:before="0" w:after="120"/>
              <w:rPr>
                <w:rFonts w:eastAsia="Aptos"/>
                <w:sz w:val="22"/>
                <w:szCs w:val="22"/>
                <w:lang w:val="en-US" w:eastAsia="en-US" w:bidi="ar-SA"/>
              </w:rPr>
            </w:pPr>
            <w:r>
              <w:rPr>
                <w:rFonts w:eastAsia="Aptos"/>
                <w:sz w:val="22"/>
                <w:szCs w:val="22"/>
                <w:lang w:val="en-US" w:eastAsia="en-US" w:bidi="ar-SA"/>
              </w:rPr>
              <w:t>Work meets all parameters for a B, and the student has completed an additional task detailed in the assignment requirements.</w:t>
            </w:r>
          </w:p>
        </w:tc>
      </w:tr>
      <w:tr>
        <w:trPr/>
        <w:tc>
          <w:tcPr>
            <w:tcW w:w="1972" w:type="dxa"/>
            <w:tcBorders/>
          </w:tcPr>
          <w:p>
            <w:pPr>
              <w:pStyle w:val="Normal"/>
              <w:widowControl/>
              <w:suppressAutoHyphens w:val="true"/>
              <w:spacing w:before="0" w:after="120"/>
              <w:rPr>
                <w:rFonts w:eastAsia="Aptos"/>
                <w:sz w:val="22"/>
                <w:szCs w:val="22"/>
                <w:lang w:val="en-US" w:eastAsia="en-US" w:bidi="ar-SA"/>
              </w:rPr>
            </w:pPr>
            <w:r>
              <w:rPr>
                <w:rFonts w:eastAsia="Aptos"/>
                <w:sz w:val="22"/>
                <w:szCs w:val="22"/>
                <w:lang w:val="en-US" w:eastAsia="en-US" w:bidi="ar-SA"/>
              </w:rPr>
              <w:t xml:space="preserve">B </w:t>
            </w:r>
          </w:p>
          <w:p>
            <w:pPr>
              <w:pStyle w:val="Normal"/>
              <w:widowControl/>
              <w:suppressAutoHyphens w:val="true"/>
              <w:spacing w:before="0" w:after="120"/>
              <w:rPr>
                <w:rFonts w:eastAsia="Aptos"/>
                <w:sz w:val="22"/>
                <w:szCs w:val="22"/>
                <w:lang w:val="en-US" w:eastAsia="en-US" w:bidi="ar-SA"/>
              </w:rPr>
            </w:pPr>
            <w:r>
              <w:rPr>
                <w:rFonts w:eastAsia="Aptos"/>
                <w:sz w:val="22"/>
                <w:szCs w:val="22"/>
                <w:lang w:val="en-US" w:eastAsia="en-US" w:bidi="ar-SA"/>
              </w:rPr>
              <w:t>(Default Grade)</w:t>
            </w:r>
          </w:p>
        </w:tc>
        <w:tc>
          <w:tcPr>
            <w:tcW w:w="7377" w:type="dxa"/>
            <w:tcBorders/>
          </w:tcPr>
          <w:p>
            <w:pPr>
              <w:pStyle w:val="Normal"/>
              <w:widowControl/>
              <w:suppressAutoHyphens w:val="true"/>
              <w:spacing w:before="0" w:after="120"/>
              <w:rPr>
                <w:rFonts w:eastAsia="Aptos"/>
                <w:sz w:val="22"/>
                <w:szCs w:val="22"/>
                <w:lang w:val="en-US" w:eastAsia="en-US" w:bidi="ar-SA"/>
              </w:rPr>
            </w:pPr>
            <w:r>
              <w:rPr>
                <w:rFonts w:eastAsia="Aptos"/>
                <w:sz w:val="22"/>
                <w:szCs w:val="22"/>
                <w:lang w:val="en-US" w:eastAsia="en-US" w:bidi="ar-SA"/>
              </w:rPr>
              <w:t>Work meets the assignment's length and source requirements and the student has turned in the requisite three-quarters of that unit's pre-writing assignments.</w:t>
            </w:r>
          </w:p>
        </w:tc>
      </w:tr>
      <w:tr>
        <w:trPr/>
        <w:tc>
          <w:tcPr>
            <w:tcW w:w="1972" w:type="dxa"/>
            <w:tcBorders/>
          </w:tcPr>
          <w:p>
            <w:pPr>
              <w:pStyle w:val="Normal"/>
              <w:widowControl/>
              <w:suppressAutoHyphens w:val="true"/>
              <w:spacing w:before="0" w:after="120"/>
              <w:rPr>
                <w:rFonts w:eastAsia="Aptos"/>
                <w:sz w:val="22"/>
                <w:szCs w:val="22"/>
                <w:lang w:val="en-US" w:eastAsia="en-US" w:bidi="ar-SA"/>
              </w:rPr>
            </w:pPr>
            <w:r>
              <w:rPr>
                <w:rFonts w:eastAsia="Aptos"/>
                <w:sz w:val="22"/>
                <w:szCs w:val="22"/>
                <w:lang w:val="en-US" w:eastAsia="en-US" w:bidi="ar-SA"/>
              </w:rPr>
              <w:t>C</w:t>
            </w:r>
          </w:p>
        </w:tc>
        <w:tc>
          <w:tcPr>
            <w:tcW w:w="7377" w:type="dxa"/>
            <w:tcBorders/>
          </w:tcPr>
          <w:p>
            <w:pPr>
              <w:pStyle w:val="Normal"/>
              <w:widowControl/>
              <w:suppressAutoHyphens w:val="true"/>
              <w:spacing w:before="0" w:after="120"/>
              <w:rPr>
                <w:rFonts w:eastAsia="Aptos"/>
                <w:sz w:val="22"/>
                <w:szCs w:val="22"/>
                <w:lang w:val="en-US" w:eastAsia="en-US" w:bidi="ar-SA"/>
              </w:rPr>
            </w:pPr>
            <w:r>
              <w:rPr>
                <w:rFonts w:eastAsia="Aptos"/>
                <w:sz w:val="22"/>
                <w:szCs w:val="22"/>
                <w:lang w:val="en-US" w:eastAsia="en-US" w:bidi="ar-SA"/>
              </w:rPr>
              <w:t>Work is either below the B-grade length/source threshold or the student has not turned in the requisite number of assignments.</w:t>
            </w:r>
          </w:p>
        </w:tc>
      </w:tr>
      <w:tr>
        <w:trPr/>
        <w:tc>
          <w:tcPr>
            <w:tcW w:w="1972" w:type="dxa"/>
            <w:tcBorders/>
          </w:tcPr>
          <w:p>
            <w:pPr>
              <w:pStyle w:val="Normal"/>
              <w:widowControl/>
              <w:suppressAutoHyphens w:val="true"/>
              <w:spacing w:before="0" w:after="120"/>
              <w:rPr>
                <w:rFonts w:eastAsia="Aptos"/>
                <w:sz w:val="22"/>
                <w:szCs w:val="22"/>
                <w:lang w:val="en-US" w:eastAsia="en-US" w:bidi="ar-SA"/>
              </w:rPr>
            </w:pPr>
            <w:r>
              <w:rPr>
                <w:rFonts w:eastAsia="Aptos"/>
                <w:sz w:val="22"/>
                <w:szCs w:val="22"/>
                <w:lang w:val="en-US" w:eastAsia="en-US" w:bidi="ar-SA"/>
              </w:rPr>
              <w:t xml:space="preserve">F </w:t>
            </w:r>
          </w:p>
        </w:tc>
        <w:tc>
          <w:tcPr>
            <w:tcW w:w="7377" w:type="dxa"/>
            <w:tcBorders/>
          </w:tcPr>
          <w:p>
            <w:pPr>
              <w:pStyle w:val="BodyText"/>
              <w:widowControl/>
              <w:suppressAutoHyphens w:val="true"/>
              <w:spacing w:before="0" w:after="120"/>
              <w:rPr>
                <w:rFonts w:eastAsia="Aptos"/>
                <w:sz w:val="22"/>
                <w:szCs w:val="22"/>
                <w:lang w:val="en-US" w:eastAsia="en-US" w:bidi="ar-SA"/>
              </w:rPr>
            </w:pPr>
            <w:r>
              <w:rPr>
                <w:rFonts w:eastAsia="Aptos"/>
                <w:sz w:val="22"/>
                <w:szCs w:val="22"/>
                <w:lang w:val="en-US" w:eastAsia="en-US" w:bidi="ar-SA"/>
              </w:rPr>
              <w:t>Work turned-in is below one-half of the assignment's required length.</w:t>
            </w:r>
          </w:p>
        </w:tc>
      </w:tr>
    </w:tbl>
    <w:p>
      <w:pPr>
        <w:pStyle w:val="Normal"/>
        <w:rPr/>
      </w:pPr>
      <w:r>
        <w:rPr/>
      </w:r>
    </w:p>
    <w:p>
      <w:pPr>
        <w:pStyle w:val="Normal"/>
        <w:rPr/>
      </w:pPr>
      <w:r>
        <w:rPr/>
        <w:t xml:space="preserve">All major assignments must be turned in on Canvas and processed through Turnitin to be eligible to pass this course. </w:t>
      </w:r>
    </w:p>
    <w:p>
      <w:pPr>
        <w:pStyle w:val="Normal"/>
        <w:rPr>
          <w:highlight w:val="none"/>
          <w:shd w:fill="auto" w:val="clear"/>
          <w14:ligatures w14:val="none"/>
        </w:rPr>
      </w:pPr>
      <w:r>
        <w:rPr>
          <w:shd w:fill="auto" w:val="clear"/>
          <w14:ligatures w14:val="none"/>
        </w:rPr>
        <w:t xml:space="preserve">Note, Canvas’s gradebook is not always accurate. Some grades, such as attendance or extra credit, are not incorporated until </w:t>
      </w:r>
      <w:r>
        <w:rPr>
          <w:i/>
          <w:iCs/>
          <w:shd w:fill="auto" w:val="clear"/>
          <w14:ligatures w14:val="none"/>
        </w:rPr>
        <w:t>after</w:t>
      </w:r>
      <w:r>
        <w:rPr>
          <w:shd w:fill="auto" w:val="clear"/>
          <w14:ligatures w14:val="none"/>
        </w:rPr>
        <w:t xml:space="preserve"> the last time the class meets. If you are concerned about your grades, please set up a meeting so we can discuss them. </w:t>
      </w:r>
    </w:p>
    <w:p>
      <w:pPr>
        <w:pStyle w:val="Scheduleheadings"/>
        <w:rPr/>
      </w:pPr>
      <w:r>
        <w:rPr/>
        <w:t>Communication Expectations</w:t>
      </w:r>
    </w:p>
    <w:p>
      <w:pPr>
        <w:pStyle w:val="SyllabusHeading2"/>
        <w:rPr/>
      </w:pPr>
      <w:r>
        <w:rPr/>
        <w:t>Feedback</w:t>
      </w:r>
    </w:p>
    <w:p>
      <w:pPr>
        <w:pStyle w:val="Normal"/>
        <w:rPr>
          <w:highlight w:val="none"/>
          <w:shd w:fill="auto" w:val="clear"/>
          <w14:ligatures w14:val="none"/>
        </w:rPr>
      </w:pPr>
      <w:r>
        <w:rPr>
          <w:shd w:fill="auto" w:val="clear"/>
          <w14:ligatures w14:val="none"/>
        </w:rPr>
        <w:t xml:space="preserve">I strive to return all graded work promptly. </w:t>
      </w:r>
      <w:r>
        <w:rPr>
          <w:shd w:fill="auto" w:val="clear"/>
          <w14:ligatures w14:val="none"/>
        </w:rPr>
        <w:t>Grades will be entered on Canvas within one week of submission. Two weeks for Major Assignments.</w:t>
      </w:r>
    </w:p>
    <w:p>
      <w:pPr>
        <w:pStyle w:val="Normal"/>
        <w:rPr>
          <w:highlight w:val="none"/>
          <w:shd w:fill="auto" w:val="clear"/>
          <w14:ligatures w14:val="none"/>
        </w:rPr>
      </w:pPr>
      <w:r>
        <w:rPr>
          <w:shd w:fill="auto" w:val="clear"/>
          <w14:ligatures w14:val="none"/>
        </w:rPr>
        <w:t>F</w:t>
      </w:r>
      <w:r>
        <w:rPr>
          <w:shd w:fill="auto" w:val="clear"/>
          <w14:ligatures w14:val="none"/>
        </w:rPr>
        <w:t>eedback will be provided via optional conversations with me. These can be in-person, on Zoom, or through email. Because of the added inconvenience to you, I will make myself available at whatever time you require, if at all possible.</w:t>
      </w:r>
    </w:p>
    <w:p>
      <w:pPr>
        <w:pStyle w:val="SyllabusHeading2"/>
        <w:rPr/>
      </w:pPr>
      <w:r>
        <w:rPr/>
      </w:r>
    </w:p>
    <w:p>
      <w:pPr>
        <w:pStyle w:val="SyllabusHeading2"/>
        <w:rPr/>
      </w:pPr>
      <w:r>
        <w:rPr/>
        <w:t>Student Hours</w:t>
      </w:r>
    </w:p>
    <w:p>
      <w:pPr>
        <w:pStyle w:val="Normal"/>
        <w:rPr>
          <w:highlight w:val="none"/>
          <w:shd w:fill="auto" w:val="clear"/>
          <w14:ligatures w14:val="none"/>
        </w:rPr>
      </w:pPr>
      <w:r>
        <w:rPr>
          <w:shd w:fill="auto" w:val="clear"/>
          <w14:ligatures w14:val="none"/>
        </w:rPr>
        <w:t>You can walk into my office during my hours, but I encourage you to make an appointment to ensure you get time to meet with me. Feel free to use my office hours as often as you'd like to chat with me, review an assignment, or discuss any questions/concerns you have. It's been my experience that a quick conversation is the most effective way to resolve any confusion. </w:t>
      </w:r>
    </w:p>
    <w:p>
      <w:pPr>
        <w:pStyle w:val="SyllabusHeading2"/>
        <w:rPr/>
      </w:pPr>
      <w:r>
        <w:rPr/>
      </w:r>
    </w:p>
    <w:p>
      <w:pPr>
        <w:pStyle w:val="SyllabusHeading2"/>
        <w:rPr/>
      </w:pPr>
      <w:r>
        <w:rPr/>
        <w:t xml:space="preserve">Email </w:t>
      </w:r>
    </w:p>
    <w:p>
      <w:pPr>
        <w:pStyle w:val="Normal"/>
        <w:rPr>
          <w:highlight w:val="none"/>
          <w:shd w:fill="auto" w:val="clear"/>
          <w14:ligatures w14:val="none"/>
        </w:rPr>
      </w:pPr>
      <w:r>
        <w:rPr>
          <w:shd w:fill="auto" w:val="clear"/>
          <w14:ligatures w14:val="none"/>
        </w:rPr>
        <w:t>I will respond to all official correspondence addressed to my UNT email in person or via email within twenty four hours</w:t>
      </w:r>
      <w:r>
        <w:rPr>
          <w:i/>
          <w:iCs/>
          <w:shd w:fill="auto" w:val="clear"/>
          <w14:ligatures w14:val="none"/>
        </w:rPr>
        <w:t>.</w:t>
      </w:r>
      <w:r>
        <w:rPr>
          <w:b/>
          <w:bCs/>
          <w:i/>
          <w:iCs/>
          <w:shd w:fill="auto" w:val="clear"/>
          <w14:ligatures w14:val="none"/>
        </w:rPr>
        <w:t xml:space="preserve"> </w:t>
      </w:r>
      <w:r>
        <w:rPr>
          <w:shd w:fill="auto" w:val="clear"/>
          <w14:ligatures w14:val="none"/>
        </w:rPr>
        <w:t>All other communication methods—Canvas Messenger, assignment comments, personal emails, physical letters, etc.—</w:t>
      </w:r>
      <w:r>
        <w:rPr>
          <w:i/>
          <w:iCs/>
          <w:u w:val="single"/>
          <w:shd w:fill="auto" w:val="clear"/>
          <w14:ligatures w14:val="none"/>
        </w:rPr>
        <w:t>are</w:t>
      </w:r>
      <w:r>
        <w:rPr>
          <w:shd w:fill="auto" w:val="clear"/>
          <w14:ligatures w14:val="none"/>
        </w:rPr>
        <w:t xml:space="preserve"> </w:t>
      </w:r>
      <w:r>
        <w:rPr>
          <w:i/>
          <w:iCs/>
          <w:u w:val="single"/>
          <w:shd w:fill="auto" w:val="clear"/>
          <w14:ligatures w14:val="none"/>
        </w:rPr>
        <w:t>unreliable</w:t>
      </w:r>
      <w:r>
        <w:rPr>
          <w:shd w:fill="auto" w:val="clear"/>
          <w14:ligatures w14:val="none"/>
        </w:rPr>
        <w:t xml:space="preserve"> ways to contact me. I cannot guarantee that I will see your message on other platforms within any specific time frame, if ever. </w:t>
      </w:r>
    </w:p>
    <w:p>
      <w:pPr>
        <w:pStyle w:val="Normal"/>
        <w:rPr/>
      </w:pPr>
      <w:r>
        <w:rPr>
          <w:i/>
          <w:iCs/>
          <w:shd w:fill="auto" w:val="clear"/>
          <w14:ligatures w14:val="none"/>
        </w:rPr>
        <w:t>Please</w:t>
      </w:r>
      <w:r>
        <w:rPr>
          <w:shd w:fill="auto" w:val="clear"/>
          <w14:ligatures w14:val="none"/>
        </w:rPr>
        <w:t xml:space="preserve"> check the syllabus and related assignment sheets before emailing me, and in your email, indicate where you looked for the information you are seeking before you emailed me. If you find that something is unclear, I can fix it. Additionally, when you write to me, please include the subject of your email in the subject line and write your email with appropriate salutations and grammar. For a sample email, read this article, “</w:t>
      </w:r>
      <w:hyperlink r:id="rId7">
        <w:r>
          <w:rPr>
            <w:rStyle w:val="Hyperlink"/>
            <w:shd w:fill="auto" w:val="clear"/>
            <w14:ligatures w14:val="none"/>
          </w:rPr>
          <w:t>How to Email Your Professor</w:t>
        </w:r>
      </w:hyperlink>
      <w:r>
        <w:rPr>
          <w:shd w:fill="auto" w:val="clear"/>
          <w14:ligatures w14:val="none"/>
        </w:rPr>
        <w:t xml:space="preserve">.” Or, for a checklist on effective email communication between yourself and instructors, see </w:t>
      </w:r>
      <w:hyperlink r:id="rId8">
        <w:r>
          <w:rPr>
            <w:rStyle w:val="Hyperlink"/>
            <w:shd w:fill="auto" w:val="clear"/>
            <w14:ligatures w14:val="none"/>
          </w:rPr>
          <w:t>https://www.wikihow.com/Email-a-Professor.</w:t>
        </w:r>
      </w:hyperlink>
      <w:r>
        <w:rPr>
          <w:shd w:fill="auto" w:val="clear"/>
          <w14:ligatures w14:val="none"/>
        </w:rPr>
        <w:t xml:space="preserve"> </w:t>
      </w:r>
    </w:p>
    <w:p>
      <w:pPr>
        <w:pStyle w:val="Normal"/>
        <w:rPr>
          <w:highlight w:val="none"/>
          <w:shd w:fill="auto" w:val="clear"/>
          <w14:ligatures w14:val="none"/>
        </w:rPr>
      </w:pPr>
      <w:r>
        <w:rPr>
          <w:shd w:fill="auto" w:val="clear"/>
          <w14:ligatures w14:val="none"/>
        </w:rPr>
        <w:t>It is your responsibility to check your UNT email during your ‘business’ hours each day to ensure you do not miss any time-sensitive information.</w:t>
      </w:r>
    </w:p>
    <w:p>
      <w:pPr>
        <w:pStyle w:val="SyllabusHeading2"/>
        <w:rPr/>
      </w:pPr>
      <w:r>
        <w:rPr/>
      </w:r>
    </w:p>
    <w:p>
      <w:pPr>
        <w:pStyle w:val="SyllabusHeading2"/>
        <w:rPr/>
      </w:pPr>
      <w:r>
        <w:rPr/>
        <w:t>Public Writing</w:t>
      </w:r>
    </w:p>
    <w:p>
      <w:pPr>
        <w:pStyle w:val="Normal"/>
        <w:rPr/>
      </w:pPr>
      <w:r>
        <w:rPr/>
        <w:t>All submissions for this course, including but not limited to pre-writing, drafts, in-class assignments, and final projects, are public, i.e., any writing submitted for this course may be viewed by me or classmates. Do not submit any information that you are unwilling to share.</w:t>
      </w:r>
    </w:p>
    <w:p>
      <w:pPr>
        <w:pStyle w:val="SyllabusHeading2"/>
        <w:rPr/>
      </w:pPr>
      <w:r>
        <w:rPr/>
      </w:r>
    </w:p>
    <w:p>
      <w:pPr>
        <w:pStyle w:val="SyllabusHeading2"/>
        <w:rPr/>
      </w:pPr>
      <w:r>
        <w:rPr/>
        <w:t>Syllabus Change Policy</w:t>
      </w:r>
    </w:p>
    <w:p>
      <w:pPr>
        <w:pStyle w:val="Normal"/>
        <w:rPr>
          <w:bCs/>
        </w:rPr>
      </w:pPr>
      <w:r>
        <w:rPr>
          <w:bCs/>
        </w:rPr>
        <w:t>I have made every attempt to provide an accurate syllabus for this course. However, if presently unanticipated circumstances arise that necessitate an amendment to the syllabus, advance notice will be given in writing via email of all changes, and I will provide an updated hard copy with the changes.</w:t>
      </w:r>
    </w:p>
    <w:p>
      <w:pPr>
        <w:pStyle w:val="Scheduleheadings"/>
        <w:rPr/>
      </w:pPr>
      <w:r>
        <w:rPr/>
      </w:r>
    </w:p>
    <w:p>
      <w:pPr>
        <w:pStyle w:val="Scheduleheadings"/>
        <w:rPr/>
      </w:pPr>
      <w:r>
        <w:rPr/>
        <w:t>Attendance</w:t>
      </w:r>
    </w:p>
    <w:p>
      <w:pPr>
        <w:pStyle w:val="SyllabusHeading2"/>
        <w:rPr>
          <w:b w:val="false"/>
          <w:bCs w:val="false"/>
          <w:color w:val="auto"/>
        </w:rPr>
      </w:pPr>
      <w:r>
        <w:rPr>
          <w:b w:val="false"/>
          <w:bCs w:val="false"/>
          <w:color w:val="auto"/>
        </w:rPr>
        <w:t>Attendance Policy (</w:t>
      </w:r>
      <w:hyperlink r:id="rId9">
        <w:r>
          <w:rPr>
            <w:rStyle w:val="Hyperlink"/>
            <w:b w:val="false"/>
            <w:bCs w:val="false"/>
          </w:rPr>
          <w:t>UNT Policy 06.039</w:t>
        </w:r>
      </w:hyperlink>
      <w:r>
        <w:rPr>
          <w:b w:val="false"/>
          <w:bCs w:val="false"/>
          <w:color w:val="auto"/>
        </w:rPr>
        <w:t>)</w:t>
      </w:r>
    </w:p>
    <w:p>
      <w:pPr>
        <w:pStyle w:val="SyllabusHeading2"/>
        <w:rPr>
          <w:b w:val="false"/>
          <w:bCs w:val="false"/>
          <w:color w:val="auto"/>
        </w:rPr>
      </w:pPr>
      <w:r>
        <w:rPr>
          <w:b w:val="false"/>
          <w:bCs w:val="false"/>
          <w:color w:val="auto"/>
        </w:rPr>
        <w:t>Regular class attendance and participation are required. Excessive absences will affect your grade. Documented absences (e.g., religious holidays, university events) are automatically excused. Illness or undocumented absences are unexcused unless your instructor decides otherwise. Email your instructor within 24 hours of an absence for them to consider excusing it.</w:t>
      </w:r>
    </w:p>
    <w:p>
      <w:pPr>
        <w:pStyle w:val="SyllabusHeading2"/>
        <w:rPr>
          <w:highlight w:val="none"/>
          <w:shd w:fill="auto" w:val="clear"/>
        </w:rPr>
      </w:pPr>
      <w:r>
        <w:rPr>
          <w:shd w:fill="auto" w:val="clear"/>
        </w:rPr>
        <w:t>FYW Program Attendance Guidelines:</w:t>
      </w:r>
    </w:p>
    <w:p>
      <w:pPr>
        <w:pStyle w:val="SyllabusList"/>
        <w:numPr>
          <w:ilvl w:val="0"/>
          <w:numId w:val="1"/>
        </w:numPr>
        <w:rPr>
          <w:highlight w:val="none"/>
          <w:shd w:fill="auto" w:val="clear"/>
        </w:rPr>
      </w:pPr>
      <w:r>
        <w:rPr>
          <w:shd w:fill="auto" w:val="clear"/>
        </w:rPr>
        <w:t>Per university policy, missing more than 20% of classes results in automatic failure, regardless of assignment grades.</w:t>
      </w:r>
    </w:p>
    <w:p>
      <w:pPr>
        <w:pStyle w:val="SyllabusList"/>
        <w:numPr>
          <w:ilvl w:val="0"/>
          <w:numId w:val="1"/>
        </w:numPr>
        <w:rPr>
          <w:highlight w:val="none"/>
          <w:shd w:fill="auto" w:val="clear"/>
        </w:rPr>
      </w:pPr>
      <w:r>
        <w:rPr>
          <w:shd w:fill="auto" w:val="clear"/>
        </w:rPr>
        <w:t>Attendance will be taken during every class period.</w:t>
      </w:r>
    </w:p>
    <w:p>
      <w:pPr>
        <w:pStyle w:val="SyllabusList"/>
        <w:numPr>
          <w:ilvl w:val="0"/>
          <w:numId w:val="1"/>
        </w:numPr>
        <w:rPr>
          <w:highlight w:val="none"/>
          <w:shd w:fill="auto" w:val="clear"/>
        </w:rPr>
      </w:pPr>
      <w:r>
        <w:rPr>
          <w:shd w:fill="auto" w:val="clear"/>
        </w:rPr>
        <w:t>With every absence, your roll call grade will drop.</w:t>
      </w:r>
    </w:p>
    <w:p>
      <w:pPr>
        <w:pStyle w:val="SyllabusList"/>
        <w:numPr>
          <w:ilvl w:val="0"/>
          <w:numId w:val="1"/>
        </w:numPr>
        <w:rPr>
          <w:highlight w:val="none"/>
          <w:shd w:fill="auto" w:val="clear"/>
        </w:rPr>
      </w:pPr>
      <w:r>
        <w:rPr>
          <w:shd w:fill="auto" w:val="clear"/>
        </w:rPr>
        <w:t>Two tardies equal one absence.</w:t>
      </w:r>
    </w:p>
    <w:p>
      <w:pPr>
        <w:pStyle w:val="SyllabusList"/>
        <w:numPr>
          <w:ilvl w:val="0"/>
          <w:numId w:val="1"/>
        </w:numPr>
        <w:rPr>
          <w:highlight w:val="none"/>
          <w:shd w:fill="auto" w:val="clear"/>
        </w:rPr>
      </w:pPr>
      <w:r>
        <w:rPr>
          <w:shd w:fill="auto" w:val="clear"/>
        </w:rPr>
        <w:t>At 7 unexcused absences, you cannot pass the course.</w:t>
      </w:r>
    </w:p>
    <w:p>
      <w:pPr>
        <w:pStyle w:val="SyllabusList"/>
        <w:numPr>
          <w:ilvl w:val="0"/>
          <w:numId w:val="1"/>
        </w:numPr>
        <w:rPr>
          <w:highlight w:val="none"/>
          <w:shd w:fill="auto" w:val="clear"/>
        </w:rPr>
      </w:pPr>
      <w:r>
        <w:rPr>
          <w:shd w:fill="auto" w:val="clear"/>
        </w:rPr>
        <w:t>Excused absences are at your instructor’s discretion—stay in communication.</w:t>
      </w:r>
    </w:p>
    <w:p>
      <w:pPr>
        <w:pStyle w:val="SyllabusHeading2"/>
        <w:rPr/>
      </w:pPr>
      <w:r>
        <w:rPr/>
        <w:t>Excused Absences</w:t>
      </w:r>
    </w:p>
    <w:p>
      <w:pPr>
        <w:pStyle w:val="Normal"/>
        <w:rPr/>
      </w:pPr>
      <w:r>
        <w:rPr/>
        <w:t xml:space="preserve">Absences for the following reasons are considered excusable by the university based on </w:t>
      </w:r>
      <w:hyperlink r:id="rId10">
        <w:r>
          <w:rPr>
            <w:rStyle w:val="Hyperlink"/>
          </w:rPr>
          <w:t>UNT policy 6.039</w:t>
        </w:r>
      </w:hyperlink>
      <w:r>
        <w:rPr/>
        <w:t xml:space="preserve">, but you must obtain a note from the </w:t>
      </w:r>
      <w:hyperlink r:id="rId11">
        <w:r>
          <w:rPr>
            <w:rStyle w:val="Hyperlink"/>
          </w:rPr>
          <w:t>Dean of Students</w:t>
        </w:r>
      </w:hyperlink>
      <w:r>
        <w:rPr/>
        <w:t xml:space="preserve"> (or other appropriate university offices) to verify your absence(s): (1) religious holy day, including travel for that purpose; (2) participation in an official university function; (3) active military service, including travel for that purpose; (4) pregnancy and parenting under Title IX; and (6) when the University is officially closed. If possible, please inform me of any planned absences wit</w:t>
      </w:r>
      <w:r>
        <w:rPr>
          <w:shd w:fill="auto" w:val="clear"/>
          <w14:ligatures w14:val="none"/>
        </w:rPr>
        <w:t>h at least two days’</w:t>
      </w:r>
      <w:r>
        <w:rPr/>
        <w:t xml:space="preserve"> notice to minimize any potential negative impact on your grades.</w:t>
      </w:r>
    </w:p>
    <w:p>
      <w:pPr>
        <w:pStyle w:val="Normal"/>
        <w:rPr/>
      </w:pPr>
      <w:r>
        <w:rPr/>
        <w:t xml:space="preserve">No other absences are eligible to be excused. Unless the absence is an illness or an extenuating circumstance that </w:t>
      </w:r>
      <w:r>
        <w:rPr>
          <w:i/>
          <w:iCs/>
        </w:rPr>
        <w:t>exceeds</w:t>
      </w:r>
      <w:r>
        <w:rPr/>
        <w:t xml:space="preserve"> five consecutive days, you may request documentation from the Dean of Students’ office for an excuse. Examples include, but are not limited to: (1) temporary disability or injury; (2) extended medical absence or hospitalization; (3) illness of a dependent family member; or (4) major illness or death of a loved one. </w:t>
      </w:r>
    </w:p>
    <w:p>
      <w:pPr>
        <w:pStyle w:val="SyllabusHeading2"/>
        <w:rPr/>
      </w:pPr>
      <w:r>
        <w:rPr/>
        <w:t xml:space="preserve">If you miss a class: </w:t>
      </w:r>
    </w:p>
    <w:p>
      <w:pPr>
        <w:pStyle w:val="Normal"/>
        <w:rPr>
          <w:highlight w:val="none"/>
          <w:shd w:fill="auto" w:val="clear"/>
          <w14:ligatures w14:val="none"/>
        </w:rPr>
      </w:pPr>
      <w:r>
        <w:rPr>
          <w:shd w:fill="auto" w:val="clear"/>
          <w14:ligatures w14:val="none"/>
        </w:rPr>
        <w:t xml:space="preserve">You are responsible for finding out what you missed. </w:t>
      </w:r>
      <w:r>
        <w:rPr>
          <w:i/>
          <w:iCs/>
          <w:shd w:fill="auto" w:val="clear"/>
          <w14:ligatures w14:val="none"/>
        </w:rPr>
        <w:t>Before</w:t>
      </w:r>
      <w:r>
        <w:rPr>
          <w:shd w:fill="auto" w:val="clear"/>
          <w14:ligatures w14:val="none"/>
        </w:rPr>
        <w:t xml:space="preserve"> the next time our class meets, review the Canvas page and ask a classmate for notes on what you missed, or make an appointment to meet with me during office hours, or if needed, email me to ensure you are on track and prepared for the next class. </w:t>
      </w:r>
    </w:p>
    <w:p>
      <w:pPr>
        <w:pStyle w:val="SyllabusHeading2"/>
        <w:rPr/>
      </w:pPr>
      <w:r>
        <w:rPr/>
        <w:t>If you miss an assignment:</w:t>
      </w:r>
    </w:p>
    <w:p>
      <w:pPr>
        <w:pStyle w:val="Normal"/>
        <w:rPr>
          <w:highlight w:val="none"/>
          <w:shd w:fill="auto" w:val="clear"/>
          <w14:ligatures w14:val="none"/>
        </w:rPr>
      </w:pPr>
      <w:r>
        <w:rPr>
          <w:shd w:fill="auto" w:val="clear"/>
          <w14:ligatures w14:val="none"/>
        </w:rPr>
        <w:t xml:space="preserve">Only assignments missed due to an excusable absence can be made up. For excused absences that resulted in missing in-class assignments, it is your responsibility to 1) turn in all necessary documentation regarding the absence and 2) </w:t>
      </w:r>
      <w:r>
        <w:rPr>
          <w:i/>
          <w:iCs/>
          <w:shd w:fill="auto" w:val="clear"/>
          <w14:ligatures w14:val="none"/>
        </w:rPr>
        <w:t>schedule</w:t>
      </w:r>
      <w:r>
        <w:rPr>
          <w:shd w:fill="auto" w:val="clear"/>
          <w14:ligatures w14:val="none"/>
        </w:rPr>
        <w:t xml:space="preserve"> a time to make up the missing work </w:t>
      </w:r>
      <w:r>
        <w:rPr>
          <w:i/>
          <w:iCs/>
          <w:shd w:fill="auto" w:val="clear"/>
          <w14:ligatures w14:val="none"/>
        </w:rPr>
        <w:t>within two weeks of missing the assignment.</w:t>
      </w:r>
    </w:p>
    <w:p>
      <w:pPr>
        <w:pStyle w:val="Scheduleheadings"/>
        <w:rPr/>
      </w:pPr>
      <w:r>
        <w:rPr/>
      </w:r>
    </w:p>
    <w:p>
      <w:pPr>
        <w:pStyle w:val="Scheduleheadings"/>
        <w:rPr/>
      </w:pPr>
      <w:r>
        <w:rPr/>
        <w:t>Late Work</w:t>
      </w:r>
    </w:p>
    <w:p>
      <w:pPr>
        <w:pStyle w:val="Normal"/>
        <w:rPr/>
      </w:pPr>
      <w:r>
        <w:rPr/>
        <w:t xml:space="preserve">All regular assignments have a 24-hour grace period following the due date during which said assignments may be submitted without penalty. I will take these assignments for one week past the due date for partial credit. After that however, I will refuse to take those assignments, barring some catastrophe that prevented your submitting the assignment. Major assignments, given their high stakes, I will take at any point in the semester. </w:t>
      </w:r>
      <w:r>
        <w:rPr>
          <w:b/>
          <w:bCs/>
        </w:rPr>
        <w:t>However</w:t>
      </w:r>
      <w:r>
        <w:rPr>
          <w:b w:val="false"/>
          <w:bCs w:val="false"/>
        </w:rPr>
        <w:t>,</w:t>
      </w:r>
      <w:r>
        <w:rPr>
          <w:b/>
          <w:bCs/>
          <w:i/>
          <w:iCs/>
        </w:rPr>
        <w:t xml:space="preserve"> </w:t>
      </w:r>
      <w:r>
        <w:rPr>
          <w:b w:val="false"/>
          <w:bCs w:val="false"/>
          <w:i w:val="false"/>
          <w:iCs w:val="false"/>
        </w:rPr>
        <w:t>students that leave these assignments to the last moment have a much higher risk of failing. Make use of this policy wisely.</w:t>
      </w:r>
    </w:p>
    <w:p>
      <w:pPr>
        <w:pStyle w:val="Normal"/>
        <w:rPr>
          <w:highlight w:val="none"/>
          <w:shd w:fill="auto" w:val="clear"/>
          <w14:ligatures w14:val="none"/>
        </w:rPr>
      </w:pPr>
      <w:r>
        <w:rPr>
          <w:shd w:fill="auto" w:val="clear"/>
          <w14:ligatures w14:val="none"/>
        </w:rPr>
        <w:t>Note that unreadable documents, e.g., inaccessible, unopenable, partially complete, incorrect files, etc., will be considered as a non-submission and thus late if the deadline has passed. It is your responsibility to plan on submitting with ample time to check the submission quality and viewability of your submission on Canvas. Additionally, showing “last edited date” metadata does not qualify to remove the penalization based on any technological ‘catastrophe’ that impeded your submission.</w:t>
      </w:r>
    </w:p>
    <w:p>
      <w:pPr>
        <w:pStyle w:val="Normal"/>
        <w:spacing w:lineRule="auto" w:line="480" w:before="0" w:after="0"/>
        <w:jc w:val="left"/>
        <w:rPr>
          <w:b/>
          <w:caps/>
          <w:color w:val="008000"/>
          <w:sz w:val="32"/>
          <w:szCs w:val="32"/>
        </w:rPr>
      </w:pPr>
      <w:r>
        <w:rPr>
          <w:b/>
          <w:caps/>
          <w:color w:val="008000"/>
          <w:sz w:val="32"/>
          <w:szCs w:val="32"/>
        </w:rPr>
      </w:r>
      <w:r>
        <w:br w:type="page"/>
      </w:r>
    </w:p>
    <w:p>
      <w:pPr>
        <w:pStyle w:val="Scheduleheadings"/>
        <w:spacing w:before="0" w:after="120"/>
        <w:rPr/>
      </w:pPr>
      <w:r>
        <w:rPr/>
        <w:t>UNT Policies</w:t>
      </w:r>
    </w:p>
    <w:p>
      <w:pPr>
        <w:pStyle w:val="SyllabusHeading2"/>
        <w:rPr/>
      </w:pPr>
      <w:r>
        <w:rPr/>
        <w:t>Academic Integrity Standards</w:t>
      </w:r>
    </w:p>
    <w:p>
      <w:pPr>
        <w:pStyle w:val="Normal"/>
        <w:rPr/>
      </w:pPr>
      <w:r>
        <w:rPr/>
        <w:t xml:space="preserve">According to </w:t>
      </w:r>
      <w:hyperlink r:id="rId12">
        <w:r>
          <w:rPr>
            <w:rStyle w:val="Hyperlink"/>
          </w:rPr>
          <w:t>UNT Policy 06.003</w:t>
        </w:r>
      </w:hyperlink>
      <w:r>
        <w:rPr/>
        <w:t xml:space="preserve">, Academic Integrity standards are violated when students engage in academic dishonesty behaviors, including, but not limited to, cheating, fabrication, facilitating academic dishonesty, forgery, plagiarism, and sabotage. A finding of academic dishonesty and my decision on academic sanctions will be reported to the </w:t>
      </w:r>
      <w:hyperlink r:id="rId13">
        <w:r>
          <w:rPr>
            <w:rStyle w:val="Hyperlink"/>
          </w:rPr>
          <w:t>Office of Academic Integrity</w:t>
        </w:r>
      </w:hyperlink>
      <w:r>
        <w:rPr/>
        <w:t xml:space="preserve">. </w:t>
      </w:r>
    </w:p>
    <w:p>
      <w:pPr>
        <w:pStyle w:val="Normal"/>
        <w:rPr/>
      </w:pPr>
      <w:r>
        <w:rPr/>
        <w:t xml:space="preserve">Plagiarism can include copying a passage from a source verbatim without citing it, but it can also include improper or misleading citations. Please note that all source material must be acknowledged, even if the material is paraphrased or sourced from generative AI technologies. Be careful always to acknowledge the work of other writers and take the time to work out the distinction between your original thoughts and arguments and those of others.  </w:t>
      </w:r>
    </w:p>
    <w:p>
      <w:pPr>
        <w:pStyle w:val="Normal"/>
        <w:rPr/>
      </w:pPr>
      <w:r>
        <w:rPr>
          <w:b/>
          <w:bCs/>
          <w:highlight w:val="yellow"/>
        </w:rPr>
        <w:t>Additionally, the use of any AI writing tools (including grammar checkers) is prohibited in this class.</w:t>
      </w:r>
      <w:r>
        <w:rPr>
          <w:highlight w:val="yellow"/>
        </w:rPr>
        <w:t xml:space="preserve"> Assignments for the course have been designed to help you develop as a thinker, reader, and writer without using these technologies. You will generate ideas, read, revise, and write independently or when appropriate in consultation with peers, UNT Writing Center tutors, and me. </w:t>
      </w:r>
      <w:r>
        <w:rPr>
          <w:i/>
          <w:iCs/>
          <w:highlight w:val="yellow"/>
        </w:rPr>
        <w:t>Any</w:t>
      </w:r>
      <w:r>
        <w:rPr>
          <w:highlight w:val="yellow"/>
        </w:rPr>
        <w:t xml:space="preserve"> use of AI in your work for this class violates our syllabus and thus will be treated as an instance of cheating. Ignorance of the AI tools in your chosen digital writing technologies, whatever they may be, is not sufficient to excuse the violation. If you are unsure about a digital writing tool (even automatically integrated ones), don’t use it for this class.</w:t>
      </w:r>
    </w:p>
    <w:p>
      <w:pPr>
        <w:pStyle w:val="SyllabusHeading2"/>
        <w:rPr/>
      </w:pPr>
      <w:r>
        <w:rPr/>
        <w:t>Acceptable Student Behavior</w:t>
      </w:r>
    </w:p>
    <w:p>
      <w:pPr>
        <w:pStyle w:val="Normal"/>
        <w:rPr>
          <w:bCs/>
        </w:rPr>
      </w:pPr>
      <w:r>
        <w:rPr>
          <w:bCs/>
        </w:rPr>
        <w:t xml:space="preserve"> </w:t>
      </w:r>
      <w:r>
        <w:rPr>
          <w:bCs/>
        </w:rPr>
        <w:t xml:space="preserve">According to </w:t>
      </w:r>
      <w:hyperlink r:id="rId14">
        <w:r>
          <w:rPr>
            <w:rStyle w:val="Hyperlink"/>
            <w:bCs/>
          </w:rPr>
          <w:t>UNT policy 07.012</w:t>
        </w:r>
      </w:hyperlink>
      <w:r>
        <w:rPr>
          <w:bCs/>
        </w:rPr>
        <w:t xml:space="preserve">, student behavior that interferes with an instructor’s ability to conduct a class or other students' opportunity to learn is unacceptable and disruptive and will not be tolerated in any instructional forum at UNT. Students engaging in unacceptable behavior will be notified verbally or in writing and may be directed to leave the classroom. Additionally, the instructor may refer the student to the Dean of Students to consider whether the student's conduct violated the Code of Student Conduct. </w:t>
      </w:r>
    </w:p>
    <w:p>
      <w:pPr>
        <w:pStyle w:val="Normal"/>
        <w:rPr>
          <w:bCs/>
        </w:rPr>
      </w:pPr>
      <w:r>
        <w:rPr>
          <w:bCs/>
        </w:rPr>
        <w:t xml:space="preserve">For additional information, refer to the </w:t>
      </w:r>
      <w:hyperlink r:id="rId15">
        <w:r>
          <w:rPr>
            <w:rStyle w:val="Hyperlink"/>
            <w:bCs/>
          </w:rPr>
          <w:t>Dean of Students</w:t>
        </w:r>
      </w:hyperlink>
      <w:r>
        <w:rPr>
          <w:bCs/>
        </w:rPr>
        <w:t xml:space="preserve"> website. </w:t>
      </w:r>
    </w:p>
    <w:p>
      <w:pPr>
        <w:pStyle w:val="SyllabusHeading2"/>
        <w:rPr/>
      </w:pPr>
      <w:r>
        <w:rPr/>
        <w:t>ADA Accommodations</w:t>
      </w:r>
    </w:p>
    <w:p>
      <w:pPr>
        <w:pStyle w:val="Normal"/>
        <w:rPr>
          <w:bCs/>
        </w:rPr>
      </w:pPr>
      <w:r>
        <w:rPr>
          <w:bCs/>
        </w:rPr>
        <w:t xml:space="preserve">According to UNT policy 16.001, UNT will make reasonable academic accommodations for students with disabilities. Students seeking reasonable </w:t>
      </w:r>
      <w:r>
        <w:rPr>
          <w:bCs/>
        </w:rPr>
        <w:t>a</w:t>
      </w:r>
      <w:r>
        <w:rPr>
          <w:bCs/>
        </w:rPr>
        <w:t xml:space="preserve">ccommodation must first register with the Office of Disability Access (ODA). Then, the ODA will provide them with a reasonable accommodation letter to be delivered to faculty members detailing the students' accommodation needs. Faculty members have the authority to ask students to discuss such letters during their designated office hours. Students may request reasonable accommodation at any time; however, ODA notices of reasonable accommodation should be provided as early as possible in the semester to avoid any delay in implementation. Note that students must obtain a new letter of accommodation and meet with all faculty members prior to accommodation implementation every semester. </w:t>
      </w:r>
    </w:p>
    <w:p>
      <w:pPr>
        <w:pStyle w:val="Normal"/>
        <w:rPr>
          <w:bCs/>
        </w:rPr>
      </w:pPr>
      <w:r>
        <w:rPr>
          <w:bCs/>
        </w:rPr>
        <w:t>For additional information, refer to the Office of Disability Access website.</w:t>
      </w:r>
    </w:p>
    <w:p>
      <w:pPr>
        <w:pStyle w:val="SyllabusHeading2"/>
        <w:rPr/>
      </w:pPr>
      <w:r>
        <w:rPr/>
        <w:t>Emergency Notification &amp; Procedures</w:t>
      </w:r>
    </w:p>
    <w:p>
      <w:pPr>
        <w:pStyle w:val="Normal"/>
        <w:rPr>
          <w:bCs/>
        </w:rPr>
      </w:pPr>
      <w:r>
        <w:rPr>
          <w:bCs/>
        </w:rPr>
        <w:t>UNT uses a system called Eagle Alert to quickly provide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pPr>
        <w:pStyle w:val="Normal"/>
        <w:rPr>
          <w:bCs/>
        </w:rPr>
      </w:pPr>
      <w:r>
        <w:rPr>
          <w:bCs/>
        </w:rPr>
        <w:t>For additional information, refer to the Eagle Alert website.</w:t>
      </w:r>
    </w:p>
    <w:p>
      <w:pPr>
        <w:pStyle w:val="Scheduleheadings"/>
        <w:rPr/>
      </w:pPr>
      <w:r>
        <w:rPr/>
        <w:t xml:space="preserve">UNT Resources </w:t>
      </w:r>
    </w:p>
    <w:p>
      <w:pPr>
        <w:pStyle w:val="SyllabusHeading2"/>
        <w:rPr/>
      </w:pPr>
      <w:r>
        <w:rPr/>
        <w:t xml:space="preserve">Technical Assistance: </w:t>
      </w:r>
    </w:p>
    <w:p>
      <w:pPr>
        <w:pStyle w:val="Normal"/>
        <w:spacing w:before="0" w:after="0"/>
        <w:rPr/>
      </w:pPr>
      <w:hyperlink r:id="rId16">
        <w:r>
          <w:rPr>
            <w:rStyle w:val="Hyperlink"/>
          </w:rPr>
          <w:t>Information Technology Help Desk | University of North Texas</w:t>
        </w:r>
      </w:hyperlink>
      <w:r>
        <w:rPr/>
        <w:t xml:space="preserve">   </w:t>
      </w:r>
    </w:p>
    <w:p>
      <w:pPr>
        <w:pStyle w:val="Normal"/>
        <w:spacing w:before="0" w:after="0"/>
        <w:rPr/>
      </w:pPr>
      <w:r>
        <w:rPr/>
        <w:t>Email: helpdesk@unt.edu</w:t>
      </w:r>
    </w:p>
    <w:p>
      <w:pPr>
        <w:pStyle w:val="Normal"/>
        <w:spacing w:before="0" w:after="0"/>
        <w:rPr/>
      </w:pPr>
      <w:r>
        <w:rPr/>
        <w:t>Phone: 940-565-2324</w:t>
      </w:r>
    </w:p>
    <w:p>
      <w:pPr>
        <w:pStyle w:val="Normal"/>
        <w:spacing w:before="0" w:after="0"/>
        <w:rPr/>
      </w:pPr>
      <w:r>
        <w:rPr/>
        <w:t>In Person: Sage Hall, Room 130</w:t>
      </w:r>
    </w:p>
    <w:p>
      <w:pPr>
        <w:pStyle w:val="Normal"/>
        <w:spacing w:before="0" w:after="0"/>
        <w:rPr/>
      </w:pPr>
      <w:r>
        <w:rPr/>
      </w:r>
    </w:p>
    <w:p>
      <w:pPr>
        <w:pStyle w:val="SyllabusHeading2"/>
        <w:rPr/>
      </w:pPr>
      <w:r>
        <w:rPr/>
        <w:t xml:space="preserve">Writing Assistance: </w:t>
      </w:r>
    </w:p>
    <w:p>
      <w:pPr>
        <w:pStyle w:val="Normal"/>
        <w:spacing w:before="0" w:after="0"/>
        <w:rPr/>
      </w:pPr>
      <w:hyperlink r:id="rId17">
        <w:r>
          <w:rPr>
            <w:rStyle w:val="Hyperlink"/>
          </w:rPr>
          <w:t>Writing Center | University of North Texas</w:t>
        </w:r>
      </w:hyperlink>
    </w:p>
    <w:p>
      <w:pPr>
        <w:pStyle w:val="Normal"/>
        <w:spacing w:before="0" w:after="0"/>
        <w:rPr/>
      </w:pPr>
      <w:r>
        <w:rPr/>
        <w:t>Email:WritingCenter@unt.edu </w:t>
      </w:r>
    </w:p>
    <w:p>
      <w:pPr>
        <w:pStyle w:val="Normal"/>
        <w:spacing w:before="0" w:after="0"/>
        <w:rPr/>
      </w:pPr>
      <w:r>
        <w:rPr/>
        <w:t>Phone: 940-565-2563</w:t>
      </w:r>
    </w:p>
    <w:p>
      <w:pPr>
        <w:pStyle w:val="Normal"/>
        <w:rPr/>
      </w:pPr>
      <w:r>
        <w:rPr/>
        <w:t>In Person: Sage Hall, Room 150</w:t>
      </w:r>
    </w:p>
    <w:p>
      <w:pPr>
        <w:pStyle w:val="Normal"/>
        <w:rPr>
          <w:bCs/>
        </w:rPr>
      </w:pPr>
      <w:r>
        <w:rPr>
          <w:bCs/>
        </w:rPr>
      </w:r>
    </w:p>
    <w:p>
      <w:pPr>
        <w:pStyle w:val="Normal"/>
        <w:spacing w:lineRule="auto" w:line="480" w:before="0" w:after="0"/>
        <w:jc w:val="left"/>
        <w:rPr/>
      </w:pPr>
      <w:r>
        <w:rPr/>
      </w:r>
      <w:r>
        <w:br w:type="page"/>
      </w:r>
    </w:p>
    <w:tbl>
      <w:tblPr>
        <w:tblStyle w:val="TableGrid"/>
        <w:tblpPr w:vertAnchor="page" w:horzAnchor="margin" w:leftFromText="180" w:rightFromText="180" w:tblpX="0" w:tblpY="1097"/>
        <w:tblW w:w="9350"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1345"/>
        <w:gridCol w:w="1800"/>
        <w:gridCol w:w="2790"/>
        <w:gridCol w:w="3414"/>
      </w:tblGrid>
      <w:tr>
        <w:trPr>
          <w:trHeight w:val="720" w:hRule="atLeast"/>
        </w:trPr>
        <w:tc>
          <w:tcPr>
            <w:tcW w:w="9349" w:type="dxa"/>
            <w:gridSpan w:val="4"/>
            <w:tcBorders>
              <w:top w:val="single" w:sz="4" w:space="0" w:color="196B24"/>
              <w:left w:val="single" w:sz="4" w:space="0" w:color="196B24"/>
              <w:bottom w:val="single" w:sz="2" w:space="0" w:color="196B24"/>
              <w:right w:val="single" w:sz="4" w:space="0" w:color="196B24"/>
            </w:tcBorders>
            <w:shd w:color="auto" w:fill="4EA72E" w:themeFill="accent6" w:val="clear"/>
            <w:vAlign w:val="center"/>
          </w:tcPr>
          <w:p>
            <w:pPr>
              <w:pStyle w:val="Normal"/>
              <w:widowControl/>
              <w:suppressAutoHyphens w:val="true"/>
              <w:spacing w:before="0" w:after="0"/>
              <w:jc w:val="center"/>
              <w:rPr>
                <w:b/>
                <w:bCs/>
                <w:color w:themeColor="background1" w:val="FFFFFF"/>
                <w:sz w:val="36"/>
                <w:szCs w:val="36"/>
              </w:rPr>
            </w:pPr>
            <w:r>
              <w:rPr>
                <w:rFonts w:eastAsia="游明朝"/>
                <w:b/>
                <w:bCs/>
                <w:color w:themeColor="background1" w:val="FFFFFF"/>
                <w:sz w:val="36"/>
                <w:szCs w:val="36"/>
                <w:lang w:val="en-US" w:eastAsia="en-US" w:bidi="ar-SA"/>
              </w:rPr>
              <w:t>English 1310 Weekly Schedule |Fall 2026</w:t>
            </w:r>
          </w:p>
          <w:p>
            <w:pPr>
              <w:pStyle w:val="Normal"/>
              <w:widowControl/>
              <w:suppressAutoHyphens w:val="true"/>
              <w:spacing w:before="0" w:after="0"/>
              <w:contextualSpacing/>
              <w:jc w:val="center"/>
              <w:rPr>
                <w:color w:themeColor="background1" w:val="FFFFFF"/>
                <w:sz w:val="22"/>
                <w:szCs w:val="28"/>
              </w:rPr>
            </w:pPr>
            <w:r>
              <w:rPr>
                <w:rFonts w:eastAsia="游明朝"/>
                <w:color w:themeColor="background1" w:val="FFFFFF"/>
                <w:sz w:val="16"/>
                <w:szCs w:val="20"/>
                <w:lang w:val="en-US" w:eastAsia="en-US" w:bidi="ar-SA"/>
              </w:rPr>
              <w:t>*This schedule is subject to change at your instructor’s discretion. Always check the “announcements” in Canvas for any changes.</w:t>
            </w:r>
          </w:p>
        </w:tc>
      </w:tr>
      <w:tr>
        <w:trPr>
          <w:trHeight w:val="288" w:hRule="atLeast"/>
        </w:trPr>
        <w:tc>
          <w:tcPr>
            <w:tcW w:w="1345" w:type="dxa"/>
            <w:tcBorders>
              <w:top w:val="single" w:sz="2" w:space="0" w:color="196B24"/>
              <w:bottom w:val="nil"/>
              <w:right w:val="nil"/>
            </w:tcBorders>
            <w:shd w:color="auto" w:fill="275317" w:themeFill="accent6" w:themeFillShade="80" w:val="clear"/>
            <w:vAlign w:val="center"/>
          </w:tcPr>
          <w:p>
            <w:pPr>
              <w:pStyle w:val="Normal"/>
              <w:widowControl/>
              <w:suppressAutoHyphens w:val="true"/>
              <w:spacing w:before="0" w:after="0"/>
              <w:jc w:val="center"/>
              <w:rPr>
                <w:b/>
                <w:bCs/>
                <w:color w:themeColor="background1" w:val="FFFFFF"/>
                <w:sz w:val="22"/>
                <w:szCs w:val="22"/>
              </w:rPr>
            </w:pPr>
            <w:r>
              <w:rPr>
                <w:rFonts w:eastAsia="游明朝"/>
                <w:b/>
                <w:bCs/>
                <w:color w:themeColor="background1" w:val="FFFFFF"/>
                <w:sz w:val="22"/>
                <w:szCs w:val="22"/>
                <w:lang w:val="en-US" w:eastAsia="en-US" w:bidi="ar-SA"/>
              </w:rPr>
              <w:t>WEEK</w:t>
            </w:r>
          </w:p>
        </w:tc>
        <w:tc>
          <w:tcPr>
            <w:tcW w:w="1800" w:type="dxa"/>
            <w:tcBorders>
              <w:top w:val="single" w:sz="2" w:space="0" w:color="196B24"/>
              <w:left w:val="nil"/>
              <w:bottom w:val="nil"/>
              <w:right w:val="nil"/>
            </w:tcBorders>
            <w:shd w:color="auto" w:fill="275317" w:themeFill="accent6" w:themeFillShade="80" w:val="clear"/>
            <w:vAlign w:val="center"/>
          </w:tcPr>
          <w:p>
            <w:pPr>
              <w:pStyle w:val="Normal"/>
              <w:widowControl/>
              <w:suppressAutoHyphens w:val="true"/>
              <w:spacing w:before="0" w:after="0"/>
              <w:jc w:val="center"/>
              <w:rPr>
                <w:b/>
                <w:bCs/>
                <w:color w:themeColor="background1" w:val="FFFFFF"/>
                <w:sz w:val="22"/>
                <w:szCs w:val="22"/>
              </w:rPr>
            </w:pPr>
            <w:r>
              <w:rPr>
                <w:rFonts w:eastAsia="游明朝"/>
                <w:b/>
                <w:bCs/>
                <w:color w:themeColor="background1" w:val="FFFFFF"/>
                <w:sz w:val="22"/>
                <w:szCs w:val="22"/>
                <w:lang w:val="en-US" w:eastAsia="en-US" w:bidi="ar-SA"/>
              </w:rPr>
              <w:t>READINGS</w:t>
            </w:r>
          </w:p>
        </w:tc>
        <w:tc>
          <w:tcPr>
            <w:tcW w:w="2790" w:type="dxa"/>
            <w:tcBorders>
              <w:top w:val="single" w:sz="2" w:space="0" w:color="196B24"/>
              <w:left w:val="nil"/>
              <w:bottom w:val="nil"/>
              <w:right w:val="nil"/>
            </w:tcBorders>
            <w:shd w:color="auto" w:fill="275317" w:themeFill="accent6" w:themeFillShade="80" w:val="clear"/>
            <w:vAlign w:val="center"/>
          </w:tcPr>
          <w:p>
            <w:pPr>
              <w:pStyle w:val="Normal"/>
              <w:widowControl/>
              <w:suppressAutoHyphens w:val="true"/>
              <w:spacing w:before="0" w:after="0"/>
              <w:jc w:val="center"/>
              <w:rPr>
                <w:b/>
                <w:bCs/>
                <w:color w:themeColor="background1" w:val="FFFFFF"/>
                <w:sz w:val="22"/>
                <w:szCs w:val="22"/>
              </w:rPr>
            </w:pPr>
            <w:r>
              <w:rPr>
                <w:rFonts w:eastAsia="游明朝"/>
                <w:b/>
                <w:bCs/>
                <w:color w:themeColor="background1" w:val="FFFFFF"/>
                <w:sz w:val="22"/>
                <w:szCs w:val="22"/>
                <w:lang w:val="en-US" w:eastAsia="en-US" w:bidi="ar-SA"/>
              </w:rPr>
              <w:t>ACTIVITIES</w:t>
            </w:r>
          </w:p>
        </w:tc>
        <w:tc>
          <w:tcPr>
            <w:tcW w:w="3414" w:type="dxa"/>
            <w:tcBorders>
              <w:top w:val="single" w:sz="2" w:space="0" w:color="196B24"/>
              <w:left w:val="nil"/>
              <w:bottom w:val="nil"/>
            </w:tcBorders>
            <w:shd w:color="auto" w:fill="275317" w:themeFill="accent6" w:themeFillShade="80" w:val="clear"/>
            <w:vAlign w:val="center"/>
          </w:tcPr>
          <w:p>
            <w:pPr>
              <w:pStyle w:val="Normal"/>
              <w:widowControl/>
              <w:suppressAutoHyphens w:val="true"/>
              <w:spacing w:before="0" w:after="0"/>
              <w:jc w:val="center"/>
              <w:rPr>
                <w:b/>
                <w:bCs/>
                <w:color w:themeColor="background1" w:val="FFFFFF"/>
                <w:sz w:val="22"/>
                <w:szCs w:val="22"/>
              </w:rPr>
            </w:pPr>
            <w:r>
              <w:rPr>
                <w:rFonts w:eastAsia="游明朝"/>
                <w:b/>
                <w:bCs/>
                <w:color w:themeColor="background1" w:val="FFFFFF"/>
                <w:sz w:val="22"/>
                <w:szCs w:val="22"/>
                <w:lang w:val="en-US" w:eastAsia="en-US" w:bidi="ar-SA"/>
              </w:rPr>
              <w:t>ASSIGNMENTS</w:t>
            </w:r>
          </w:p>
        </w:tc>
      </w:tr>
      <w:tr>
        <w:trPr>
          <w:trHeight w:val="288" w:hRule="atLeast"/>
        </w:trPr>
        <w:tc>
          <w:tcPr>
            <w:tcW w:w="9349" w:type="dxa"/>
            <w:gridSpan w:val="4"/>
            <w:tcBorders>
              <w:top w:val="nil"/>
              <w:bottom w:val="nil"/>
            </w:tcBorders>
            <w:shd w:color="auto" w:fill="3A7C22" w:themeFill="accent6" w:themeFillShade="bf" w:val="clear"/>
            <w:vAlign w:val="center"/>
          </w:tcPr>
          <w:p>
            <w:pPr>
              <w:pStyle w:val="Normal"/>
              <w:widowControl/>
              <w:suppressAutoHyphens w:val="true"/>
              <w:spacing w:before="0" w:after="0"/>
              <w:jc w:val="center"/>
              <w:rPr>
                <w:sz w:val="22"/>
                <w:szCs w:val="22"/>
              </w:rPr>
            </w:pPr>
            <w:r>
              <w:rPr>
                <w:rFonts w:eastAsia="游明朝"/>
                <w:b/>
                <w:bCs/>
                <w:color w:themeColor="background1" w:val="FFFFFF"/>
                <w:sz w:val="22"/>
                <w:szCs w:val="22"/>
                <w:lang w:val="en-US" w:eastAsia="en-US" w:bidi="ar-SA"/>
              </w:rPr>
              <w:t>UNIT 1</w:t>
            </w:r>
          </w:p>
        </w:tc>
      </w:tr>
      <w:tr>
        <w:trPr>
          <w:trHeight w:val="491" w:hRule="atLeast"/>
        </w:trPr>
        <w:tc>
          <w:tcPr>
            <w:tcW w:w="1345" w:type="dxa"/>
            <w:tcBorders>
              <w:top w:val="nil"/>
              <w:left w:val="single" w:sz="2" w:space="0" w:color="196B24"/>
              <w:bottom w:val="single" w:sz="2" w:space="0" w:color="196B24"/>
              <w:right w:val="nil"/>
            </w:tcBorders>
            <w:shd w:color="auto" w:fill="FFFFFF" w:themeFill="background1" w:val="clear"/>
          </w:tcPr>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t>Week 1</w:t>
            </w:r>
          </w:p>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r>
          </w:p>
        </w:tc>
        <w:tc>
          <w:tcPr>
            <w:tcW w:w="1800" w:type="dxa"/>
            <w:tcBorders>
              <w:top w:val="nil"/>
              <w:left w:val="nil"/>
              <w:bottom w:val="single" w:sz="2" w:space="0" w:color="196B24"/>
              <w:right w:val="nil"/>
            </w:tcBorders>
            <w:shd w:color="auto" w:fill="D9F2D0" w:themeFill="accent6" w:themeFillTint="33" w:val="clear"/>
          </w:tcPr>
          <w:p>
            <w:pPr>
              <w:pStyle w:val="Normal"/>
              <w:widowControl/>
              <w:suppressAutoHyphens w:val="true"/>
              <w:spacing w:before="0" w:after="0"/>
              <w:ind w:left="360"/>
              <w:jc w:val="left"/>
              <w:rPr>
                <w:rFonts w:eastAsia="游明朝"/>
                <w:sz w:val="20"/>
                <w:szCs w:val="20"/>
                <w:lang w:val="en-US" w:eastAsia="en-US" w:bidi="ar-SA"/>
              </w:rPr>
            </w:pPr>
            <w:r>
              <w:rPr>
                <w:rFonts w:eastAsia="游明朝"/>
                <w:sz w:val="20"/>
                <w:szCs w:val="20"/>
                <w:lang w:val="en-US" w:eastAsia="en-US" w:bidi="ar-SA"/>
              </w:rPr>
            </w:r>
          </w:p>
        </w:tc>
        <w:tc>
          <w:tcPr>
            <w:tcW w:w="2790" w:type="dxa"/>
            <w:tcBorders>
              <w:top w:val="nil"/>
              <w:left w:val="nil"/>
              <w:bottom w:val="single" w:sz="2" w:space="0" w:color="196B24"/>
              <w:right w:val="nil"/>
            </w:tcBorders>
            <w:shd w:color="auto" w:fill="B3E5A1" w:themeFill="accent6" w:themeFillTint="66" w:val="clear"/>
          </w:tcPr>
          <w:p>
            <w:pPr>
              <w:pStyle w:val="Normal"/>
              <w:widowControl/>
              <w:suppressAutoHyphens w:val="true"/>
              <w:spacing w:before="0" w:after="0"/>
              <w:ind w:left="360"/>
              <w:jc w:val="left"/>
              <w:rPr>
                <w:rFonts w:eastAsia="游明朝"/>
                <w:sz w:val="20"/>
                <w:szCs w:val="20"/>
                <w:lang w:val="en-US" w:eastAsia="en-US" w:bidi="ar-SA"/>
              </w:rPr>
            </w:pPr>
            <w:r>
              <w:rPr>
                <w:rFonts w:eastAsia="游明朝"/>
                <w:sz w:val="20"/>
                <w:szCs w:val="20"/>
                <w:lang w:val="en-US" w:eastAsia="en-US" w:bidi="ar-SA"/>
              </w:rPr>
              <w:t>Understanding the Course Expectations</w:t>
            </w:r>
          </w:p>
        </w:tc>
        <w:tc>
          <w:tcPr>
            <w:tcW w:w="3414" w:type="dxa"/>
            <w:tcBorders>
              <w:top w:val="nil"/>
              <w:left w:val="nil"/>
              <w:bottom w:val="single" w:sz="2" w:space="0" w:color="196B24"/>
              <w:right w:val="single" w:sz="2" w:space="0" w:color="196B24"/>
            </w:tcBorders>
            <w:shd w:color="auto" w:fill="8DD873" w:themeFill="accent6" w:themeFillTint="99" w:val="clear"/>
          </w:tcPr>
          <w:p>
            <w:pPr>
              <w:pStyle w:val="Normal"/>
              <w:widowControl/>
              <w:suppressAutoHyphens w:val="true"/>
              <w:spacing w:before="0" w:after="0"/>
              <w:ind w:left="360"/>
              <w:jc w:val="left"/>
              <w:rPr>
                <w:rFonts w:eastAsia="游明朝"/>
                <w:sz w:val="20"/>
                <w:szCs w:val="20"/>
                <w:lang w:val="en-US" w:eastAsia="en-US" w:bidi="ar-SA"/>
              </w:rPr>
            </w:pPr>
            <w:r>
              <w:rPr>
                <w:rFonts w:eastAsia="游明朝"/>
                <w:sz w:val="20"/>
                <w:szCs w:val="20"/>
                <w:lang w:val="en-US" w:eastAsia="en-US" w:bidi="ar-SA"/>
              </w:rPr>
              <w:t>Quiz | Course Policies</w:t>
            </w:r>
          </w:p>
          <w:p>
            <w:pPr>
              <w:pStyle w:val="Normal"/>
              <w:widowControl/>
              <w:suppressAutoHyphens w:val="true"/>
              <w:spacing w:before="0" w:after="0"/>
              <w:ind w:left="360"/>
              <w:jc w:val="left"/>
              <w:rPr>
                <w:rFonts w:eastAsia="游明朝"/>
                <w:sz w:val="20"/>
                <w:szCs w:val="20"/>
                <w:lang w:val="en-US" w:eastAsia="en-US" w:bidi="ar-SA"/>
              </w:rPr>
            </w:pPr>
            <w:r>
              <w:rPr>
                <w:rFonts w:eastAsia="游明朝"/>
                <w:sz w:val="20"/>
                <w:szCs w:val="20"/>
                <w:lang w:val="en-US" w:eastAsia="en-US" w:bidi="ar-SA"/>
              </w:rPr>
            </w:r>
          </w:p>
        </w:tc>
      </w:tr>
      <w:tr>
        <w:trPr>
          <w:trHeight w:val="20" w:hRule="atLeast"/>
        </w:trPr>
        <w:tc>
          <w:tcPr>
            <w:tcW w:w="1345" w:type="dxa"/>
            <w:tcBorders>
              <w:top w:val="single" w:sz="2" w:space="0" w:color="196B24"/>
              <w:left w:val="single" w:sz="4" w:space="0" w:color="196B24"/>
              <w:bottom w:val="single" w:sz="2" w:space="0" w:color="196B24"/>
              <w:right w:val="nil"/>
            </w:tcBorders>
            <w:shd w:color="auto" w:fill="FFFFFF" w:themeFill="background1" w:val="clear"/>
          </w:tcPr>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t>Week 2</w:t>
            </w:r>
          </w:p>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r>
          </w:p>
        </w:tc>
        <w:tc>
          <w:tcPr>
            <w:tcW w:w="1800" w:type="dxa"/>
            <w:tcBorders>
              <w:top w:val="single" w:sz="2" w:space="0" w:color="196B24"/>
              <w:left w:val="nil"/>
              <w:bottom w:val="single" w:sz="2" w:space="0" w:color="196B24"/>
              <w:right w:val="nil"/>
            </w:tcBorders>
            <w:shd w:color="auto" w:fill="D9F2D0" w:themeFill="accent6" w:themeFillTint="33" w:val="clear"/>
          </w:tcPr>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t>CH 1 | Reading &amp; Writing Rhetorically</w:t>
            </w:r>
          </w:p>
        </w:tc>
        <w:tc>
          <w:tcPr>
            <w:tcW w:w="2790" w:type="dxa"/>
            <w:tcBorders>
              <w:top w:val="single" w:sz="2" w:space="0" w:color="196B24"/>
              <w:left w:val="nil"/>
              <w:bottom w:val="single" w:sz="2" w:space="0" w:color="196B24"/>
              <w:right w:val="nil"/>
            </w:tcBorders>
            <w:shd w:color="auto" w:fill="B3E5A1" w:themeFill="accent6" w:themeFillTint="66" w:val="clear"/>
          </w:tcPr>
          <w:p>
            <w:pPr>
              <w:pStyle w:val="Normal"/>
              <w:widowControl/>
              <w:suppressAutoHyphens w:val="true"/>
              <w:spacing w:before="0" w:after="0"/>
              <w:ind w:left="360"/>
              <w:jc w:val="left"/>
              <w:rPr>
                <w:rFonts w:eastAsia="游明朝"/>
                <w:sz w:val="20"/>
                <w:szCs w:val="20"/>
                <w:lang w:val="en-US" w:eastAsia="en-US" w:bidi="ar-SA"/>
              </w:rPr>
            </w:pPr>
            <w:r>
              <w:rPr>
                <w:rFonts w:eastAsia="游明朝"/>
                <w:sz w:val="20"/>
                <w:szCs w:val="20"/>
                <w:lang w:val="en-US" w:eastAsia="en-US" w:bidi="ar-SA"/>
              </w:rPr>
            </w:r>
          </w:p>
        </w:tc>
        <w:tc>
          <w:tcPr>
            <w:tcW w:w="3414" w:type="dxa"/>
            <w:tcBorders>
              <w:top w:val="single" w:sz="2" w:space="0" w:color="196B24"/>
              <w:left w:val="nil"/>
              <w:bottom w:val="single" w:sz="2" w:space="0" w:color="196B24"/>
              <w:right w:val="single" w:sz="4" w:space="0" w:color="196B24"/>
            </w:tcBorders>
            <w:shd w:color="auto" w:fill="8DD873" w:themeFill="accent6" w:themeFillTint="99" w:val="clear"/>
          </w:tcPr>
          <w:p>
            <w:pPr>
              <w:pStyle w:val="Normal"/>
              <w:widowControl/>
              <w:suppressAutoHyphens w:val="true"/>
              <w:spacing w:before="0" w:after="0"/>
              <w:ind w:left="360"/>
              <w:jc w:val="left"/>
              <w:rPr>
                <w:rFonts w:eastAsia="游明朝"/>
                <w:sz w:val="20"/>
                <w:szCs w:val="20"/>
                <w:lang w:val="en-US" w:eastAsia="en-US" w:bidi="ar-SA"/>
              </w:rPr>
            </w:pPr>
            <w:r>
              <w:rPr>
                <w:rFonts w:eastAsia="游明朝"/>
                <w:sz w:val="20"/>
                <w:szCs w:val="20"/>
                <w:lang w:val="en-US" w:eastAsia="en-US" w:bidi="ar-SA"/>
              </w:rPr>
            </w:r>
          </w:p>
        </w:tc>
      </w:tr>
      <w:tr>
        <w:trPr>
          <w:trHeight w:val="20" w:hRule="atLeast"/>
        </w:trPr>
        <w:tc>
          <w:tcPr>
            <w:tcW w:w="1345" w:type="dxa"/>
            <w:tcBorders>
              <w:top w:val="single" w:sz="2" w:space="0" w:color="196B24"/>
              <w:left w:val="single" w:sz="4" w:space="0" w:color="196B24"/>
              <w:bottom w:val="single" w:sz="4" w:space="0" w:color="196B24"/>
              <w:right w:val="nil"/>
            </w:tcBorders>
            <w:shd w:color="auto" w:fill="FFFFFF" w:themeFill="background1" w:val="clear"/>
          </w:tcPr>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t>Week 3</w:t>
            </w:r>
          </w:p>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r>
          </w:p>
        </w:tc>
        <w:tc>
          <w:tcPr>
            <w:tcW w:w="1800" w:type="dxa"/>
            <w:tcBorders>
              <w:top w:val="single" w:sz="2" w:space="0" w:color="196B24"/>
              <w:left w:val="nil"/>
              <w:bottom w:val="single" w:sz="4" w:space="0" w:color="196B24"/>
              <w:right w:val="nil"/>
            </w:tcBorders>
            <w:shd w:color="auto" w:fill="D9F2D0" w:themeFill="accent6" w:themeFillTint="33" w:val="clear"/>
          </w:tcPr>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t>CH 2 | The Rhetorical Situation</w:t>
            </w:r>
          </w:p>
        </w:tc>
        <w:tc>
          <w:tcPr>
            <w:tcW w:w="2790" w:type="dxa"/>
            <w:tcBorders>
              <w:top w:val="single" w:sz="2" w:space="0" w:color="196B24"/>
              <w:left w:val="nil"/>
              <w:bottom w:val="single" w:sz="4" w:space="0" w:color="196B24"/>
              <w:right w:val="nil"/>
            </w:tcBorders>
            <w:shd w:color="auto" w:fill="B3E5A1" w:themeFill="accent6" w:themeFillTint="66" w:val="clear"/>
          </w:tcPr>
          <w:p>
            <w:pPr>
              <w:pStyle w:val="Normal"/>
              <w:widowControl/>
              <w:suppressAutoHyphens w:val="true"/>
              <w:spacing w:before="0" w:after="0"/>
              <w:ind w:left="360"/>
              <w:jc w:val="left"/>
              <w:rPr>
                <w:rFonts w:eastAsia="游明朝"/>
                <w:sz w:val="20"/>
                <w:szCs w:val="20"/>
                <w:lang w:val="en-US" w:eastAsia="en-US" w:bidi="ar-SA"/>
              </w:rPr>
            </w:pPr>
            <w:r>
              <w:rPr>
                <w:rFonts w:eastAsia="游明朝"/>
                <w:sz w:val="20"/>
                <w:szCs w:val="20"/>
                <w:lang w:val="en-US" w:eastAsia="en-US" w:bidi="ar-SA"/>
              </w:rPr>
            </w:r>
          </w:p>
        </w:tc>
        <w:tc>
          <w:tcPr>
            <w:tcW w:w="3414" w:type="dxa"/>
            <w:tcBorders>
              <w:top w:val="single" w:sz="2" w:space="0" w:color="196B24"/>
              <w:left w:val="nil"/>
              <w:bottom w:val="single" w:sz="4" w:space="0" w:color="196B24"/>
              <w:right w:val="single" w:sz="4" w:space="0" w:color="196B24"/>
            </w:tcBorders>
            <w:shd w:color="auto" w:fill="8DD873" w:themeFill="accent6" w:themeFillTint="99" w:val="clear"/>
          </w:tcPr>
          <w:p>
            <w:pPr>
              <w:pStyle w:val="Normal"/>
              <w:widowControl/>
              <w:suppressAutoHyphens w:val="true"/>
              <w:spacing w:before="0" w:after="0"/>
              <w:ind w:left="360"/>
              <w:jc w:val="left"/>
              <w:rPr>
                <w:b/>
                <w:bCs/>
              </w:rPr>
            </w:pPr>
            <w:r>
              <w:rPr>
                <w:b/>
                <w:bCs/>
              </w:rPr>
            </w:r>
          </w:p>
        </w:tc>
      </w:tr>
      <w:tr>
        <w:trPr>
          <w:trHeight w:val="20" w:hRule="atLeast"/>
        </w:trPr>
        <w:tc>
          <w:tcPr>
            <w:tcW w:w="1345" w:type="dxa"/>
            <w:tcBorders>
              <w:top w:val="single" w:sz="4" w:space="0" w:color="196B24"/>
              <w:left w:val="single" w:sz="4" w:space="0" w:color="196B24"/>
              <w:bottom w:val="single" w:sz="4" w:space="0" w:color="196B24"/>
              <w:right w:val="nil"/>
            </w:tcBorders>
            <w:shd w:color="auto" w:fill="FFFFFF" w:themeFill="background1" w:val="clear"/>
          </w:tcPr>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t>Week 4</w:t>
            </w:r>
          </w:p>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r>
          </w:p>
        </w:tc>
        <w:tc>
          <w:tcPr>
            <w:tcW w:w="1800" w:type="dxa"/>
            <w:tcBorders>
              <w:top w:val="single" w:sz="4" w:space="0" w:color="196B24"/>
              <w:left w:val="nil"/>
              <w:bottom w:val="single" w:sz="4" w:space="0" w:color="196B24"/>
              <w:right w:val="nil"/>
            </w:tcBorders>
            <w:shd w:color="auto" w:fill="D9F2D0" w:themeFill="accent6" w:themeFillTint="33" w:val="clear"/>
          </w:tcPr>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t>CH 7 | Exploring the Course Theme</w:t>
            </w:r>
          </w:p>
        </w:tc>
        <w:tc>
          <w:tcPr>
            <w:tcW w:w="2790" w:type="dxa"/>
            <w:tcBorders>
              <w:top w:val="single" w:sz="4" w:space="0" w:color="196B24"/>
              <w:left w:val="nil"/>
              <w:bottom w:val="single" w:sz="4" w:space="0" w:color="196B24"/>
              <w:right w:val="nil"/>
            </w:tcBorders>
            <w:shd w:color="auto" w:fill="B3E5A1" w:themeFill="accent6" w:themeFillTint="66" w:val="clear"/>
          </w:tcPr>
          <w:p>
            <w:pPr>
              <w:pStyle w:val="Normal"/>
              <w:widowControl/>
              <w:suppressAutoHyphens w:val="true"/>
              <w:spacing w:before="0" w:after="0"/>
              <w:ind w:left="360"/>
              <w:jc w:val="left"/>
              <w:rPr>
                <w:rFonts w:eastAsia="游明朝"/>
                <w:sz w:val="20"/>
                <w:szCs w:val="20"/>
                <w:lang w:val="en-US" w:eastAsia="en-US" w:bidi="ar-SA"/>
              </w:rPr>
            </w:pPr>
            <w:r>
              <w:rPr>
                <w:rFonts w:eastAsia="游明朝"/>
                <w:sz w:val="20"/>
                <w:szCs w:val="20"/>
                <w:lang w:val="en-US" w:eastAsia="en-US" w:bidi="ar-SA"/>
              </w:rPr>
            </w:r>
          </w:p>
        </w:tc>
        <w:tc>
          <w:tcPr>
            <w:tcW w:w="3414" w:type="dxa"/>
            <w:tcBorders>
              <w:top w:val="single" w:sz="4" w:space="0" w:color="196B24"/>
              <w:left w:val="nil"/>
              <w:bottom w:val="single" w:sz="4" w:space="0" w:color="196B24"/>
              <w:right w:val="single" w:sz="4" w:space="0" w:color="196B24"/>
            </w:tcBorders>
            <w:shd w:color="auto" w:fill="8DD873" w:themeFill="accent6" w:themeFillTint="99" w:val="clear"/>
          </w:tcPr>
          <w:p>
            <w:pPr>
              <w:pStyle w:val="Normal"/>
              <w:widowControl/>
              <w:suppressAutoHyphens w:val="true"/>
              <w:spacing w:before="0" w:after="0"/>
              <w:jc w:val="left"/>
              <w:rPr>
                <w:sz w:val="20"/>
                <w:szCs w:val="20"/>
              </w:rPr>
            </w:pPr>
            <w:r>
              <w:rPr>
                <w:b/>
                <w:bCs/>
                <w:sz w:val="20"/>
                <w:szCs w:val="20"/>
              </w:rPr>
              <w:t>MA 1 | 5 paragraph essay</w:t>
            </w:r>
          </w:p>
        </w:tc>
      </w:tr>
      <w:tr>
        <w:trPr>
          <w:trHeight w:val="20" w:hRule="atLeast"/>
        </w:trPr>
        <w:tc>
          <w:tcPr>
            <w:tcW w:w="1345" w:type="dxa"/>
            <w:tcBorders>
              <w:top w:val="single" w:sz="4" w:space="0" w:color="196B24"/>
              <w:left w:val="single" w:sz="4" w:space="0" w:color="196B24"/>
              <w:bottom w:val="single" w:sz="4" w:space="0" w:color="196B24"/>
              <w:right w:val="nil"/>
            </w:tcBorders>
            <w:shd w:color="auto" w:fill="FFFFFF" w:themeFill="background1" w:val="clear"/>
          </w:tcPr>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t>Week 5</w:t>
            </w:r>
          </w:p>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r>
          </w:p>
        </w:tc>
        <w:tc>
          <w:tcPr>
            <w:tcW w:w="1800" w:type="dxa"/>
            <w:tcBorders>
              <w:top w:val="single" w:sz="4" w:space="0" w:color="196B24"/>
              <w:left w:val="nil"/>
              <w:bottom w:val="single" w:sz="4" w:space="0" w:color="196B24"/>
              <w:right w:val="nil"/>
            </w:tcBorders>
            <w:shd w:color="auto" w:fill="D9F2D0" w:themeFill="accent6" w:themeFillTint="33" w:val="clear"/>
          </w:tcPr>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t>CH 3 | The Writing Process</w:t>
            </w:r>
          </w:p>
        </w:tc>
        <w:tc>
          <w:tcPr>
            <w:tcW w:w="2790" w:type="dxa"/>
            <w:tcBorders>
              <w:top w:val="single" w:sz="4" w:space="0" w:color="196B24"/>
              <w:left w:val="nil"/>
              <w:bottom w:val="single" w:sz="4" w:space="0" w:color="196B24"/>
              <w:right w:val="nil"/>
            </w:tcBorders>
            <w:shd w:color="auto" w:fill="B3E5A1" w:themeFill="accent6" w:themeFillTint="66" w:val="clear"/>
          </w:tcPr>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r>
          </w:p>
        </w:tc>
        <w:tc>
          <w:tcPr>
            <w:tcW w:w="3414" w:type="dxa"/>
            <w:tcBorders>
              <w:top w:val="single" w:sz="4" w:space="0" w:color="196B24"/>
              <w:left w:val="nil"/>
              <w:bottom w:val="single" w:sz="4" w:space="0" w:color="196B24"/>
              <w:right w:val="single" w:sz="4" w:space="0" w:color="196B24"/>
            </w:tcBorders>
            <w:shd w:color="auto" w:fill="8DD873" w:themeFill="accent6" w:themeFillTint="99" w:val="clear"/>
          </w:tcPr>
          <w:p>
            <w:pPr>
              <w:pStyle w:val="Normal"/>
              <w:widowControl/>
              <w:suppressAutoHyphens w:val="true"/>
              <w:spacing w:before="0" w:after="0"/>
              <w:jc w:val="left"/>
              <w:rPr>
                <w:b w:val="false"/>
                <w:bCs w:val="false"/>
                <w:sz w:val="20"/>
                <w:szCs w:val="20"/>
              </w:rPr>
            </w:pPr>
            <w:r>
              <w:rPr>
                <w:b w:val="false"/>
                <w:bCs w:val="false"/>
                <w:sz w:val="20"/>
                <w:szCs w:val="20"/>
              </w:rPr>
              <w:t>First draft of MA 2</w:t>
            </w:r>
          </w:p>
        </w:tc>
      </w:tr>
      <w:tr>
        <w:trPr>
          <w:trHeight w:val="288" w:hRule="atLeast"/>
        </w:trPr>
        <w:tc>
          <w:tcPr>
            <w:tcW w:w="9349" w:type="dxa"/>
            <w:gridSpan w:val="4"/>
            <w:tcBorders>
              <w:top w:val="single" w:sz="4" w:space="0" w:color="196B24"/>
              <w:left w:val="single" w:sz="4" w:space="0" w:color="196B24"/>
              <w:bottom w:val="single" w:sz="4" w:space="0" w:color="196B24"/>
              <w:right w:val="single" w:sz="4" w:space="0" w:color="196B24"/>
            </w:tcBorders>
            <w:shd w:color="auto" w:fill="3A7C22" w:themeFill="accent6" w:themeFillShade="bf" w:val="clear"/>
            <w:vAlign w:val="center"/>
          </w:tcPr>
          <w:p>
            <w:pPr>
              <w:pStyle w:val="Normal"/>
              <w:widowControl/>
              <w:suppressAutoHyphens w:val="true"/>
              <w:spacing w:before="0" w:after="0"/>
              <w:jc w:val="center"/>
              <w:rPr>
                <w:sz w:val="22"/>
                <w:szCs w:val="22"/>
              </w:rPr>
            </w:pPr>
            <w:r>
              <w:rPr>
                <w:rFonts w:eastAsia="游明朝"/>
                <w:b/>
                <w:bCs/>
                <w:color w:themeColor="background1" w:val="FFFFFF"/>
                <w:sz w:val="22"/>
                <w:szCs w:val="22"/>
                <w:lang w:val="en-US" w:eastAsia="en-US" w:bidi="ar-SA"/>
              </w:rPr>
              <w:t>UNIT 2</w:t>
            </w:r>
          </w:p>
        </w:tc>
      </w:tr>
      <w:tr>
        <w:trPr>
          <w:trHeight w:val="20" w:hRule="atLeast"/>
        </w:trPr>
        <w:tc>
          <w:tcPr>
            <w:tcW w:w="1345" w:type="dxa"/>
            <w:tcBorders>
              <w:top w:val="single" w:sz="4" w:space="0" w:color="196B24"/>
              <w:left w:val="single" w:sz="4" w:space="0" w:color="196B24"/>
              <w:bottom w:val="single" w:sz="4" w:space="0" w:color="196B24"/>
              <w:right w:val="nil"/>
            </w:tcBorders>
            <w:shd w:color="auto" w:fill="FFFFFF" w:themeFill="background1" w:val="clear"/>
          </w:tcPr>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t>Week 6</w:t>
            </w:r>
          </w:p>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r>
          </w:p>
        </w:tc>
        <w:tc>
          <w:tcPr>
            <w:tcW w:w="1800" w:type="dxa"/>
            <w:tcBorders>
              <w:top w:val="single" w:sz="4" w:space="0" w:color="196B24"/>
              <w:left w:val="nil"/>
              <w:bottom w:val="single" w:sz="4" w:space="0" w:color="196B24"/>
              <w:right w:val="nil"/>
            </w:tcBorders>
            <w:shd w:color="auto" w:fill="D9F2D0" w:themeFill="accent6" w:themeFillTint="33" w:val="clear"/>
          </w:tcPr>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t>CH 4 | Why We Write &amp; How We Organize</w:t>
            </w:r>
          </w:p>
        </w:tc>
        <w:tc>
          <w:tcPr>
            <w:tcW w:w="2790" w:type="dxa"/>
            <w:tcBorders>
              <w:top w:val="single" w:sz="4" w:space="0" w:color="196B24"/>
              <w:left w:val="nil"/>
              <w:bottom w:val="single" w:sz="4" w:space="0" w:color="196B24"/>
              <w:right w:val="nil"/>
            </w:tcBorders>
            <w:shd w:color="auto" w:fill="B3E5A1" w:themeFill="accent6" w:themeFillTint="66" w:val="clear"/>
          </w:tcPr>
          <w:p>
            <w:pPr>
              <w:pStyle w:val="Normal"/>
              <w:widowControl/>
              <w:suppressAutoHyphens w:val="true"/>
              <w:spacing w:before="0" w:after="0"/>
              <w:ind w:left="360"/>
              <w:jc w:val="left"/>
              <w:rPr>
                <w:rFonts w:eastAsia="游明朝"/>
                <w:sz w:val="20"/>
                <w:szCs w:val="20"/>
                <w:lang w:val="en-US" w:eastAsia="en-US" w:bidi="ar-SA"/>
              </w:rPr>
            </w:pPr>
            <w:r>
              <w:rPr>
                <w:rFonts w:eastAsia="游明朝"/>
                <w:sz w:val="20"/>
                <w:szCs w:val="20"/>
                <w:lang w:val="en-US" w:eastAsia="en-US" w:bidi="ar-SA"/>
              </w:rPr>
            </w:r>
          </w:p>
        </w:tc>
        <w:tc>
          <w:tcPr>
            <w:tcW w:w="3414" w:type="dxa"/>
            <w:tcBorders>
              <w:top w:val="single" w:sz="4" w:space="0" w:color="196B24"/>
              <w:left w:val="nil"/>
              <w:bottom w:val="single" w:sz="4" w:space="0" w:color="196B24"/>
              <w:right w:val="single" w:sz="4" w:space="0" w:color="196B24"/>
            </w:tcBorders>
            <w:shd w:color="auto" w:fill="8DD873" w:themeFill="accent6" w:themeFillTint="99" w:val="clear"/>
          </w:tcPr>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r>
          </w:p>
        </w:tc>
      </w:tr>
      <w:tr>
        <w:trPr>
          <w:trHeight w:val="20" w:hRule="atLeast"/>
        </w:trPr>
        <w:tc>
          <w:tcPr>
            <w:tcW w:w="1345" w:type="dxa"/>
            <w:tcBorders>
              <w:top w:val="single" w:sz="4" w:space="0" w:color="196B24"/>
              <w:left w:val="single" w:sz="4" w:space="0" w:color="196B24"/>
              <w:bottom w:val="single" w:sz="4" w:space="0" w:color="196B24"/>
              <w:right w:val="nil"/>
            </w:tcBorders>
            <w:shd w:color="auto" w:fill="FFFFFF" w:themeFill="background1" w:val="clear"/>
          </w:tcPr>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t>Week 7</w:t>
            </w:r>
          </w:p>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r>
          </w:p>
        </w:tc>
        <w:tc>
          <w:tcPr>
            <w:tcW w:w="1800" w:type="dxa"/>
            <w:tcBorders>
              <w:top w:val="single" w:sz="4" w:space="0" w:color="196B24"/>
              <w:left w:val="nil"/>
              <w:bottom w:val="single" w:sz="4" w:space="0" w:color="196B24"/>
              <w:right w:val="nil"/>
            </w:tcBorders>
            <w:shd w:color="auto" w:fill="D9F2D0" w:themeFill="accent6" w:themeFillTint="33" w:val="clear"/>
          </w:tcPr>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t>CH 5 | Every Argument Needs Evidence</w:t>
            </w:r>
          </w:p>
        </w:tc>
        <w:tc>
          <w:tcPr>
            <w:tcW w:w="2790" w:type="dxa"/>
            <w:tcBorders>
              <w:top w:val="single" w:sz="4" w:space="0" w:color="196B24"/>
              <w:left w:val="nil"/>
              <w:bottom w:val="single" w:sz="4" w:space="0" w:color="196B24"/>
              <w:right w:val="nil"/>
            </w:tcBorders>
            <w:shd w:color="auto" w:fill="B3E5A1" w:themeFill="accent6" w:themeFillTint="66" w:val="clear"/>
          </w:tcPr>
          <w:p>
            <w:pPr>
              <w:pStyle w:val="Normal"/>
              <w:widowControl/>
              <w:suppressAutoHyphens w:val="true"/>
              <w:spacing w:before="0" w:after="0"/>
              <w:ind w:left="360"/>
              <w:jc w:val="left"/>
              <w:rPr>
                <w:rFonts w:eastAsia="游明朝"/>
                <w:sz w:val="20"/>
                <w:szCs w:val="20"/>
                <w:lang w:val="en-US" w:eastAsia="en-US" w:bidi="ar-SA"/>
              </w:rPr>
            </w:pPr>
            <w:r>
              <w:rPr>
                <w:rFonts w:eastAsia="游明朝"/>
                <w:sz w:val="20"/>
                <w:szCs w:val="20"/>
                <w:lang w:val="en-US" w:eastAsia="en-US" w:bidi="ar-SA"/>
              </w:rPr>
            </w:r>
          </w:p>
        </w:tc>
        <w:tc>
          <w:tcPr>
            <w:tcW w:w="3414" w:type="dxa"/>
            <w:tcBorders>
              <w:top w:val="single" w:sz="4" w:space="0" w:color="196B24"/>
              <w:left w:val="nil"/>
              <w:bottom w:val="single" w:sz="4" w:space="0" w:color="196B24"/>
              <w:right w:val="single" w:sz="4" w:space="0" w:color="196B24"/>
            </w:tcBorders>
            <w:shd w:color="auto" w:fill="8DD873" w:themeFill="accent6" w:themeFillTint="99" w:val="clear"/>
          </w:tcPr>
          <w:p>
            <w:pPr>
              <w:pStyle w:val="Normal"/>
              <w:widowControl/>
              <w:suppressAutoHyphens w:val="true"/>
              <w:spacing w:before="0" w:after="0"/>
              <w:ind w:left="360"/>
              <w:jc w:val="left"/>
              <w:rPr>
                <w:b/>
                <w:bCs/>
              </w:rPr>
            </w:pPr>
            <w:r>
              <w:rPr>
                <w:b/>
                <w:bCs/>
              </w:rPr>
            </w:r>
          </w:p>
        </w:tc>
      </w:tr>
      <w:tr>
        <w:trPr>
          <w:trHeight w:val="20" w:hRule="atLeast"/>
        </w:trPr>
        <w:tc>
          <w:tcPr>
            <w:tcW w:w="1345" w:type="dxa"/>
            <w:tcBorders>
              <w:top w:val="single" w:sz="4" w:space="0" w:color="196B24"/>
              <w:left w:val="single" w:sz="4" w:space="0" w:color="196B24"/>
              <w:bottom w:val="single" w:sz="4" w:space="0" w:color="196B24"/>
              <w:right w:val="nil"/>
            </w:tcBorders>
            <w:shd w:color="auto" w:fill="FFFFFF" w:themeFill="background1" w:val="clear"/>
          </w:tcPr>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t>Week 8</w:t>
            </w:r>
          </w:p>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r>
          </w:p>
        </w:tc>
        <w:tc>
          <w:tcPr>
            <w:tcW w:w="1800" w:type="dxa"/>
            <w:tcBorders>
              <w:top w:val="single" w:sz="4" w:space="0" w:color="196B24"/>
              <w:left w:val="nil"/>
              <w:bottom w:val="single" w:sz="4" w:space="0" w:color="196B24"/>
              <w:right w:val="nil"/>
            </w:tcBorders>
            <w:shd w:color="auto" w:fill="D9F2D0" w:themeFill="accent6" w:themeFillTint="33" w:val="clear"/>
          </w:tcPr>
          <w:p>
            <w:pPr>
              <w:pStyle w:val="Normal"/>
              <w:widowControl/>
              <w:suppressAutoHyphens w:val="true"/>
              <w:spacing w:before="0" w:after="0"/>
              <w:ind w:left="360"/>
              <w:jc w:val="left"/>
              <w:rPr>
                <w:rFonts w:eastAsia="游明朝"/>
                <w:sz w:val="20"/>
                <w:szCs w:val="20"/>
                <w:lang w:val="en-US" w:eastAsia="en-US" w:bidi="ar-SA"/>
              </w:rPr>
            </w:pPr>
            <w:r>
              <w:rPr>
                <w:rFonts w:eastAsia="游明朝"/>
                <w:sz w:val="20"/>
                <w:szCs w:val="20"/>
                <w:lang w:val="en-US" w:eastAsia="en-US" w:bidi="ar-SA"/>
              </w:rPr>
            </w:r>
          </w:p>
        </w:tc>
        <w:tc>
          <w:tcPr>
            <w:tcW w:w="2790" w:type="dxa"/>
            <w:tcBorders>
              <w:top w:val="single" w:sz="4" w:space="0" w:color="196B24"/>
              <w:left w:val="nil"/>
              <w:bottom w:val="single" w:sz="4" w:space="0" w:color="196B24"/>
              <w:right w:val="nil"/>
            </w:tcBorders>
            <w:shd w:color="auto" w:fill="B3E5A1" w:themeFill="accent6" w:themeFillTint="66" w:val="clear"/>
          </w:tcPr>
          <w:p>
            <w:pPr>
              <w:pStyle w:val="Normal"/>
              <w:widowControl/>
              <w:suppressAutoHyphens w:val="true"/>
              <w:spacing w:before="0" w:after="0"/>
              <w:ind w:left="360"/>
              <w:jc w:val="left"/>
              <w:rPr>
                <w:rFonts w:eastAsia="游明朝"/>
                <w:sz w:val="20"/>
                <w:szCs w:val="20"/>
                <w:lang w:val="en-US" w:eastAsia="en-US" w:bidi="ar-SA"/>
              </w:rPr>
            </w:pPr>
            <w:r>
              <w:rPr>
                <w:rFonts w:eastAsia="游明朝"/>
                <w:sz w:val="20"/>
                <w:szCs w:val="20"/>
                <w:lang w:val="en-US" w:eastAsia="en-US" w:bidi="ar-SA"/>
              </w:rPr>
              <w:t>Peer Review</w:t>
            </w:r>
          </w:p>
        </w:tc>
        <w:tc>
          <w:tcPr>
            <w:tcW w:w="3414" w:type="dxa"/>
            <w:tcBorders>
              <w:top w:val="single" w:sz="4" w:space="0" w:color="196B24"/>
              <w:left w:val="nil"/>
              <w:bottom w:val="single" w:sz="4" w:space="0" w:color="196B24"/>
              <w:right w:val="single" w:sz="4" w:space="0" w:color="196B24"/>
            </w:tcBorders>
            <w:shd w:color="auto" w:fill="8DD873" w:themeFill="accent6" w:themeFillTint="99" w:val="clear"/>
          </w:tcPr>
          <w:p>
            <w:pPr>
              <w:pStyle w:val="Normal"/>
              <w:widowControl/>
              <w:suppressAutoHyphens w:val="true"/>
              <w:spacing w:before="0" w:after="0"/>
              <w:jc w:val="left"/>
              <w:rPr>
                <w:b/>
                <w:bCs/>
              </w:rPr>
            </w:pPr>
            <w:r>
              <w:rPr>
                <w:rFonts w:eastAsia="游明朝"/>
                <w:b/>
                <w:bCs/>
                <w:sz w:val="20"/>
                <w:szCs w:val="20"/>
                <w:lang w:val="en-US" w:eastAsia="en-US" w:bidi="ar-SA"/>
              </w:rPr>
              <w:t>MA2 | Narrative Essay</w:t>
            </w:r>
          </w:p>
        </w:tc>
      </w:tr>
      <w:tr>
        <w:trPr>
          <w:trHeight w:val="20" w:hRule="atLeast"/>
        </w:trPr>
        <w:tc>
          <w:tcPr>
            <w:tcW w:w="1345" w:type="dxa"/>
            <w:tcBorders>
              <w:top w:val="single" w:sz="4" w:space="0" w:color="196B24"/>
              <w:left w:val="single" w:sz="4" w:space="0" w:color="196B24"/>
              <w:bottom w:val="single" w:sz="4" w:space="0" w:color="196B24"/>
              <w:right w:val="single" w:sz="4" w:space="0" w:color="196B24"/>
            </w:tcBorders>
            <w:shd w:color="3A7C22" w:fill="auto" w:themeColor="accent6" w:themeShade="bf" w:val="solid"/>
            <w:vAlign w:val="center"/>
          </w:tcPr>
          <w:p>
            <w:pPr>
              <w:pStyle w:val="Normal"/>
              <w:widowControl/>
              <w:suppressAutoHyphens w:val="true"/>
              <w:spacing w:before="0" w:after="0"/>
              <w:jc w:val="center"/>
              <w:rPr>
                <w:b/>
                <w:bCs/>
                <w:color w:themeColor="background1" w:val="FFFFFF"/>
                <w:sz w:val="22"/>
                <w:szCs w:val="22"/>
              </w:rPr>
            </w:pPr>
            <w:r>
              <w:rPr>
                <w:b/>
                <w:bCs/>
                <w:color w:themeColor="background1" w:val="FFFFFF"/>
                <w:sz w:val="22"/>
                <w:szCs w:val="22"/>
              </w:rPr>
            </w:r>
          </w:p>
        </w:tc>
        <w:tc>
          <w:tcPr>
            <w:tcW w:w="1800" w:type="dxa"/>
            <w:tcBorders>
              <w:top w:val="single" w:sz="4" w:space="0" w:color="196B24"/>
              <w:left w:val="single" w:sz="4" w:space="0" w:color="196B24"/>
              <w:bottom w:val="single" w:sz="4" w:space="0" w:color="196B24"/>
              <w:right w:val="single" w:sz="4" w:space="0" w:color="196B24"/>
            </w:tcBorders>
            <w:shd w:color="3A7C22" w:fill="auto" w:themeColor="accent6" w:themeShade="bf" w:val="solid"/>
          </w:tcPr>
          <w:p>
            <w:pPr>
              <w:pStyle w:val="Normal"/>
              <w:widowControl/>
              <w:suppressAutoHyphens w:val="true"/>
              <w:spacing w:before="0" w:after="0"/>
              <w:ind w:left="360"/>
              <w:jc w:val="center"/>
              <w:rPr>
                <w:b/>
                <w:bCs/>
                <w:color w:themeColor="background1" w:val="FFFFFF"/>
                <w:sz w:val="22"/>
                <w:szCs w:val="22"/>
              </w:rPr>
            </w:pPr>
            <w:r>
              <w:rPr>
                <w:b/>
                <w:bCs/>
                <w:color w:themeColor="background1" w:val="FFFFFF"/>
                <w:sz w:val="22"/>
                <w:szCs w:val="22"/>
              </w:rPr>
            </w:r>
          </w:p>
        </w:tc>
        <w:tc>
          <w:tcPr>
            <w:tcW w:w="2790" w:type="dxa"/>
            <w:tcBorders>
              <w:top w:val="single" w:sz="4" w:space="0" w:color="196B24"/>
              <w:left w:val="single" w:sz="4" w:space="0" w:color="196B24"/>
              <w:bottom w:val="single" w:sz="4" w:space="0" w:color="196B24"/>
              <w:right w:val="single" w:sz="4" w:space="0" w:color="196B24"/>
            </w:tcBorders>
            <w:shd w:color="3A7C22" w:fill="auto" w:themeColor="accent6" w:themeShade="bf" w:val="solid"/>
          </w:tcPr>
          <w:p>
            <w:pPr>
              <w:pStyle w:val="Normal"/>
              <w:widowControl/>
              <w:suppressAutoHyphens w:val="true"/>
              <w:spacing w:before="0" w:after="0"/>
              <w:jc w:val="center"/>
              <w:rPr>
                <w:b/>
                <w:bCs/>
                <w:color w:themeColor="background1" w:val="FFFFFF"/>
                <w:sz w:val="22"/>
                <w:szCs w:val="22"/>
              </w:rPr>
            </w:pPr>
            <w:r>
              <w:rPr>
                <w:rFonts w:eastAsia="游明朝"/>
                <w:b/>
                <w:bCs/>
                <w:color w:themeColor="background1" w:val="FFFFFF"/>
                <w:sz w:val="22"/>
                <w:szCs w:val="22"/>
                <w:lang w:val="en-US" w:eastAsia="en-US" w:bidi="ar-SA"/>
              </w:rPr>
              <w:t>UNIT 3</w:t>
            </w:r>
          </w:p>
        </w:tc>
        <w:tc>
          <w:tcPr>
            <w:tcW w:w="3414" w:type="dxa"/>
            <w:tcBorders>
              <w:top w:val="single" w:sz="4" w:space="0" w:color="196B24"/>
              <w:left w:val="single" w:sz="4" w:space="0" w:color="196B24"/>
              <w:bottom w:val="single" w:sz="4" w:space="0" w:color="196B24"/>
              <w:right w:val="single" w:sz="4" w:space="0" w:color="196B24"/>
            </w:tcBorders>
            <w:shd w:color="3A7C22" w:fill="auto" w:themeColor="accent6" w:themeShade="bf" w:val="solid"/>
          </w:tcPr>
          <w:p>
            <w:pPr>
              <w:pStyle w:val="Normal"/>
              <w:widowControl/>
              <w:suppressAutoHyphens w:val="true"/>
              <w:spacing w:before="0" w:after="0"/>
              <w:jc w:val="center"/>
              <w:rPr>
                <w:b/>
                <w:bCs/>
                <w:color w:themeColor="background1" w:val="FFFFFF"/>
                <w:sz w:val="22"/>
                <w:szCs w:val="22"/>
              </w:rPr>
            </w:pPr>
            <w:r>
              <w:rPr>
                <w:b/>
                <w:bCs/>
                <w:color w:themeColor="background1" w:val="FFFFFF"/>
                <w:sz w:val="22"/>
                <w:szCs w:val="22"/>
              </w:rPr>
            </w:r>
          </w:p>
        </w:tc>
      </w:tr>
      <w:tr>
        <w:trPr>
          <w:trHeight w:val="20" w:hRule="atLeast"/>
        </w:trPr>
        <w:tc>
          <w:tcPr>
            <w:tcW w:w="1345" w:type="dxa"/>
            <w:tcBorders>
              <w:top w:val="single" w:sz="4" w:space="0" w:color="196B24"/>
              <w:left w:val="single" w:sz="4" w:space="0" w:color="196B24"/>
              <w:bottom w:val="single" w:sz="4" w:space="0" w:color="196B24"/>
              <w:right w:val="nil"/>
            </w:tcBorders>
            <w:shd w:color="auto" w:fill="FFFFFF" w:themeFill="background1" w:val="clear"/>
          </w:tcPr>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t>Week 9</w:t>
            </w:r>
          </w:p>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r>
          </w:p>
        </w:tc>
        <w:tc>
          <w:tcPr>
            <w:tcW w:w="1800" w:type="dxa"/>
            <w:tcBorders>
              <w:top w:val="single" w:sz="4" w:space="0" w:color="196B24"/>
              <w:left w:val="nil"/>
              <w:bottom w:val="single" w:sz="4" w:space="0" w:color="196B24"/>
              <w:right w:val="nil"/>
            </w:tcBorders>
            <w:shd w:color="auto" w:fill="D9F2D0" w:themeFill="accent6" w:themeFillTint="33" w:val="clear"/>
          </w:tcPr>
          <w:p>
            <w:pPr>
              <w:pStyle w:val="Normal"/>
              <w:widowControl/>
              <w:suppressAutoHyphens w:val="true"/>
              <w:spacing w:before="0" w:after="0"/>
              <w:jc w:val="left"/>
              <w:rPr>
                <w:rFonts w:eastAsia="游明朝"/>
                <w:sz w:val="20"/>
                <w:szCs w:val="20"/>
                <w:lang w:val="en-US" w:eastAsia="en-US" w:bidi="ar-SA"/>
              </w:rPr>
            </w:pPr>
            <w:r>
              <w:rPr/>
            </w:r>
          </w:p>
        </w:tc>
        <w:tc>
          <w:tcPr>
            <w:tcW w:w="2790" w:type="dxa"/>
            <w:tcBorders>
              <w:top w:val="single" w:sz="4" w:space="0" w:color="196B24"/>
              <w:left w:val="nil"/>
              <w:bottom w:val="single" w:sz="4" w:space="0" w:color="196B24"/>
              <w:right w:val="nil"/>
            </w:tcBorders>
            <w:shd w:color="auto" w:fill="B3E5A1" w:themeFill="accent6" w:themeFillTint="66" w:val="clear"/>
          </w:tcPr>
          <w:p>
            <w:pPr>
              <w:pStyle w:val="Normal"/>
              <w:widowControl/>
              <w:suppressAutoHyphens w:val="true"/>
              <w:spacing w:before="0" w:after="0"/>
              <w:jc w:val="left"/>
              <w:rPr>
                <w:b/>
                <w:bCs/>
              </w:rPr>
            </w:pPr>
            <w:r>
              <w:rPr>
                <w:b/>
                <w:bCs/>
              </w:rPr>
            </w:r>
          </w:p>
        </w:tc>
        <w:tc>
          <w:tcPr>
            <w:tcW w:w="3414" w:type="dxa"/>
            <w:tcBorders>
              <w:top w:val="single" w:sz="4" w:space="0" w:color="196B24"/>
              <w:left w:val="nil"/>
              <w:bottom w:val="single" w:sz="4" w:space="0" w:color="196B24"/>
              <w:right w:val="single" w:sz="4" w:space="0" w:color="196B24"/>
            </w:tcBorders>
            <w:shd w:color="auto" w:fill="8DD873" w:themeFill="accent6" w:themeFillTint="99" w:val="clear"/>
          </w:tcPr>
          <w:p>
            <w:pPr>
              <w:pStyle w:val="Normal"/>
              <w:widowControl/>
              <w:suppressAutoHyphens w:val="true"/>
              <w:spacing w:before="0" w:after="0"/>
              <w:jc w:val="left"/>
              <w:rPr>
                <w:sz w:val="20"/>
                <w:szCs w:val="20"/>
              </w:rPr>
            </w:pPr>
            <w:r>
              <w:rPr>
                <w:sz w:val="20"/>
                <w:szCs w:val="20"/>
              </w:rPr>
              <w:t>First draft of MA 3</w:t>
            </w:r>
          </w:p>
        </w:tc>
      </w:tr>
      <w:tr>
        <w:trPr>
          <w:trHeight w:val="20" w:hRule="atLeast"/>
        </w:trPr>
        <w:tc>
          <w:tcPr>
            <w:tcW w:w="1345" w:type="dxa"/>
            <w:tcBorders>
              <w:top w:val="single" w:sz="4" w:space="0" w:color="196B24"/>
              <w:left w:val="single" w:sz="4" w:space="0" w:color="196B24"/>
              <w:bottom w:val="single" w:sz="4" w:space="0" w:color="196B24"/>
              <w:right w:val="nil"/>
            </w:tcBorders>
            <w:shd w:color="auto" w:fill="FFFFFF" w:themeFill="background1" w:val="clear"/>
          </w:tcPr>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t>Week 10</w:t>
            </w:r>
          </w:p>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r>
          </w:p>
        </w:tc>
        <w:tc>
          <w:tcPr>
            <w:tcW w:w="1800" w:type="dxa"/>
            <w:tcBorders>
              <w:top w:val="single" w:sz="4" w:space="0" w:color="196B24"/>
              <w:left w:val="nil"/>
              <w:bottom w:val="single" w:sz="4" w:space="0" w:color="196B24"/>
              <w:right w:val="nil"/>
            </w:tcBorders>
            <w:shd w:color="auto" w:fill="D9F2D0" w:themeFill="accent6" w:themeFillTint="33" w:val="clear"/>
          </w:tcPr>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t>CH 6 | Beginnings, Middles, and Ends</w:t>
            </w:r>
          </w:p>
        </w:tc>
        <w:tc>
          <w:tcPr>
            <w:tcW w:w="2790" w:type="dxa"/>
            <w:tcBorders>
              <w:top w:val="single" w:sz="4" w:space="0" w:color="196B24"/>
              <w:left w:val="nil"/>
              <w:bottom w:val="single" w:sz="4" w:space="0" w:color="196B24"/>
              <w:right w:val="nil"/>
            </w:tcBorders>
            <w:shd w:color="auto" w:fill="B3E5A1" w:themeFill="accent6" w:themeFillTint="66" w:val="clear"/>
          </w:tcPr>
          <w:p>
            <w:pPr>
              <w:pStyle w:val="Normal"/>
              <w:widowControl/>
              <w:suppressAutoHyphens w:val="true"/>
              <w:spacing w:before="0" w:after="0"/>
              <w:ind w:left="360"/>
              <w:jc w:val="left"/>
              <w:rPr>
                <w:rFonts w:eastAsia="游明朝"/>
                <w:sz w:val="20"/>
                <w:szCs w:val="20"/>
                <w:lang w:val="en-US" w:eastAsia="en-US" w:bidi="ar-SA"/>
              </w:rPr>
            </w:pPr>
            <w:r>
              <w:rPr>
                <w:rFonts w:eastAsia="游明朝"/>
                <w:sz w:val="20"/>
                <w:szCs w:val="20"/>
                <w:lang w:val="en-US" w:eastAsia="en-US" w:bidi="ar-SA"/>
              </w:rPr>
            </w:r>
          </w:p>
        </w:tc>
        <w:tc>
          <w:tcPr>
            <w:tcW w:w="3414" w:type="dxa"/>
            <w:tcBorders>
              <w:top w:val="single" w:sz="4" w:space="0" w:color="196B24"/>
              <w:left w:val="nil"/>
              <w:bottom w:val="single" w:sz="4" w:space="0" w:color="196B24"/>
              <w:right w:val="single" w:sz="4" w:space="0" w:color="196B24"/>
            </w:tcBorders>
            <w:shd w:color="auto" w:fill="8DD873" w:themeFill="accent6" w:themeFillTint="99" w:val="clear"/>
          </w:tcPr>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r>
          </w:p>
        </w:tc>
      </w:tr>
      <w:tr>
        <w:trPr>
          <w:trHeight w:val="20" w:hRule="atLeast"/>
        </w:trPr>
        <w:tc>
          <w:tcPr>
            <w:tcW w:w="1345" w:type="dxa"/>
            <w:tcBorders>
              <w:top w:val="single" w:sz="4" w:space="0" w:color="196B24"/>
              <w:left w:val="single" w:sz="4" w:space="0" w:color="196B24"/>
              <w:bottom w:val="single" w:sz="4" w:space="0" w:color="196B24"/>
              <w:right w:val="nil"/>
            </w:tcBorders>
            <w:shd w:color="auto" w:fill="FFFFFF" w:themeFill="background1" w:val="clear"/>
          </w:tcPr>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t>Week 11</w:t>
            </w:r>
          </w:p>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r>
          </w:p>
        </w:tc>
        <w:tc>
          <w:tcPr>
            <w:tcW w:w="1800" w:type="dxa"/>
            <w:tcBorders>
              <w:top w:val="single" w:sz="4" w:space="0" w:color="196B24"/>
              <w:left w:val="nil"/>
              <w:bottom w:val="single" w:sz="4" w:space="0" w:color="196B24"/>
              <w:right w:val="nil"/>
            </w:tcBorders>
            <w:shd w:color="auto" w:fill="D9F2D0" w:themeFill="accent6" w:themeFillTint="33" w:val="clear"/>
          </w:tcPr>
          <w:p>
            <w:pPr>
              <w:pStyle w:val="Normal"/>
              <w:widowControl/>
              <w:suppressAutoHyphens w:val="true"/>
              <w:spacing w:before="0" w:after="0"/>
              <w:ind w:left="360"/>
              <w:jc w:val="left"/>
              <w:rPr>
                <w:rFonts w:eastAsia="游明朝"/>
                <w:sz w:val="20"/>
                <w:szCs w:val="20"/>
                <w:lang w:val="en-US" w:eastAsia="en-US" w:bidi="ar-SA"/>
              </w:rPr>
            </w:pPr>
            <w:r>
              <w:rPr>
                <w:rFonts w:eastAsia="游明朝"/>
                <w:sz w:val="20"/>
                <w:szCs w:val="20"/>
                <w:lang w:val="en-US" w:eastAsia="en-US" w:bidi="ar-SA"/>
              </w:rPr>
            </w:r>
          </w:p>
        </w:tc>
        <w:tc>
          <w:tcPr>
            <w:tcW w:w="2790" w:type="dxa"/>
            <w:tcBorders>
              <w:top w:val="single" w:sz="4" w:space="0" w:color="196B24"/>
              <w:left w:val="nil"/>
              <w:bottom w:val="single" w:sz="4" w:space="0" w:color="196B24"/>
              <w:right w:val="nil"/>
            </w:tcBorders>
            <w:shd w:color="auto" w:fill="B3E5A1" w:themeFill="accent6" w:themeFillTint="66" w:val="clear"/>
          </w:tcPr>
          <w:p>
            <w:pPr>
              <w:pStyle w:val="Normal"/>
              <w:widowControl/>
              <w:suppressAutoHyphens w:val="true"/>
              <w:spacing w:before="0" w:after="0"/>
              <w:ind w:left="360"/>
              <w:jc w:val="left"/>
              <w:rPr>
                <w:rFonts w:eastAsia="游明朝"/>
                <w:sz w:val="20"/>
                <w:szCs w:val="20"/>
                <w:lang w:val="en-US" w:eastAsia="en-US" w:bidi="ar-SA"/>
              </w:rPr>
            </w:pPr>
            <w:r>
              <w:rPr>
                <w:rFonts w:eastAsia="游明朝"/>
                <w:sz w:val="20"/>
                <w:szCs w:val="20"/>
                <w:lang w:val="en-US" w:eastAsia="en-US" w:bidi="ar-SA"/>
              </w:rPr>
            </w:r>
          </w:p>
        </w:tc>
        <w:tc>
          <w:tcPr>
            <w:tcW w:w="3414" w:type="dxa"/>
            <w:tcBorders>
              <w:top w:val="single" w:sz="4" w:space="0" w:color="196B24"/>
              <w:left w:val="nil"/>
              <w:bottom w:val="single" w:sz="4" w:space="0" w:color="196B24"/>
              <w:right w:val="single" w:sz="4" w:space="0" w:color="196B24"/>
            </w:tcBorders>
            <w:shd w:color="auto" w:fill="8DD873" w:themeFill="accent6" w:themeFillTint="99" w:val="clear"/>
          </w:tcPr>
          <w:p>
            <w:pPr>
              <w:pStyle w:val="Normal"/>
              <w:widowControl/>
              <w:suppressAutoHyphens w:val="true"/>
              <w:spacing w:before="0" w:after="0"/>
              <w:jc w:val="left"/>
              <w:rPr>
                <w:rFonts w:eastAsia="游明朝"/>
                <w:sz w:val="20"/>
                <w:szCs w:val="20"/>
                <w:lang w:val="en-US" w:eastAsia="en-US" w:bidi="ar-SA"/>
              </w:rPr>
            </w:pPr>
            <w:r>
              <w:rPr/>
            </w:r>
          </w:p>
        </w:tc>
      </w:tr>
      <w:tr>
        <w:trPr>
          <w:trHeight w:val="20" w:hRule="atLeast"/>
        </w:trPr>
        <w:tc>
          <w:tcPr>
            <w:tcW w:w="1345" w:type="dxa"/>
            <w:tcBorders>
              <w:top w:val="single" w:sz="4" w:space="0" w:color="196B24"/>
              <w:left w:val="single" w:sz="4" w:space="0" w:color="196B24"/>
              <w:right w:val="nil"/>
            </w:tcBorders>
            <w:shd w:color="auto" w:fill="FFFFFF" w:themeFill="background1" w:val="clear"/>
          </w:tcPr>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t>Week 12</w:t>
            </w:r>
          </w:p>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r>
          </w:p>
        </w:tc>
        <w:tc>
          <w:tcPr>
            <w:tcW w:w="1800" w:type="dxa"/>
            <w:tcBorders>
              <w:top w:val="single" w:sz="4" w:space="0" w:color="196B24"/>
              <w:left w:val="nil"/>
              <w:right w:val="nil"/>
            </w:tcBorders>
            <w:shd w:color="auto" w:fill="D9F2D0" w:themeFill="accent6" w:themeFillTint="33" w:val="clear"/>
          </w:tcPr>
          <w:p>
            <w:pPr>
              <w:pStyle w:val="Normal"/>
              <w:widowControl/>
              <w:suppressAutoHyphens w:val="true"/>
              <w:spacing w:before="0" w:after="0"/>
              <w:ind w:left="360"/>
              <w:contextualSpacing/>
              <w:jc w:val="left"/>
              <w:rPr>
                <w:rFonts w:eastAsia="游明朝"/>
                <w:sz w:val="20"/>
                <w:szCs w:val="20"/>
                <w:lang w:val="en-US" w:eastAsia="en-US" w:bidi="ar-SA"/>
              </w:rPr>
            </w:pPr>
            <w:r>
              <w:rPr>
                <w:rFonts w:eastAsia="游明朝"/>
                <w:sz w:val="20"/>
                <w:szCs w:val="20"/>
                <w:lang w:val="en-US" w:eastAsia="en-US" w:bidi="ar-SA"/>
              </w:rPr>
            </w:r>
          </w:p>
        </w:tc>
        <w:tc>
          <w:tcPr>
            <w:tcW w:w="2790" w:type="dxa"/>
            <w:tcBorders>
              <w:top w:val="single" w:sz="4" w:space="0" w:color="196B24"/>
              <w:left w:val="nil"/>
              <w:right w:val="nil"/>
            </w:tcBorders>
            <w:shd w:color="auto" w:fill="B3E5A1" w:themeFill="accent6" w:themeFillTint="66" w:val="clear"/>
          </w:tcPr>
          <w:p>
            <w:pPr>
              <w:pStyle w:val="Normal"/>
              <w:widowControl/>
              <w:suppressAutoHyphens w:val="true"/>
              <w:spacing w:before="0" w:after="0"/>
              <w:ind w:left="360"/>
              <w:contextualSpacing/>
              <w:jc w:val="left"/>
              <w:rPr>
                <w:rFonts w:eastAsia="游明朝"/>
                <w:sz w:val="20"/>
                <w:szCs w:val="20"/>
                <w:lang w:val="en-US" w:eastAsia="en-US" w:bidi="ar-SA"/>
              </w:rPr>
            </w:pPr>
            <w:r>
              <w:rPr/>
            </w:r>
          </w:p>
        </w:tc>
        <w:tc>
          <w:tcPr>
            <w:tcW w:w="3414" w:type="dxa"/>
            <w:tcBorders>
              <w:top w:val="single" w:sz="4" w:space="0" w:color="196B24"/>
              <w:left w:val="nil"/>
              <w:right w:val="single" w:sz="4" w:space="0" w:color="196B24"/>
            </w:tcBorders>
            <w:shd w:color="auto" w:fill="8DD873" w:themeFill="accent6" w:themeFillTint="99" w:val="clear"/>
          </w:tcPr>
          <w:p>
            <w:pPr>
              <w:pStyle w:val="Normal"/>
              <w:widowControl/>
              <w:suppressAutoHyphens w:val="true"/>
              <w:spacing w:before="0" w:after="0"/>
              <w:contextualSpacing/>
              <w:jc w:val="left"/>
              <w:rPr>
                <w:rFonts w:eastAsia="游明朝"/>
                <w:sz w:val="20"/>
                <w:szCs w:val="20"/>
                <w:lang w:val="en-US" w:eastAsia="en-US" w:bidi="ar-SA"/>
              </w:rPr>
            </w:pPr>
            <w:r>
              <w:rPr/>
            </w:r>
          </w:p>
        </w:tc>
      </w:tr>
      <w:tr>
        <w:trPr>
          <w:trHeight w:val="20" w:hRule="atLeast"/>
        </w:trPr>
        <w:tc>
          <w:tcPr>
            <w:tcW w:w="1345" w:type="dxa"/>
            <w:tcBorders>
              <w:left w:val="single" w:sz="4" w:space="0" w:color="196B24"/>
              <w:right w:val="nil"/>
            </w:tcBorders>
            <w:shd w:color="auto" w:fill="FFFFFF" w:themeFill="background1" w:val="clear"/>
          </w:tcPr>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t>Week 13</w:t>
            </w:r>
          </w:p>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r>
          </w:p>
        </w:tc>
        <w:tc>
          <w:tcPr>
            <w:tcW w:w="1800" w:type="dxa"/>
            <w:tcBorders>
              <w:left w:val="nil"/>
              <w:right w:val="nil"/>
            </w:tcBorders>
            <w:shd w:color="auto" w:fill="D9F2D0" w:themeFill="accent6" w:themeFillTint="33" w:val="clear"/>
          </w:tcPr>
          <w:p>
            <w:pPr>
              <w:pStyle w:val="Normal"/>
              <w:widowControl/>
              <w:suppressAutoHyphens w:val="true"/>
              <w:spacing w:before="0" w:after="0"/>
              <w:ind w:left="360"/>
              <w:contextualSpacing/>
              <w:jc w:val="left"/>
              <w:rPr>
                <w:rFonts w:eastAsia="游明朝"/>
                <w:sz w:val="20"/>
                <w:szCs w:val="20"/>
                <w:lang w:val="en-US" w:eastAsia="en-US" w:bidi="ar-SA"/>
              </w:rPr>
            </w:pPr>
            <w:r>
              <w:rPr>
                <w:rFonts w:eastAsia="游明朝"/>
                <w:sz w:val="20"/>
                <w:szCs w:val="20"/>
                <w:lang w:val="en-US" w:eastAsia="en-US" w:bidi="ar-SA"/>
              </w:rPr>
            </w:r>
          </w:p>
        </w:tc>
        <w:tc>
          <w:tcPr>
            <w:tcW w:w="2790" w:type="dxa"/>
            <w:tcBorders>
              <w:left w:val="nil"/>
              <w:right w:val="nil"/>
            </w:tcBorders>
            <w:shd w:color="auto" w:fill="B3E5A1" w:themeFill="accent6" w:themeFillTint="66" w:val="clear"/>
          </w:tcPr>
          <w:p>
            <w:pPr>
              <w:pStyle w:val="Normal"/>
              <w:widowControl/>
              <w:suppressAutoHyphens w:val="true"/>
              <w:spacing w:before="0" w:after="0"/>
              <w:ind w:left="360"/>
              <w:contextualSpacing/>
              <w:jc w:val="left"/>
              <w:rPr>
                <w:sz w:val="20"/>
                <w:szCs w:val="20"/>
              </w:rPr>
            </w:pPr>
            <w:r>
              <w:rPr>
                <w:sz w:val="20"/>
                <w:szCs w:val="20"/>
              </w:rPr>
              <w:t>Peer Review</w:t>
            </w:r>
          </w:p>
        </w:tc>
        <w:tc>
          <w:tcPr>
            <w:tcW w:w="3414" w:type="dxa"/>
            <w:tcBorders>
              <w:left w:val="nil"/>
              <w:right w:val="single" w:sz="4" w:space="0" w:color="196B24"/>
            </w:tcBorders>
            <w:shd w:color="auto" w:fill="8DD873" w:themeFill="accent6" w:themeFillTint="99" w:val="clear"/>
          </w:tcPr>
          <w:p>
            <w:pPr>
              <w:pStyle w:val="Normal"/>
              <w:widowControl/>
              <w:suppressAutoHyphens w:val="true"/>
              <w:spacing w:before="0" w:after="0"/>
              <w:jc w:val="left"/>
              <w:rPr>
                <w:b w:val="false"/>
                <w:bCs w:val="false"/>
              </w:rPr>
            </w:pPr>
            <w:r>
              <w:rPr>
                <w:rFonts w:eastAsia="游明朝"/>
                <w:b w:val="false"/>
                <w:bCs w:val="false"/>
                <w:sz w:val="20"/>
                <w:szCs w:val="20"/>
                <w:lang w:val="en-US" w:eastAsia="en-US" w:bidi="ar-SA"/>
              </w:rPr>
              <w:t>Online Peer Review of MA 3</w:t>
            </w:r>
          </w:p>
          <w:p>
            <w:pPr>
              <w:pStyle w:val="Normal"/>
              <w:widowControl/>
              <w:suppressAutoHyphens w:val="true"/>
              <w:spacing w:before="0" w:after="0"/>
              <w:jc w:val="left"/>
              <w:rPr>
                <w:b/>
                <w:bCs/>
              </w:rPr>
            </w:pPr>
            <w:r>
              <w:rPr>
                <w:rFonts w:eastAsia="游明朝"/>
                <w:b/>
                <w:bCs/>
                <w:sz w:val="20"/>
                <w:szCs w:val="20"/>
                <w:lang w:val="en-US" w:eastAsia="en-US" w:bidi="ar-SA"/>
              </w:rPr>
              <w:t>MA 3 | Analysis essay final draft</w:t>
            </w:r>
          </w:p>
        </w:tc>
      </w:tr>
      <w:tr>
        <w:trPr>
          <w:trHeight w:val="20" w:hRule="atLeast"/>
        </w:trPr>
        <w:tc>
          <w:tcPr>
            <w:tcW w:w="1345" w:type="dxa"/>
            <w:tcBorders>
              <w:left w:val="single" w:sz="4" w:space="0" w:color="196B24"/>
              <w:bottom w:val="single" w:sz="4" w:space="0" w:color="196B24"/>
              <w:right w:val="nil"/>
            </w:tcBorders>
            <w:shd w:color="auto" w:fill="FFFFFF" w:themeFill="background1" w:val="clear"/>
          </w:tcPr>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t>Week 14</w:t>
            </w:r>
          </w:p>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r>
          </w:p>
        </w:tc>
        <w:tc>
          <w:tcPr>
            <w:tcW w:w="1800" w:type="dxa"/>
            <w:tcBorders>
              <w:left w:val="nil"/>
              <w:bottom w:val="single" w:sz="4" w:space="0" w:color="196B24"/>
              <w:right w:val="nil"/>
            </w:tcBorders>
            <w:shd w:color="auto" w:fill="D9F2D0" w:themeFill="accent6" w:themeFillTint="33" w:val="clear"/>
          </w:tcPr>
          <w:p>
            <w:pPr>
              <w:pStyle w:val="Normal"/>
              <w:widowControl/>
              <w:suppressAutoHyphens w:val="true"/>
              <w:spacing w:before="0" w:after="0"/>
              <w:contextualSpacing/>
              <w:jc w:val="left"/>
              <w:rPr>
                <w:rFonts w:eastAsia="游明朝"/>
                <w:sz w:val="20"/>
                <w:szCs w:val="20"/>
                <w:lang w:val="en-US" w:eastAsia="en-US" w:bidi="ar-SA"/>
              </w:rPr>
            </w:pPr>
            <w:r>
              <w:rPr>
                <w:rFonts w:eastAsia="游明朝"/>
                <w:sz w:val="20"/>
                <w:szCs w:val="20"/>
                <w:lang w:val="en-US" w:eastAsia="en-US" w:bidi="ar-SA"/>
              </w:rPr>
            </w:r>
          </w:p>
        </w:tc>
        <w:tc>
          <w:tcPr>
            <w:tcW w:w="2790" w:type="dxa"/>
            <w:tcBorders>
              <w:left w:val="nil"/>
              <w:bottom w:val="single" w:sz="4" w:space="0" w:color="196B24"/>
              <w:right w:val="nil"/>
            </w:tcBorders>
            <w:shd w:color="auto" w:fill="B3E5A1" w:themeFill="accent6" w:themeFillTint="66" w:val="clear"/>
          </w:tcPr>
          <w:p>
            <w:pPr>
              <w:pStyle w:val="Normal"/>
              <w:widowControl/>
              <w:suppressAutoHyphens w:val="true"/>
              <w:spacing w:before="0" w:after="0"/>
              <w:ind w:left="360"/>
              <w:contextualSpacing/>
              <w:jc w:val="left"/>
              <w:rPr>
                <w:rFonts w:eastAsia="游明朝"/>
                <w:sz w:val="20"/>
                <w:szCs w:val="20"/>
                <w:lang w:val="en-US" w:eastAsia="en-US" w:bidi="ar-SA"/>
              </w:rPr>
            </w:pPr>
            <w:r>
              <w:rPr>
                <w:rFonts w:eastAsia="游明朝"/>
                <w:sz w:val="20"/>
                <w:szCs w:val="20"/>
                <w:lang w:val="en-US" w:eastAsia="en-US" w:bidi="ar-SA"/>
              </w:rPr>
              <w:t>Introduce final project</w:t>
            </w:r>
          </w:p>
        </w:tc>
        <w:tc>
          <w:tcPr>
            <w:tcW w:w="3414" w:type="dxa"/>
            <w:tcBorders>
              <w:left w:val="nil"/>
              <w:bottom w:val="single" w:sz="4" w:space="0" w:color="196B24"/>
              <w:right w:val="single" w:sz="4" w:space="0" w:color="196B24"/>
            </w:tcBorders>
            <w:shd w:color="auto" w:fill="8DD873" w:themeFill="accent6" w:themeFillTint="99" w:val="clear"/>
          </w:tcPr>
          <w:p>
            <w:pPr>
              <w:pStyle w:val="Normal"/>
              <w:widowControl/>
              <w:suppressAutoHyphens w:val="true"/>
              <w:spacing w:before="0" w:after="0"/>
              <w:ind w:left="360"/>
              <w:contextualSpacing/>
              <w:jc w:val="left"/>
              <w:rPr>
                <w:rFonts w:eastAsia="游明朝"/>
                <w:sz w:val="20"/>
                <w:szCs w:val="20"/>
                <w:lang w:val="en-US" w:eastAsia="en-US" w:bidi="ar-SA"/>
              </w:rPr>
            </w:pPr>
            <w:r>
              <w:rPr>
                <w:rFonts w:eastAsia="游明朝"/>
                <w:sz w:val="20"/>
                <w:szCs w:val="20"/>
                <w:lang w:val="en-US" w:eastAsia="en-US" w:bidi="ar-SA"/>
              </w:rPr>
            </w:r>
          </w:p>
        </w:tc>
      </w:tr>
      <w:tr>
        <w:trPr>
          <w:trHeight w:val="20" w:hRule="atLeast"/>
        </w:trPr>
        <w:tc>
          <w:tcPr>
            <w:tcW w:w="1345" w:type="dxa"/>
            <w:tcBorders>
              <w:top w:val="single" w:sz="4" w:space="0" w:color="196B24"/>
              <w:left w:val="single" w:sz="4" w:space="0" w:color="196B24"/>
              <w:bottom w:val="single" w:sz="4" w:space="0" w:color="196B24"/>
              <w:right w:val="nil"/>
            </w:tcBorders>
            <w:shd w:color="auto" w:fill="FFFFFF" w:themeFill="background1" w:val="clear"/>
          </w:tcPr>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t>Week 15</w:t>
            </w:r>
          </w:p>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r>
          </w:p>
        </w:tc>
        <w:tc>
          <w:tcPr>
            <w:tcW w:w="1800" w:type="dxa"/>
            <w:tcBorders>
              <w:top w:val="single" w:sz="4" w:space="0" w:color="196B24"/>
              <w:left w:val="nil"/>
              <w:bottom w:val="single" w:sz="4" w:space="0" w:color="196B24"/>
              <w:right w:val="nil"/>
            </w:tcBorders>
            <w:shd w:color="auto" w:fill="D9F2D0" w:themeFill="accent6" w:themeFillTint="33" w:val="clear"/>
          </w:tcPr>
          <w:p>
            <w:pPr>
              <w:pStyle w:val="Normal"/>
              <w:widowControl/>
              <w:suppressAutoHyphens w:val="true"/>
              <w:spacing w:before="0" w:after="0"/>
              <w:contextualSpacing/>
              <w:jc w:val="left"/>
              <w:rPr>
                <w:rFonts w:eastAsia="游明朝"/>
                <w:sz w:val="20"/>
                <w:szCs w:val="20"/>
                <w:lang w:val="en-US" w:eastAsia="en-US" w:bidi="ar-SA"/>
              </w:rPr>
            </w:pPr>
            <w:r>
              <w:rPr>
                <w:rFonts w:eastAsia="游明朝"/>
                <w:sz w:val="20"/>
                <w:szCs w:val="20"/>
                <w:lang w:val="en-US" w:eastAsia="en-US" w:bidi="ar-SA"/>
              </w:rPr>
            </w:r>
          </w:p>
        </w:tc>
        <w:tc>
          <w:tcPr>
            <w:tcW w:w="2790" w:type="dxa"/>
            <w:tcBorders>
              <w:top w:val="single" w:sz="4" w:space="0" w:color="196B24"/>
              <w:left w:val="nil"/>
              <w:bottom w:val="single" w:sz="4" w:space="0" w:color="196B24"/>
              <w:right w:val="nil"/>
            </w:tcBorders>
            <w:shd w:color="auto" w:fill="B3E5A1" w:themeFill="accent6" w:themeFillTint="66" w:val="clear"/>
          </w:tcPr>
          <w:p>
            <w:pPr>
              <w:pStyle w:val="Normal"/>
              <w:widowControl/>
              <w:suppressAutoHyphens w:val="true"/>
              <w:spacing w:before="0" w:after="0"/>
              <w:contextualSpacing/>
              <w:jc w:val="left"/>
              <w:rPr>
                <w:b/>
                <w:bCs/>
              </w:rPr>
            </w:pPr>
            <w:r>
              <w:rPr>
                <w:b/>
                <w:bCs/>
              </w:rPr>
            </w:r>
          </w:p>
          <w:p>
            <w:pPr>
              <w:pStyle w:val="Normal"/>
              <w:widowControl/>
              <w:suppressAutoHyphens w:val="true"/>
              <w:spacing w:before="0" w:after="0"/>
              <w:contextualSpacing/>
              <w:jc w:val="left"/>
              <w:rPr>
                <w:b/>
                <w:bCs/>
              </w:rPr>
            </w:pPr>
            <w:r>
              <w:rPr>
                <w:rFonts w:eastAsia="游明朝"/>
                <w:b/>
                <w:bCs/>
                <w:sz w:val="20"/>
                <w:szCs w:val="20"/>
                <w:lang w:val="en-US" w:eastAsia="en-US" w:bidi="ar-SA"/>
              </w:rPr>
              <w:t>FALL BREAK: NO CLASS</w:t>
            </w:r>
          </w:p>
        </w:tc>
        <w:tc>
          <w:tcPr>
            <w:tcW w:w="3414" w:type="dxa"/>
            <w:tcBorders>
              <w:top w:val="single" w:sz="4" w:space="0" w:color="196B24"/>
              <w:left w:val="nil"/>
              <w:bottom w:val="single" w:sz="4" w:space="0" w:color="196B24"/>
              <w:right w:val="single" w:sz="4" w:space="0" w:color="196B24"/>
            </w:tcBorders>
            <w:shd w:color="auto" w:fill="8DD873" w:themeFill="accent6" w:themeFillTint="99" w:val="clear"/>
          </w:tcPr>
          <w:p>
            <w:pPr>
              <w:pStyle w:val="Normal"/>
              <w:widowControl/>
              <w:suppressAutoHyphens w:val="true"/>
              <w:spacing w:before="0" w:after="0"/>
              <w:ind w:left="360"/>
              <w:contextualSpacing/>
              <w:jc w:val="left"/>
              <w:rPr>
                <w:rFonts w:eastAsia="游明朝"/>
                <w:sz w:val="20"/>
                <w:szCs w:val="20"/>
                <w:lang w:val="en-US" w:eastAsia="en-US" w:bidi="ar-SA"/>
              </w:rPr>
            </w:pPr>
            <w:r>
              <w:rPr>
                <w:rFonts w:eastAsia="游明朝"/>
                <w:sz w:val="20"/>
                <w:szCs w:val="20"/>
                <w:lang w:val="en-US" w:eastAsia="en-US" w:bidi="ar-SA"/>
              </w:rPr>
            </w:r>
          </w:p>
        </w:tc>
      </w:tr>
      <w:tr>
        <w:trPr>
          <w:trHeight w:val="20" w:hRule="atLeast"/>
        </w:trPr>
        <w:tc>
          <w:tcPr>
            <w:tcW w:w="1345" w:type="dxa"/>
            <w:tcBorders>
              <w:top w:val="single" w:sz="4" w:space="0" w:color="196B24"/>
              <w:left w:val="single" w:sz="4" w:space="0" w:color="196B24"/>
              <w:bottom w:val="single" w:sz="4" w:space="0" w:color="196B24"/>
              <w:right w:val="nil"/>
            </w:tcBorders>
            <w:shd w:color="auto" w:fill="FFFFFF" w:themeFill="background1" w:val="clear"/>
          </w:tcPr>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t>Week 16</w:t>
            </w:r>
          </w:p>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r>
          </w:p>
        </w:tc>
        <w:tc>
          <w:tcPr>
            <w:tcW w:w="1800" w:type="dxa"/>
            <w:tcBorders>
              <w:top w:val="single" w:sz="4" w:space="0" w:color="196B24"/>
              <w:left w:val="nil"/>
              <w:bottom w:val="single" w:sz="4" w:space="0" w:color="196B24"/>
              <w:right w:val="nil"/>
            </w:tcBorders>
            <w:shd w:color="auto" w:fill="D9F2D0" w:themeFill="accent6" w:themeFillTint="33" w:val="clear"/>
          </w:tcPr>
          <w:p>
            <w:pPr>
              <w:pStyle w:val="Normal"/>
              <w:widowControl/>
              <w:suppressAutoHyphens w:val="true"/>
              <w:spacing w:before="0" w:after="0"/>
              <w:contextualSpacing/>
              <w:jc w:val="left"/>
              <w:rPr>
                <w:rFonts w:eastAsia="游明朝"/>
                <w:sz w:val="20"/>
                <w:szCs w:val="20"/>
                <w:lang w:val="en-US" w:eastAsia="en-US" w:bidi="ar-SA"/>
              </w:rPr>
            </w:pPr>
            <w:r>
              <w:rPr>
                <w:rFonts w:eastAsia="游明朝"/>
                <w:sz w:val="20"/>
                <w:szCs w:val="20"/>
                <w:lang w:val="en-US" w:eastAsia="en-US" w:bidi="ar-SA"/>
              </w:rPr>
            </w:r>
          </w:p>
        </w:tc>
        <w:tc>
          <w:tcPr>
            <w:tcW w:w="2790" w:type="dxa"/>
            <w:tcBorders>
              <w:top w:val="single" w:sz="4" w:space="0" w:color="196B24"/>
              <w:left w:val="nil"/>
              <w:bottom w:val="single" w:sz="4" w:space="0" w:color="196B24"/>
              <w:right w:val="nil"/>
            </w:tcBorders>
            <w:shd w:color="auto" w:fill="B3E5A1" w:themeFill="accent6" w:themeFillTint="66" w:val="clear"/>
          </w:tcPr>
          <w:p>
            <w:pPr>
              <w:pStyle w:val="Normal"/>
              <w:widowControl/>
              <w:suppressAutoHyphens w:val="true"/>
              <w:spacing w:before="0" w:after="0"/>
              <w:contextualSpacing/>
              <w:jc w:val="left"/>
              <w:rPr>
                <w:b/>
                <w:bCs/>
              </w:rPr>
            </w:pPr>
            <w:r>
              <w:rPr>
                <w:b/>
                <w:bCs/>
              </w:rPr>
            </w:r>
          </w:p>
        </w:tc>
        <w:tc>
          <w:tcPr>
            <w:tcW w:w="3414" w:type="dxa"/>
            <w:tcBorders>
              <w:top w:val="single" w:sz="4" w:space="0" w:color="196B24"/>
              <w:left w:val="nil"/>
              <w:bottom w:val="single" w:sz="4" w:space="0" w:color="196B24"/>
              <w:right w:val="single" w:sz="4" w:space="0" w:color="196B24"/>
            </w:tcBorders>
            <w:shd w:color="auto" w:fill="8DD873" w:themeFill="accent6" w:themeFillTint="99" w:val="clear"/>
          </w:tcPr>
          <w:p>
            <w:pPr>
              <w:pStyle w:val="Normal"/>
              <w:widowControl/>
              <w:suppressAutoHyphens w:val="true"/>
              <w:spacing w:before="0" w:after="0"/>
              <w:contextualSpacing/>
              <w:jc w:val="left"/>
              <w:rPr>
                <w:rFonts w:eastAsia="游明朝"/>
                <w:sz w:val="20"/>
                <w:szCs w:val="20"/>
                <w:lang w:val="en-US" w:eastAsia="en-US" w:bidi="ar-SA"/>
              </w:rPr>
            </w:pPr>
            <w:r>
              <w:rPr>
                <w:rFonts w:eastAsia="游明朝"/>
                <w:b/>
                <w:bCs/>
                <w:sz w:val="20"/>
                <w:szCs w:val="20"/>
                <w:lang w:val="en-US" w:eastAsia="en-US" w:bidi="ar-SA"/>
              </w:rPr>
              <w:t>MA 4 | Final project presentations (tentative)</w:t>
            </w:r>
          </w:p>
        </w:tc>
      </w:tr>
      <w:tr>
        <w:trPr>
          <w:trHeight w:val="20" w:hRule="atLeast"/>
        </w:trPr>
        <w:tc>
          <w:tcPr>
            <w:tcW w:w="1345" w:type="dxa"/>
            <w:tcBorders>
              <w:top w:val="single" w:sz="4" w:space="0" w:color="196B24"/>
              <w:left w:val="single" w:sz="4" w:space="0" w:color="196B24"/>
              <w:bottom w:val="single" w:sz="4" w:space="0" w:color="196B24"/>
              <w:right w:val="nil"/>
            </w:tcBorders>
            <w:shd w:color="auto" w:fill="FFFFFF" w:themeFill="background1" w:val="clear"/>
          </w:tcPr>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t>FINALS</w:t>
            </w:r>
          </w:p>
          <w:p>
            <w:pPr>
              <w:pStyle w:val="Normal"/>
              <w:widowControl/>
              <w:suppressAutoHyphens w:val="true"/>
              <w:spacing w:before="0" w:after="0"/>
              <w:jc w:val="left"/>
              <w:rPr>
                <w:rFonts w:eastAsia="游明朝"/>
                <w:sz w:val="20"/>
                <w:szCs w:val="20"/>
                <w:lang w:val="en-US" w:eastAsia="en-US" w:bidi="ar-SA"/>
              </w:rPr>
            </w:pPr>
            <w:r>
              <w:rPr>
                <w:rFonts w:eastAsia="游明朝"/>
                <w:sz w:val="20"/>
                <w:szCs w:val="20"/>
                <w:lang w:val="en-US" w:eastAsia="en-US" w:bidi="ar-SA"/>
              </w:rPr>
            </w:r>
          </w:p>
        </w:tc>
        <w:tc>
          <w:tcPr>
            <w:tcW w:w="1800" w:type="dxa"/>
            <w:tcBorders>
              <w:top w:val="single" w:sz="4" w:space="0" w:color="196B24"/>
              <w:left w:val="nil"/>
              <w:bottom w:val="single" w:sz="4" w:space="0" w:color="196B24"/>
              <w:right w:val="nil"/>
            </w:tcBorders>
            <w:shd w:color="auto" w:fill="D9F2D0" w:themeFill="accent6" w:themeFillTint="33" w:val="clear"/>
          </w:tcPr>
          <w:p>
            <w:pPr>
              <w:pStyle w:val="Normal"/>
              <w:widowControl/>
              <w:suppressAutoHyphens w:val="true"/>
              <w:spacing w:before="0" w:after="0"/>
              <w:contextualSpacing/>
              <w:jc w:val="left"/>
              <w:rPr>
                <w:rFonts w:eastAsia="游明朝"/>
                <w:sz w:val="20"/>
                <w:szCs w:val="20"/>
                <w:lang w:val="en-US" w:eastAsia="en-US" w:bidi="ar-SA"/>
              </w:rPr>
            </w:pPr>
            <w:r>
              <w:rPr>
                <w:rFonts w:eastAsia="游明朝"/>
                <w:sz w:val="20"/>
                <w:szCs w:val="20"/>
                <w:lang w:val="en-US" w:eastAsia="en-US" w:bidi="ar-SA"/>
              </w:rPr>
            </w:r>
          </w:p>
        </w:tc>
        <w:tc>
          <w:tcPr>
            <w:tcW w:w="2790" w:type="dxa"/>
            <w:tcBorders>
              <w:top w:val="single" w:sz="4" w:space="0" w:color="196B24"/>
              <w:left w:val="nil"/>
              <w:bottom w:val="single" w:sz="4" w:space="0" w:color="196B24"/>
              <w:right w:val="nil"/>
            </w:tcBorders>
            <w:shd w:color="auto" w:fill="B3E5A1" w:themeFill="accent6" w:themeFillTint="66" w:val="clear"/>
          </w:tcPr>
          <w:p>
            <w:pPr>
              <w:pStyle w:val="Normal"/>
              <w:widowControl/>
              <w:suppressAutoHyphens w:val="true"/>
              <w:spacing w:before="0" w:after="0"/>
              <w:contextualSpacing/>
              <w:jc w:val="left"/>
              <w:rPr>
                <w:rFonts w:eastAsia="游明朝"/>
                <w:b/>
                <w:bCs/>
                <w:sz w:val="20"/>
                <w:szCs w:val="20"/>
                <w:lang w:val="en-US" w:eastAsia="en-US" w:bidi="ar-SA"/>
              </w:rPr>
            </w:pPr>
            <w:r>
              <w:rPr>
                <w:rFonts w:eastAsia="游明朝"/>
                <w:b/>
                <w:bCs/>
                <w:sz w:val="20"/>
                <w:szCs w:val="20"/>
                <w:lang w:val="en-US" w:eastAsia="en-US" w:bidi="ar-SA"/>
              </w:rPr>
              <w:t>NO EXAM: NO CLASS</w:t>
            </w:r>
          </w:p>
        </w:tc>
        <w:tc>
          <w:tcPr>
            <w:tcW w:w="3414" w:type="dxa"/>
            <w:tcBorders>
              <w:top w:val="single" w:sz="4" w:space="0" w:color="196B24"/>
              <w:left w:val="nil"/>
              <w:bottom w:val="single" w:sz="4" w:space="0" w:color="196B24"/>
              <w:right w:val="single" w:sz="4" w:space="0" w:color="196B24"/>
            </w:tcBorders>
            <w:shd w:color="auto" w:fill="8DD873" w:themeFill="accent6" w:themeFillTint="99" w:val="clear"/>
          </w:tcPr>
          <w:p>
            <w:pPr>
              <w:pStyle w:val="Normal"/>
              <w:widowControl/>
              <w:suppressAutoHyphens w:val="true"/>
              <w:spacing w:before="0" w:after="0"/>
              <w:contextualSpacing/>
              <w:jc w:val="left"/>
              <w:rPr>
                <w:b/>
                <w:bCs/>
              </w:rPr>
            </w:pPr>
            <w:r>
              <w:rPr>
                <w:b/>
                <w:bCs/>
              </w:rPr>
            </w:r>
          </w:p>
        </w:tc>
      </w:tr>
    </w:tbl>
    <w:p>
      <w:pPr>
        <w:pStyle w:val="SyllabusHeading2"/>
        <w:spacing w:before="0" w:after="120"/>
        <w:rPr/>
      </w:pPr>
      <w:r>
        <w:rPr/>
      </w:r>
    </w:p>
    <w:sectPr>
      <w:footerReference w:type="even" r:id="rId18"/>
      <w:footerReference w:type="default" r:id="rId19"/>
      <w:footerReference w:type="first" r:id="rId20"/>
      <w:type w:val="nextPage"/>
      <w:pgSz w:w="12240" w:h="15840"/>
      <w:pgMar w:left="1440" w:right="1440" w:gutter="0" w:header="0" w:top="1440" w:footer="72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w Cen MT">
    <w:charset w:val="01"/>
    <w:family w:val="roman"/>
    <w:pitch w:val="variable"/>
  </w:font>
  <w:font w:name="Aptos">
    <w:charset w:val="01"/>
    <w:family w:val="roman"/>
    <w:pitch w:val="variable"/>
  </w:font>
  <w:font w:name="Liberation Sans">
    <w:altName w:val="Arial"/>
    <w:charset w:val="01"/>
    <w:family w:val="roman"/>
    <w:pitch w:val="variable"/>
  </w:font>
  <w:font w:name="Segoe U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sdtPr>
    <w:sdtContent>
      <w:p>
        <w:pPr>
          <w:pStyle w:val="Footer"/>
          <w:rPr/>
        </w:pPr>
        <w:r>
          <mc:AlternateContent>
            <mc:Choice Requires="wps">
              <w:drawing>
                <wp:anchor behindDoc="1" distT="13335" distB="12065" distL="12700" distR="12700" simplePos="0" locked="0" layoutInCell="1" allowOverlap="1" relativeHeight="14" wp14:anchorId="133D8323">
                  <wp:simplePos x="0" y="0"/>
                  <wp:positionH relativeFrom="column">
                    <wp:posOffset>-1047750</wp:posOffset>
                  </wp:positionH>
                  <wp:positionV relativeFrom="paragraph">
                    <wp:posOffset>356235</wp:posOffset>
                  </wp:positionV>
                  <wp:extent cx="9486900" cy="142875"/>
                  <wp:effectExtent l="12700" t="13335" r="12700" b="12065"/>
                  <wp:wrapNone/>
                  <wp:docPr id="2" name="Rectangle 2"/>
                  <a:graphic xmlns:a="http://schemas.openxmlformats.org/drawingml/2006/main">
                    <a:graphicData uri="http://schemas.microsoft.com/office/word/2010/wordprocessingShape">
                      <wps:wsp>
                        <wps:cNvSpPr/>
                        <wps:spPr>
                          <a:xfrm>
                            <a:off x="0" y="0"/>
                            <a:ext cx="9487080" cy="142920"/>
                          </a:xfrm>
                          <a:prstGeom prst="rect">
                            <a:avLst/>
                          </a:prstGeom>
                          <a:solidFill>
                            <a:srgbClr val="4ea72e"/>
                          </a:solidFill>
                          <a:ln>
                            <a:solidFill>
                              <a:srgbClr val="ffffff"/>
                            </a:solidFill>
                          </a:ln>
                        </wps:spPr>
                        <wps:style>
                          <a:lnRef idx="3">
                            <a:schemeClr val="lt1"/>
                          </a:lnRef>
                          <a:fillRef idx="1">
                            <a:schemeClr val="accent6"/>
                          </a:fillRef>
                          <a:effectRef idx="1">
                            <a:schemeClr val="accent6"/>
                          </a:effectRef>
                          <a:fontRef idx="minor"/>
                        </wps:style>
                        <wps:bodyPr/>
                      </wps:wsp>
                    </a:graphicData>
                  </a:graphic>
                </wp:anchor>
              </w:drawing>
            </mc:Choice>
            <mc:Fallback>
              <w:pict>
                <v:rect id="shape_0" ID="Rectangle 2" path="m0,0l-2147483645,0l-2147483645,-2147483646l0,-2147483646xe" fillcolor="#4ea72e" stroked="t" o:allowincell="f" style="position:absolute;margin-left:-82.5pt;margin-top:28.05pt;width:746.95pt;height:11.2pt;mso-wrap-style:none;v-text-anchor:middle" wp14:anchorId="133D8323">
                  <v:fill o:detectmouseclick="t" type="solid" color2="#b158d1"/>
                  <v:stroke color="white" weight="25560" joinstyle="miter" endcap="flat"/>
                  <w10:wrap type="none"/>
                </v:rect>
              </w:pict>
            </mc:Fallback>
          </mc:AlternateContent>
          <w:drawing>
            <wp:anchor behindDoc="1" distT="0" distB="0" distL="0" distR="0" simplePos="0" locked="0" layoutInCell="1" allowOverlap="1" relativeHeight="26">
              <wp:simplePos x="0" y="0"/>
              <wp:positionH relativeFrom="column">
                <wp:posOffset>4732655</wp:posOffset>
              </wp:positionH>
              <wp:positionV relativeFrom="paragraph">
                <wp:posOffset>-323850</wp:posOffset>
              </wp:positionV>
              <wp:extent cx="1091565" cy="685165"/>
              <wp:effectExtent l="0" t="0" r="0" b="0"/>
              <wp:wrapNone/>
              <wp:docPr id="3"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
                      <pic:cNvPicPr>
                        <a:picLocks noChangeAspect="1" noChangeArrowheads="1"/>
                      </pic:cNvPicPr>
                    </pic:nvPicPr>
                    <pic:blipFill>
                      <a:blip r:embed="rId1"/>
                      <a:srcRect l="16817" t="24523" r="17320" b="34137"/>
                      <a:stretch>
                        <a:fillRect/>
                      </a:stretch>
                    </pic:blipFill>
                    <pic:spPr bwMode="auto">
                      <a:xfrm>
                        <a:off x="0" y="0"/>
                        <a:ext cx="1091565" cy="685165"/>
                      </a:xfrm>
                      <a:prstGeom prst="rect">
                        <a:avLst/>
                      </a:prstGeom>
                    </pic:spPr>
                  </pic:pic>
                </a:graphicData>
              </a:graphic>
            </wp:anchor>
          </w:drawing>
        </w:r>
        <w:r>
          <w:rPr/>
          <w:t>Revised 7.17.26</w:t>
          <w:tab/>
          <w:tab/>
        </w:r>
        <w:r>
          <w:rPr/>
          <w:fldChar w:fldCharType="begin"/>
        </w:r>
        <w:r>
          <w:rPr/>
          <w:instrText xml:space="preserve"> PAGE </w:instrText>
        </w:r>
        <w:r>
          <w:rPr/>
          <w:fldChar w:fldCharType="separate"/>
        </w:r>
        <w:r>
          <w:rPr/>
          <w:t>12</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sdtPr>
    <w:sdtContent>
      <w:p>
        <w:pPr>
          <w:pStyle w:val="Footer"/>
          <w:rPr/>
        </w:pPr>
        <w:r>
          <mc:AlternateContent>
            <mc:Choice Requires="wps">
              <w:drawing>
                <wp:anchor behindDoc="1" distT="13335" distB="12065" distL="12700" distR="12700" simplePos="0" locked="0" layoutInCell="1" allowOverlap="1" relativeHeight="14" wp14:anchorId="133D8323">
                  <wp:simplePos x="0" y="0"/>
                  <wp:positionH relativeFrom="column">
                    <wp:posOffset>-1047750</wp:posOffset>
                  </wp:positionH>
                  <wp:positionV relativeFrom="paragraph">
                    <wp:posOffset>356235</wp:posOffset>
                  </wp:positionV>
                  <wp:extent cx="9486900" cy="142875"/>
                  <wp:effectExtent l="12700" t="13335" r="12700" b="12065"/>
                  <wp:wrapNone/>
                  <wp:docPr id="4" name="Rectangle 2"/>
                  <a:graphic xmlns:a="http://schemas.openxmlformats.org/drawingml/2006/main">
                    <a:graphicData uri="http://schemas.microsoft.com/office/word/2010/wordprocessingShape">
                      <wps:wsp>
                        <wps:cNvSpPr/>
                        <wps:spPr>
                          <a:xfrm>
                            <a:off x="0" y="0"/>
                            <a:ext cx="9487080" cy="142920"/>
                          </a:xfrm>
                          <a:prstGeom prst="rect">
                            <a:avLst/>
                          </a:prstGeom>
                          <a:solidFill>
                            <a:srgbClr val="4ea72e"/>
                          </a:solidFill>
                          <a:ln>
                            <a:solidFill>
                              <a:srgbClr val="ffffff"/>
                            </a:solidFill>
                          </a:ln>
                        </wps:spPr>
                        <wps:style>
                          <a:lnRef idx="3">
                            <a:schemeClr val="lt1"/>
                          </a:lnRef>
                          <a:fillRef idx="1">
                            <a:schemeClr val="accent6"/>
                          </a:fillRef>
                          <a:effectRef idx="1">
                            <a:schemeClr val="accent6"/>
                          </a:effectRef>
                          <a:fontRef idx="minor"/>
                        </wps:style>
                        <wps:bodyPr/>
                      </wps:wsp>
                    </a:graphicData>
                  </a:graphic>
                </wp:anchor>
              </w:drawing>
            </mc:Choice>
            <mc:Fallback>
              <w:pict>
                <v:rect id="shape_0" ID="Rectangle 2" path="m0,0l-2147483645,0l-2147483645,-2147483646l0,-2147483646xe" fillcolor="#4ea72e" stroked="t" o:allowincell="f" style="position:absolute;margin-left:-82.5pt;margin-top:28.05pt;width:746.95pt;height:11.2pt;mso-wrap-style:none;v-text-anchor:middle" wp14:anchorId="133D8323">
                  <v:fill o:detectmouseclick="t" type="solid" color2="#b158d1"/>
                  <v:stroke color="white" weight="25560" joinstyle="miter" endcap="flat"/>
                  <w10:wrap type="none"/>
                </v:rect>
              </w:pict>
            </mc:Fallback>
          </mc:AlternateContent>
          <w:drawing>
            <wp:anchor behindDoc="1" distT="0" distB="0" distL="0" distR="0" simplePos="0" locked="0" layoutInCell="1" allowOverlap="1" relativeHeight="26">
              <wp:simplePos x="0" y="0"/>
              <wp:positionH relativeFrom="column">
                <wp:posOffset>4732655</wp:posOffset>
              </wp:positionH>
              <wp:positionV relativeFrom="paragraph">
                <wp:posOffset>-323850</wp:posOffset>
              </wp:positionV>
              <wp:extent cx="1091565" cy="685165"/>
              <wp:effectExtent l="0" t="0" r="0" b="0"/>
              <wp:wrapNone/>
              <wp:docPr id="5"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
                      <pic:cNvPicPr>
                        <a:picLocks noChangeAspect="1" noChangeArrowheads="1"/>
                      </pic:cNvPicPr>
                    </pic:nvPicPr>
                    <pic:blipFill>
                      <a:blip r:embed="rId1"/>
                      <a:srcRect l="16817" t="24523" r="17320" b="34137"/>
                      <a:stretch>
                        <a:fillRect/>
                      </a:stretch>
                    </pic:blipFill>
                    <pic:spPr bwMode="auto">
                      <a:xfrm>
                        <a:off x="0" y="0"/>
                        <a:ext cx="1091565" cy="685165"/>
                      </a:xfrm>
                      <a:prstGeom prst="rect">
                        <a:avLst/>
                      </a:prstGeom>
                    </pic:spPr>
                  </pic:pic>
                </a:graphicData>
              </a:graphic>
            </wp:anchor>
          </w:drawing>
        </w:r>
        <w:r>
          <w:rPr/>
          <w:t>Revised 7.17.26</w:t>
          <w:tab/>
          <w:tab/>
        </w:r>
        <w:r>
          <w:rPr/>
          <w:fldChar w:fldCharType="begin"/>
        </w:r>
        <w:r>
          <w:rPr/>
          <w:instrText xml:space="preserve"> PAGE </w:instrText>
        </w:r>
        <w:r>
          <w:rPr/>
          <w:fldChar w:fldCharType="separate"/>
        </w:r>
        <w:r>
          <w:rPr/>
          <w:t>12</w:t>
        </w:r>
        <w:r>
          <w:rPr/>
          <w:fldChar w:fldCharType="end"/>
        </w:r>
      </w:p>
    </w:sdtContent>
  </w:sdt>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sz w:val="24"/>
        <w:szCs w:val="24"/>
        <w:color w:themeColor="text1" w:val="0000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32"/>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ja-JP"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 w:cstheme="minorBid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04650"/>
    <w:pPr>
      <w:widowControl/>
      <w:suppressAutoHyphens w:val="true"/>
      <w:bidi w:val="0"/>
      <w:spacing w:lineRule="auto" w:line="240" w:before="0" w:after="120"/>
      <w:jc w:val="both"/>
    </w:pPr>
    <w:rPr>
      <w:rFonts w:ascii="Tw Cen MT" w:hAnsi="Tw Cen MT" w:eastAsia="Times New Roman" w:cs="Times New Roman"/>
      <w:color w:val="auto"/>
      <w:kern w:val="0"/>
      <w:sz w:val="24"/>
      <w:szCs w:val="24"/>
      <w:lang w:val="en-US" w:eastAsia="en-US" w:bidi="ar-SA"/>
      <w14:ligatures w14:val="none"/>
    </w:rPr>
  </w:style>
  <w:style w:type="paragraph" w:styleId="Heading1">
    <w:name w:val="Heading 1"/>
    <w:basedOn w:val="Normal"/>
    <w:link w:val="Heading1Char"/>
    <w:uiPriority w:val="9"/>
    <w:qFormat/>
    <w:rsid w:val="004d3659"/>
    <w:pPr>
      <w:spacing w:before="0" w:after="0"/>
      <w:jc w:val="center"/>
      <w:outlineLvl w:val="0"/>
    </w:pPr>
    <w:rPr>
      <w:bCs/>
      <w:color w:themeColor="accent6" w:themeShade="bf" w:val="3A7C22"/>
      <w:sz w:val="52"/>
      <w:szCs w:val="52"/>
    </w:rPr>
  </w:style>
  <w:style w:type="paragraph" w:styleId="Heading2">
    <w:name w:val="Heading 2"/>
    <w:basedOn w:val="Normal"/>
    <w:next w:val="Normal"/>
    <w:link w:val="Heading2Char"/>
    <w:uiPriority w:val="9"/>
    <w:unhideWhenUsed/>
    <w:qFormat/>
    <w:rsid w:val="00ba0ad5"/>
    <w:pPr>
      <w:keepNext w:val="true"/>
      <w:keepLines/>
      <w:ind w:hanging="720" w:left="720"/>
      <w:outlineLvl w:val="1"/>
    </w:pPr>
    <w:rPr>
      <w:rFonts w:eastAsia="" w:cs="" w:cstheme="majorBidi" w:eastAsiaTheme="majorEastAsia"/>
      <w:szCs w:val="32"/>
    </w:rPr>
  </w:style>
  <w:style w:type="paragraph" w:styleId="Heading3">
    <w:name w:val="Heading 3"/>
    <w:basedOn w:val="Normal"/>
    <w:next w:val="Normal"/>
    <w:link w:val="Heading3Char"/>
    <w:uiPriority w:val="9"/>
    <w:semiHidden/>
    <w:unhideWhenUsed/>
    <w:qFormat/>
    <w:rsid w:val="00b463fb"/>
    <w:pPr>
      <w:keepNext w:val="true"/>
      <w:keepLines/>
      <w:spacing w:before="160" w:after="80"/>
      <w:outlineLvl w:val="2"/>
    </w:pPr>
    <w:rPr>
      <w:rFonts w:ascii="Aptos" w:hAnsi="Aptos" w:eastAsia="" w:cs="" w:asciiTheme="minorHAnsi" w:cstheme="majorBidi" w:eastAsiaTheme="majorEastAsia" w:hAnsiTheme="minorHAnsi"/>
      <w:color w:themeColor="accent1" w:themeShade="bf" w:val="0F4761"/>
      <w:sz w:val="28"/>
      <w:szCs w:val="28"/>
    </w:rPr>
  </w:style>
  <w:style w:type="paragraph" w:styleId="Heading4">
    <w:name w:val="Heading 4"/>
    <w:basedOn w:val="Normal"/>
    <w:next w:val="Normal"/>
    <w:link w:val="Heading4Char"/>
    <w:uiPriority w:val="9"/>
    <w:semiHidden/>
    <w:unhideWhenUsed/>
    <w:qFormat/>
    <w:rsid w:val="00b463fb"/>
    <w:pPr>
      <w:keepNext w:val="true"/>
      <w:keepLines/>
      <w:spacing w:before="80" w:after="40"/>
      <w:outlineLvl w:val="3"/>
    </w:pPr>
    <w:rPr>
      <w:rFonts w:ascii="Aptos" w:hAnsi="Aptos" w:eastAsia="" w:cs="" w:asciiTheme="minorHAnsi" w:cstheme="majorBidi" w:eastAsiaTheme="majorEastAsia" w:hAnsiTheme="minorHAnsi"/>
      <w:i/>
      <w:iCs/>
      <w:color w:themeColor="accent1" w:themeShade="bf" w:val="0F4761"/>
    </w:rPr>
  </w:style>
  <w:style w:type="paragraph" w:styleId="Heading5">
    <w:name w:val="Heading 5"/>
    <w:basedOn w:val="Normal"/>
    <w:next w:val="Normal"/>
    <w:link w:val="Heading5Char"/>
    <w:uiPriority w:val="9"/>
    <w:semiHidden/>
    <w:unhideWhenUsed/>
    <w:qFormat/>
    <w:rsid w:val="00b463fb"/>
    <w:pPr>
      <w:keepNext w:val="true"/>
      <w:keepLines/>
      <w:spacing w:before="80" w:after="40"/>
      <w:outlineLvl w:val="4"/>
    </w:pPr>
    <w:rPr>
      <w:rFonts w:ascii="Aptos" w:hAnsi="Aptos" w:eastAsia="" w:cs="" w:asciiTheme="minorHAnsi" w:cstheme="majorBidi" w:eastAsiaTheme="majorEastAsia" w:hAnsiTheme="minorHAnsi"/>
      <w:color w:themeColor="accent1" w:themeShade="bf" w:val="0F4761"/>
    </w:rPr>
  </w:style>
  <w:style w:type="paragraph" w:styleId="Heading6">
    <w:name w:val="Heading 6"/>
    <w:basedOn w:val="Normal"/>
    <w:next w:val="Normal"/>
    <w:link w:val="Heading6Char"/>
    <w:uiPriority w:val="9"/>
    <w:semiHidden/>
    <w:unhideWhenUsed/>
    <w:qFormat/>
    <w:rsid w:val="00b463fb"/>
    <w:pPr>
      <w:keepNext w:val="true"/>
      <w:keepLines/>
      <w:spacing w:before="40" w:after="0"/>
      <w:outlineLvl w:val="5"/>
    </w:pPr>
    <w:rPr>
      <w:rFonts w:ascii="Aptos" w:hAnsi="Aptos" w:eastAsia="" w:cs="" w:asciiTheme="minorHAnsi" w:cstheme="majorBidi" w:eastAsiaTheme="majorEastAsia" w:hAnsiTheme="minorHAnsi"/>
      <w:i/>
      <w:iCs/>
      <w:color w:themeColor="text1" w:themeTint="a6" w:val="595959"/>
    </w:rPr>
  </w:style>
  <w:style w:type="paragraph" w:styleId="Heading7">
    <w:name w:val="Heading 7"/>
    <w:basedOn w:val="Normal"/>
    <w:next w:val="Normal"/>
    <w:link w:val="Heading7Char"/>
    <w:uiPriority w:val="9"/>
    <w:semiHidden/>
    <w:unhideWhenUsed/>
    <w:qFormat/>
    <w:rsid w:val="00b463fb"/>
    <w:pPr>
      <w:keepNext w:val="true"/>
      <w:keepLines/>
      <w:spacing w:before="40" w:after="0"/>
      <w:outlineLvl w:val="6"/>
    </w:pPr>
    <w:rPr>
      <w:rFonts w:ascii="Aptos" w:hAnsi="Aptos" w:eastAsia="" w:cs="" w:asciiTheme="minorHAnsi" w:cstheme="majorBidi" w:eastAsiaTheme="majorEastAsia" w:hAnsiTheme="minorHAnsi"/>
      <w:color w:themeColor="text1" w:themeTint="a6" w:val="595959"/>
    </w:rPr>
  </w:style>
  <w:style w:type="paragraph" w:styleId="Heading8">
    <w:name w:val="Heading 8"/>
    <w:basedOn w:val="Normal"/>
    <w:next w:val="Normal"/>
    <w:link w:val="Heading8Char"/>
    <w:uiPriority w:val="9"/>
    <w:semiHidden/>
    <w:unhideWhenUsed/>
    <w:qFormat/>
    <w:rsid w:val="00b463fb"/>
    <w:pPr>
      <w:keepNext w:val="true"/>
      <w:keepLines/>
      <w:spacing w:before="0" w:after="0"/>
      <w:outlineLvl w:val="7"/>
    </w:pPr>
    <w:rPr>
      <w:rFonts w:ascii="Aptos" w:hAnsi="Aptos" w:eastAsia="" w:cs="" w:asciiTheme="minorHAnsi" w:cstheme="majorBidi" w:eastAsiaTheme="majorEastAsia" w:hAnsiTheme="minorHAnsi"/>
      <w:i/>
      <w:iCs/>
      <w:color w:themeColor="text1" w:themeTint="d8" w:val="272727"/>
    </w:rPr>
  </w:style>
  <w:style w:type="paragraph" w:styleId="Heading9">
    <w:name w:val="Heading 9"/>
    <w:basedOn w:val="Normal"/>
    <w:next w:val="Normal"/>
    <w:link w:val="Heading9Char"/>
    <w:uiPriority w:val="9"/>
    <w:semiHidden/>
    <w:unhideWhenUsed/>
    <w:qFormat/>
    <w:rsid w:val="00b463fb"/>
    <w:pPr>
      <w:keepNext w:val="true"/>
      <w:keepLines/>
      <w:spacing w:before="0" w:after="0"/>
      <w:outlineLvl w:val="8"/>
    </w:pPr>
    <w:rPr>
      <w:rFonts w:ascii="Aptos" w:hAnsi="Aptos" w:eastAsia="" w:cs="" w:asciiTheme="minorHAnsi" w:cstheme="majorBidi" w:eastAsiaTheme="majorEastAsia" w:hAnsiTheme="minorHAnsi"/>
      <w:color w:themeColor="text1" w:themeTint="d8" w:val="272727"/>
    </w:rPr>
  </w:style>
  <w:style w:type="character" w:styleId="DefaultParagraphFont" w:default="1">
    <w:name w:val="Default Paragraph Font"/>
    <w:uiPriority w:val="1"/>
    <w:semiHidden/>
    <w:unhideWhenUsed/>
    <w:qFormat/>
    <w:rPr/>
  </w:style>
  <w:style w:type="character" w:styleId="Heading2Char" w:customStyle="1">
    <w:name w:val="Heading 2 Char"/>
    <w:basedOn w:val="DefaultParagraphFont"/>
    <w:link w:val="Heading2"/>
    <w:uiPriority w:val="9"/>
    <w:qFormat/>
    <w:rsid w:val="00ba0ad5"/>
    <w:rPr>
      <w:rFonts w:eastAsia="" w:cs="" w:cstheme="majorBidi" w:eastAsiaTheme="majorEastAsia"/>
      <w:szCs w:val="32"/>
    </w:rPr>
  </w:style>
  <w:style w:type="character" w:styleId="Heading1Char" w:customStyle="1">
    <w:name w:val="Heading 1 Char"/>
    <w:basedOn w:val="DefaultParagraphFont"/>
    <w:link w:val="Heading1"/>
    <w:uiPriority w:val="9"/>
    <w:qFormat/>
    <w:rsid w:val="004d3659"/>
    <w:rPr>
      <w:rFonts w:ascii="Tw Cen MT" w:hAnsi="Tw Cen MT" w:cs="Times New Roman"/>
      <w:bCs/>
      <w:color w:themeColor="accent6" w:themeShade="bf" w:val="3A7C22"/>
      <w:kern w:val="0"/>
      <w:sz w:val="52"/>
      <w:szCs w:val="52"/>
      <w14:ligatures w14:val="none"/>
    </w:rPr>
  </w:style>
  <w:style w:type="character" w:styleId="ScheduleheadingsChar" w:customStyle="1">
    <w:name w:val="Schedule headings Char"/>
    <w:basedOn w:val="DefaultParagraphFont"/>
    <w:link w:val="Scheduleheadings"/>
    <w:qFormat/>
    <w:rsid w:val="00265a89"/>
    <w:rPr>
      <w:rFonts w:ascii="Tw Cen MT" w:hAnsi="Tw Cen MT" w:cs="Times New Roman"/>
      <w:b/>
      <w:caps/>
      <w:color w:val="008000"/>
      <w:kern w:val="0"/>
      <w:sz w:val="32"/>
      <w:szCs w:val="32"/>
      <w14:ligatures w14:val="none"/>
    </w:rPr>
  </w:style>
  <w:style w:type="character" w:styleId="SyllabusHeading1Char" w:customStyle="1">
    <w:name w:val="Syllabus Heading 1 Char"/>
    <w:basedOn w:val="DefaultParagraphFont"/>
    <w:link w:val="SyllabusHeading1"/>
    <w:qFormat/>
    <w:rsid w:val="0086523a"/>
    <w:rPr>
      <w:rFonts w:ascii="Tw Cen MT" w:hAnsi="Tw Cen MT" w:eastAsia="Times New Roman" w:cs="Times New Roman"/>
      <w:b/>
      <w:caps/>
      <w:color w:val="008000"/>
      <w:kern w:val="0"/>
      <w:sz w:val="72"/>
      <w:szCs w:val="72"/>
      <w14:ligatures w14:val="none"/>
    </w:rPr>
  </w:style>
  <w:style w:type="character" w:styleId="SyllabusHeading2Char" w:customStyle="1">
    <w:name w:val="Syllabus Heading 2 Char"/>
    <w:basedOn w:val="DefaultParagraphFont"/>
    <w:link w:val="SyllabusHeading2"/>
    <w:qFormat/>
    <w:rsid w:val="0086523a"/>
    <w:rPr>
      <w:rFonts w:ascii="Tw Cen MT" w:hAnsi="Tw Cen MT" w:eastAsia="Times New Roman" w:cs="Times New Roman"/>
      <w:b/>
      <w:bCs/>
      <w:color w:themeColor="accent6" w:themeShade="80" w:val="275317"/>
      <w:kern w:val="0"/>
      <w14:ligatures w14:val="none"/>
    </w:rPr>
  </w:style>
  <w:style w:type="character" w:styleId="SyllabusListChar" w:customStyle="1">
    <w:name w:val="Syllabus List Char"/>
    <w:basedOn w:val="DefaultParagraphFont"/>
    <w:link w:val="SyllabusList"/>
    <w:qFormat/>
    <w:rsid w:val="00af6e0c"/>
    <w:rPr>
      <w:rFonts w:ascii="Tw Cen MT" w:hAnsi="Tw Cen MT" w:eastAsia="Tw Cen MT" w:cs="Times New Roman"/>
      <w:color w:val="222222"/>
      <w:w w:val="105"/>
      <w:kern w:val="0"/>
      <w:shd w:fill="FFFFFF" w:val="clear"/>
      <w:lang w:val="en-GB" w:eastAsia="en-GB"/>
      <w14:ligatures w14:val="none"/>
    </w:rPr>
  </w:style>
  <w:style w:type="character" w:styleId="SyllabysSubHeading3Char" w:customStyle="1">
    <w:name w:val="Syllabys Sub Heading 3 Char"/>
    <w:basedOn w:val="DefaultParagraphFont"/>
    <w:link w:val="SyllabysSubHeading3"/>
    <w:qFormat/>
    <w:rsid w:val="0086523a"/>
    <w:rPr>
      <w:rFonts w:ascii="Tw Cen MT" w:hAnsi="Tw Cen MT" w:eastAsia="Times New Roman" w:cs="Times New Roman"/>
      <w:bCs/>
      <w:caps/>
      <w:color w:val="008000"/>
      <w:kern w:val="0"/>
      <w:sz w:val="28"/>
      <w:szCs w:val="28"/>
      <w:lang w:val="x-none"/>
      <w14:ligatures w14:val="none"/>
    </w:rPr>
  </w:style>
  <w:style w:type="character" w:styleId="Heading3Char" w:customStyle="1">
    <w:name w:val="Heading 3 Char"/>
    <w:basedOn w:val="DefaultParagraphFont"/>
    <w:link w:val="Heading3"/>
    <w:uiPriority w:val="9"/>
    <w:semiHidden/>
    <w:qFormat/>
    <w:rsid w:val="00b463fb"/>
    <w:rPr>
      <w:rFonts w:ascii="Aptos" w:hAnsi="Aptos" w:eastAsia="" w:cs="" w:asciiTheme="minorHAnsi" w:cstheme="majorBidi" w:eastAsiaTheme="majorEastAsia" w:hAnsiTheme="minorHAnsi"/>
      <w:color w:themeColor="accent1" w:themeShade="bf" w:val="0F4761"/>
      <w:kern w:val="0"/>
      <w:sz w:val="28"/>
      <w:szCs w:val="28"/>
      <w14:ligatures w14:val="none"/>
    </w:rPr>
  </w:style>
  <w:style w:type="character" w:styleId="Heading4Char" w:customStyle="1">
    <w:name w:val="Heading 4 Char"/>
    <w:basedOn w:val="DefaultParagraphFont"/>
    <w:link w:val="Heading4"/>
    <w:uiPriority w:val="9"/>
    <w:semiHidden/>
    <w:qFormat/>
    <w:rsid w:val="00b463fb"/>
    <w:rPr>
      <w:rFonts w:ascii="Aptos" w:hAnsi="Aptos" w:eastAsia="" w:cs="" w:asciiTheme="minorHAnsi" w:cstheme="majorBidi" w:eastAsiaTheme="majorEastAsia" w:hAnsiTheme="minorHAnsi"/>
      <w:i/>
      <w:iCs/>
      <w:color w:themeColor="accent1" w:themeShade="bf" w:val="0F4761"/>
      <w:kern w:val="0"/>
      <w14:ligatures w14:val="none"/>
    </w:rPr>
  </w:style>
  <w:style w:type="character" w:styleId="Heading5Char" w:customStyle="1">
    <w:name w:val="Heading 5 Char"/>
    <w:basedOn w:val="DefaultParagraphFont"/>
    <w:link w:val="Heading5"/>
    <w:uiPriority w:val="9"/>
    <w:semiHidden/>
    <w:qFormat/>
    <w:rsid w:val="00b463fb"/>
    <w:rPr>
      <w:rFonts w:ascii="Aptos" w:hAnsi="Aptos" w:eastAsia="" w:cs="" w:asciiTheme="minorHAnsi" w:cstheme="majorBidi" w:eastAsiaTheme="majorEastAsia" w:hAnsiTheme="minorHAnsi"/>
      <w:color w:themeColor="accent1" w:themeShade="bf" w:val="0F4761"/>
      <w:kern w:val="0"/>
      <w14:ligatures w14:val="none"/>
    </w:rPr>
  </w:style>
  <w:style w:type="character" w:styleId="Heading6Char" w:customStyle="1">
    <w:name w:val="Heading 6 Char"/>
    <w:basedOn w:val="DefaultParagraphFont"/>
    <w:link w:val="Heading6"/>
    <w:uiPriority w:val="9"/>
    <w:semiHidden/>
    <w:qFormat/>
    <w:rsid w:val="00b463fb"/>
    <w:rPr>
      <w:rFonts w:ascii="Aptos" w:hAnsi="Aptos" w:eastAsia="" w:cs="" w:asciiTheme="minorHAnsi" w:cstheme="majorBidi" w:eastAsiaTheme="majorEastAsia" w:hAnsiTheme="minorHAnsi"/>
      <w:i/>
      <w:iCs/>
      <w:color w:themeColor="text1" w:themeTint="a6" w:val="595959"/>
      <w:kern w:val="0"/>
      <w14:ligatures w14:val="none"/>
    </w:rPr>
  </w:style>
  <w:style w:type="character" w:styleId="Heading7Char" w:customStyle="1">
    <w:name w:val="Heading 7 Char"/>
    <w:basedOn w:val="DefaultParagraphFont"/>
    <w:link w:val="Heading7"/>
    <w:uiPriority w:val="9"/>
    <w:semiHidden/>
    <w:qFormat/>
    <w:rsid w:val="00b463fb"/>
    <w:rPr>
      <w:rFonts w:ascii="Aptos" w:hAnsi="Aptos" w:eastAsia="" w:cs="" w:asciiTheme="minorHAnsi" w:cstheme="majorBidi" w:eastAsiaTheme="majorEastAsia" w:hAnsiTheme="minorHAnsi"/>
      <w:color w:themeColor="text1" w:themeTint="a6" w:val="595959"/>
      <w:kern w:val="0"/>
      <w14:ligatures w14:val="none"/>
    </w:rPr>
  </w:style>
  <w:style w:type="character" w:styleId="Heading8Char" w:customStyle="1">
    <w:name w:val="Heading 8 Char"/>
    <w:basedOn w:val="DefaultParagraphFont"/>
    <w:link w:val="Heading8"/>
    <w:uiPriority w:val="9"/>
    <w:semiHidden/>
    <w:qFormat/>
    <w:rsid w:val="00b463fb"/>
    <w:rPr>
      <w:rFonts w:ascii="Aptos" w:hAnsi="Aptos" w:eastAsia="" w:cs="" w:asciiTheme="minorHAnsi" w:cstheme="majorBidi" w:eastAsiaTheme="majorEastAsia" w:hAnsiTheme="minorHAnsi"/>
      <w:i/>
      <w:iCs/>
      <w:color w:themeColor="text1" w:themeTint="d8" w:val="272727"/>
      <w:kern w:val="0"/>
      <w14:ligatures w14:val="none"/>
    </w:rPr>
  </w:style>
  <w:style w:type="character" w:styleId="Heading9Char" w:customStyle="1">
    <w:name w:val="Heading 9 Char"/>
    <w:basedOn w:val="DefaultParagraphFont"/>
    <w:link w:val="Heading9"/>
    <w:uiPriority w:val="9"/>
    <w:semiHidden/>
    <w:qFormat/>
    <w:rsid w:val="00b463fb"/>
    <w:rPr>
      <w:rFonts w:ascii="Aptos" w:hAnsi="Aptos" w:eastAsia="" w:cs="" w:asciiTheme="minorHAnsi" w:cstheme="majorBidi" w:eastAsiaTheme="majorEastAsia" w:hAnsiTheme="minorHAnsi"/>
      <w:color w:themeColor="text1" w:themeTint="d8" w:val="272727"/>
      <w:kern w:val="0"/>
      <w14:ligatures w14:val="none"/>
    </w:rPr>
  </w:style>
  <w:style w:type="character" w:styleId="TitleChar" w:customStyle="1">
    <w:name w:val="Title Char"/>
    <w:basedOn w:val="DefaultParagraphFont"/>
    <w:link w:val="Title"/>
    <w:uiPriority w:val="10"/>
    <w:qFormat/>
    <w:rsid w:val="00b463fb"/>
    <w:rPr>
      <w:rFonts w:ascii="Tw Cen MT" w:hAnsi="Tw Cen MT" w:cs="Times New Roman"/>
      <w:caps/>
      <w:color w:themeColor="accent6" w:val="4EA72E"/>
      <w:kern w:val="0"/>
      <w:sz w:val="60"/>
      <w:szCs w:val="60"/>
      <w14:ligatures w14:val="none"/>
    </w:rPr>
  </w:style>
  <w:style w:type="character" w:styleId="SubtitleChar" w:customStyle="1">
    <w:name w:val="Subtitle Char"/>
    <w:basedOn w:val="DefaultParagraphFont"/>
    <w:link w:val="Subtitle"/>
    <w:uiPriority w:val="11"/>
    <w:qFormat/>
    <w:rsid w:val="00b463fb"/>
    <w:rPr>
      <w:rFonts w:ascii="Aptos" w:hAnsi="Aptos" w:eastAsia="" w:cs="" w:asciiTheme="minorHAnsi" w:cstheme="majorBidi" w:eastAsiaTheme="majorEastAsia" w:hAnsiTheme="minorHAnsi"/>
      <w:color w:themeColor="text1" w:themeTint="a6" w:val="595959"/>
      <w:spacing w:val="15"/>
      <w:kern w:val="0"/>
      <w:sz w:val="28"/>
      <w:szCs w:val="28"/>
      <w14:ligatures w14:val="none"/>
    </w:rPr>
  </w:style>
  <w:style w:type="character" w:styleId="QuoteChar" w:customStyle="1">
    <w:name w:val="Quote Char"/>
    <w:basedOn w:val="DefaultParagraphFont"/>
    <w:link w:val="Quote"/>
    <w:uiPriority w:val="29"/>
    <w:qFormat/>
    <w:rsid w:val="00b463fb"/>
    <w:rPr>
      <w:rFonts w:ascii="Tw Cen MT" w:hAnsi="Tw Cen MT" w:cs="Times New Roman"/>
      <w:i/>
      <w:iCs/>
      <w:color w:themeColor="text1" w:themeTint="bf" w:val="404040"/>
      <w:kern w:val="0"/>
      <w14:ligatures w14:val="none"/>
    </w:rPr>
  </w:style>
  <w:style w:type="character" w:styleId="IntenseEmphasis">
    <w:name w:val="Intense Emphasis"/>
    <w:basedOn w:val="DefaultParagraphFont"/>
    <w:uiPriority w:val="21"/>
    <w:qFormat/>
    <w:rsid w:val="00b463fb"/>
    <w:rPr>
      <w:i/>
      <w:iCs/>
      <w:color w:themeColor="accent1" w:themeShade="bf" w:val="0F4761"/>
    </w:rPr>
  </w:style>
  <w:style w:type="character" w:styleId="IntenseQuoteChar" w:customStyle="1">
    <w:name w:val="Intense Quote Char"/>
    <w:basedOn w:val="DefaultParagraphFont"/>
    <w:link w:val="IntenseQuote"/>
    <w:uiPriority w:val="30"/>
    <w:qFormat/>
    <w:rsid w:val="00b463fb"/>
    <w:rPr>
      <w:rFonts w:ascii="Tw Cen MT" w:hAnsi="Tw Cen MT" w:cs="Times New Roman"/>
      <w:i/>
      <w:iCs/>
      <w:color w:themeColor="accent1" w:themeShade="bf" w:val="0F4761"/>
      <w:kern w:val="0"/>
      <w14:ligatures w14:val="none"/>
    </w:rPr>
  </w:style>
  <w:style w:type="character" w:styleId="IntenseReference">
    <w:name w:val="Intense Reference"/>
    <w:basedOn w:val="DefaultParagraphFont"/>
    <w:uiPriority w:val="32"/>
    <w:qFormat/>
    <w:rsid w:val="00b463fb"/>
    <w:rPr>
      <w:b/>
      <w:bCs/>
      <w:smallCaps/>
      <w:color w:themeColor="accent1" w:themeShade="bf" w:val="0F4761"/>
      <w:spacing w:val="5"/>
    </w:rPr>
  </w:style>
  <w:style w:type="character" w:styleId="Hyperlink">
    <w:name w:val="Hyperlink"/>
    <w:basedOn w:val="DefaultParagraphFont"/>
    <w:uiPriority w:val="99"/>
    <w:unhideWhenUsed/>
    <w:rsid w:val="00c11816"/>
    <w:rPr>
      <w:color w:themeColor="hyperlink" w:val="467886"/>
      <w:u w:val="single"/>
    </w:rPr>
  </w:style>
  <w:style w:type="character" w:styleId="UnresolvedMention">
    <w:name w:val="Unresolved Mention"/>
    <w:basedOn w:val="DefaultParagraphFont"/>
    <w:uiPriority w:val="99"/>
    <w:semiHidden/>
    <w:unhideWhenUsed/>
    <w:qFormat/>
    <w:rsid w:val="00c11816"/>
    <w:rPr>
      <w:color w:val="605E5C"/>
      <w:shd w:fill="E1DFDD" w:val="clear"/>
    </w:rPr>
  </w:style>
  <w:style w:type="character" w:styleId="HeaderChar" w:customStyle="1">
    <w:name w:val="Header Char"/>
    <w:basedOn w:val="DefaultParagraphFont"/>
    <w:link w:val="Header"/>
    <w:uiPriority w:val="99"/>
    <w:qFormat/>
    <w:rsid w:val="00336417"/>
    <w:rPr>
      <w:rFonts w:ascii="Tw Cen MT" w:hAnsi="Tw Cen MT" w:cs="Times New Roman"/>
      <w:kern w:val="0"/>
      <w14:ligatures w14:val="none"/>
    </w:rPr>
  </w:style>
  <w:style w:type="character" w:styleId="FooterChar" w:customStyle="1">
    <w:name w:val="Footer Char"/>
    <w:basedOn w:val="DefaultParagraphFont"/>
    <w:link w:val="Footer"/>
    <w:uiPriority w:val="99"/>
    <w:qFormat/>
    <w:rsid w:val="00336417"/>
    <w:rPr>
      <w:rFonts w:ascii="Tw Cen MT" w:hAnsi="Tw Cen MT" w:cs="Times New Roman"/>
      <w:kern w:val="0"/>
      <w14:ligatures w14:val="none"/>
    </w:rPr>
  </w:style>
  <w:style w:type="character" w:styleId="FollowedHyperlink">
    <w:name w:val="FollowedHyperlink"/>
    <w:basedOn w:val="DefaultParagraphFont"/>
    <w:uiPriority w:val="99"/>
    <w:semiHidden/>
    <w:unhideWhenUsed/>
    <w:rsid w:val="0081415e"/>
    <w:rPr>
      <w:color w:themeColor="followedHyperlink" w:val="96607D"/>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Scheduleheadings" w:customStyle="1">
    <w:name w:val="Schedule headings"/>
    <w:basedOn w:val="Normal"/>
    <w:link w:val="ScheduleheadingsChar"/>
    <w:qFormat/>
    <w:rsid w:val="00265a89"/>
    <w:pPr>
      <w:tabs>
        <w:tab w:val="clear" w:pos="720"/>
        <w:tab w:val="left" w:pos="3060" w:leader="none"/>
      </w:tabs>
      <w:jc w:val="left"/>
    </w:pPr>
    <w:rPr>
      <w:b/>
      <w:caps/>
      <w:color w:val="008000"/>
      <w:sz w:val="32"/>
      <w:szCs w:val="32"/>
    </w:rPr>
  </w:style>
  <w:style w:type="paragraph" w:styleId="SyllabusHeading1" w:customStyle="1">
    <w:name w:val="Syllabus Heading 1"/>
    <w:basedOn w:val="Normal"/>
    <w:link w:val="SyllabusHeading1Char"/>
    <w:qFormat/>
    <w:rsid w:val="0086523a"/>
    <w:pPr>
      <w:tabs>
        <w:tab w:val="clear" w:pos="720"/>
        <w:tab w:val="left" w:pos="3060" w:leader="none"/>
      </w:tabs>
      <w:spacing w:lineRule="exact" w:line="760"/>
      <w:jc w:val="center"/>
    </w:pPr>
    <w:rPr>
      <w:b/>
      <w:caps/>
      <w:color w:val="008000"/>
      <w:sz w:val="72"/>
      <w:szCs w:val="72"/>
    </w:rPr>
  </w:style>
  <w:style w:type="paragraph" w:styleId="SyllabusHeading2" w:customStyle="1">
    <w:name w:val="Syllabus Heading 2"/>
    <w:basedOn w:val="Normal"/>
    <w:link w:val="SyllabusHeading2Char"/>
    <w:qFormat/>
    <w:rsid w:val="0086523a"/>
    <w:pPr/>
    <w:rPr>
      <w:b/>
      <w:bCs/>
      <w:color w:themeColor="accent6" w:themeShade="80" w:val="275317"/>
    </w:rPr>
  </w:style>
  <w:style w:type="paragraph" w:styleId="SyllabusList" w:customStyle="1">
    <w:name w:val="Syllabus List"/>
    <w:basedOn w:val="ListParagraph"/>
    <w:link w:val="SyllabusListChar"/>
    <w:autoRedefine/>
    <w:qFormat/>
    <w:rsid w:val="00af6e0c"/>
    <w:pPr>
      <w:numPr>
        <w:ilvl w:val="0"/>
        <w:numId w:val="1"/>
      </w:numPr>
      <w:shd w:val="clear" w:color="auto" w:fill="FFFFFF"/>
      <w:jc w:val="left"/>
    </w:pPr>
    <w:rPr>
      <w:rFonts w:eastAsia="Tw Cen MT"/>
      <w:color w:val="222222"/>
      <w:w w:val="105"/>
      <w:lang w:val="en-GB" w:eastAsia="en-GB"/>
    </w:rPr>
  </w:style>
  <w:style w:type="paragraph" w:styleId="ListParagraph">
    <w:name w:val="List Paragraph"/>
    <w:basedOn w:val="Normal"/>
    <w:uiPriority w:val="34"/>
    <w:qFormat/>
    <w:rsid w:val="0086523a"/>
    <w:pPr>
      <w:spacing w:before="0" w:after="120"/>
      <w:ind w:left="720"/>
      <w:contextualSpacing/>
    </w:pPr>
    <w:rPr/>
  </w:style>
  <w:style w:type="paragraph" w:styleId="SyllabysSubHeading3" w:customStyle="1">
    <w:name w:val="Syllabys Sub Heading 3"/>
    <w:basedOn w:val="Scheduleheadings"/>
    <w:link w:val="SyllabysSubHeading3Char"/>
    <w:qFormat/>
    <w:rsid w:val="0086523a"/>
    <w:pPr/>
    <w:rPr>
      <w:b w:val="false"/>
      <w:bCs/>
      <w:sz w:val="28"/>
      <w:szCs w:val="28"/>
      <w:lang w:val="x-none"/>
    </w:rPr>
  </w:style>
  <w:style w:type="paragraph" w:styleId="Title">
    <w:name w:val="Title"/>
    <w:basedOn w:val="Normal"/>
    <w:next w:val="Normal"/>
    <w:link w:val="TitleChar"/>
    <w:uiPriority w:val="10"/>
    <w:qFormat/>
    <w:rsid w:val="00b463fb"/>
    <w:pPr>
      <w:tabs>
        <w:tab w:val="clear" w:pos="720"/>
        <w:tab w:val="left" w:pos="3060" w:leader="none"/>
      </w:tabs>
      <w:spacing w:lineRule="exact" w:line="760"/>
      <w:jc w:val="center"/>
    </w:pPr>
    <w:rPr>
      <w:caps/>
      <w:color w:themeColor="accent6" w:val="4EA72E"/>
      <w:sz w:val="60"/>
      <w:szCs w:val="60"/>
    </w:rPr>
  </w:style>
  <w:style w:type="paragraph" w:styleId="Subtitle">
    <w:name w:val="Subtitle"/>
    <w:basedOn w:val="Normal"/>
    <w:next w:val="Normal"/>
    <w:link w:val="SubtitleChar"/>
    <w:uiPriority w:val="11"/>
    <w:qFormat/>
    <w:rsid w:val="00b463fb"/>
    <w:pPr>
      <w:spacing w:before="0" w:after="160"/>
    </w:pPr>
    <w:rPr>
      <w:rFonts w:ascii="Aptos" w:hAnsi="Aptos" w:eastAsia="" w:cs="" w:asciiTheme="minorHAnsi" w:cstheme="majorBidi" w:eastAsiaTheme="majorEastAsia" w:hAnsiTheme="minorHAnsi"/>
      <w:color w:themeColor="text1" w:themeTint="a6" w:val="595959"/>
      <w:spacing w:val="15"/>
      <w:sz w:val="28"/>
      <w:szCs w:val="28"/>
    </w:rPr>
  </w:style>
  <w:style w:type="paragraph" w:styleId="Quote">
    <w:name w:val="Quote"/>
    <w:basedOn w:val="Normal"/>
    <w:next w:val="Normal"/>
    <w:link w:val="QuoteChar"/>
    <w:uiPriority w:val="29"/>
    <w:qFormat/>
    <w:rsid w:val="00b463fb"/>
    <w:pPr>
      <w:spacing w:before="160" w:after="160"/>
      <w:jc w:val="center"/>
    </w:pPr>
    <w:rPr>
      <w:i/>
      <w:iCs/>
      <w:color w:themeColor="text1" w:themeTint="bf" w:val="404040"/>
    </w:rPr>
  </w:style>
  <w:style w:type="paragraph" w:styleId="IntenseQuote">
    <w:name w:val="Intense Quote"/>
    <w:basedOn w:val="Normal"/>
    <w:next w:val="Normal"/>
    <w:link w:val="IntenseQuoteChar"/>
    <w:uiPriority w:val="30"/>
    <w:qFormat/>
    <w:rsid w:val="00b463fb"/>
    <w:pPr>
      <w:pBdr>
        <w:top w:val="single" w:sz="4" w:space="10" w:color="0F4761" w:themeColor="accent1" w:themeShade="bf"/>
        <w:bottom w:val="single" w:sz="4" w:space="10" w:color="0F4761" w:themeColor="accent1" w:themeShade="bf"/>
      </w:pBdr>
      <w:spacing w:before="360" w:after="360"/>
      <w:ind w:left="864" w:right="864"/>
      <w:jc w:val="center"/>
    </w:pPr>
    <w:rPr>
      <w:i/>
      <w:iCs/>
      <w:color w:themeColor="accent1" w:themeShade="bf" w:val="0F4761"/>
    </w:rPr>
  </w:style>
  <w:style w:type="paragraph" w:styleId="HeaderandFooter">
    <w:name w:val="Header and Footer"/>
    <w:basedOn w:val="Normal"/>
    <w:qFormat/>
    <w:pPr/>
    <w:rPr/>
  </w:style>
  <w:style w:type="paragraph" w:styleId="Header">
    <w:name w:val="Header"/>
    <w:basedOn w:val="Normal"/>
    <w:link w:val="HeaderChar"/>
    <w:uiPriority w:val="99"/>
    <w:unhideWhenUsed/>
    <w:rsid w:val="00336417"/>
    <w:pPr>
      <w:tabs>
        <w:tab w:val="clear" w:pos="720"/>
        <w:tab w:val="center" w:pos="4680" w:leader="none"/>
        <w:tab w:val="right" w:pos="9360" w:leader="none"/>
      </w:tabs>
      <w:spacing w:before="0" w:after="0"/>
    </w:pPr>
    <w:rPr/>
  </w:style>
  <w:style w:type="paragraph" w:styleId="Footer">
    <w:name w:val="Footer"/>
    <w:basedOn w:val="Normal"/>
    <w:link w:val="FooterChar"/>
    <w:uiPriority w:val="99"/>
    <w:unhideWhenUsed/>
    <w:qFormat/>
    <w:rsid w:val="00336417"/>
    <w:pPr>
      <w:tabs>
        <w:tab w:val="clear" w:pos="720"/>
        <w:tab w:val="center" w:pos="4680" w:leader="none"/>
        <w:tab w:val="right" w:pos="9360" w:leader="none"/>
      </w:tabs>
      <w:spacing w:before="0" w:after="0"/>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b463fb"/>
    <w:pPr>
      <w:spacing w:line="240" w:lineRule="auto"/>
    </w:pPr>
    <w:rPr>
      <w:rFonts w:asciiTheme="minorHAnsi" w:hAnsiTheme="minorHAnsi" w:eastAsiaTheme="minorEastAsia"/>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1">
    <w:name w:val="Table Grid1"/>
    <w:basedOn w:val="TableNormal"/>
    <w:uiPriority w:val="39"/>
    <w:rsid w:val="00f6724e"/>
    <w:pPr>
      <w:spacing w:line="240" w:lineRule="auto"/>
    </w:pPr>
    <w:rPr>
      <w:rFonts w:asciiTheme="minorHAnsi" w:hAnsiTheme="minorHAnsi"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aits.unt.edu/support/wifi.html" TargetMode="External"/><Relationship Id="rId4" Type="http://schemas.openxmlformats.org/officeDocument/2006/relationships/hyperlink" Target="https://aits.unt.edu/eagleconnect/index.html" TargetMode="External"/><Relationship Id="rId5" Type="http://schemas.openxmlformats.org/officeDocument/2006/relationships/hyperlink" Target="https://aits.unt.edu/support/faq.html" TargetMode="External"/><Relationship Id="rId6" Type="http://schemas.openxmlformats.org/officeDocument/2006/relationships/hyperlink" Target="https://aits.unt.edu/office365.html" TargetMode="External"/><Relationship Id="rId7" Type="http://schemas.openxmlformats.org/officeDocument/2006/relationships/hyperlink" Target="https://medium.com/@lportwoodstacer/how-to-email-your-professor-without-being-annoying-af-cf64ae0e4087" TargetMode="External"/><Relationship Id="rId8" Type="http://schemas.openxmlformats.org/officeDocument/2006/relationships/hyperlink" Target="https://www.wikihow.com/Email-a-Professor" TargetMode="External"/><Relationship Id="rId9" Type="http://schemas.openxmlformats.org/officeDocument/2006/relationships/hyperlink" Target="https://policy.unt.edu/policy/06-039" TargetMode="External"/><Relationship Id="rId10" Type="http://schemas.openxmlformats.org/officeDocument/2006/relationships/hyperlink" Target="https://policy.unt.edu/policy/06-039" TargetMode="External"/><Relationship Id="rId11" Type="http://schemas.openxmlformats.org/officeDocument/2006/relationships/hyperlink" Target="https://studentaffairs.unt.edu/dean-of-students/about-us/faq.html" TargetMode="External"/><Relationship Id="rId12" Type="http://schemas.openxmlformats.org/officeDocument/2006/relationships/hyperlink" Target="https://policy.unt.edu/sites/policy.unt.edu/files/06.003%20Student%20Academic%20Integrity.pdf" TargetMode="External"/><Relationship Id="rId13" Type="http://schemas.openxmlformats.org/officeDocument/2006/relationships/hyperlink" Target="https://vpaa.unt.edu/ss/integrity/index.html" TargetMode="External"/><Relationship Id="rId14" Type="http://schemas.openxmlformats.org/officeDocument/2006/relationships/hyperlink" Target="https://policy.unt.edu/policy/07-012" TargetMode="External"/><Relationship Id="rId15" Type="http://schemas.openxmlformats.org/officeDocument/2006/relationships/hyperlink" Target="https://studentaffairs.unt.edu/dean-of-students/conduct/index.html" TargetMode="External"/><Relationship Id="rId16" Type="http://schemas.openxmlformats.org/officeDocument/2006/relationships/hyperlink" Target="https://aits.unt.edu/support/index.html" TargetMode="External"/><Relationship Id="rId17" Type="http://schemas.openxmlformats.org/officeDocument/2006/relationships/hyperlink" Target="https://writingcenter.unt.edu/" TargetMode="External"/><Relationship Id="rId18" Type="http://schemas.openxmlformats.org/officeDocument/2006/relationships/footer" Target="footer1.xml"/><Relationship Id="rId19" Type="http://schemas.openxmlformats.org/officeDocument/2006/relationships/footer" Target="footer2.xml"/><Relationship Id="rId20" Type="http://schemas.openxmlformats.org/officeDocument/2006/relationships/footer" Target="footer3.xml"/><Relationship Id="rId21" Type="http://schemas.openxmlformats.org/officeDocument/2006/relationships/numbering" Target="numbering.xm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Relationship Id="rId25" Type="http://schemas.openxmlformats.org/officeDocument/2006/relationships/customXml" Target="../customXml/item1.xml"/><Relationship Id="rId26" Type="http://schemas.openxmlformats.org/officeDocument/2006/relationships/customXml" Target="../customXml/item2.xml"/><Relationship Id="rId27" Type="http://schemas.openxmlformats.org/officeDocument/2006/relationships/customXml" Target="../customXml/item3.xml"/>
</Relationships>
</file>

<file path=word/_rels/footer2.xml.rels><?xml version="1.0" encoding="UTF-8"?>
<Relationships xmlns="http://schemas.openxmlformats.org/package/2006/relationships"><Relationship Id="rId1" Type="http://schemas.openxmlformats.org/officeDocument/2006/relationships/image" Target="media/image2.png"/>
</Relationships>
</file>

<file path=word/_rels/footer3.xml.rels><?xml version="1.0" encoding="UTF-8"?>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cfb9ab3-c6c5-44e1-bc30-ac0c5194e1db" xsi:nil="true"/>
    <lcf76f155ced4ddcb4097134ff3c332f xmlns="b34bb025-3789-41e4-b850-c603e9369fe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3085D5B930E54A85E93E853B83C96C" ma:contentTypeVersion="10" ma:contentTypeDescription="Create a new document." ma:contentTypeScope="" ma:versionID="f11cea5e3e7d94001a217e3468f31ec8">
  <xsd:schema xmlns:xsd="http://www.w3.org/2001/XMLSchema" xmlns:xs="http://www.w3.org/2001/XMLSchema" xmlns:p="http://schemas.microsoft.com/office/2006/metadata/properties" xmlns:ns2="b34bb025-3789-41e4-b850-c603e9369fe7" xmlns:ns3="ecfb9ab3-c6c5-44e1-bc30-ac0c5194e1db" targetNamespace="http://schemas.microsoft.com/office/2006/metadata/properties" ma:root="true" ma:fieldsID="3252f7c1620edfcdb0dab2464ec0fd06" ns2:_="" ns3:_="">
    <xsd:import namespace="b34bb025-3789-41e4-b850-c603e9369fe7"/>
    <xsd:import namespace="ecfb9ab3-c6c5-44e1-bc30-ac0c5194e1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bb025-3789-41e4-b850-c603e9369f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fb9ab3-c6c5-44e1-bc30-ac0c5194e1d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f91743-1e17-44f3-b70b-ee5d4a3ff03a}" ma:internalName="TaxCatchAll" ma:showField="CatchAllData" ma:web="ecfb9ab3-c6c5-44e1-bc30-ac0c5194e1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4DC3B3-1964-499C-8BA8-8A2575386991}">
  <ds:schemaRefs>
    <ds:schemaRef ds:uri="http://schemas.microsoft.com/office/2006/metadata/properties"/>
    <ds:schemaRef ds:uri="http://schemas.microsoft.com/office/infopath/2007/PartnerControls"/>
    <ds:schemaRef ds:uri="ecfb9ab3-c6c5-44e1-bc30-ac0c5194e1db"/>
    <ds:schemaRef ds:uri="b34bb025-3789-41e4-b850-c603e9369fe7"/>
  </ds:schemaRefs>
</ds:datastoreItem>
</file>

<file path=customXml/itemProps2.xml><?xml version="1.0" encoding="utf-8"?>
<ds:datastoreItem xmlns:ds="http://schemas.openxmlformats.org/officeDocument/2006/customXml" ds:itemID="{A9949AD3-A85A-4900-B904-976FACDE6AFE}">
  <ds:schemaRefs>
    <ds:schemaRef ds:uri="http://schemas.microsoft.com/sharepoint/v3/contenttype/forms"/>
  </ds:schemaRefs>
</ds:datastoreItem>
</file>

<file path=customXml/itemProps3.xml><?xml version="1.0" encoding="utf-8"?>
<ds:datastoreItem xmlns:ds="http://schemas.openxmlformats.org/officeDocument/2006/customXml" ds:itemID="{3E8A928B-8931-48D3-8EFE-DB320FBA43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4bb025-3789-41e4-b850-c603e9369fe7"/>
    <ds:schemaRef ds:uri="ecfb9ab3-c6c5-44e1-bc30-ac0c5194e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Application>LibreOffice/24.2.7.2$Linux_X86_64 LibreOffice_project/420$Build-2</Application>
  <AppVersion>15.0000</AppVersion>
  <Pages>12</Pages>
  <Words>2586</Words>
  <Characters>14090</Characters>
  <CharactersWithSpaces>16493</CharactersWithSpaces>
  <Paragraphs>188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2026-07-17T15:19:00Z</dcterms:created>
  <dc:creator>Amber Walters-Molina</dc:creator>
  <dc:description/>
  <dc:language>en-US</dc:language>
  <cp:lastModifiedBy/>
  <dcterms:modified xsi:type="dcterms:W3CDTF">2026-08-17T14:10:25Z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0x010100803085D5B930E54A85E93E853B83C96C</vt:lpwstr>
  </property>
  <property fmtid="{D5CDD505-2E9C-101B-9397-08002B2CF9AE}" pid="3" name="GrammarlyDocumentId">
    <vt:lpwstr>a68ede02-b413-4da3-b7cf-d2e01e13cd52</vt:lpwstr>
  </property>
  <property fmtid="{D5CDD505-2E9C-101B-9397-08002B2CF9AE}" pid="4" name="MediaServiceImageTags">
    <vt:lpwstr/>
  </property>
</Properties>
</file>