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BD81A0C" w14:textId="77777777" w:rsidR="00C544F4" w:rsidRDefault="00000000">
      <w:pPr>
        <w:spacing w:after="40"/>
        <w:jc w:val="left"/>
      </w:pPr>
      <w:r>
        <w:drawing>
          <wp:inline xmlns:a="http://schemas.openxmlformats.org/drawingml/2006/main" xmlns:pic="http://schemas.openxmlformats.org/drawingml/2006/picture">
            <wp:extent cx="502920" cy="553212"/>
            <wp:docPr id="1" name="Picture 1"/>
            <wp:cNvGraphicFramePr>
              <a:graphicFrameLocks noChangeAspect="1"/>
            </wp:cNvGraphicFramePr>
            <a:graphic>
              <a:graphicData uri="http://schemas.openxmlformats.org/drawingml/2006/picture">
                <pic:pic>
                  <pic:nvPicPr>
                    <pic:cNvPr id="0" name="image.png"/>
                    <pic:cNvPicPr/>
                  </pic:nvPicPr>
                  <pic:blipFill>
                    <a:blip r:embed="rId25"/>
                    <a:stretch>
                      <a:fillRect/>
                    </a:stretch>
                  </pic:blipFill>
                  <pic:spPr>
                    <a:xfrm>
                      <a:off x="0" y="0"/>
                      <a:ext cx="502920" cy="553212"/>
                    </a:xfrm>
                    <a:prstGeom prst="rect"/>
                  </pic:spPr>
                </pic:pic>
              </a:graphicData>
            </a:graphic>
          </wp:inline>
        </w:drawing>
        <w:t xml:space="preserve">  </w:t>
      </w:r>
      <w:r/>
      <w:r>
        <w:rPr>
          <w:rFonts w:ascii="Arial" w:hAnsi="Arial"/>
          <w:b/>
          <w:color w:val="006B35"/>
          <w:sz w:val="18"/>
        </w:rPr>
        <w:t xml:space="preserve">   UNIVERSITY OF NORTH TEXAS | COLLEGE OF MUSIC</w:t>
      </w:r>
    </w:p>
    <w:p w14:paraId="6C6C22C3" w14:textId="77777777" w:rsidR="00C544F4" w:rsidRDefault="00000000">
      <w:pPr>
        <w:pStyle w:val="Title"/>
      </w:pPr>
      <w:r>
        <w:t>MUCP 3320 | Instrumentation</w:t>
      </w:r>
    </w:p>
    <w:p w14:paraId="0B7E7BF8" w14:textId="77777777" w:rsidR="00C544F4" w:rsidRDefault="00000000">
      <w:pPr>
        <w:pStyle w:val="Subtitle"/>
      </w:pPr>
      <w:r>
        <w:t>Division of Composition Studies | Fall 2026 | 3 semester hours</w:t>
      </w:r>
    </w:p>
    <w:tbl>
      <w:tblPr>
        <w:tblW w:w="9360" w:type="dxa"/>
        <w:tblInd w:w="120" w:type="dxa"/>
        <w:tblBorders>
          <w:top w:val="single" w:sz="6" w:space="0" w:color="BFD2C5"/>
          <w:left w:val="single" w:sz="6" w:space="0" w:color="BFD2C5"/>
          <w:bottom w:val="single" w:sz="6" w:space="0" w:color="BFD2C5"/>
          <w:right w:val="single" w:sz="6" w:space="0" w:color="BFD2C5"/>
          <w:insideH w:val="single" w:sz="6" w:space="0" w:color="BFD2C5"/>
          <w:insideV w:val="single" w:sz="6" w:space="0" w:color="BFD2C5"/>
        </w:tblBorders>
        <w:tblLayout w:type="fixed"/>
        <w:tblLook w:val="04A0" w:firstRow="1" w:lastRow="0" w:firstColumn="1" w:lastColumn="0" w:noHBand="0" w:noVBand="1"/>
      </w:tblPr>
      <w:tblGrid>
        <w:gridCol w:w="1228"/>
        <w:gridCol w:w="3452"/>
        <w:gridCol w:w="1228"/>
        <w:gridCol w:w="3452"/>
      </w:tblGrid>
      <w:tr w:rsidR="00C544F4" w14:paraId="1D988260" w14:textId="77777777" w:rsidTr="00E25392">
        <w:trPr>
          <w:cantSplit/>
          <w:tblHeader/>
        </w:trPr>
        <w:tc>
          <w:tcPr>
            <w:tcW w:w="1228" w:type="dxa"/>
            <w:shd w:val="clear" w:color="auto" w:fill="00853E"/>
            <w:tcMar>
              <w:top w:w="80" w:type="dxa"/>
              <w:left w:w="120" w:type="dxa"/>
              <w:bottom w:w="80" w:type="dxa"/>
              <w:right w:w="120" w:type="dxa"/>
            </w:tcMar>
            <w:vAlign w:val="center"/>
          </w:tcPr>
          <w:p w14:paraId="0E668694" w14:textId="77777777" w:rsidR="00C544F4" w:rsidRDefault="00000000">
            <w:pPr>
              <w:keepLines/>
              <w:spacing w:after="0" w:line="252" w:lineRule="auto"/>
              <w:jc w:val="center"/>
            </w:pPr>
            <w:r>
              <w:rPr>
                <w:rFonts w:cs="Calibri"/>
                <w:b/>
                <w:color w:val="FFFFFF"/>
                <w:sz w:val="17"/>
              </w:rPr>
              <w:t>ITEM</w:t>
            </w:r>
          </w:p>
        </w:tc>
        <w:tc>
          <w:tcPr>
            <w:tcW w:w="3452" w:type="dxa"/>
            <w:shd w:val="clear" w:color="auto" w:fill="00853E"/>
            <w:tcMar>
              <w:top w:w="80" w:type="dxa"/>
              <w:left w:w="120" w:type="dxa"/>
              <w:bottom w:w="80" w:type="dxa"/>
              <w:right w:w="120" w:type="dxa"/>
            </w:tcMar>
            <w:vAlign w:val="center"/>
          </w:tcPr>
          <w:p w14:paraId="0E45990F" w14:textId="77777777" w:rsidR="00C544F4" w:rsidRDefault="00000000">
            <w:pPr>
              <w:keepLines/>
              <w:spacing w:after="0" w:line="252" w:lineRule="auto"/>
            </w:pPr>
            <w:r>
              <w:rPr>
                <w:rFonts w:cs="Calibri"/>
                <w:b/>
                <w:color w:val="FFFFFF"/>
                <w:sz w:val="18"/>
              </w:rPr>
              <w:t>INSTRUCTOR &amp; CONTACT</w:t>
            </w:r>
          </w:p>
        </w:tc>
        <w:tc>
          <w:tcPr>
            <w:tcW w:w="1228" w:type="dxa"/>
            <w:shd w:val="clear" w:color="auto" w:fill="00853E"/>
            <w:tcMar>
              <w:top w:w="80" w:type="dxa"/>
              <w:left w:w="120" w:type="dxa"/>
              <w:bottom w:w="80" w:type="dxa"/>
              <w:right w:w="120" w:type="dxa"/>
            </w:tcMar>
            <w:vAlign w:val="center"/>
          </w:tcPr>
          <w:p w14:paraId="1F0D9E42" w14:textId="77777777" w:rsidR="00C544F4" w:rsidRDefault="00000000">
            <w:pPr>
              <w:keepLines/>
              <w:spacing w:after="0" w:line="252" w:lineRule="auto"/>
              <w:jc w:val="center"/>
            </w:pPr>
            <w:r>
              <w:rPr>
                <w:rFonts w:cs="Calibri"/>
                <w:b/>
                <w:color w:val="FFFFFF"/>
                <w:sz w:val="17"/>
              </w:rPr>
              <w:t>ITEM</w:t>
            </w:r>
          </w:p>
        </w:tc>
        <w:tc>
          <w:tcPr>
            <w:tcW w:w="3452" w:type="dxa"/>
            <w:shd w:val="clear" w:color="auto" w:fill="00853E"/>
            <w:tcMar>
              <w:top w:w="80" w:type="dxa"/>
              <w:left w:w="120" w:type="dxa"/>
              <w:bottom w:w="80" w:type="dxa"/>
              <w:right w:w="120" w:type="dxa"/>
            </w:tcMar>
            <w:vAlign w:val="center"/>
          </w:tcPr>
          <w:p w14:paraId="687CFA3A" w14:textId="77777777" w:rsidR="00C544F4" w:rsidRDefault="00000000">
            <w:pPr>
              <w:keepLines/>
              <w:spacing w:after="0" w:line="252" w:lineRule="auto"/>
            </w:pPr>
            <w:r>
              <w:rPr>
                <w:rFonts w:cs="Calibri"/>
                <w:b/>
                <w:color w:val="FFFFFF"/>
                <w:sz w:val="18"/>
              </w:rPr>
              <w:t>CLASS LOGISTICS</w:t>
            </w:r>
          </w:p>
        </w:tc>
      </w:tr>
      <w:tr w:rsidR="00C544F4" w14:paraId="4D042BD2" w14:textId="77777777" w:rsidTr="00E25392">
        <w:trPr>
          <w:cantSplit/>
        </w:trPr>
        <w:tc>
          <w:tcPr>
            <w:tcW w:w="1228" w:type="dxa"/>
            <w:tcMar>
              <w:top w:w="80" w:type="dxa"/>
              <w:left w:w="120" w:type="dxa"/>
              <w:bottom w:w="80" w:type="dxa"/>
              <w:right w:w="120" w:type="dxa"/>
            </w:tcMar>
            <w:vAlign w:val="center"/>
          </w:tcPr>
          <w:p w14:paraId="7ECE67A6" w14:textId="77777777" w:rsidR="00C544F4" w:rsidRDefault="00000000">
            <w:pPr>
              <w:keepLines/>
              <w:spacing w:after="0" w:line="252" w:lineRule="auto"/>
            </w:pPr>
            <w:r>
              <w:rPr>
                <w:rFonts w:cs="Calibri"/>
                <w:b/>
                <w:color w:val="006B36"/>
                <w:sz w:val="18"/>
              </w:rPr>
              <w:t>Instructor</w:t>
            </w:r>
          </w:p>
        </w:tc>
        <w:tc>
          <w:tcPr>
            <w:tcW w:w="3452" w:type="dxa"/>
            <w:tcMar>
              <w:top w:w="80" w:type="dxa"/>
              <w:left w:w="120" w:type="dxa"/>
              <w:bottom w:w="80" w:type="dxa"/>
              <w:right w:w="120" w:type="dxa"/>
            </w:tcMar>
            <w:vAlign w:val="center"/>
          </w:tcPr>
          <w:p w14:paraId="4F6B5625" w14:textId="77777777" w:rsidR="00C544F4" w:rsidRDefault="00000000">
            <w:pPr>
              <w:keepLines/>
              <w:spacing w:after="0" w:line="252" w:lineRule="auto"/>
            </w:pPr>
            <w:r>
              <w:rPr>
                <w:rFonts w:cs="Calibri"/>
                <w:sz w:val="18"/>
              </w:rPr>
              <w:t>Simon Kaplan, Teaching Fellow</w:t>
            </w:r>
          </w:p>
        </w:tc>
        <w:tc>
          <w:tcPr>
            <w:tcW w:w="1228" w:type="dxa"/>
            <w:tcMar>
              <w:top w:w="80" w:type="dxa"/>
              <w:left w:w="120" w:type="dxa"/>
              <w:bottom w:w="80" w:type="dxa"/>
              <w:right w:w="120" w:type="dxa"/>
            </w:tcMar>
            <w:vAlign w:val="center"/>
          </w:tcPr>
          <w:p w14:paraId="63D4B99B" w14:textId="77777777" w:rsidR="00C544F4" w:rsidRDefault="00000000">
            <w:pPr>
              <w:keepLines/>
              <w:spacing w:after="0" w:line="252" w:lineRule="auto"/>
            </w:pPr>
            <w:r>
              <w:rPr>
                <w:rFonts w:cs="Calibri"/>
                <w:b/>
                <w:color w:val="006B36"/>
                <w:sz w:val="18"/>
              </w:rPr>
              <w:t>Course</w:t>
            </w:r>
          </w:p>
        </w:tc>
        <w:tc>
          <w:tcPr>
            <w:tcW w:w="3452" w:type="dxa"/>
            <w:tcMar>
              <w:top w:w="80" w:type="dxa"/>
              <w:left w:w="120" w:type="dxa"/>
              <w:bottom w:w="80" w:type="dxa"/>
              <w:right w:w="120" w:type="dxa"/>
            </w:tcMar>
            <w:vAlign w:val="center"/>
          </w:tcPr>
          <w:p w14:paraId="72E16C49" w14:textId="605FCC99" w:rsidR="00C544F4" w:rsidRDefault="00000000">
            <w:pPr>
              <w:keepLines/>
              <w:spacing w:after="0" w:line="252" w:lineRule="auto"/>
            </w:pPr>
            <w:r>
              <w:rPr>
                <w:rFonts w:cs="Calibri"/>
                <w:sz w:val="18"/>
              </w:rPr>
              <w:t xml:space="preserve">MUCP 3320, Section </w:t>
            </w:r>
            <w:r w:rsidR="00006F93">
              <w:rPr>
                <w:rFonts w:cs="Calibri"/>
                <w:sz w:val="18"/>
              </w:rPr>
              <w:t>001</w:t>
            </w:r>
          </w:p>
        </w:tc>
      </w:tr>
      <w:tr w:rsidR="00C544F4" w14:paraId="3BA4ECC4" w14:textId="77777777" w:rsidTr="00E25392">
        <w:trPr>
          <w:cantSplit/>
        </w:trPr>
        <w:tc>
          <w:tcPr>
            <w:tcW w:w="1228" w:type="dxa"/>
            <w:shd w:val="clear" w:color="auto" w:fill="F7FAF8"/>
            <w:tcMar>
              <w:top w:w="80" w:type="dxa"/>
              <w:left w:w="120" w:type="dxa"/>
              <w:bottom w:w="80" w:type="dxa"/>
              <w:right w:w="120" w:type="dxa"/>
            </w:tcMar>
            <w:vAlign w:val="center"/>
          </w:tcPr>
          <w:p w14:paraId="34120882" w14:textId="77777777" w:rsidR="00C544F4" w:rsidRDefault="00000000">
            <w:pPr>
              <w:keepLines/>
              <w:spacing w:after="0" w:line="252" w:lineRule="auto"/>
            </w:pPr>
            <w:r>
              <w:rPr>
                <w:rFonts w:cs="Calibri"/>
                <w:b/>
                <w:color w:val="006B36"/>
                <w:sz w:val="18"/>
              </w:rPr>
              <w:t>Email</w:t>
            </w:r>
          </w:p>
        </w:tc>
        <w:tc>
          <w:tcPr>
            <w:tcW w:w="3452" w:type="dxa"/>
            <w:shd w:val="clear" w:color="auto" w:fill="F7FAF8"/>
            <w:tcMar>
              <w:top w:w="80" w:type="dxa"/>
              <w:left w:w="120" w:type="dxa"/>
              <w:bottom w:w="80" w:type="dxa"/>
              <w:right w:w="120" w:type="dxa"/>
            </w:tcMar>
            <w:vAlign w:val="center"/>
          </w:tcPr>
          <w:p w14:paraId="32DD2850" w14:textId="1E9B1288" w:rsidR="00C544F4" w:rsidRDefault="00901135">
            <w:pPr>
              <w:keepLines/>
              <w:spacing w:after="0" w:line="252" w:lineRule="auto"/>
            </w:pPr>
            <w:r>
              <w:rPr>
                <w:rFonts w:cs="Calibri"/>
                <w:sz w:val="18"/>
              </w:rPr>
              <w:t>Simon.Kaplan@unt.edu</w:t>
            </w:r>
          </w:p>
        </w:tc>
        <w:tc>
          <w:tcPr>
            <w:tcW w:w="1228" w:type="dxa"/>
            <w:shd w:val="clear" w:color="auto" w:fill="F7FAF8"/>
            <w:tcMar>
              <w:top w:w="80" w:type="dxa"/>
              <w:left w:w="120" w:type="dxa"/>
              <w:bottom w:w="80" w:type="dxa"/>
              <w:right w:w="120" w:type="dxa"/>
            </w:tcMar>
            <w:vAlign w:val="center"/>
          </w:tcPr>
          <w:p w14:paraId="69604AAB" w14:textId="77777777" w:rsidR="00C544F4" w:rsidRDefault="00000000">
            <w:pPr>
              <w:keepLines/>
              <w:spacing w:after="0" w:line="252" w:lineRule="auto"/>
            </w:pPr>
            <w:r>
              <w:rPr>
                <w:rFonts w:cs="Calibri"/>
                <w:b/>
                <w:color w:val="006B36"/>
                <w:sz w:val="18"/>
              </w:rPr>
              <w:t>Meetings</w:t>
            </w:r>
          </w:p>
        </w:tc>
        <w:tc>
          <w:tcPr>
            <w:tcW w:w="3452" w:type="dxa"/>
            <w:shd w:val="clear" w:color="auto" w:fill="F7FAF8"/>
            <w:tcMar>
              <w:top w:w="80" w:type="dxa"/>
              <w:left w:w="120" w:type="dxa"/>
              <w:bottom w:w="80" w:type="dxa"/>
              <w:right w:w="120" w:type="dxa"/>
            </w:tcMar>
            <w:vAlign w:val="center"/>
          </w:tcPr>
          <w:p w14:paraId="2E1D7882" w14:textId="1BC0F427" w:rsidR="00C544F4" w:rsidRDefault="0054212A">
            <w:pPr>
              <w:keepLines/>
              <w:spacing w:after="0" w:line="252" w:lineRule="auto"/>
            </w:pPr>
            <w:r>
              <w:rPr>
                <w:rFonts w:cs="Calibri"/>
                <w:sz w:val="18"/>
              </w:rPr>
              <w:t>Mon.</w:t>
            </w:r>
            <w:r w:rsidR="00EB5A5F">
              <w:rPr>
                <w:rFonts w:cs="Calibri"/>
                <w:sz w:val="18"/>
              </w:rPr>
              <w:t xml:space="preserve"> </w:t>
            </w:r>
            <w:r>
              <w:rPr>
                <w:rFonts w:cs="Calibri"/>
                <w:sz w:val="18"/>
              </w:rPr>
              <w:t>/</w:t>
            </w:r>
            <w:r w:rsidR="00EB5A5F">
              <w:rPr>
                <w:rFonts w:cs="Calibri"/>
                <w:sz w:val="18"/>
              </w:rPr>
              <w:t xml:space="preserve"> </w:t>
            </w:r>
            <w:r>
              <w:rPr>
                <w:rFonts w:cs="Calibri"/>
                <w:sz w:val="18"/>
              </w:rPr>
              <w:t>Wed.</w:t>
            </w:r>
            <w:r w:rsidR="00EB5A5F">
              <w:rPr>
                <w:rFonts w:cs="Calibri"/>
                <w:sz w:val="18"/>
              </w:rPr>
              <w:t xml:space="preserve"> </w:t>
            </w:r>
            <w:r>
              <w:rPr>
                <w:rFonts w:cs="Calibri"/>
                <w:sz w:val="18"/>
              </w:rPr>
              <w:t>/</w:t>
            </w:r>
            <w:r w:rsidR="00EB5A5F">
              <w:rPr>
                <w:rFonts w:cs="Calibri"/>
                <w:sz w:val="18"/>
              </w:rPr>
              <w:t xml:space="preserve"> </w:t>
            </w:r>
            <w:r>
              <w:rPr>
                <w:rFonts w:cs="Calibri"/>
                <w:sz w:val="18"/>
              </w:rPr>
              <w:t>Fri. | 1:25 PM</w:t>
            </w:r>
            <w:r w:rsidR="00EB5A5F" w:rsidRPr="00EB5A5F">
              <w:rPr>
                <w:rFonts w:cs="Calibri"/>
                <w:sz w:val="18"/>
              </w:rPr>
              <w:t>–</w:t>
            </w:r>
            <w:r>
              <w:rPr>
                <w:rFonts w:cs="Calibri"/>
                <w:sz w:val="18"/>
              </w:rPr>
              <w:t>2:15 PM</w:t>
            </w:r>
          </w:p>
        </w:tc>
      </w:tr>
      <w:tr w:rsidR="00E25392" w14:paraId="0418DE32" w14:textId="77777777" w:rsidTr="00E25392">
        <w:trPr>
          <w:cantSplit/>
        </w:trPr>
        <w:tc>
          <w:tcPr>
            <w:tcW w:w="1228" w:type="dxa"/>
            <w:tcMar>
              <w:top w:w="80" w:type="dxa"/>
              <w:left w:w="120" w:type="dxa"/>
              <w:bottom w:w="80" w:type="dxa"/>
              <w:right w:w="120" w:type="dxa"/>
            </w:tcMar>
            <w:vAlign w:val="center"/>
          </w:tcPr>
          <w:p w14:paraId="411BF75D" w14:textId="569A2F3F" w:rsidR="00E25392" w:rsidRDefault="00E25392">
            <w:pPr>
              <w:keepLines/>
              <w:spacing w:after="0" w:line="252" w:lineRule="auto"/>
            </w:pPr>
            <w:r>
              <w:rPr>
                <w:rFonts w:cs="Calibri"/>
                <w:b/>
                <w:color w:val="006B36"/>
                <w:sz w:val="18"/>
              </w:rPr>
              <w:t>Office hours</w:t>
            </w:r>
          </w:p>
        </w:tc>
        <w:tc>
          <w:tcPr>
            <w:tcW w:w="3452" w:type="dxa"/>
            <w:tcMar>
              <w:top w:w="80" w:type="dxa"/>
              <w:left w:w="120" w:type="dxa"/>
              <w:bottom w:w="80" w:type="dxa"/>
              <w:right w:w="120" w:type="dxa"/>
            </w:tcMar>
            <w:vAlign w:val="center"/>
          </w:tcPr>
          <w:p w14:paraId="68ED94A8" w14:textId="49AB1D16" w:rsidR="00E25392" w:rsidRDefault="00E25392">
            <w:pPr>
              <w:keepLines/>
              <w:spacing w:after="0" w:line="252" w:lineRule="auto"/>
            </w:pPr>
            <w:r>
              <w:rPr>
                <w:rFonts w:cs="Calibri"/>
                <w:sz w:val="18"/>
              </w:rPr>
              <w:t>Online by appointment</w:t>
            </w:r>
          </w:p>
        </w:tc>
        <w:tc>
          <w:tcPr>
            <w:tcW w:w="1228" w:type="dxa"/>
            <w:tcMar>
              <w:top w:w="80" w:type="dxa"/>
              <w:left w:w="120" w:type="dxa"/>
              <w:bottom w:w="80" w:type="dxa"/>
              <w:right w:w="120" w:type="dxa"/>
            </w:tcMar>
            <w:vAlign w:val="center"/>
          </w:tcPr>
          <w:p w14:paraId="7D6CE41E" w14:textId="77777777" w:rsidR="00E25392" w:rsidRDefault="00E25392">
            <w:pPr>
              <w:keepLines/>
              <w:spacing w:after="0" w:line="252" w:lineRule="auto"/>
            </w:pPr>
            <w:r>
              <w:rPr>
                <w:rFonts w:cs="Calibri"/>
                <w:b/>
                <w:color w:val="006B36"/>
                <w:sz w:val="18"/>
              </w:rPr>
              <w:t>Location</w:t>
            </w:r>
          </w:p>
        </w:tc>
        <w:tc>
          <w:tcPr>
            <w:tcW w:w="3452" w:type="dxa"/>
            <w:tcMar>
              <w:top w:w="80" w:type="dxa"/>
              <w:left w:w="120" w:type="dxa"/>
              <w:bottom w:w="80" w:type="dxa"/>
              <w:right w:w="120" w:type="dxa"/>
            </w:tcMar>
            <w:vAlign w:val="center"/>
          </w:tcPr>
          <w:p w14:paraId="5578531A" w14:textId="406B5641" w:rsidR="00E25392" w:rsidRDefault="00E25392">
            <w:pPr>
              <w:keepLines/>
              <w:spacing w:after="0" w:line="252" w:lineRule="auto"/>
            </w:pPr>
            <w:r>
              <w:rPr>
                <w:rFonts w:cs="Calibri"/>
                <w:sz w:val="18"/>
              </w:rPr>
              <w:t>MU 250, Main Building</w:t>
            </w:r>
          </w:p>
        </w:tc>
      </w:tr>
    </w:tbl>
    <w:p>
      <w:pPr>
        <w:pStyle w:val="Heading1"/>
        <w:keepNext/>
        <w:pageBreakBefore w:val="0"/>
      </w:pPr>
      <w:r>
        <w:t>Course Purpose</w:t>
      </w:r>
    </w:p>
    <w:p>
      <w:r>
        <w:rPr>
          <w:b/>
        </w:rPr>
        <w:t xml:space="preserve">Course description. </w:t>
      </w:r>
      <w:r>
        <w:t>MUCP 3320 develops practical knowledge of orchestral and related instruments in score order: woodwinds, brass, percussion, keyboards, plucked strings, and bowed strings. For each family, students study instrument names in English, Italian, German, and French; transpositions; ranges and registers; capabilities and limitations; notation; idiomatic writing; balance; and extended techniques. Required readings from Adler and Gould prepare students for the six comprehensive in-class family examinations, the cumulative written final examination, and the individual cumulative oral examination.</w:t>
      </w:r>
    </w:p>
    <w:p>
      <w:r>
        <w:rPr>
          <w:b/>
        </w:rPr>
        <w:t xml:space="preserve">NO TAKE-HOME ASSIGNMENTS. </w:t>
      </w:r>
      <w:r>
        <w:rPr>
          <w:b w:val="0"/>
        </w:rPr>
        <w:t>There are no graded assignments or projects to complete outside class. Students are nevertheless responsible for completing the assigned readings and reviewing course material regularly so that they are prepared for the six family examinations, the cumulative written final examination, and the individual cumulative oral examination.</w:t>
      </w:r>
    </w:p>
    <w:p>
      <w:pPr>
        <w:pStyle w:val="Heading1"/>
        <w:keepNext/>
        <w:pageBreakBefore w:val="0"/>
      </w:pPr>
      <w:r>
        <w:t>Learning Outcomes</w:t>
      </w:r>
    </w:p>
    <w:p>
      <w:pPr>
        <w:keepNext w:val="0"/>
        <w:spacing w:before="0" w:after="100"/>
      </w:pPr>
      <w:r>
        <w:t>By the end of the course, a successful student will be able to:</w:t>
      </w:r>
    </w:p>
    <w:p>
      <w:pPr>
        <w:pStyle w:val="ListBullet"/>
        <w:keepNext w:val="0"/>
        <w:spacing w:before="0" w:after="40"/>
      </w:pPr>
      <w:r>
        <w:t>Classify standard orchestral instruments by family, subfamily, construction, and method of sound production.</w:t>
      </w:r>
    </w:p>
    <w:p>
      <w:pPr>
        <w:pStyle w:val="ListBullet"/>
        <w:keepNext w:val="0"/>
        <w:spacing w:before="0" w:after="40"/>
      </w:pPr>
      <w:r>
        <w:t>Identify every instrument studied by its English, Italian, German, and French names.</w:t>
      </w:r>
    </w:p>
    <w:p>
      <w:pPr>
        <w:pStyle w:val="ListBullet"/>
        <w:keepNext w:val="0"/>
        <w:spacing w:before="0" w:after="40"/>
      </w:pPr>
      <w:r>
        <w:t>State and use transpositions, practical ranges and registers, clefs, tunings, and standard score order.</w:t>
      </w:r>
    </w:p>
    <w:p>
      <w:pPr>
        <w:pStyle w:val="ListBullet"/>
        <w:keepNext w:val="0"/>
        <w:spacing w:before="0" w:after="40"/>
      </w:pPr>
      <w:r>
        <w:t>Convert accurately between written and sounding pitch for common transposing instruments.</w:t>
      </w:r>
    </w:p>
    <w:p>
      <w:pPr>
        <w:pStyle w:val="ListBullet"/>
        <w:keepNext w:val="0"/>
        <w:spacing w:before="0" w:after="40"/>
      </w:pPr>
      <w:r>
        <w:t>Explain what each instrument can and cannot do, including technical, physical, and registral constraints.</w:t>
      </w:r>
    </w:p>
    <w:p>
      <w:pPr>
        <w:pStyle w:val="ListBullet"/>
        <w:keepNext w:val="0"/>
        <w:spacing w:before="0" w:after="40"/>
      </w:pPr>
      <w:r>
        <w:t>Recognize and notate standard articulations, idiomatic techniques, and selected extended techniques.</w:t>
      </w:r>
    </w:p>
    <w:p>
      <w:pPr>
        <w:pStyle w:val="ListBullet"/>
        <w:keepNext w:val="0"/>
        <w:spacing w:before="0" w:after="40"/>
      </w:pPr>
      <w:r>
        <w:t>Evaluate instrumental balance, projection, blend, doubling, and relative strength in orchestral textures.</w:t>
      </w:r>
    </w:p>
    <w:p>
      <w:pPr>
        <w:pStyle w:val="ListBullet"/>
        <w:keepNext w:val="0"/>
        <w:spacing w:before="0" w:after="40"/>
      </w:pPr>
      <w:r>
        <w:t>Demonstrate comprehensive instrumental knowledge accurately in written and oral examinations.</w:t>
      </w:r>
    </w:p>
    <w:p>
      <w:pPr>
        <w:pStyle w:val="Heading1"/>
      </w:pPr>
      <w:r>
        <w:t>Required Materials and Readings</w:t>
      </w:r>
    </w:p>
    <w:p>
      <w:pPr>
        <w:pStyle w:val="Heading2"/>
        <w:keepNext/>
        <w:pageBreakBefore w:val="0"/>
      </w:pPr>
      <w:r>
        <w:t>Required texts</w:t>
      </w:r>
    </w:p>
    <w:p>
      <w:pPr>
        <w:pStyle w:val="ListBullet"/>
        <w:keepNext w:val="0"/>
        <w:spacing w:before="0" w:after="40"/>
      </w:pPr>
      <w:r>
        <w:t xml:space="preserve">Adler, Samuel. </w:t>
      </w:r>
      <w:r>
        <w:rPr>
          <w:i/>
        </w:rPr>
        <w:t>The Study of Orchestration</w:t>
      </w:r>
      <w:r>
        <w:t>. W. W. Norton &amp; Company. Any edition.</w:t>
      </w:r>
    </w:p>
    <w:p>
      <w:pPr>
        <w:pStyle w:val="ListBullet"/>
        <w:keepNext w:val="0"/>
        <w:spacing w:before="0" w:after="40"/>
      </w:pPr>
      <w:r>
        <w:t xml:space="preserve">Gould, Elaine. </w:t>
      </w:r>
      <w:r>
        <w:rPr>
          <w:i/>
        </w:rPr>
        <w:t>Behind Bars: The Definitive Guide to Music Notation</w:t>
      </w:r>
      <w:r>
        <w:t>. Faber Music, 2011.</w:t>
      </w:r>
    </w:p>
    <w:p>
      <w:r>
        <w:t>Both books are required. Any edition of Adler may be used; the 4th edition is recommended, and chapter numbering varies by edition. Assigned readings are listed by topic in the course schedule and support the material taught and examined in class.</w:t>
      </w:r>
    </w:p>
    <w:p>
      <w:pPr/>
      <w:r>
        <w:rPr>
          <w:b/>
        </w:rPr>
        <w:t xml:space="preserve">TEXT ACCESS GRACE PERIOD. </w:t>
      </w:r>
      <w:r>
        <w:rPr>
          <w:b w:val="0"/>
        </w:rPr>
        <w:t>The initial woodwind readings are due before class on Monday, August 31, 2026, giving students two weeks from the first course meeting to obtain lawful access to the required books. Beginning with the brass module, readings are due before the first class meeting of each instrumental family.</w:t>
      </w:r>
    </w:p>
    <w:p>
      <w:pPr>
        <w:pStyle w:val="Heading2"/>
        <w:keepNext/>
        <w:pageBreakBefore w:val="0"/>
      </w:pPr>
      <w:r>
        <w:t>Access and copyright</w:t>
      </w:r>
    </w:p>
    <w:p>
      <w:pPr>
        <w:keepNext w:val="0"/>
        <w:spacing w:before="0" w:after="100"/>
      </w:pPr>
      <w:r>
        <w:t>Students are responsible for obtaining lawful access to the required texts. Complete scans or PDFs of copyrighted books will not be uploaded to Canvas unless UNT holds an applicable license or permission. Canvas may provide library links, legally licensed resources, and limited excerpts when permitted. Students may not redistribute course readings, scans, scores, or recordings.</w:t>
      </w:r>
    </w:p>
    <w:p>
      <w:pPr>
        <w:pStyle w:val="Heading2"/>
        <w:keepNext/>
        <w:pageBreakBefore w:val="0"/>
      </w:pPr>
      <w:r>
        <w:t>Other materials</w:t>
      </w:r>
    </w:p>
    <w:p>
      <w:pPr>
        <w:pStyle w:val="ListBullet"/>
        <w:keepNext w:val="0"/>
        <w:spacing w:before="0" w:after="40"/>
      </w:pPr>
      <w:r>
        <w:t>Pencils, erasers, and staff paper for all in-class work and examinations.</w:t>
      </w:r>
    </w:p>
    <w:p>
      <w:pPr>
        <w:pStyle w:val="ListBullet"/>
        <w:keepNext w:val="0"/>
        <w:spacing w:before="0" w:after="40"/>
      </w:pPr>
      <w:r>
        <w:t>Reliable access to Canvas and EagleConnect for announcements, reading assignments, and examination information.</w:t>
      </w:r>
    </w:p>
    <w:p>
      <w:pPr>
        <w:pStyle w:val="Heading1"/>
        <w:keepNext/>
        <w:pageBreakBefore w:val="0"/>
      </w:pPr>
      <w:r>
        <w:t>Course Organization</w:t>
      </w:r>
    </w:p>
    <w:p>
      <w:r>
        <w:t>Each module moves from family and subfamily principles to individual instruments, notation, idiomatic practice, and synthesis. Every major family concludes with one comprehensive in-class examination.</w:t>
      </w:r>
    </w:p>
    <w:tbl>
      <w:tblPr>
        <w:tblW w:type="dxa" w:w="9360"/>
        <w:jc w:val="left"/>
        <w:tblLayout w:type="fixed"/>
        <w:tblLook w:firstColumn="1" w:firstRow="1" w:lastColumn="0" w:lastRow="0" w:noHBand="0" w:noVBand="1" w:val="04A0"/>
        <w:tblInd w:w="0" w:type="dxa"/>
      </w:tblPr>
      <w:tblGrid>
        <w:gridCol w:w="1800"/>
        <w:gridCol w:w="4500"/>
        <w:gridCol w:w="1300"/>
        <w:gridCol w:w="1760"/>
      </w:tblGrid>
      <w:tr>
        <w:trPr>
          <w:cantSplit/>
          <w:tblHeader w:val="true"/>
        </w:trPr>
        <w:tc>
          <w:tcPr>
            <w:tcW w:type="dxa" w:w="1800"/>
            <w:tcMar>
              <w:top w:w="90" w:type="dxa"/>
              <w:start w:w="110" w:type="dxa"/>
              <w:bottom w:w="90" w:type="dxa"/>
              <w:end w:w="110" w:type="dxa"/>
            </w:tcMar>
            <w:vAlign w:val="center"/>
            <w:shd w:fill="00853E"/>
          </w:tcPr>
          <w:p>
            <w:pPr>
              <w:keepLines/>
              <w:spacing w:after="0" w:before="0" w:line="240" w:lineRule="auto"/>
            </w:pPr>
            <w:r>
              <w:rPr>
                <w:rFonts w:ascii="Arial" w:hAnsi="Arial"/>
                <w:b/>
                <w:color w:val="FFFFFF"/>
                <w:sz w:val="17"/>
              </w:rPr>
              <w:t>MODULE</w:t>
            </w:r>
          </w:p>
        </w:tc>
        <w:tc>
          <w:tcPr>
            <w:tcW w:type="dxa" w:w="4500"/>
            <w:tcMar>
              <w:top w:w="90" w:type="dxa"/>
              <w:start w:w="110" w:type="dxa"/>
              <w:bottom w:w="90" w:type="dxa"/>
              <w:end w:w="110" w:type="dxa"/>
            </w:tcMar>
            <w:vAlign w:val="center"/>
            <w:shd w:fill="00853E"/>
          </w:tcPr>
          <w:p>
            <w:pPr>
              <w:keepLines/>
              <w:spacing w:after="0" w:before="0" w:line="240" w:lineRule="auto"/>
            </w:pPr>
            <w:r>
              <w:rPr>
                <w:rFonts w:ascii="Arial" w:hAnsi="Arial"/>
                <w:b/>
                <w:color w:val="FFFFFF"/>
                <w:sz w:val="17"/>
              </w:rPr>
              <w:t>CONTENT</w:t>
            </w:r>
          </w:p>
        </w:tc>
        <w:tc>
          <w:tcPr>
            <w:tcW w:type="dxa" w:w="1300"/>
            <w:tcMar>
              <w:top w:w="90" w:type="dxa"/>
              <w:start w:w="110" w:type="dxa"/>
              <w:bottom w:w="90" w:type="dxa"/>
              <w:end w:w="110" w:type="dxa"/>
            </w:tcMar>
            <w:vAlign w:val="center"/>
            <w:shd w:fill="00853E"/>
          </w:tcPr>
          <w:p>
            <w:pPr>
              <w:keepLines/>
              <w:spacing w:after="0" w:before="0" w:line="240" w:lineRule="auto"/>
            </w:pPr>
            <w:r>
              <w:rPr>
                <w:rFonts w:ascii="Arial" w:hAnsi="Arial"/>
                <w:b/>
                <w:color w:val="FFFFFF"/>
                <w:sz w:val="17"/>
              </w:rPr>
              <w:t>CLASSES</w:t>
            </w:r>
          </w:p>
        </w:tc>
        <w:tc>
          <w:tcPr>
            <w:tcW w:type="dxa" w:w="1760"/>
            <w:tcMar>
              <w:top w:w="90" w:type="dxa"/>
              <w:start w:w="110" w:type="dxa"/>
              <w:bottom w:w="90" w:type="dxa"/>
              <w:end w:w="110" w:type="dxa"/>
            </w:tcMar>
            <w:vAlign w:val="center"/>
            <w:shd w:fill="00853E"/>
          </w:tcPr>
          <w:p>
            <w:pPr>
              <w:keepLines/>
              <w:spacing w:after="0" w:before="0" w:line="240" w:lineRule="auto"/>
            </w:pPr>
            <w:r>
              <w:rPr>
                <w:rFonts w:ascii="Arial" w:hAnsi="Arial"/>
                <w:b/>
                <w:color w:val="FFFFFF"/>
                <w:sz w:val="17"/>
              </w:rPr>
              <w:t>EXAMINATION</w:t>
            </w:r>
          </w:p>
        </w:tc>
      </w:tr>
      <w:tr>
        <w:trPr>
          <w:cantSplit/>
        </w:trPr>
        <w:tc>
          <w:tcPr>
            <w:tcW w:type="dxa" w:w="1800"/>
            <w:tcMar>
              <w:top w:w="90" w:type="dxa"/>
              <w:start w:w="110" w:type="dxa"/>
              <w:bottom w:w="90" w:type="dxa"/>
              <w:end w:w="110" w:type="dxa"/>
            </w:tcMar>
            <w:vAlign w:val="center"/>
          </w:tcPr>
          <w:p>
            <w:pPr>
              <w:keepLines/>
              <w:spacing w:after="0" w:before="0" w:line="240" w:lineRule="auto"/>
            </w:pPr>
            <w:r>
              <w:rPr>
                <w:rFonts w:ascii="Arial" w:hAnsi="Arial"/>
                <w:sz w:val="17"/>
              </w:rPr>
              <w:t>Woodwinds</w:t>
            </w:r>
          </w:p>
        </w:tc>
        <w:tc>
          <w:tcPr>
            <w:tcW w:type="dxa" w:w="4500"/>
            <w:tcMar>
              <w:top w:w="90" w:type="dxa"/>
              <w:start w:w="110" w:type="dxa"/>
              <w:bottom w:w="90" w:type="dxa"/>
              <w:end w:w="110" w:type="dxa"/>
            </w:tcMar>
            <w:vAlign w:val="center"/>
          </w:tcPr>
          <w:p>
            <w:pPr>
              <w:keepLines/>
              <w:spacing w:after="0" w:before="0" w:line="240" w:lineRule="auto"/>
            </w:pPr>
            <w:r>
              <w:rPr>
                <w:rFonts w:ascii="Arial" w:hAnsi="Arial"/>
                <w:sz w:val="17"/>
              </w:rPr>
              <w:t>Flutes; clarinets; saxophones; double reeds; synthesis</w:t>
            </w:r>
          </w:p>
        </w:tc>
        <w:tc>
          <w:tcPr>
            <w:tcW w:type="dxa" w:w="1300"/>
            <w:tcMar>
              <w:top w:w="90" w:type="dxa"/>
              <w:start w:w="110" w:type="dxa"/>
              <w:bottom w:w="90" w:type="dxa"/>
              <w:end w:w="110" w:type="dxa"/>
            </w:tcMar>
            <w:vAlign w:val="center"/>
          </w:tcPr>
          <w:p>
            <w:pPr>
              <w:keepLines/>
              <w:spacing w:after="0" w:before="0" w:line="240" w:lineRule="auto"/>
            </w:pPr>
            <w:r>
              <w:rPr>
                <w:rFonts w:ascii="Arial" w:hAnsi="Arial"/>
                <w:sz w:val="17"/>
              </w:rPr>
              <w:t>10</w:t>
            </w:r>
          </w:p>
        </w:tc>
        <w:tc>
          <w:tcPr>
            <w:tcW w:type="dxa" w:w="1760"/>
            <w:tcMar>
              <w:top w:w="90" w:type="dxa"/>
              <w:start w:w="110" w:type="dxa"/>
              <w:bottom w:w="90" w:type="dxa"/>
              <w:end w:w="110" w:type="dxa"/>
            </w:tcMar>
            <w:vAlign w:val="center"/>
          </w:tcPr>
          <w:p>
            <w:pPr>
              <w:keepLines/>
              <w:spacing w:after="0" w:before="0" w:line="240" w:lineRule="auto"/>
            </w:pPr>
            <w:r>
              <w:rPr>
                <w:rFonts w:ascii="Arial" w:hAnsi="Arial"/>
                <w:sz w:val="17"/>
              </w:rPr>
              <w:t>Fri. Sep. 11</w:t>
            </w:r>
          </w:p>
        </w:tc>
      </w:tr>
      <w:tr>
        <w:trPr>
          <w:cantSplit/>
        </w:trPr>
        <w:tc>
          <w:tcPr>
            <w:tcW w:type="dxa" w:w="1800"/>
            <w:tcMar>
              <w:top w:w="90" w:type="dxa"/>
              <w:start w:w="110" w:type="dxa"/>
              <w:bottom w:w="90" w:type="dxa"/>
              <w:end w:w="110" w:type="dxa"/>
            </w:tcMar>
            <w:vAlign w:val="center"/>
            <w:shd w:fill="F2F4F3"/>
          </w:tcPr>
          <w:p>
            <w:pPr>
              <w:keepLines/>
              <w:spacing w:after="0" w:before="0" w:line="240" w:lineRule="auto"/>
            </w:pPr>
            <w:r>
              <w:rPr>
                <w:rFonts w:ascii="Arial" w:hAnsi="Arial"/>
                <w:sz w:val="17"/>
              </w:rPr>
              <w:t>Brass</w:t>
            </w:r>
          </w:p>
        </w:tc>
        <w:tc>
          <w:tcPr>
            <w:tcW w:type="dxa" w:w="4500"/>
            <w:tcMar>
              <w:top w:w="90" w:type="dxa"/>
              <w:start w:w="110" w:type="dxa"/>
              <w:bottom w:w="90" w:type="dxa"/>
              <w:end w:w="110" w:type="dxa"/>
            </w:tcMar>
            <w:vAlign w:val="center"/>
            <w:shd w:fill="F2F4F3"/>
          </w:tcPr>
          <w:p>
            <w:pPr>
              <w:keepLines/>
              <w:spacing w:after="0" w:before="0" w:line="240" w:lineRule="auto"/>
            </w:pPr>
            <w:r>
              <w:rPr>
                <w:rFonts w:ascii="Arial" w:hAnsi="Arial"/>
                <w:sz w:val="17"/>
              </w:rPr>
              <w:t>Cylindrical brass; conical brass; synthesis</w:t>
            </w:r>
          </w:p>
        </w:tc>
        <w:tc>
          <w:tcPr>
            <w:tcW w:type="dxa" w:w="1300"/>
            <w:tcMar>
              <w:top w:w="90" w:type="dxa"/>
              <w:start w:w="110" w:type="dxa"/>
              <w:bottom w:w="90" w:type="dxa"/>
              <w:end w:w="110" w:type="dxa"/>
            </w:tcMar>
            <w:vAlign w:val="center"/>
            <w:shd w:fill="F2F4F3"/>
          </w:tcPr>
          <w:p>
            <w:pPr>
              <w:keepLines/>
              <w:spacing w:after="0" w:before="0" w:line="240" w:lineRule="auto"/>
            </w:pPr>
            <w:r>
              <w:rPr>
                <w:rFonts w:ascii="Arial" w:hAnsi="Arial"/>
                <w:sz w:val="17"/>
              </w:rPr>
              <w:t>6</w:t>
            </w:r>
          </w:p>
        </w:tc>
        <w:tc>
          <w:tcPr>
            <w:tcW w:type="dxa" w:w="1760"/>
            <w:tcMar>
              <w:top w:w="90" w:type="dxa"/>
              <w:start w:w="110" w:type="dxa"/>
              <w:bottom w:w="90" w:type="dxa"/>
              <w:end w:w="110" w:type="dxa"/>
            </w:tcMar>
            <w:vAlign w:val="center"/>
            <w:shd w:fill="F2F4F3"/>
          </w:tcPr>
          <w:p>
            <w:pPr>
              <w:keepLines/>
              <w:spacing w:after="0" w:before="0" w:line="240" w:lineRule="auto"/>
            </w:pPr>
            <w:r>
              <w:rPr>
                <w:rFonts w:ascii="Arial" w:hAnsi="Arial"/>
                <w:sz w:val="17"/>
              </w:rPr>
              <w:t>Fri. Sep. 25</w:t>
            </w:r>
          </w:p>
        </w:tc>
      </w:tr>
      <w:tr>
        <w:trPr>
          <w:cantSplit/>
        </w:trPr>
        <w:tc>
          <w:tcPr>
            <w:tcW w:type="dxa" w:w="1800"/>
            <w:tcMar>
              <w:top w:w="90" w:type="dxa"/>
              <w:start w:w="110" w:type="dxa"/>
              <w:bottom w:w="90" w:type="dxa"/>
              <w:end w:w="110" w:type="dxa"/>
            </w:tcMar>
            <w:vAlign w:val="center"/>
          </w:tcPr>
          <w:p>
            <w:pPr>
              <w:keepLines/>
              <w:spacing w:after="0" w:before="0" w:line="240" w:lineRule="auto"/>
            </w:pPr>
            <w:r>
              <w:rPr>
                <w:rFonts w:ascii="Arial" w:hAnsi="Arial"/>
                <w:sz w:val="17"/>
              </w:rPr>
              <w:t>Percussion</w:t>
            </w:r>
          </w:p>
        </w:tc>
        <w:tc>
          <w:tcPr>
            <w:tcW w:type="dxa" w:w="4500"/>
            <w:tcMar>
              <w:top w:w="90" w:type="dxa"/>
              <w:start w:w="110" w:type="dxa"/>
              <w:bottom w:w="90" w:type="dxa"/>
              <w:end w:w="110" w:type="dxa"/>
            </w:tcMar>
            <w:vAlign w:val="center"/>
          </w:tcPr>
          <w:p>
            <w:pPr>
              <w:keepLines/>
              <w:spacing w:after="0" w:before="0" w:line="240" w:lineRule="auto"/>
            </w:pPr>
            <w:r>
              <w:rPr>
                <w:rFonts w:ascii="Arial" w:hAnsi="Arial"/>
                <w:sz w:val="17"/>
              </w:rPr>
              <w:t>Idiophones; membranophones; aerophones; chordophones; synthesis</w:t>
            </w:r>
          </w:p>
        </w:tc>
        <w:tc>
          <w:tcPr>
            <w:tcW w:type="dxa" w:w="1300"/>
            <w:tcMar>
              <w:top w:w="90" w:type="dxa"/>
              <w:start w:w="110" w:type="dxa"/>
              <w:bottom w:w="90" w:type="dxa"/>
              <w:end w:w="110" w:type="dxa"/>
            </w:tcMar>
            <w:vAlign w:val="center"/>
          </w:tcPr>
          <w:p>
            <w:pPr>
              <w:keepLines/>
              <w:spacing w:after="0" w:before="0" w:line="240" w:lineRule="auto"/>
            </w:pPr>
            <w:r>
              <w:rPr>
                <w:rFonts w:ascii="Arial" w:hAnsi="Arial"/>
                <w:sz w:val="17"/>
              </w:rPr>
              <w:t>10</w:t>
            </w:r>
          </w:p>
        </w:tc>
        <w:tc>
          <w:tcPr>
            <w:tcW w:type="dxa" w:w="1760"/>
            <w:tcMar>
              <w:top w:w="90" w:type="dxa"/>
              <w:start w:w="110" w:type="dxa"/>
              <w:bottom w:w="90" w:type="dxa"/>
              <w:end w:w="110" w:type="dxa"/>
            </w:tcMar>
            <w:vAlign w:val="center"/>
          </w:tcPr>
          <w:p>
            <w:pPr>
              <w:keepLines/>
              <w:spacing w:after="0" w:before="0" w:line="240" w:lineRule="auto"/>
            </w:pPr>
            <w:r>
              <w:rPr>
                <w:rFonts w:ascii="Arial" w:hAnsi="Arial"/>
                <w:sz w:val="17"/>
              </w:rPr>
              <w:t>Mon. Oct. 19</w:t>
            </w:r>
          </w:p>
        </w:tc>
      </w:tr>
      <w:tr>
        <w:trPr>
          <w:cantSplit/>
        </w:trPr>
        <w:tc>
          <w:tcPr>
            <w:tcW w:type="dxa" w:w="1800"/>
            <w:tcMar>
              <w:top w:w="90" w:type="dxa"/>
              <w:start w:w="110" w:type="dxa"/>
              <w:bottom w:w="90" w:type="dxa"/>
              <w:end w:w="110" w:type="dxa"/>
            </w:tcMar>
            <w:vAlign w:val="center"/>
            <w:shd w:fill="F2F4F3"/>
          </w:tcPr>
          <w:p>
            <w:pPr>
              <w:keepLines/>
              <w:spacing w:after="0" w:before="0" w:line="240" w:lineRule="auto"/>
            </w:pPr>
            <w:r>
              <w:rPr>
                <w:rFonts w:ascii="Arial" w:hAnsi="Arial"/>
                <w:sz w:val="17"/>
              </w:rPr>
              <w:t>Keyboards</w:t>
            </w:r>
          </w:p>
        </w:tc>
        <w:tc>
          <w:tcPr>
            <w:tcW w:type="dxa" w:w="4500"/>
            <w:tcMar>
              <w:top w:w="90" w:type="dxa"/>
              <w:start w:w="110" w:type="dxa"/>
              <w:bottom w:w="90" w:type="dxa"/>
              <w:end w:w="110" w:type="dxa"/>
            </w:tcMar>
            <w:vAlign w:val="center"/>
            <w:shd w:fill="F2F4F3"/>
          </w:tcPr>
          <w:p>
            <w:pPr>
              <w:keepLines/>
              <w:spacing w:after="0" w:before="0" w:line="240" w:lineRule="auto"/>
            </w:pPr>
            <w:r>
              <w:rPr>
                <w:rFonts w:ascii="Arial" w:hAnsi="Arial"/>
                <w:sz w:val="17"/>
              </w:rPr>
              <w:t>Piano, celesta, harpsichord, organ, accordion; synthesis</w:t>
            </w:r>
          </w:p>
        </w:tc>
        <w:tc>
          <w:tcPr>
            <w:tcW w:type="dxa" w:w="1300"/>
            <w:tcMar>
              <w:top w:w="90" w:type="dxa"/>
              <w:start w:w="110" w:type="dxa"/>
              <w:bottom w:w="90" w:type="dxa"/>
              <w:end w:w="110" w:type="dxa"/>
            </w:tcMar>
            <w:vAlign w:val="center"/>
            <w:shd w:fill="F2F4F3"/>
          </w:tcPr>
          <w:p>
            <w:pPr>
              <w:keepLines/>
              <w:spacing w:after="0" w:before="0" w:line="240" w:lineRule="auto"/>
            </w:pPr>
            <w:r>
              <w:rPr>
                <w:rFonts w:ascii="Arial" w:hAnsi="Arial"/>
                <w:sz w:val="17"/>
              </w:rPr>
              <w:t>4</w:t>
            </w:r>
          </w:p>
        </w:tc>
        <w:tc>
          <w:tcPr>
            <w:tcW w:type="dxa" w:w="1760"/>
            <w:tcMar>
              <w:top w:w="90" w:type="dxa"/>
              <w:start w:w="110" w:type="dxa"/>
              <w:bottom w:w="90" w:type="dxa"/>
              <w:end w:w="110" w:type="dxa"/>
            </w:tcMar>
            <w:vAlign w:val="center"/>
            <w:shd w:fill="F2F4F3"/>
          </w:tcPr>
          <w:p>
            <w:pPr>
              <w:keepLines/>
              <w:spacing w:after="0" w:before="0" w:line="240" w:lineRule="auto"/>
            </w:pPr>
            <w:r>
              <w:rPr>
                <w:rFonts w:ascii="Arial" w:hAnsi="Arial"/>
                <w:sz w:val="17"/>
              </w:rPr>
              <w:t>Wed. Oct. 28</w:t>
            </w:r>
          </w:p>
        </w:tc>
      </w:tr>
      <w:tr>
        <w:trPr>
          <w:cantSplit/>
        </w:trPr>
        <w:tc>
          <w:tcPr>
            <w:tcW w:type="dxa" w:w="1800"/>
            <w:tcMar>
              <w:top w:w="90" w:type="dxa"/>
              <w:start w:w="110" w:type="dxa"/>
              <w:bottom w:w="90" w:type="dxa"/>
              <w:end w:w="110" w:type="dxa"/>
            </w:tcMar>
            <w:vAlign w:val="center"/>
          </w:tcPr>
          <w:p>
            <w:pPr>
              <w:keepLines/>
              <w:spacing w:after="0" w:before="0" w:line="240" w:lineRule="auto"/>
            </w:pPr>
            <w:r>
              <w:rPr>
                <w:rFonts w:ascii="Arial" w:hAnsi="Arial"/>
                <w:sz w:val="17"/>
              </w:rPr>
              <w:t>Plucked strings</w:t>
            </w:r>
          </w:p>
        </w:tc>
        <w:tc>
          <w:tcPr>
            <w:tcW w:type="dxa" w:w="4500"/>
            <w:tcMar>
              <w:top w:w="90" w:type="dxa"/>
              <w:start w:w="110" w:type="dxa"/>
              <w:bottom w:w="90" w:type="dxa"/>
              <w:end w:w="110" w:type="dxa"/>
            </w:tcMar>
            <w:vAlign w:val="center"/>
          </w:tcPr>
          <w:p>
            <w:pPr>
              <w:keepLines/>
              <w:spacing w:after="0" w:before="0" w:line="240" w:lineRule="auto"/>
            </w:pPr>
            <w:r>
              <w:rPr>
                <w:rFonts w:ascii="Arial" w:hAnsi="Arial"/>
                <w:sz w:val="17"/>
              </w:rPr>
              <w:t>Harp; classical guitar; synthesis</w:t>
            </w:r>
          </w:p>
        </w:tc>
        <w:tc>
          <w:tcPr>
            <w:tcW w:type="dxa" w:w="1300"/>
            <w:tcMar>
              <w:top w:w="90" w:type="dxa"/>
              <w:start w:w="110" w:type="dxa"/>
              <w:bottom w:w="90" w:type="dxa"/>
              <w:end w:w="110" w:type="dxa"/>
            </w:tcMar>
            <w:vAlign w:val="center"/>
          </w:tcPr>
          <w:p>
            <w:pPr>
              <w:keepLines/>
              <w:spacing w:after="0" w:before="0" w:line="240" w:lineRule="auto"/>
            </w:pPr>
            <w:r>
              <w:rPr>
                <w:rFonts w:ascii="Arial" w:hAnsi="Arial"/>
                <w:sz w:val="17"/>
              </w:rPr>
              <w:t>4</w:t>
            </w:r>
          </w:p>
        </w:tc>
        <w:tc>
          <w:tcPr>
            <w:tcW w:type="dxa" w:w="1760"/>
            <w:tcMar>
              <w:top w:w="90" w:type="dxa"/>
              <w:start w:w="110" w:type="dxa"/>
              <w:bottom w:w="90" w:type="dxa"/>
              <w:end w:w="110" w:type="dxa"/>
            </w:tcMar>
            <w:vAlign w:val="center"/>
          </w:tcPr>
          <w:p>
            <w:pPr>
              <w:keepLines/>
              <w:spacing w:after="0" w:before="0" w:line="240" w:lineRule="auto"/>
            </w:pPr>
            <w:r>
              <w:rPr>
                <w:rFonts w:ascii="Arial" w:hAnsi="Arial"/>
                <w:sz w:val="17"/>
              </w:rPr>
              <w:t>Fri. Nov. 6</w:t>
            </w:r>
          </w:p>
        </w:tc>
      </w:tr>
      <w:tr>
        <w:trPr>
          <w:cantSplit/>
        </w:trPr>
        <w:tc>
          <w:tcPr>
            <w:tcW w:type="dxa" w:w="1800"/>
            <w:tcMar>
              <w:top w:w="90" w:type="dxa"/>
              <w:start w:w="110" w:type="dxa"/>
              <w:bottom w:w="90" w:type="dxa"/>
              <w:end w:w="110" w:type="dxa"/>
            </w:tcMar>
            <w:vAlign w:val="center"/>
            <w:shd w:fill="F2F4F3"/>
          </w:tcPr>
          <w:p>
            <w:pPr>
              <w:keepLines/>
              <w:spacing w:after="0" w:before="0" w:line="240" w:lineRule="auto"/>
            </w:pPr>
            <w:r>
              <w:rPr>
                <w:rFonts w:ascii="Arial" w:hAnsi="Arial"/>
                <w:sz w:val="17"/>
              </w:rPr>
              <w:t>Bowed strings</w:t>
            </w:r>
          </w:p>
        </w:tc>
        <w:tc>
          <w:tcPr>
            <w:tcW w:type="dxa" w:w="4500"/>
            <w:tcMar>
              <w:top w:w="90" w:type="dxa"/>
              <w:start w:w="110" w:type="dxa"/>
              <w:bottom w:w="90" w:type="dxa"/>
              <w:end w:w="110" w:type="dxa"/>
            </w:tcMar>
            <w:vAlign w:val="center"/>
            <w:shd w:fill="F2F4F3"/>
          </w:tcPr>
          <w:p>
            <w:pPr>
              <w:keepLines/>
              <w:spacing w:after="0" w:before="0" w:line="240" w:lineRule="auto"/>
            </w:pPr>
            <w:r>
              <w:rPr>
                <w:rFonts w:ascii="Arial" w:hAnsi="Arial"/>
                <w:sz w:val="17"/>
              </w:rPr>
              <w:t>Violin, viola, cello, double bass; synthesis</w:t>
            </w:r>
          </w:p>
        </w:tc>
        <w:tc>
          <w:tcPr>
            <w:tcW w:type="dxa" w:w="1300"/>
            <w:tcMar>
              <w:top w:w="90" w:type="dxa"/>
              <w:start w:w="110" w:type="dxa"/>
              <w:bottom w:w="90" w:type="dxa"/>
              <w:end w:w="110" w:type="dxa"/>
            </w:tcMar>
            <w:vAlign w:val="center"/>
            <w:shd w:fill="F2F4F3"/>
          </w:tcPr>
          <w:p>
            <w:pPr>
              <w:keepLines/>
              <w:spacing w:after="0" w:before="0" w:line="240" w:lineRule="auto"/>
            </w:pPr>
            <w:r>
              <w:rPr>
                <w:rFonts w:ascii="Arial" w:hAnsi="Arial"/>
                <w:sz w:val="17"/>
              </w:rPr>
              <w:t>4</w:t>
            </w:r>
          </w:p>
        </w:tc>
        <w:tc>
          <w:tcPr>
            <w:tcW w:type="dxa" w:w="1760"/>
            <w:tcMar>
              <w:top w:w="90" w:type="dxa"/>
              <w:start w:w="110" w:type="dxa"/>
              <w:bottom w:w="90" w:type="dxa"/>
              <w:end w:w="110" w:type="dxa"/>
            </w:tcMar>
            <w:vAlign w:val="center"/>
            <w:shd w:fill="F2F4F3"/>
          </w:tcPr>
          <w:p>
            <w:pPr>
              <w:keepLines/>
              <w:spacing w:after="0" w:before="0" w:line="240" w:lineRule="auto"/>
            </w:pPr>
            <w:r>
              <w:rPr>
                <w:rFonts w:ascii="Arial" w:hAnsi="Arial"/>
                <w:sz w:val="17"/>
              </w:rPr>
              <w:t>Mon. Nov. 16</w:t>
            </w:r>
          </w:p>
        </w:tc>
      </w:tr>
    </w:tbl>
    <w:p>
      <w:pPr>
        <w:keepNext w:val="0"/>
        <w:spacing w:before="0" w:after="60"/>
      </w:pPr>
    </w:p>
    <w:p>
      <w:pPr>
        <w:pStyle w:val="Heading1"/>
        <w:keepNext/>
        <w:pageBreakBefore w:val="0"/>
      </w:pPr>
      <w:r>
        <w:t>Assessment and Grading</w:t>
      </w:r>
    </w:p>
    <w:tbl>
      <w:tblPr>
        <w:tblW w:type="dxa" w:w="9360"/>
        <w:jc w:val="left"/>
        <w:tblLayout w:type="fixed"/>
        <w:tblLook w:firstColumn="1" w:firstRow="1" w:lastColumn="0" w:lastRow="0" w:noHBand="0" w:noVBand="1" w:val="04A0"/>
        <w:tblInd w:w="0" w:type="dxa"/>
      </w:tblPr>
      <w:tblGrid>
        <w:gridCol w:w="3300"/>
        <w:gridCol w:w="5100"/>
        <w:gridCol w:w="960"/>
      </w:tblGrid>
      <w:tr>
        <w:trPr>
          <w:cantSplit/>
          <w:tblHeader w:val="true"/>
        </w:trPr>
        <w:tc>
          <w:tcPr>
            <w:tcW w:type="dxa" w:w="3300"/>
            <w:tcMar>
              <w:top w:w="90" w:type="dxa"/>
              <w:start w:w="110" w:type="dxa"/>
              <w:bottom w:w="90" w:type="dxa"/>
              <w:end w:w="110" w:type="dxa"/>
            </w:tcMar>
            <w:vAlign w:val="center"/>
            <w:shd w:fill="00853E"/>
          </w:tcPr>
          <w:p>
            <w:r>
              <w:rPr>
                <w:rFonts w:ascii="Calibri" w:hAnsi="Calibri" w:eastAsia="Calibri" w:cs="Calibri"/>
                <w:b/>
                <w:color w:val="FFFFFF"/>
                <w:sz w:val="20"/>
              </w:rPr>
              <w:t>COMPONENT</w:t>
            </w:r>
          </w:p>
        </w:tc>
        <w:tc>
          <w:tcPr>
            <w:tcW w:type="dxa" w:w="5100"/>
            <w:tcMar>
              <w:top w:w="90" w:type="dxa"/>
              <w:start w:w="110" w:type="dxa"/>
              <w:bottom w:w="90" w:type="dxa"/>
              <w:end w:w="110" w:type="dxa"/>
            </w:tcMar>
            <w:vAlign w:val="center"/>
            <w:shd w:fill="00853E"/>
          </w:tcPr>
          <w:p>
            <w:r>
              <w:rPr>
                <w:rFonts w:ascii="Calibri" w:hAnsi="Calibri" w:eastAsia="Calibri" w:cs="Calibri"/>
                <w:b/>
                <w:color w:val="FFFFFF"/>
                <w:sz w:val="20"/>
              </w:rPr>
              <w:t>DESCRIPTION</w:t>
            </w:r>
          </w:p>
        </w:tc>
        <w:tc>
          <w:tcPr>
            <w:tcW w:type="dxa" w:w="960"/>
            <w:tcMar>
              <w:top w:w="90" w:type="dxa"/>
              <w:start w:w="110" w:type="dxa"/>
              <w:bottom w:w="90" w:type="dxa"/>
              <w:end w:w="110" w:type="dxa"/>
            </w:tcMar>
            <w:vAlign w:val="center"/>
            <w:shd w:fill="00853E"/>
          </w:tcPr>
          <w:p>
            <w:r>
              <w:rPr>
                <w:rFonts w:ascii="Calibri" w:hAnsi="Calibri" w:eastAsia="Calibri" w:cs="Calibri"/>
                <w:b/>
                <w:color w:val="FFFFFF"/>
                <w:sz w:val="20"/>
              </w:rPr>
              <w:t>WEIGHT</w:t>
            </w:r>
          </w:p>
        </w:tc>
      </w:tr>
      <w:tr>
        <w:trPr>
          <w:cantSplit/>
        </w:trPr>
        <w:tc>
          <w:tcPr>
            <w:tcW w:type="dxa" w:w="330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Woodwind family examination</w:t>
            </w:r>
          </w:p>
        </w:tc>
        <w:tc>
          <w:tcPr>
            <w:tcW w:type="dxa" w:w="510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Comprehensive in-class written examination</w:t>
            </w:r>
          </w:p>
        </w:tc>
        <w:tc>
          <w:tcPr>
            <w:tcW w:type="dxa" w:w="96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Brass family examination</w:t>
            </w:r>
          </w:p>
        </w:tc>
        <w:tc>
          <w:tcPr>
            <w:tcW w:type="dxa" w:w="510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Comprehensive in-class written examination</w:t>
            </w:r>
          </w:p>
        </w:tc>
        <w:tc>
          <w:tcPr>
            <w:tcW w:type="dxa" w:w="96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Percussion family examination</w:t>
            </w:r>
          </w:p>
        </w:tc>
        <w:tc>
          <w:tcPr>
            <w:tcW w:type="dxa" w:w="510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Comprehensive in-class written examination</w:t>
            </w:r>
          </w:p>
        </w:tc>
        <w:tc>
          <w:tcPr>
            <w:tcW w:type="dxa" w:w="96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Keyboard family examination</w:t>
            </w:r>
          </w:p>
        </w:tc>
        <w:tc>
          <w:tcPr>
            <w:tcW w:type="dxa" w:w="510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Comprehensive in-class written examination</w:t>
            </w:r>
          </w:p>
        </w:tc>
        <w:tc>
          <w:tcPr>
            <w:tcW w:type="dxa" w:w="96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Plucked-string family examination</w:t>
            </w:r>
          </w:p>
        </w:tc>
        <w:tc>
          <w:tcPr>
            <w:tcW w:type="dxa" w:w="510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Comprehensive in-class written examination</w:t>
            </w:r>
          </w:p>
        </w:tc>
        <w:tc>
          <w:tcPr>
            <w:tcW w:type="dxa" w:w="960"/>
            <w:tcMar>
              <w:top w:w="90" w:type="dxa"/>
              <w:start w:w="110" w:type="dxa"/>
              <w:bottom w:w="90" w:type="dxa"/>
              <w:end w:w="110" w:type="dxa"/>
            </w:tcMar>
            <w:vAlign w:val="center"/>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Bowed-string family examination</w:t>
            </w:r>
          </w:p>
        </w:tc>
        <w:tc>
          <w:tcPr>
            <w:tcW w:type="dxa" w:w="510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Comprehensive in-class written examination</w:t>
            </w:r>
          </w:p>
        </w:tc>
        <w:tc>
          <w:tcPr>
            <w:tcW w:type="dxa" w:w="960"/>
            <w:tcMar>
              <w:top w:w="90" w:type="dxa"/>
              <w:start w:w="110" w:type="dxa"/>
              <w:bottom w:w="90" w:type="dxa"/>
              <w:end w:w="110" w:type="dxa"/>
            </w:tcMar>
            <w:vAlign w:val="center"/>
            <w:shd w:fill="F2F4F3"/>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Attendance</w:t>
            </w:r>
          </w:p>
        </w:tc>
        <w:tc>
          <w:tcPr>
            <w:tcW w:type="dxa" w:w="510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Regular, punctual attendance at the 40 whole-class meetings</w:t>
            </w:r>
          </w:p>
        </w:tc>
        <w:tc>
          <w:tcPr>
            <w:tcW w:type="dxa" w:w="96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20 %</w:t>
            </w:r>
          </w:p>
        </w:tc>
      </w:tr>
      <w:tr>
        <w:trPr>
          <w:cantSplit/>
        </w:trPr>
        <w:tc>
          <w:tcPr>
            <w:tcW w:type="dxa" w:w="330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Cumulative written final</w:t>
            </w:r>
          </w:p>
        </w:tc>
        <w:tc>
          <w:tcPr>
            <w:tcW w:type="dxa" w:w="510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All six instrumental families</w:t>
            </w:r>
          </w:p>
        </w:tc>
        <w:tc>
          <w:tcPr>
            <w:tcW w:type="dxa" w:w="96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shd w:fill="EAF5EF"/>
          </w:tcPr>
          <w:p>
            <w:r>
              <w:rPr>
                <w:rFonts w:ascii="Calibri" w:hAnsi="Calibri" w:eastAsia="Calibri" w:cs="Calibri"/>
                <w:b w:val="0"/>
                <w:color w:val="000000"/>
                <w:sz w:val="20"/>
              </w:rPr>
              <w:t>Individual cumulative oral examination</w:t>
            </w:r>
          </w:p>
        </w:tc>
        <w:tc>
          <w:tcPr>
            <w:tcW w:type="dxa" w:w="5100"/>
            <w:tcMar>
              <w:top w:w="90" w:type="dxa"/>
              <w:start w:w="110" w:type="dxa"/>
              <w:bottom w:w="90" w:type="dxa"/>
              <w:end w:w="110" w:type="dxa"/>
            </w:tcMar>
            <w:vAlign w:val="center"/>
            <w:shd w:fill="EAF5EF"/>
          </w:tcPr>
          <w:p>
            <w:r>
              <w:rPr>
                <w:rFonts w:ascii="Calibri" w:hAnsi="Calibri" w:eastAsia="Calibri" w:cs="Calibri"/>
                <w:b w:val="0"/>
                <w:color w:val="000000"/>
                <w:sz w:val="20"/>
              </w:rPr>
              <w:t>Verbal examination covering all six instrumental families</w:t>
            </w:r>
          </w:p>
        </w:tc>
        <w:tc>
          <w:tcPr>
            <w:tcW w:type="dxa" w:w="96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10 %</w:t>
            </w:r>
          </w:p>
        </w:tc>
      </w:tr>
      <w:tr>
        <w:trPr>
          <w:cantSplit/>
        </w:trPr>
        <w:tc>
          <w:tcPr>
            <w:tcW w:type="dxa" w:w="330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TOTAL</w:t>
            </w:r>
          </w:p>
        </w:tc>
        <w:tc>
          <w:tcPr>
            <w:tcW w:type="dxa" w:w="510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r>
          </w:p>
        </w:tc>
        <w:tc>
          <w:tcPr>
            <w:tcW w:type="dxa" w:w="960"/>
            <w:tcMar>
              <w:top w:w="90" w:type="dxa"/>
              <w:start w:w="110" w:type="dxa"/>
              <w:bottom w:w="90" w:type="dxa"/>
              <w:end w:w="110" w:type="dxa"/>
            </w:tcMar>
            <w:vAlign w:val="center"/>
            <w:shd w:fill="EAF5EF"/>
          </w:tcPr>
          <w:p>
            <w:pPr>
              <w:keepLines/>
              <w:spacing w:after="0" w:before="0" w:line="240" w:lineRule="auto"/>
            </w:pPr>
            <w:r>
              <w:rPr>
                <w:rFonts w:ascii="Calibri" w:hAnsi="Calibri" w:eastAsia="Calibri" w:cs="Calibri"/>
                <w:b w:val="0"/>
                <w:color w:val="000000"/>
                <w:sz w:val="20"/>
              </w:rPr>
              <w:t>100 %</w:t>
            </w:r>
          </w:p>
        </w:tc>
      </w:tr>
    </w:tbl>
    <w:p>
      <w:pPr>
        <w:keepNext w:val="0"/>
        <w:spacing w:before="0" w:after="60"/>
      </w:pPr>
    </w:p>
    <w:p>
      <w:pPr>
        <w:keepNext w:val="0"/>
        <w:spacing w:before="0" w:after="100"/>
      </w:pPr>
      <w:r>
        <w:t>UNT letter-grade scale: A = 90–100 | B = 80–89 | C = 70–79 | D = 60–69 | F = below 60. UNT does not use plus/minus course grades.</w:t>
      </w:r>
    </w:p>
    <w:p>
      <w:pPr>
        <w:pStyle w:val="Heading1"/>
        <w:keepNext/>
        <w:pageBreakBefore w:val="0"/>
      </w:pPr>
      <w:r>
        <w:t>Examination Format</w:t>
      </w:r>
    </w:p>
    <w:p>
      <w:r>
        <w:t>Family examinations – 60 %</w:t>
      </w:r>
    </w:p>
    <w:p>
      <w:r>
        <w:t>The six family examinations are exhaustive assessments of the material taught in each module. They are not short-answer quizzes and contain no multiple-choice questions. Students must produce their own written answers and may be asked to identify, explain, notate, transpose, compare, or diagnose instrumental information. Each examination occupies the full class period and covers instrument names in English, Italian, German, and French; transpositions; ranges and registers; instrumental capabilities and limitations; notation; idiomatic writing; balance; and extended techniques.</w:t>
      </w:r>
    </w:p>
    <w:p>
      <w:r>
        <w:t>Cumulative written final – 10 %</w:t>
      </w:r>
    </w:p>
    <w:p>
      <w:r>
        <w:t>The written final is cumulative and covers all six families. It is the Registrar-designated final examination for this course and will be administered on Wednesday, December 9, 2026, from 10:30 AM to 12:30 PM in MU 250, unless the instructor announces an approved room change.</w:t>
      </w:r>
    </w:p>
    <w:p>
      <w:r>
        <w:t>Individual cumulative oral examination – 10 %</w:t>
      </w:r>
    </w:p>
    <w:p>
      <w:r>
        <w:t>Each student completes one individual, face-to-face oral examination of approximately 12–15 minutes. Questions cover all six families and require direct verbal answers. Appointments will occur in MU 250 during the regular course period on November 20, November 30, or December 2. Each student's exact appointment time will be posted in Canvas no later than Friday, November 6, 2026. Students attend only their assigned appointment; no regular whole-class meeting is held on those dates.</w:t>
      </w:r>
    </w:p>
    <w:p>
      <w:r>
        <w:t>Technology-free examination rule</w:t>
      </w:r>
    </w:p>
    <w:p>
      <w:r>
        <w:t>All family examinations, the individual oral examination, and the written final are closed-book and technology-free. Before an examination begins, students must turn off and place phones, computers, tablets, smartwatches, earbuds, and other electronic devices in the location designated by the instructor. Only pencils, erasers, blank staff paper, and materials expressly provided by the instructor may be used. All examinations must be completed individually; notes, online searches, messaging, shared documents, and outside assistance are prohibited. Approved disability accommodations remain in effect. Unauthorized technology use or outside assistance is treated as an academic integrity violation.</w:t>
      </w:r>
    </w:p>
    <w:p>
      <w:r>
        <w:t>Attendance – 20 %</w:t>
      </w:r>
    </w:p>
    <w:p>
      <w:r>
        <w:t>The course includes 40 whole-class meetings: the course launch, 38 family-module meetings including the six family examinations, and one cumulative review. Each meeting is worth 0.5 percentage points toward the final course grade. Attendance is recorded at every whole-class meeting. An unexcused absence receives no attendance credit for that meeting; repeated or substantial lateness or early departure may reduce the credit earned. The three individual oral examination dates are not whole-class attendance days, but failure to attend the assigned appointment affects the oral examination grade. University-excused absences and approved accommodations will not be penalized and are handled under UNT policy.</w:t>
      </w:r>
    </w:p>
    <w:p>
      <w:pPr>
        <w:pStyle w:val="Heading1"/>
      </w:pPr>
      <w:r>
        <w:t>Reading Preparation and Examination Attendance</w:t>
      </w:r>
    </w:p>
    <w:p>
      <w:r>
        <w:rPr>
          <w:b/>
        </w:rPr>
        <w:t xml:space="preserve">READING PREPARATION. </w:t>
      </w:r>
      <w:r>
        <w:rPr>
          <w:b w:val="0"/>
        </w:rPr>
        <w:t>Complete required readings by the dates listed in the course schedule. Readings are not submitted or graded separately.</w:t>
      </w:r>
    </w:p>
    <w:p>
      <w:r>
        <w:rPr>
          <w:b/>
        </w:rPr>
        <w:t xml:space="preserve">EXAMINATION ATTENDANCE. </w:t>
      </w:r>
      <w:r>
        <w:t>All family examinations, the individual oral examination, and the written final must be taken at the scheduled date and time. A missed examination or oral appointment receives a zero unless an exception is approved. For an instructor-approved exception, the student must contact the instructor in writing before the scheduled start time and provide a valid justification, such as a required concert or performance obligation, a religious observance, or a health problem supported by appropriate documentation. University-excused absences and approved accommodations are handled as required by UNT policy. When advance notice is genuinely impossible because of a documented emergency, the student must contact the instructor as soon as reasonably possible. For requests not covered by University policy, advance notice does not automatically guarantee a make-up examination; the instructor will confirm any approved alternative arrangement in writing.</w:t>
      </w:r>
    </w:p>
    <w:p>
      <w:pPr>
        <w:pStyle w:val="Heading1"/>
        <w:keepNext/>
        <w:pageBreakBefore w:val="0"/>
      </w:pPr>
      <w:r>
        <w:t>Communication and Course Practices</w:t>
      </w:r>
    </w:p>
    <w:p>
      <w:r>
        <w:t>Use your UNT email account and include MUCP 3320 in the subject line. The instructor normally responds within two business days, Monday–Friday. Check Canvas before each class and EagleConnect on weekdays. The course schedule may be adjusted when university operations or instructional needs require it. Changes will be communicated in writing and will not apply retroactively.</w:t>
      </w:r>
    </w:p>
    <w:p>
      <w:pPr>
        <w:pStyle w:val="Heading1"/>
        <w:keepNext/>
        <w:pageBreakBefore w:val="0"/>
      </w:pPr>
      <w:r>
        <w:t>Fall 2026 Course Schedule</w:t>
      </w:r>
    </w:p>
    <w:p>
      <w:r>
        <w:t>Regular meetings are Monday, Wednesday, and Friday, 1:25–2:15 PM. Reading assignments and completion dates appear in the Preparation column. Family examinations take place during the listed class meeting. Any adjustment to the schedule or assigned readings will be announced in Canvas.</w:t>
      </w:r>
    </w:p>
    <w:tbl>
      <w:tblPr>
        <w:tblW w:type="dxa" w:w="9360"/>
        <w:jc w:val="left"/>
        <w:tblLayout w:type="fixed"/>
        <w:tblLook w:firstColumn="1" w:firstRow="1" w:lastColumn="0" w:lastRow="0" w:noHBand="0" w:noVBand="1" w:val="04A0"/>
        <w:tblInd w:w="0" w:type="dxa"/>
      </w:tblPr>
      <w:tblGrid>
        <w:gridCol w:w="1450"/>
        <w:gridCol w:w="2100"/>
        <w:gridCol w:w="2360"/>
      </w:tblGrid>
      <w:tr>
        <w:trPr>
          <w:cantSplit/>
          <w:tblHeader w:val="true"/>
        </w:trPr>
        <w:tc>
          <w:tcPr>
            <w:tcW w:type="dxa" w:w="1656"/>
            <w:tcMar>
              <w:top w:w="90" w:type="dxa"/>
              <w:start w:w="110" w:type="dxa"/>
              <w:bottom w:w="90" w:type="dxa"/>
              <w:end w:w="110" w:type="dxa"/>
            </w:tcMar>
            <w:vAlign w:val="center"/>
            <w:shd w:fill="00853E"/>
          </w:tcPr>
          <w:p>
            <w:pPr>
              <w:keepLines/>
              <w:spacing w:after="0" w:before="0" w:line="240" w:lineRule="auto"/>
            </w:pPr>
            <w:r>
              <w:rPr>
                <w:rFonts w:ascii="Calibri" w:hAnsi="Calibri" w:eastAsia="Calibri" w:cs="Calibri"/>
                <w:b/>
                <w:color w:val="FFFFFF"/>
                <w:sz w:val="19"/>
              </w:rPr>
              <w:t>DATE</w:t>
            </w:r>
          </w:p>
        </w:tc>
        <w:tc>
          <w:tcPr>
            <w:tcW w:type="dxa" w:w="3528"/>
            <w:tcMar>
              <w:top w:w="90" w:type="dxa"/>
              <w:start w:w="110" w:type="dxa"/>
              <w:bottom w:w="90" w:type="dxa"/>
              <w:end w:w="110" w:type="dxa"/>
            </w:tcMar>
            <w:vAlign w:val="center"/>
            <w:shd w:fill="00853E"/>
          </w:tcPr>
          <w:p>
            <w:pPr>
              <w:keepLines/>
              <w:spacing w:after="0" w:before="0" w:line="240" w:lineRule="auto"/>
            </w:pPr>
            <w:r>
              <w:rPr>
                <w:rFonts w:ascii="Calibri" w:hAnsi="Calibri" w:eastAsia="Calibri" w:cs="Calibri"/>
                <w:b/>
                <w:color w:val="FFFFFF"/>
                <w:sz w:val="19"/>
              </w:rPr>
              <w:t>FOCUS</w:t>
            </w:r>
          </w:p>
        </w:tc>
        <w:tc>
          <w:tcPr>
            <w:tcW w:type="dxa" w:w="4824"/>
            <w:tcMar>
              <w:top w:w="90" w:type="dxa"/>
              <w:start w:w="110" w:type="dxa"/>
              <w:bottom w:w="90" w:type="dxa"/>
              <w:end w:w="110" w:type="dxa"/>
            </w:tcMar>
            <w:vAlign w:val="center"/>
            <w:shd w:fill="00853E"/>
          </w:tcPr>
          <w:p>
            <w:pPr>
              <w:spacing w:before="0" w:after="0" w:line="240" w:lineRule="auto"/>
            </w:pPr>
            <w:r>
              <w:rPr>
                <w:rFonts w:ascii="Calibri" w:hAnsi="Calibri" w:eastAsia="Calibri" w:cs="Calibri"/>
                <w:b/>
                <w:color w:val="FFFFFF"/>
                <w:sz w:val="19"/>
              </w:rPr>
              <w:t>PREPARATION</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Aug. 17</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Course launch</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No preparation.</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Wed. Aug. 19</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Woodwinds: flutes I</w:t>
            </w:r>
          </w:p>
        </w:tc>
        <w:tc>
          <w:tcPr>
            <w:tcW w:type="dxa" w:w="4824"/>
            <w:tcMar>
              <w:top w:w="90" w:type="dxa"/>
              <w:start w:w="110" w:type="dxa"/>
              <w:bottom w:w="90" w:type="dxa"/>
              <w:end w:w="110" w:type="dxa"/>
            </w:tcMar>
            <w:vAlign w:val="center"/>
            <w:shd w:val="clear" w:color="auto" w:fill="F2F2F2"/>
          </w:tcPr>
          <w:p>
            <w:r>
              <w:rPr>
                <w:rFonts w:ascii="Calibri" w:hAnsi="Calibri"/>
                <w:sz w:val="19"/>
              </w:rPr>
              <w:t>Adler: woodwind sections; Gould: Woodwind and Brass section. Complete by Mon. Aug. 31.</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Aug. 21</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Woodwinds: flutes II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Mon. Aug. 24</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Woodwinds: clarinets 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Aug. 26</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Woodwinds: clarinets II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Fri. Aug. 28</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Woodwinds: saxophones 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Aug. 31</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Woodwinds: saxophones II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Complete the assigned Adler and Gould woodwind readings before class; 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Wed. Sep. 2</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Woodwinds: double reeds 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Sep. 4</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Woodwinds: double reeds II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Mon. Sep. 7</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LABOR DAY</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No class.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Sep. 9</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Woodwind synthesis</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Fri. Sep. 11</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WOODWIND EXAMINATION</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Sep. 14</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Brass: cylindrical I</w:t>
            </w:r>
          </w:p>
        </w:tc>
        <w:tc>
          <w:tcPr>
            <w:tcW w:type="dxa" w:w="4824"/>
            <w:tcMar>
              <w:top w:w="90" w:type="dxa"/>
              <w:start w:w="110" w:type="dxa"/>
              <w:bottom w:w="90" w:type="dxa"/>
              <w:end w:w="110" w:type="dxa"/>
            </w:tcMar>
            <w:vAlign w:val="center"/>
            <w:shd w:val="clear" w:color="auto" w:fill="FFFFFF"/>
          </w:tcPr>
          <w:p>
            <w:r>
              <w:rPr>
                <w:rFonts w:ascii="Calibri" w:hAnsi="Calibri"/>
                <w:sz w:val="19"/>
              </w:rPr>
              <w:t>Adler: brass sections; Gould: Woodwind and Brass section. Complete before class.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Wed. Sep. 16</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Brass: cylindrical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Sep. 18</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Brass: conical 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Mon. Sep. 21</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Brass: conical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Sep. 23</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Brass synthesis</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Fri. Sep. 25</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BRASS EXAMINATION</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Sep. 28</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Percussion: idiophones I</w:t>
            </w:r>
          </w:p>
        </w:tc>
        <w:tc>
          <w:tcPr>
            <w:tcW w:type="dxa" w:w="4824"/>
            <w:tcMar>
              <w:top w:w="90" w:type="dxa"/>
              <w:start w:w="110" w:type="dxa"/>
              <w:bottom w:w="90" w:type="dxa"/>
              <w:end w:w="110" w:type="dxa"/>
            </w:tcMar>
            <w:vAlign w:val="center"/>
            <w:shd w:val="clear" w:color="auto" w:fill="FFFFFF"/>
          </w:tcPr>
          <w:p>
            <w:r>
              <w:rPr>
                <w:rFonts w:ascii="Calibri" w:hAnsi="Calibri"/>
                <w:sz w:val="19"/>
              </w:rPr>
              <w:t>Adler: percussion sections; Gould: Percussion section. Complete before class.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Wed. Sep. 30</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Percussion: idiophones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Oct. 2</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Percussion: membranophones 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Mon. Oct. 5</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Percussion: membranophones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Oct. 7</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Percussion: aerophones 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Fri. Oct. 9</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Percussion: aerophones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Oct. 12</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Percussion: chordophones I</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Wed. Oct. 14</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Percussion: chordophones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Oct. 16</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Percussion synthesis</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Mon. Oct. 19</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PERCUSSION EXAMINATION</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Oct. 21</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Keyboards I</w:t>
            </w:r>
          </w:p>
        </w:tc>
        <w:tc>
          <w:tcPr>
            <w:tcW w:type="dxa" w:w="4824"/>
            <w:tcMar>
              <w:top w:w="90" w:type="dxa"/>
              <w:start w:w="110" w:type="dxa"/>
              <w:bottom w:w="90" w:type="dxa"/>
              <w:end w:w="110" w:type="dxa"/>
            </w:tcMar>
            <w:vAlign w:val="center"/>
            <w:shd w:val="clear" w:color="auto" w:fill="FFFFFF"/>
          </w:tcPr>
          <w:p>
            <w:r>
              <w:rPr>
                <w:rFonts w:ascii="Calibri" w:hAnsi="Calibri"/>
                <w:sz w:val="19"/>
              </w:rPr>
              <w:t>Adler: keyboard sections; Gould: Keyboard section. Complete before class.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Fri. Oct. 23</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Keyboards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Oct. 26</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Keyboard synthesis</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Wed. Oct. 28</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KEYBOARD EXAMINATION</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Oct. 30</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Plucked strings: harp</w:t>
            </w:r>
          </w:p>
        </w:tc>
        <w:tc>
          <w:tcPr>
            <w:tcW w:type="dxa" w:w="4824"/>
            <w:tcMar>
              <w:top w:w="90" w:type="dxa"/>
              <w:start w:w="110" w:type="dxa"/>
              <w:bottom w:w="90" w:type="dxa"/>
              <w:end w:w="110" w:type="dxa"/>
            </w:tcMar>
            <w:vAlign w:val="center"/>
            <w:shd w:val="clear" w:color="auto" w:fill="FFFFFF"/>
          </w:tcPr>
          <w:p>
            <w:r>
              <w:rPr>
                <w:rFonts w:ascii="Calibri" w:hAnsi="Calibri"/>
                <w:sz w:val="19"/>
              </w:rPr>
              <w:t>Adler: plucked-string sections; Gould: Harp and Classical Guitar sections. Complete before class.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Mon. Nov. 2</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Plucked strings: classical guitar</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Nov. 4</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Plucked-string synthesis</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Fri. Nov. 6</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PLUCKED-STRING EXAMINATION</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Mon. Nov. 9</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Bowed strings I</w:t>
            </w:r>
          </w:p>
        </w:tc>
        <w:tc>
          <w:tcPr>
            <w:tcW w:type="dxa" w:w="4824"/>
            <w:tcMar>
              <w:top w:w="90" w:type="dxa"/>
              <w:start w:w="110" w:type="dxa"/>
              <w:bottom w:w="90" w:type="dxa"/>
              <w:end w:w="110" w:type="dxa"/>
            </w:tcMar>
            <w:vAlign w:val="center"/>
            <w:shd w:val="clear" w:color="auto" w:fill="FFFFFF"/>
          </w:tcPr>
          <w:p>
            <w:r>
              <w:rPr>
                <w:rFonts w:ascii="Calibri" w:hAnsi="Calibri"/>
                <w:sz w:val="19"/>
              </w:rPr>
              <w:t>Adler: bowed-string sections; Gould: Strings section. Complete before class.</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Wed. Nov. 11</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Bowed strings II</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Review course notes.</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Fri. Nov. 13</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Bowed-string synthesis</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Mon. Nov. 16</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BOWED-STRING EXAMINATION</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all course notes for this family.</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Wed. Nov. 18</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Cumulative review</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Review course notes for all six families.</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Fri. Nov. 20</w:t>
            </w:r>
          </w:p>
        </w:tc>
        <w:tc>
          <w:tcPr>
            <w:tcW w:type="dxa" w:w="3528"/>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Individual oral examinations I</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course notes for all six families; attend only your assigned appointment.</w:t>
            </w:r>
          </w:p>
        </w:tc>
      </w:tr>
      <w:tr>
        <w:trPr>
          <w:cantSplit/>
        </w:trPr>
        <w:tc>
          <w:tcPr>
            <w:tcW w:type="dxa" w:w="1656"/>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Nov. 23–29</w:t>
            </w:r>
          </w:p>
        </w:tc>
        <w:tc>
          <w:tcPr>
            <w:tcW w:type="dxa" w:w="3528"/>
            <w:tcMar>
              <w:top w:w="90" w:type="dxa"/>
              <w:start w:w="110" w:type="dxa"/>
              <w:bottom w:w="90" w:type="dxa"/>
              <w:end w:w="110" w:type="dxa"/>
            </w:tcMar>
            <w:vAlign w:val="center"/>
            <w:shd w:val="clear" w:color="auto" w:fill="FFFFFF"/>
          </w:tcPr>
          <w:p>
            <w:pPr>
              <w:keepLines/>
              <w:spacing w:after="0" w:before="0" w:line="240" w:lineRule="auto"/>
            </w:pPr>
            <w:r>
              <w:rPr>
                <w:rFonts w:ascii="Calibri" w:hAnsi="Calibri" w:eastAsia="Calibri" w:cs="Calibri"/>
                <w:b w:val="0"/>
                <w:color w:val="1F1F1F"/>
                <w:sz w:val="19"/>
              </w:rPr>
              <w:t>THANKSGIVING BREAK</w:t>
            </w:r>
          </w:p>
        </w:tc>
        <w:tc>
          <w:tcPr>
            <w:tcW w:type="dxa" w:w="4824"/>
            <w:tcMar>
              <w:top w:w="90" w:type="dxa"/>
              <w:start w:w="110" w:type="dxa"/>
              <w:bottom w:w="90" w:type="dxa"/>
              <w:end w:w="110" w:type="dxa"/>
            </w:tcMar>
            <w:vAlign w:val="center"/>
            <w:shd w:val="clear" w:color="auto" w:fill="FFFFFF"/>
          </w:tcPr>
          <w:p>
            <w:pPr>
              <w:spacing w:before="0" w:after="0" w:line="240" w:lineRule="auto"/>
            </w:pPr>
            <w:r>
              <w:rPr>
                <w:rFonts w:ascii="Calibri" w:hAnsi="Calibri" w:eastAsia="Calibri" w:cs="Calibri"/>
                <w:b w:val="0"/>
                <w:color w:val="1F1F1F"/>
                <w:sz w:val="19"/>
              </w:rPr>
              <w:t>No class.</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Mon. Nov. 30</w:t>
            </w:r>
          </w:p>
        </w:tc>
        <w:tc>
          <w:tcPr>
            <w:tcW w:type="dxa" w:w="3528"/>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Individual oral examinations II</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course notes for all six families; attend only your assigned appointment.</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Wed. Dec. 2</w:t>
            </w:r>
          </w:p>
        </w:tc>
        <w:tc>
          <w:tcPr>
            <w:tcW w:type="dxa" w:w="3528"/>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Individual oral examinations III</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course notes for all six families; attend only your assigned appointment.</w:t>
            </w:r>
          </w:p>
        </w:tc>
      </w:tr>
      <w:tr>
        <w:trPr>
          <w:cantSplit/>
        </w:trPr>
        <w:tc>
          <w:tcPr>
            <w:tcW w:type="dxa" w:w="1656"/>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Fri. Dec. 4</w:t>
            </w:r>
          </w:p>
        </w:tc>
        <w:tc>
          <w:tcPr>
            <w:tcW w:type="dxa" w:w="3528"/>
            <w:tcMar>
              <w:top w:w="90" w:type="dxa"/>
              <w:start w:w="110" w:type="dxa"/>
              <w:bottom w:w="90" w:type="dxa"/>
              <w:end w:w="110" w:type="dxa"/>
            </w:tcMar>
            <w:vAlign w:val="center"/>
            <w:shd w:val="clear" w:color="auto" w:fill="F2F2F2"/>
          </w:tcPr>
          <w:p>
            <w:pPr>
              <w:keepLines/>
              <w:spacing w:after="0" w:before="0" w:line="240" w:lineRule="auto"/>
            </w:pPr>
            <w:r>
              <w:rPr>
                <w:rFonts w:ascii="Calibri" w:hAnsi="Calibri" w:eastAsia="Calibri" w:cs="Calibri"/>
                <w:b w:val="0"/>
                <w:color w:val="1F1F1F"/>
                <w:sz w:val="19"/>
              </w:rPr>
              <w:t>READING DAY</w:t>
            </w:r>
          </w:p>
        </w:tc>
        <w:tc>
          <w:tcPr>
            <w:tcW w:type="dxa" w:w="4824"/>
            <w:tcMar>
              <w:top w:w="90" w:type="dxa"/>
              <w:start w:w="110" w:type="dxa"/>
              <w:bottom w:w="90" w:type="dxa"/>
              <w:end w:w="110" w:type="dxa"/>
            </w:tcMar>
            <w:vAlign w:val="center"/>
            <w:shd w:val="clear" w:color="auto" w:fill="F2F2F2"/>
          </w:tcPr>
          <w:p>
            <w:pPr>
              <w:spacing w:before="0" w:after="0" w:line="240" w:lineRule="auto"/>
            </w:pPr>
            <w:r>
              <w:rPr>
                <w:rFonts w:ascii="Calibri" w:hAnsi="Calibri" w:eastAsia="Calibri" w:cs="Calibri"/>
                <w:b w:val="0"/>
                <w:color w:val="1F1F1F"/>
                <w:sz w:val="19"/>
              </w:rPr>
              <w:t>No class.</w:t>
            </w:r>
          </w:p>
        </w:tc>
      </w:tr>
      <w:tr>
        <w:trPr>
          <w:cantSplit/>
        </w:trPr>
        <w:tc>
          <w:tcPr>
            <w:tcW w:type="dxa" w:w="1656"/>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Wed. Dec. 9</w:t>
            </w:r>
          </w:p>
        </w:tc>
        <w:tc>
          <w:tcPr>
            <w:tcW w:type="dxa" w:w="3528"/>
            <w:tcMar>
              <w:top w:w="90" w:type="dxa"/>
              <w:start w:w="110" w:type="dxa"/>
              <w:bottom w:w="90" w:type="dxa"/>
              <w:end w:w="110" w:type="dxa"/>
            </w:tcMar>
            <w:vAlign w:val="center"/>
            <w:shd w:val="clear" w:color="auto" w:fill="E7F2EC"/>
          </w:tcPr>
          <w:p>
            <w:pPr>
              <w:keepLines/>
              <w:spacing w:after="0" w:before="0" w:line="240" w:lineRule="auto"/>
            </w:pPr>
            <w:r>
              <w:rPr>
                <w:rFonts w:ascii="Calibri" w:hAnsi="Calibri" w:eastAsia="Calibri" w:cs="Calibri"/>
                <w:b w:val="0"/>
                <w:color w:val="1F1F1F"/>
                <w:sz w:val="19"/>
              </w:rPr>
              <w:t>Cumulative WRITTEN FINAL</w:t>
            </w:r>
          </w:p>
        </w:tc>
        <w:tc>
          <w:tcPr>
            <w:tcW w:type="dxa" w:w="4824"/>
            <w:tcMar>
              <w:top w:w="90" w:type="dxa"/>
              <w:start w:w="110" w:type="dxa"/>
              <w:bottom w:w="90" w:type="dxa"/>
              <w:end w:w="110" w:type="dxa"/>
            </w:tcMar>
            <w:vAlign w:val="center"/>
            <w:shd w:val="clear" w:color="auto" w:fill="E7F2EC"/>
          </w:tcPr>
          <w:p>
            <w:pPr>
              <w:spacing w:before="0" w:after="0" w:line="240" w:lineRule="auto"/>
            </w:pPr>
            <w:r>
              <w:rPr>
                <w:rFonts w:ascii="Calibri" w:hAnsi="Calibri" w:eastAsia="Calibri" w:cs="Calibri"/>
                <w:b w:val="0"/>
                <w:color w:val="1F1F1F"/>
                <w:sz w:val="19"/>
              </w:rPr>
              <w:t>Review course notes for all six families. Final examination: 10:30 AM–12:30 PM.</w:t>
            </w:r>
          </w:p>
        </w:tc>
      </w:tr>
    </w:tbl>
    <w:p>
      <w:pPr>
        <w:keepNext w:val="0"/>
        <w:spacing w:before="0" w:after="60"/>
      </w:pPr>
    </w:p>
    <w:p>
      <w:pPr>
        <w:pStyle w:val="SmallText"/>
        <w:keepNext w:val="0"/>
        <w:spacing w:before="60" w:after="80"/>
      </w:pPr>
      <w:r>
        <w:t>Calendar sources: UNT Fall 2026 Academic Calendar and Fall 2026 Final Exam Schedule. The Registrar's published examination schedule controls if a university calendar changes.</w:t>
      </w:r>
    </w:p>
    <w:p w14:paraId="7CDDB8B8" w14:textId="77777777" w:rsidR="00C544F4" w:rsidRDefault="00000000">
      <w:pPr>
        <w:pStyle w:val="Heading1"/>
        <w:pageBreakBefore w:val="0"/>
      </w:pPr>
      <w:r>
        <w:t>University Policies and Student Support</w:t>
      </w:r>
    </w:p>
    <w:p w14:paraId="7FD3B0D1" w14:textId="77777777" w:rsidR="00C544F4" w:rsidRDefault="00000000">
      <w:pPr>
        <w:pStyle w:val="Heading2"/>
      </w:pPr>
      <w:r>
        <w:t>Academic integrity and course consequence</w:t>
      </w:r>
    </w:p>
    <w:p w14:paraId="77332C05" w14:textId="77777777" w:rsidR="00C544F4" w:rsidRDefault="00000000">
      <w:pPr>
        <w:spacing w:after="60"/>
      </w:pPr>
      <w:r>
        <w:rPr>
          <w:rFonts w:cs="Calibri"/>
          <w:sz w:val="19"/>
          <w:szCs w:val="19"/>
        </w:rPr>
        <w:t>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w:t>
      </w:r>
    </w:p>
    <w:p w14:paraId="012CC3D1" w14:textId="77777777" w:rsidR="00C544F4" w:rsidRDefault="00000000">
      <w:pPr>
        <w:spacing w:after="60"/>
      </w:pPr>
      <w:r>
        <w:rPr>
          <w:b/>
          <w:sz w:val="19"/>
          <w:szCs w:val="19"/>
        </w:rPr>
        <w:t xml:space="preserve">Course consequence. </w:t>
      </w:r>
      <w:r>
        <w:rPr>
          <w:sz w:val="19"/>
          <w:szCs w:val="19"/>
        </w:rPr>
        <w:t>A substantiated violation normally results in a zero on the affected examination and referral through the University's academic-integrity process. Serious or repeated violations may result in failure of the course, subject to UNT procedures.</w:t>
      </w:r>
    </w:p>
    <w:p w14:paraId="2D60D01D" w14:textId="60E7A034" w:rsidR="00C544F4" w:rsidRDefault="003F13B9">
      <w:pPr>
        <w:spacing w:after="60"/>
      </w:pPr>
      <w:hyperlink r:id="rId10">
        <w:r>
          <w:rPr>
            <w:color w:val="006B36"/>
            <w:u w:val="single"/>
            <w:sz w:val="19"/>
            <w:szCs w:val="19"/>
          </w:rPr>
          <w:t>UNT Policy 06.003–Student Academic Integrity</w:t>
        </w:r>
      </w:hyperlink>
      <w:r w:rsidR="00C544F4">
        <w:rPr>
          <w:rFonts w:cs="Calibri"/>
          <w:color w:val="6B7280"/>
          <w:sz w:val="19"/>
          <w:szCs w:val="19"/>
        </w:rPr>
        <w:t xml:space="preserve"> | </w:t>
      </w:r>
      <w:hyperlink r:id="rId11">
        <w:r>
          <w:rPr>
            <w:color w:val="006B36"/>
            <w:u w:val="single"/>
            <w:sz w:val="19"/>
            <w:szCs w:val="19"/>
          </w:rPr>
          <w:t>UNT Policy 06.049–Course Syllabi Requirements</w:t>
        </w:r>
      </w:hyperlink>
    </w:p>
    <w:p w14:paraId="761CC24C" w14:textId="77777777" w:rsidR="00C544F4" w:rsidRDefault="00000000">
      <w:pPr>
        <w:pStyle w:val="Heading2"/>
      </w:pPr>
      <w:r>
        <w:t>Disability accommodation statement</w:t>
      </w:r>
    </w:p>
    <w:p w14:paraId="4856DA2D" w14:textId="77777777" w:rsidR="00C544F4" w:rsidRDefault="00000000">
      <w:pPr>
        <w:spacing w:after="60"/>
      </w:pPr>
      <w:r>
        <w:rPr>
          <w:sz w:val="19"/>
          <w:szCs w:val="19"/>
        </w:rPr>
        <w:t>UNT makes reasonable academic accommodations for students with disabilities. Students seeking accommodations must register with the Office of Disability Access (ODA), provide the resulting accommodation letter, and meet privately with the instructor as early as possible. Accommodations may be requested at any time, but late notice may delay implementation; a new letter is required each semester.</w:t>
      </w:r>
    </w:p>
    <w:p w14:paraId="46FCDC78" w14:textId="60614C56" w:rsidR="00C544F4" w:rsidRDefault="00C544F4">
      <w:pPr>
        <w:spacing w:after="60"/>
      </w:pPr>
      <w:hyperlink r:id="rId12">
        <w:r>
          <w:rPr>
            <w:color w:val="006B36"/>
            <w:u w:val="single"/>
            <w:sz w:val="19"/>
            <w:szCs w:val="19"/>
          </w:rPr>
          <w:t>Office of Disability Access</w:t>
        </w:r>
      </w:hyperlink>
      <w:r>
        <w:rPr>
          <w:rFonts w:cs="Calibri"/>
          <w:color w:val="6B7280"/>
          <w:sz w:val="19"/>
          <w:szCs w:val="19"/>
        </w:rPr>
        <w:t xml:space="preserve"> | </w:t>
      </w:r>
      <w:hyperlink r:id="rId13">
        <w:r w:rsidR="003F13B9">
          <w:rPr>
            <w:color w:val="006B36"/>
            <w:u w:val="single"/>
            <w:sz w:val="19"/>
            <w:szCs w:val="19"/>
          </w:rPr>
          <w:t>UNT Policy 16.001–Disability Accommodations</w:t>
        </w:r>
      </w:hyperlink>
    </w:p>
    <w:p w14:paraId="6DA2C58D" w14:textId="77777777" w:rsidR="00C544F4" w:rsidRDefault="00000000">
      <w:pPr>
        <w:pStyle w:val="Heading2"/>
      </w:pPr>
      <w:r>
        <w:t>Emergency notification and procedures</w:t>
      </w:r>
    </w:p>
    <w:p w14:paraId="1881A9E3" w14:textId="77777777" w:rsidR="00C544F4" w:rsidRDefault="00000000">
      <w:pPr>
        <w:keepNext/>
        <w:spacing w:after="60"/>
      </w:pPr>
      <w:r>
        <w:rPr>
          <w:rFonts w:cs="Calibri"/>
          <w:sz w:val="19"/>
          <w:szCs w:val="19"/>
        </w:rPr>
        <w:t>UNT uses a system called Eagle Alert to quickly notify students with critical information in the event of an emergency, including severe weather, campus closing, and health or public-safety emergencies such as chemical spills, fires, or violence. In the event of a university closure, refer to Canvas for contingency plans for covering course materials.</w:t>
      </w:r>
    </w:p>
    <w:p w14:paraId="415F2016" w14:textId="77777777" w:rsidR="00C544F4" w:rsidRDefault="00C544F4">
      <w:pPr>
        <w:spacing w:after="60"/>
      </w:pPr>
      <w:hyperlink r:id="rId14">
        <w:r>
          <w:rPr>
            <w:color w:val="006B36"/>
            <w:u w:val="single"/>
            <w:sz w:val="19"/>
            <w:szCs w:val="19"/>
          </w:rPr>
          <w:t>UNT Emergency Management and Eagle Alert</w:t>
        </w:r>
      </w:hyperlink>
    </w:p>
    <w:p w14:paraId="795ED5CA" w14:textId="77777777" w:rsidR="00C544F4" w:rsidRDefault="00000000">
      <w:pPr>
        <w:pStyle w:val="Heading2"/>
      </w:pPr>
      <w:r>
        <w:t>Authorized absences</w:t>
      </w:r>
    </w:p>
    <w:p w14:paraId="463C9281" w14:textId="77777777" w:rsidR="00C544F4" w:rsidRDefault="00000000">
      <w:pPr>
        <w:spacing w:after="60"/>
      </w:pPr>
      <w:r>
        <w:rPr>
          <w:sz w:val="19"/>
          <w:szCs w:val="19"/>
        </w:rPr>
        <w:t>UNT Policy 06.039 recognizes university-excused absences for religious holy days, official university functions, required military service, pregnancy and parenting under Title IX, and official university closure. Authorized absences are not penalized, and missed examinations may be rescheduled when practicable. Notify the instructor and provide supporting information as early as reasonably possible.</w:t>
      </w:r>
    </w:p>
    <w:p w14:paraId="1CCD3CE7" w14:textId="5106BABF" w:rsidR="00C544F4" w:rsidRDefault="003F13B9">
      <w:pPr>
        <w:spacing w:after="60"/>
      </w:pPr>
      <w:hyperlink r:id="rId15">
        <w:r>
          <w:rPr>
            <w:color w:val="006B36"/>
            <w:u w:val="single"/>
            <w:sz w:val="19"/>
            <w:szCs w:val="19"/>
          </w:rPr>
          <w:t>UNT Policy 06.039–Student Attendance and Authorized Absences</w:t>
        </w:r>
      </w:hyperlink>
    </w:p>
    <w:p w14:paraId="08A61BD3" w14:textId="77777777" w:rsidR="00C544F4" w:rsidRDefault="00000000">
      <w:pPr>
        <w:pStyle w:val="Heading2"/>
      </w:pPr>
      <w:r>
        <w:t>Student support</w:t>
      </w:r>
    </w:p>
    <w:p w14:paraId="67862014" w14:textId="0A0C7F0A" w:rsidR="00C544F4" w:rsidRDefault="00C544F4">
      <w:pPr>
        <w:numPr>
          <w:ilvl w:val="0"/>
          <w:numId w:val="10"/>
        </w:numPr>
        <w:spacing w:after="60"/>
      </w:pPr>
      <w:hyperlink r:id="rId16">
        <w:r>
          <w:rPr>
            <w:b/>
            <w:color w:val="006B36"/>
            <w:u w:val="single"/>
            <w:sz w:val="19"/>
            <w:szCs w:val="19"/>
          </w:rPr>
          <w:t>Counseling and Testing Services</w:t>
        </w:r>
      </w:hyperlink>
      <w:r w:rsidR="003F13B9" w:rsidRPr="003F13B9">
        <w:rPr>
          <w:sz w:val="19"/>
          <w:szCs w:val="19"/>
        </w:rPr>
        <w:t>–</w:t>
      </w:r>
      <w:r>
        <w:rPr>
          <w:rFonts w:cs="Calibri"/>
          <w:sz w:val="19"/>
          <w:szCs w:val="19"/>
        </w:rPr>
        <w:t>confidential counseling and mental-health support.</w:t>
      </w:r>
    </w:p>
    <w:p w14:paraId="1F898279" w14:textId="32A3C429" w:rsidR="00C544F4" w:rsidRDefault="00C544F4">
      <w:pPr>
        <w:numPr>
          <w:ilvl w:val="0"/>
          <w:numId w:val="10"/>
        </w:numPr>
        <w:spacing w:after="60"/>
      </w:pPr>
      <w:hyperlink r:id="rId17">
        <w:r>
          <w:rPr>
            <w:b/>
            <w:color w:val="006B36"/>
            <w:u w:val="single"/>
            <w:sz w:val="19"/>
            <w:szCs w:val="19"/>
          </w:rPr>
          <w:t>Care Team</w:t>
        </w:r>
      </w:hyperlink>
      <w:r w:rsidR="003F13B9" w:rsidRPr="003F13B9">
        <w:rPr>
          <w:sz w:val="19"/>
          <w:szCs w:val="19"/>
        </w:rPr>
        <w:t>–</w:t>
      </w:r>
      <w:r>
        <w:rPr>
          <w:rFonts w:cs="Calibri"/>
          <w:sz w:val="19"/>
          <w:szCs w:val="19"/>
        </w:rPr>
        <w:t>coordinated support when a student or community member may be at risk.</w:t>
      </w:r>
    </w:p>
    <w:p w14:paraId="795F2250" w14:textId="44518952" w:rsidR="00C544F4" w:rsidRDefault="00C544F4">
      <w:pPr>
        <w:numPr>
          <w:ilvl w:val="0"/>
          <w:numId w:val="10"/>
        </w:numPr>
        <w:spacing w:after="60"/>
      </w:pPr>
      <w:hyperlink r:id="rId18">
        <w:r>
          <w:rPr>
            <w:b/>
            <w:color w:val="006B36"/>
            <w:u w:val="single"/>
            <w:sz w:val="19"/>
            <w:szCs w:val="19"/>
          </w:rPr>
          <w:t>Dean of Students</w:t>
        </w:r>
      </w:hyperlink>
      <w:r w:rsidR="003F13B9" w:rsidRPr="003F13B9">
        <w:rPr>
          <w:sz w:val="19"/>
          <w:szCs w:val="19"/>
        </w:rPr>
        <w:t>–</w:t>
      </w:r>
      <w:r>
        <w:rPr>
          <w:rFonts w:cs="Calibri"/>
          <w:sz w:val="19"/>
          <w:szCs w:val="19"/>
        </w:rPr>
        <w:t>absence advocacy, student concerns, and navigation of university support.</w:t>
      </w:r>
    </w:p>
    <w:p w14:paraId="51B44668" w14:textId="6137D542" w:rsidR="00C544F4" w:rsidRDefault="00C544F4">
      <w:pPr>
        <w:numPr>
          <w:ilvl w:val="0"/>
          <w:numId w:val="10"/>
        </w:numPr>
        <w:spacing w:after="60"/>
      </w:pPr>
      <w:hyperlink r:id="rId19">
        <w:r>
          <w:rPr>
            <w:b/>
            <w:color w:val="006B36"/>
            <w:u w:val="single"/>
            <w:sz w:val="19"/>
            <w:szCs w:val="19"/>
          </w:rPr>
          <w:t>College of Music Student Health and Wellness</w:t>
        </w:r>
      </w:hyperlink>
      <w:r w:rsidR="003F13B9" w:rsidRPr="003F13B9">
        <w:rPr>
          <w:sz w:val="19"/>
          <w:szCs w:val="19"/>
        </w:rPr>
        <w:t>–</w:t>
      </w:r>
      <w:r>
        <w:rPr>
          <w:rFonts w:cs="Calibri"/>
          <w:sz w:val="19"/>
          <w:szCs w:val="19"/>
        </w:rPr>
        <w:t>hearing, physical, and performance-health resources.</w:t>
      </w:r>
    </w:p>
    <w:sectPr w:rsidR="00C544F4" w:rsidSect="00034616">
      <w:headerReference w:type="default" r:id="rId21"/>
      <w:footerReference w:type="default" r:id="rId22"/>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A34564A" w14:textId="77777777" w:rsidR="00657BA4" w:rsidRDefault="00657BA4">
      <w:pPr>
        <w:spacing w:after="0" w:line="240" w:lineRule="auto"/>
      </w:pPr>
      <w:r>
        <w:separator/>
      </w:r>
    </w:p>
  </w:endnote>
  <w:endnote w:type="continuationSeparator" w:id="0">
    <w:p w14:paraId="47C7339E" w14:textId="77777777" w:rsidR="00657BA4" w:rsidRDefault="00657B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13DA57" w14:textId="77777777" w:rsidR="00C544F4" w:rsidRDefault="00000000">
    <w:pPr>
      <w:pStyle w:val="Footer"/>
      <w:jc w:val="center"/>
    </w:pPr>
    <w:r>
      <w:rPr>
        <w:rFonts w:cs="Calibri"/>
        <w:color w:val="6B7280"/>
        <w:sz w:val="17"/>
      </w:rPr>
      <w:t xml:space="preserve">MUCP 3320 | Fall 2026 | Page </w:t>
    </w:r>
    <w:r>
      <w:rPr>
        <w:rFonts w:cs="Calibri"/>
        <w:color w:val="6B7280"/>
        <w:sz w:val="17"/>
      </w:rPr>
      <w:fldChar w:fldCharType="begin"/>
    </w:r>
    <w:r>
      <w:rPr>
        <w:rFonts w:cs="Calibri"/>
        <w:color w:val="6B7280"/>
        <w:sz w:val="17"/>
      </w:rPr>
      <w:instrText xml:space="preserve"> PAGE </w:instrText>
    </w:r>
    <w:r>
      <w:rPr>
        <w:rFonts w:cs="Calibri"/>
        <w:color w:val="6B7280"/>
        <w:sz w:val="17"/>
      </w:rPr>
      <w:fldChar w:fldCharType="separate"/>
    </w:r>
    <w:r>
      <w:rPr>
        <w:rFonts w:cs="Calibri"/>
        <w:color w:val="6B7280"/>
        <w:sz w:val="17"/>
      </w:rPr>
      <w:t>1</w:t>
    </w:r>
    <w:r>
      <w:rPr>
        <w:rFonts w:cs="Calibri"/>
        <w:color w:val="6B7280"/>
        <w:sz w:val="17"/>
      </w:rPr>
      <w:fldChar w:fldCharType="end"/>
    </w:r>
    <w:r>
      <w:rPr>
        <w:rFonts w:cs="Calibri"/>
        <w:color w:val="6B7280"/>
        <w:sz w:val="17"/>
      </w:rPr>
      <w:t xml:space="preserve"> of </w:t>
    </w:r>
    <w:r>
      <w:rPr>
        <w:rFonts w:cs="Calibri"/>
        <w:color w:val="6B7280"/>
        <w:sz w:val="17"/>
      </w:rPr>
      <w:fldChar w:fldCharType="begin"/>
    </w:r>
    <w:r>
      <w:rPr>
        <w:rFonts w:cs="Calibri"/>
        <w:color w:val="6B7280"/>
        <w:sz w:val="17"/>
      </w:rPr>
      <w:instrText xml:space="preserve"> NUMPAGES </w:instrText>
    </w:r>
    <w:r>
      <w:rPr>
        <w:rFonts w:cs="Calibri"/>
        <w:color w:val="6B7280"/>
        <w:sz w:val="17"/>
      </w:rPr>
      <w:fldChar w:fldCharType="separate"/>
    </w:r>
    <w:r>
      <w:rPr>
        <w:rFonts w:cs="Calibri"/>
        <w:color w:val="6B7280"/>
        <w:sz w:val="17"/>
      </w:rPr>
      <w:t>1</w:t>
    </w:r>
    <w:r>
      <w:rPr>
        <w:rFonts w:cs="Calibri"/>
        <w:color w:val="6B728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119CD92" w14:textId="77777777" w:rsidR="00657BA4" w:rsidRDefault="00657BA4">
      <w:pPr>
        <w:spacing w:after="0" w:line="240" w:lineRule="auto"/>
      </w:pPr>
      <w:r>
        <w:separator/>
      </w:r>
    </w:p>
  </w:footnote>
  <w:footnote w:type="continuationSeparator" w:id="0">
    <w:p w14:paraId="168B03E2" w14:textId="77777777" w:rsidR="00657BA4" w:rsidRDefault="00657B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32E75A" w14:textId="77777777" w:rsidR="00C544F4" w:rsidRDefault="00000000">
    <w:pPr>
      <w:pStyle w:val="Header"/>
    </w:pPr>
    <w:r>
      <w:rPr>
        <w:rFonts w:cs="Calibri"/>
        <w:b/>
        <w:color w:val="6B7280"/>
        <w:sz w:val="17"/>
      </w:rPr>
      <w:t>MUCP 3320 | Instrumentation | Fall 2026</w:t>
    </w:r>
    <w:r>
      <w:rPr>
        <w:rFonts w:cs="Calibri"/>
        <w:color w:val="6B7280"/>
        <w:sz w:val="17"/>
      </w:rPr>
      <w:tab/>
      <w:t>UNT College of Music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890241A"/>
    <w:multiLevelType w:val="singleLevel"/>
    <w:tmpl w:val="10E0DB3E"/>
    <w:lvl w:ilvl="0">
      <w:start w:val="1"/>
      <w:numFmt w:val="decimal"/>
      <w:lvlText w:val="%1."/>
      <w:lvlJc w:val="left"/>
      <w:pPr>
        <w:tabs>
          <w:tab w:val="num" w:pos="540"/>
        </w:tabs>
        <w:spacing w:after="80" w:line="300" w:lineRule="auto"/>
        <w:ind w:left="540" w:hanging="270"/>
      </w:pPr>
    </w:lvl>
  </w:abstractNum>
  <w:abstractNum w:abstractNumId="10" w15:restartNumberingAfterBreak="0">
    <w:nsid w:val="60D763A6"/>
    <w:multiLevelType w:val="singleLevel"/>
    <w:tmpl w:val="2C866C7C"/>
    <w:lvl w:ilvl="0">
      <w:start w:val="1"/>
      <w:numFmt w:val="bullet"/>
      <w:lvlText w:val="•"/>
      <w:lvlJc w:val="left"/>
      <w:pPr>
        <w:tabs>
          <w:tab w:val="num" w:pos="540"/>
        </w:tabs>
        <w:spacing w:after="80" w:line="300" w:lineRule="auto"/>
        <w:ind w:left="540" w:hanging="270"/>
      </w:pPr>
    </w:lvl>
  </w:abstractNum>
  <w:num w:numId="1" w16cid:durableId="500046359">
    <w:abstractNumId w:val="8"/>
  </w:num>
  <w:num w:numId="2" w16cid:durableId="1945914250">
    <w:abstractNumId w:val="6"/>
  </w:num>
  <w:num w:numId="3" w16cid:durableId="804542438">
    <w:abstractNumId w:val="5"/>
  </w:num>
  <w:num w:numId="4" w16cid:durableId="1779258533">
    <w:abstractNumId w:val="4"/>
  </w:num>
  <w:num w:numId="5" w16cid:durableId="509414752">
    <w:abstractNumId w:val="7"/>
  </w:num>
  <w:num w:numId="6" w16cid:durableId="771167951">
    <w:abstractNumId w:val="3"/>
  </w:num>
  <w:num w:numId="7" w16cid:durableId="869413988">
    <w:abstractNumId w:val="2"/>
  </w:num>
  <w:num w:numId="8" w16cid:durableId="1052580653">
    <w:abstractNumId w:val="1"/>
  </w:num>
  <w:num w:numId="9" w16cid:durableId="988828653">
    <w:abstractNumId w:val="0"/>
  </w:num>
  <w:num w:numId="10" w16cid:durableId="1687516140">
    <w:abstractNumId w:val="10"/>
  </w:num>
  <w:num w:numId="11" w16cid:durableId="1759328738">
    <w:abstractNumId w:val="9"/>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06F93"/>
    <w:rsid w:val="00034616"/>
    <w:rsid w:val="0006063C"/>
    <w:rsid w:val="001132D7"/>
    <w:rsid w:val="0015074B"/>
    <w:rsid w:val="001A08F7"/>
    <w:rsid w:val="001D21BA"/>
    <w:rsid w:val="0029639D"/>
    <w:rsid w:val="00326F90"/>
    <w:rsid w:val="003976DB"/>
    <w:rsid w:val="003F13B9"/>
    <w:rsid w:val="00452A39"/>
    <w:rsid w:val="004C6E75"/>
    <w:rsid w:val="0054212A"/>
    <w:rsid w:val="005B5786"/>
    <w:rsid w:val="00657BA4"/>
    <w:rsid w:val="006A4C5B"/>
    <w:rsid w:val="0081219A"/>
    <w:rsid w:val="00826718"/>
    <w:rsid w:val="00901135"/>
    <w:rsid w:val="009666CC"/>
    <w:rsid w:val="00A70FE5"/>
    <w:rsid w:val="00AA1D8D"/>
    <w:rsid w:val="00AF09F8"/>
    <w:rsid w:val="00B47730"/>
    <w:rsid w:val="00BE5CD0"/>
    <w:rsid w:val="00C544F4"/>
    <w:rsid w:val="00CB0664"/>
    <w:rsid w:val="00CB6763"/>
    <w:rsid w:val="00D63DE2"/>
    <w:rsid w:val="00DB2733"/>
    <w:rsid w:val="00DC7809"/>
    <w:rsid w:val="00DE06E0"/>
    <w:rsid w:val="00E25392"/>
    <w:rsid w:val="00EB5A5F"/>
    <w:rsid w:val="00EE61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5CE6D4"/>
  <w14:defaultImageDpi w14:val="300"/>
  <w15:docId w15:val="{587DA6E2-07B2-D941-B30F-6B06116FD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300" w:lineRule="auto"/>
    </w:pPr>
    <w:rPr>
      <w:rFonts w:ascii="Calibri" w:hAnsi="Calibri"/>
      <w:color w:val="202124"/>
    </w:rPr>
  </w:style>
  <w:style w:type="paragraph" w:styleId="Heading1">
    <w:name w:val="heading 1"/>
    <w:basedOn w:val="Normal"/>
    <w:next w:val="Normal"/>
    <w:link w:val="Heading1Char"/>
    <w:uiPriority w:val="9"/>
    <w:qFormat/>
    <w:rsid w:val="00FC693F"/>
    <w:pPr>
      <w:keepNext/>
      <w:keepLines/>
      <w:spacing w:before="360" w:after="200" w:line="252" w:lineRule="auto"/>
      <w:outlineLvl w:val="0"/>
    </w:pPr>
    <w:rPr>
      <w:rFonts w:asciiTheme="majorHAnsi" w:eastAsiaTheme="majorEastAsia" w:hAnsiTheme="majorHAnsi" w:cstheme="majorBidi" w:ascii="Arial" w:hAnsi="Arial"/>
      <w:b/>
      <w:bCs/>
      <w:color w:val="006B35"/>
      <w:sz w:val="32"/>
      <w:szCs w:val="28"/>
    </w:rPr>
  </w:style>
  <w:style w:type="paragraph" w:styleId="Heading2">
    <w:name w:val="heading 2"/>
    <w:basedOn w:val="Normal"/>
    <w:next w:val="Normal"/>
    <w:link w:val="Heading2Char"/>
    <w:uiPriority w:val="9"/>
    <w:unhideWhenUsed/>
    <w:qFormat/>
    <w:rsid w:val="00FC693F"/>
    <w:pPr>
      <w:keepNext/>
      <w:keepLines/>
      <w:spacing w:before="280" w:after="140" w:line="252" w:lineRule="auto"/>
      <w:outlineLvl w:val="1"/>
    </w:pPr>
    <w:rPr>
      <w:rFonts w:asciiTheme="majorHAnsi" w:eastAsiaTheme="majorEastAsia" w:hAnsiTheme="majorHAnsi" w:cstheme="majorBidi" w:ascii="Arial" w:hAnsi="Arial"/>
      <w:b/>
      <w:bCs/>
      <w:color w:val="006B35"/>
      <w:sz w:val="26"/>
      <w:szCs w:val="26"/>
    </w:rPr>
  </w:style>
  <w:style w:type="paragraph" w:styleId="Heading3">
    <w:name w:val="heading 3"/>
    <w:basedOn w:val="Normal"/>
    <w:next w:val="Normal"/>
    <w:link w:val="Heading3Char"/>
    <w:uiPriority w:val="9"/>
    <w:unhideWhenUsed/>
    <w:qFormat/>
    <w:rsid w:val="00FC693F"/>
    <w:pPr>
      <w:keepNext/>
      <w:keepLines/>
      <w:spacing w:before="200" w:after="100" w:line="252" w:lineRule="auto"/>
      <w:outlineLvl w:val="2"/>
    </w:pPr>
    <w:rPr>
      <w:rFonts w:asciiTheme="majorHAnsi" w:eastAsiaTheme="majorEastAsia" w:hAnsiTheme="majorHAnsi" w:cstheme="majorBidi" w:ascii="Arial" w:hAnsi="Arial"/>
      <w:b/>
      <w:bCs/>
      <w:color w:val="006B35"/>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40" w:lineRule="auto"/>
      <w:contextualSpacing/>
    </w:pPr>
    <w:rPr>
      <w:rFonts w:asciiTheme="majorHAnsi" w:eastAsiaTheme="majorEastAsia" w:hAnsiTheme="majorHAnsi" w:cstheme="majorBidi"/>
      <w:b/>
      <w:color w:val="00853E"/>
      <w:spacing w:val="5"/>
      <w:kern w:val="28"/>
      <w:sz w:val="5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after="240" w:line="259" w:lineRule="auto"/>
    </w:pPr>
    <w:rPr>
      <w:rFonts w:asciiTheme="majorHAnsi" w:eastAsiaTheme="majorEastAsia" w:hAnsiTheme="majorHAnsi" w:cstheme="majorBidi"/>
      <w:i/>
      <w:iCs/>
      <w:color w:val="4D4D4F"/>
      <w:spacing w:val="15"/>
      <w:sz w:val="2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TableText">
    <w:name w:val="Table Text"/>
    <w:pPr>
      <w:spacing w:after="0" w:line="252" w:lineRule="auto"/>
    </w:pPr>
    <w:rPr>
      <w:rFonts w:ascii="Calibri" w:hAnsi="Calibri"/>
      <w:color w:val="202124"/>
      <w:sz w:val="18"/>
    </w:rPr>
  </w:style>
  <w:style w:type="paragraph" w:customStyle="1" w:styleId="TableHeader">
    <w:name w:val="Table Header"/>
    <w:pPr>
      <w:spacing w:after="0" w:line="252" w:lineRule="auto"/>
    </w:pPr>
    <w:rPr>
      <w:rFonts w:ascii="Calibri" w:hAnsi="Calibri"/>
      <w:b/>
      <w:color w:val="FFFFFF"/>
      <w:sz w:val="18"/>
    </w:rPr>
  </w:style>
  <w:style w:type="paragraph" w:customStyle="1" w:styleId="SmallText">
    <w:name w:val="Small Text"/>
    <w:pPr>
      <w:spacing w:after="0" w:line="252" w:lineRule="auto"/>
    </w:pPr>
    <w:rPr>
      <w:rFonts w:ascii="Calibri" w:hAnsi="Calibri"/>
      <w:color w:val="6B72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t.edu/academics/programs/music-composition-degree.html" TargetMode="External"/><Relationship Id="rId13" Type="http://schemas.openxmlformats.org/officeDocument/2006/relationships/hyperlink" Target="https://policy.unt.edu/policy/16-001" TargetMode="External"/><Relationship Id="rId18" Type="http://schemas.openxmlformats.org/officeDocument/2006/relationships/hyperlink" Target="https://studentaffairs.unt.edu/dean-of-students"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disability.unt.edu/" TargetMode="External"/><Relationship Id="rId17" Type="http://schemas.openxmlformats.org/officeDocument/2006/relationships/hyperlink" Target="https://studentaffairs.unt.edu/care-team" TargetMode="External"/><Relationship Id="rId2" Type="http://schemas.openxmlformats.org/officeDocument/2006/relationships/numbering" Target="numbering.xml"/><Relationship Id="rId16" Type="http://schemas.openxmlformats.org/officeDocument/2006/relationships/hyperlink" Target="https://studentaffairs.unt.edu/counseling-and-testing-services" TargetMode="External"/><Relationship Id="rId20" Type="http://schemas.openxmlformats.org/officeDocument/2006/relationships/hyperlink" Target="https://registrar.unt.ed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licy.unt.edu/policy/06-049"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policy.unt.edu/policy/06-039" TargetMode="External"/><Relationship Id="rId23" Type="http://schemas.openxmlformats.org/officeDocument/2006/relationships/fontTable" Target="fontTable.xml"/><Relationship Id="rId10" Type="http://schemas.openxmlformats.org/officeDocument/2006/relationships/hyperlink" Target="https://policy.unt.edu/policy/06-003" TargetMode="External"/><Relationship Id="rId19" Type="http://schemas.openxmlformats.org/officeDocument/2006/relationships/hyperlink" Target="https://music.unt.edu/student-health-and-wellness" TargetMode="External"/><Relationship Id="rId4" Type="http://schemas.openxmlformats.org/officeDocument/2006/relationships/settings" Target="settings.xml"/><Relationship Id="rId9" Type="http://schemas.openxmlformats.org/officeDocument/2006/relationships/hyperlink" Target="https://registrar.unt.edu/registration/fall-academic-calendar.html" TargetMode="External"/><Relationship Id="rId14" Type="http://schemas.openxmlformats.org/officeDocument/2006/relationships/hyperlink" Target="https://emergency.unt.edu/" TargetMode="External"/><Relationship Id="rId22" Type="http://schemas.openxmlformats.org/officeDocument/2006/relationships/footer" Target="footer1.xml"/><Relationship Id="rId25"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10</Pages>
  <Words>3477</Words>
  <Characters>19820</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23251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MUCP 3320 Instrumentation Syllabus – Fall 2026</dc:title>
  <dc:subject>University of North Texas College of Music course syllabus</dc:subject>
  <dc:creator>Simon Kaplan</dc:creator>
  <cp:keywords>UNT, MUCP 3320, Instrumentation, Fall 2026</cp:keywords>
  <dc:description>Prepared for Fall 2026; highlighted logistics fields require confirmation before distribution.</dc:description>
  <cp:lastModifiedBy>Simon Kaplan</cp:lastModifiedBy>
  <cp:revision>19</cp:revision>
  <dcterms:created xsi:type="dcterms:W3CDTF">2013-12-23T23:15:00Z</dcterms:created>
  <dcterms:modified xsi:type="dcterms:W3CDTF">2026-08-15T00:06:00Z</dcterms:modified>
  <cp:category/>
</cp:coreProperties>
</file>