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63812EDC" w:rsidR="003F1AEF" w:rsidRPr="002C0757" w:rsidRDefault="003F1AEF" w:rsidP="003F1AEF">
      <w:pPr>
        <w:autoSpaceDE w:val="0"/>
        <w:autoSpaceDN w:val="0"/>
        <w:adjustRightInd w:val="0"/>
        <w:spacing w:after="0" w:line="240" w:lineRule="auto"/>
        <w:rPr>
          <w:rFonts w:asciiTheme="majorHAnsi" w:hAnsiTheme="majorHAnsi" w:cs="Calibri-Bold"/>
          <w:color w:val="000000"/>
        </w:rPr>
      </w:pPr>
      <w:r w:rsidRPr="00C45DF3">
        <w:rPr>
          <w:rFonts w:asciiTheme="majorHAnsi" w:hAnsiTheme="majorHAnsi" w:cs="Calibri-Bold"/>
          <w:b/>
          <w:bCs/>
          <w:color w:val="000000" w:themeColor="text1"/>
        </w:rPr>
        <w:t>Instructor</w:t>
      </w:r>
      <w:proofErr w:type="gramStart"/>
      <w:r w:rsidRPr="00C45DF3">
        <w:rPr>
          <w:rFonts w:asciiTheme="majorHAnsi" w:hAnsiTheme="majorHAnsi" w:cs="Calibri-Bold"/>
          <w:b/>
          <w:bCs/>
          <w:color w:val="000000" w:themeColor="text1"/>
        </w:rPr>
        <w:t>:</w:t>
      </w:r>
      <w:r w:rsidRPr="002C0757">
        <w:rPr>
          <w:rFonts w:asciiTheme="majorHAnsi" w:hAnsiTheme="majorHAnsi" w:cs="Calibri-Bold"/>
          <w:b/>
          <w:bCs/>
          <w:color w:val="000000" w:themeColor="text1"/>
        </w:rPr>
        <w:t xml:space="preserve">  </w:t>
      </w:r>
      <w:r w:rsidR="00C45DF3">
        <w:rPr>
          <w:rFonts w:asciiTheme="majorHAnsi" w:hAnsiTheme="majorHAnsi" w:cs="Calibri-Bold"/>
          <w:b/>
          <w:bCs/>
          <w:color w:val="000000" w:themeColor="text1"/>
        </w:rPr>
        <w:t>Sarah</w:t>
      </w:r>
      <w:proofErr w:type="gramEnd"/>
      <w:r w:rsidR="00C45DF3">
        <w:rPr>
          <w:rFonts w:asciiTheme="majorHAnsi" w:hAnsiTheme="majorHAnsi" w:cs="Calibri-Bold"/>
          <w:b/>
          <w:bCs/>
          <w:color w:val="000000" w:themeColor="text1"/>
        </w:rPr>
        <w:t xml:space="preserve"> Rozell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0550209A"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C45DF3">
        <w:rPr>
          <w:rFonts w:asciiTheme="majorHAnsi" w:hAnsiTheme="majorHAnsi" w:cs="Calibri"/>
          <w:b/>
          <w:color w:val="000000" w:themeColor="text1"/>
        </w:rPr>
        <w:t>Office Hours:</w:t>
      </w:r>
      <w:r>
        <w:rPr>
          <w:rFonts w:asciiTheme="majorHAnsi" w:hAnsiTheme="majorHAnsi" w:cs="Calibri"/>
          <w:b/>
          <w:color w:val="000000" w:themeColor="text1"/>
        </w:rPr>
        <w:t xml:space="preserve"> </w:t>
      </w:r>
      <w:r w:rsidR="00C45DF3">
        <w:rPr>
          <w:rFonts w:asciiTheme="majorHAnsi" w:hAnsiTheme="majorHAnsi" w:cs="Calibri"/>
          <w:bCs/>
          <w:color w:val="000000" w:themeColor="text1"/>
        </w:rPr>
        <w:t>V</w:t>
      </w:r>
      <w:r w:rsidR="00C45DF3" w:rsidRPr="00C45DF3">
        <w:rPr>
          <w:rFonts w:asciiTheme="majorHAnsi" w:hAnsiTheme="majorHAnsi" w:cs="Calibri"/>
          <w:bCs/>
          <w:color w:val="000000" w:themeColor="text1"/>
        </w:rPr>
        <w:t>irtually</w:t>
      </w:r>
      <w:r w:rsidR="00C45DF3">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r w:rsidR="00C45DF3">
        <w:rPr>
          <w:rFonts w:asciiTheme="majorHAnsi" w:hAnsiTheme="majorHAnsi" w:cs="Calibri"/>
          <w:bCs/>
          <w:color w:val="000000" w:themeColor="text1"/>
        </w:rPr>
        <w:t>. I do not have an office in The UNT campus.</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769FBAA0"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w:t>
      </w:r>
      <w:r w:rsidR="00C45DF3">
        <w:rPr>
          <w:rFonts w:asciiTheme="majorHAnsi" w:hAnsiTheme="majorHAnsi" w:cs="Calibri"/>
        </w:rPr>
        <w:t>quickest</w:t>
      </w:r>
      <w:r>
        <w:rPr>
          <w:rFonts w:asciiTheme="majorHAnsi" w:hAnsiTheme="majorHAnsi" w:cs="Calibri"/>
        </w:rPr>
        <w:t xml:space="preserve">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C45DF3">
        <w:rPr>
          <w:rFonts w:asciiTheme="majorHAnsi" w:hAnsiTheme="majorHAnsi" w:cs="Calibri"/>
        </w:rPr>
        <w:t xml:space="preserve">email </w:t>
      </w:r>
      <w:proofErr w:type="gramStart"/>
      <w:r w:rsidRPr="00C45DF3">
        <w:rPr>
          <w:rFonts w:asciiTheme="majorHAnsi" w:hAnsiTheme="majorHAnsi" w:cs="Calibri"/>
        </w:rPr>
        <w:t>is:</w:t>
      </w:r>
      <w:proofErr w:type="gramEnd"/>
      <w:r w:rsidRPr="6B794AE4">
        <w:rPr>
          <w:rFonts w:asciiTheme="majorHAnsi" w:hAnsiTheme="majorHAnsi" w:cs="Calibri"/>
        </w:rPr>
        <w:t xml:space="preserve"> </w:t>
      </w:r>
      <w:r w:rsidR="00C45DF3">
        <w:rPr>
          <w:rFonts w:asciiTheme="majorHAnsi" w:hAnsiTheme="majorHAnsi" w:cs="Calibri"/>
        </w:rPr>
        <w:t>Sarah Rozell@UNT.edu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If you choose to purchase or rent a digital version of the textbook, please follow the textbook instructions provided in the course in Canvas (START HERE </w:t>
      </w:r>
      <w:proofErr w:type="gramStart"/>
      <w:r w:rsidRPr="0068795D">
        <w:rPr>
          <w:rStyle w:val="value"/>
          <w:rFonts w:asciiTheme="majorHAnsi" w:hAnsiTheme="majorHAnsi" w:cs="Helvetica"/>
          <w:color w:val="212141"/>
          <w:shd w:val="clear" w:color="auto" w:fill="FFFFFF"/>
        </w:rPr>
        <w:t>module;</w:t>
      </w:r>
      <w:proofErr w:type="gramEnd"/>
      <w:r w:rsidRPr="0068795D">
        <w:rPr>
          <w:rStyle w:val="value"/>
          <w:rFonts w:asciiTheme="majorHAnsi" w:hAnsiTheme="majorHAnsi" w:cs="Helvetica"/>
          <w:color w:val="212141"/>
          <w:shd w:val="clear" w:color="auto" w:fill="FFFFFF"/>
        </w:rPr>
        <w:t xml:space="preserv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17179FA6" w14:textId="77777777" w:rsidR="00C45DF3" w:rsidRDefault="00DB368B" w:rsidP="00BB06DE">
      <w:pPr>
        <w:spacing w:after="0"/>
        <w:rPr>
          <w:rFonts w:asciiTheme="majorHAnsi" w:hAnsiTheme="majorHAnsi"/>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w:t>
      </w:r>
      <w:r w:rsidR="00C45DF3">
        <w:rPr>
          <w:rFonts w:asciiTheme="majorHAnsi" w:hAnsiTheme="majorHAnsi"/>
          <w:color w:val="000000"/>
          <w:shd w:val="clear" w:color="auto" w:fill="FFFFFF"/>
        </w:rPr>
        <w:t xml:space="preserve"> r</w:t>
      </w:r>
      <w:r w:rsidR="00C277F8">
        <w:rPr>
          <w:rFonts w:asciiTheme="majorHAnsi" w:hAnsiTheme="majorHAnsi"/>
          <w:color w:val="000000"/>
          <w:shd w:val="clear" w:color="auto" w:fill="FFFFFF"/>
        </w:rPr>
        <w:t>ecommended</w:t>
      </w:r>
      <w:r w:rsidR="00EC1CC5" w:rsidRPr="00EC1CC5">
        <w:rPr>
          <w:rFonts w:asciiTheme="majorHAnsi" w:hAnsiTheme="majorHAnsi"/>
          <w:color w:val="000000"/>
          <w:shd w:val="clear" w:color="auto" w:fill="FFFFFF"/>
        </w:rPr>
        <w:t>).  </w:t>
      </w:r>
    </w:p>
    <w:p w14:paraId="3DB1D26A" w14:textId="77777777" w:rsidR="00C45DF3" w:rsidRDefault="00C45DF3" w:rsidP="00BB06DE">
      <w:pPr>
        <w:spacing w:after="0"/>
        <w:rPr>
          <w:rFonts w:asciiTheme="majorHAnsi" w:hAnsiTheme="majorHAnsi"/>
          <w:color w:val="000000"/>
          <w:shd w:val="clear" w:color="auto" w:fill="FFFFFF"/>
        </w:rPr>
      </w:pPr>
    </w:p>
    <w:p w14:paraId="5381A410" w14:textId="005450F1" w:rsidR="00EC1CC5" w:rsidRDefault="00EC1CC5" w:rsidP="00BB06DE">
      <w:pPr>
        <w:spacing w:after="0"/>
        <w:rPr>
          <w:rFonts w:asciiTheme="majorHAnsi" w:hAnsiTheme="majorHAnsi"/>
          <w:bCs/>
          <w:color w:val="000000"/>
          <w:shd w:val="clear" w:color="auto" w:fill="FFFFFF"/>
        </w:rPr>
      </w:pPr>
      <w:r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r w:rsidR="00193323">
        <w:tab/>
      </w:r>
      <w:r w:rsidR="00EE3F46">
        <w:t xml:space="preserve">  8</w:t>
      </w:r>
      <w:r>
        <w:t>0</w:t>
      </w:r>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r w:rsidR="10F56593">
        <w:t xml:space="preserve">  &lt;</w:t>
      </w:r>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477C8593" w:rsidR="0068795D" w:rsidRDefault="0068795D" w:rsidP="0068795D">
            <w:pPr>
              <w:rPr>
                <w:rFonts w:asciiTheme="majorHAnsi" w:hAnsiTheme="majorHAnsi"/>
                <w:b/>
                <w:sz w:val="24"/>
                <w:szCs w:val="24"/>
                <w:lang w:eastAsia="ko-KR"/>
              </w:rPr>
            </w:pPr>
            <w:r w:rsidRPr="00E26E9C">
              <w:t xml:space="preserve">Quiz 2 – Chapter </w:t>
            </w:r>
            <w:r w:rsidR="00C45DF3" w:rsidRPr="00E26E9C">
              <w:t>2 Guidelines</w:t>
            </w:r>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6DE0E8E9" w:rsidR="0068795D" w:rsidRDefault="0068795D" w:rsidP="0068795D">
            <w:pPr>
              <w:rPr>
                <w:rFonts w:asciiTheme="majorHAnsi" w:hAnsiTheme="majorHAnsi"/>
                <w:b/>
                <w:sz w:val="24"/>
                <w:szCs w:val="24"/>
                <w:lang w:eastAsia="ko-KR"/>
              </w:rPr>
            </w:pPr>
            <w:r w:rsidRPr="00E26E9C">
              <w:t xml:space="preserve">Quiz 3 – Chapter </w:t>
            </w:r>
            <w:r w:rsidR="00C45DF3" w:rsidRPr="00E26E9C">
              <w:t>3 The</w:t>
            </w:r>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7CD7128D" w:rsidR="0068795D" w:rsidRDefault="0068795D" w:rsidP="0068795D">
            <w:pPr>
              <w:rPr>
                <w:rFonts w:asciiTheme="majorHAnsi" w:hAnsiTheme="majorHAnsi"/>
                <w:b/>
                <w:sz w:val="24"/>
                <w:szCs w:val="24"/>
                <w:lang w:eastAsia="ko-KR"/>
              </w:rPr>
            </w:pPr>
            <w:r w:rsidRPr="00E26E9C">
              <w:t xml:space="preserve">Quiz 4 – Chapter </w:t>
            </w:r>
            <w:r w:rsidR="00C45DF3" w:rsidRPr="00E26E9C">
              <w:t>4 Carbohydrates</w:t>
            </w:r>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40098385" w:rsidR="0068795D" w:rsidRDefault="0068795D" w:rsidP="0068795D">
            <w:pPr>
              <w:rPr>
                <w:rFonts w:asciiTheme="majorHAnsi" w:hAnsiTheme="majorHAnsi"/>
                <w:b/>
                <w:sz w:val="24"/>
                <w:szCs w:val="24"/>
                <w:lang w:eastAsia="ko-KR"/>
              </w:rPr>
            </w:pPr>
            <w:r w:rsidRPr="00E26E9C">
              <w:t xml:space="preserve">Quiz 5 – Chapter </w:t>
            </w:r>
            <w:r w:rsidR="00C45DF3" w:rsidRPr="00E26E9C">
              <w:t>5 Lipids</w:t>
            </w:r>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5B1A12E3" w:rsidR="0068795D" w:rsidRDefault="0068795D" w:rsidP="0068795D">
            <w:pPr>
              <w:rPr>
                <w:rFonts w:asciiTheme="majorHAnsi" w:hAnsiTheme="majorHAnsi"/>
                <w:b/>
                <w:sz w:val="24"/>
                <w:szCs w:val="24"/>
                <w:lang w:eastAsia="ko-KR"/>
              </w:rPr>
            </w:pPr>
            <w:r w:rsidRPr="00E26E9C">
              <w:t xml:space="preserve">Quiz 6 – Chapter </w:t>
            </w:r>
            <w:r w:rsidR="00C45DF3" w:rsidRPr="00E26E9C">
              <w:t>6 Proteins</w:t>
            </w:r>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269895B5" w:rsidR="0068795D" w:rsidRDefault="0068795D" w:rsidP="0068795D">
            <w:pPr>
              <w:rPr>
                <w:rFonts w:asciiTheme="majorHAnsi" w:hAnsiTheme="majorHAnsi"/>
                <w:b/>
                <w:sz w:val="24"/>
                <w:szCs w:val="24"/>
                <w:lang w:eastAsia="ko-KR"/>
              </w:rPr>
            </w:pPr>
            <w:r w:rsidRPr="00E26E9C">
              <w:t xml:space="preserve">Quiz 7 – Chapter </w:t>
            </w:r>
            <w:r w:rsidR="00C45DF3" w:rsidRPr="00E26E9C">
              <w:t>7 Vitamins</w:t>
            </w:r>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 xml:space="preserve">Last day for a student to drop a course and receive a W.  Also last day </w:t>
            </w:r>
            <w:proofErr w:type="gramStart"/>
            <w:r w:rsidRPr="00DF20E3">
              <w:rPr>
                <w:rFonts w:asciiTheme="majorHAnsi" w:hAnsiTheme="majorHAnsi"/>
                <w:sz w:val="22"/>
                <w:szCs w:val="22"/>
              </w:rPr>
              <w:t>to withdraw</w:t>
            </w:r>
            <w:proofErr w:type="gramEnd"/>
            <w:r w:rsidRPr="00DF20E3">
              <w:rPr>
                <w:rFonts w:asciiTheme="majorHAnsi" w:hAnsiTheme="majorHAnsi"/>
                <w:sz w:val="22"/>
                <w:szCs w:val="22"/>
              </w:rPr>
              <w:t xml:space="preserve">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47F8E778" w14:textId="5CD75FCE" w:rsidR="00556A90" w:rsidRPr="00016000" w:rsidRDefault="00556A90" w:rsidP="00C559E8">
      <w:pPr>
        <w:pStyle w:val="BodyTextIndent2"/>
        <w:ind w:left="0"/>
        <w:rPr>
          <w:rFonts w:eastAsia="Calibri"/>
          <w:iCs/>
        </w:rPr>
      </w:pPr>
      <w:r w:rsidRPr="00556A90">
        <w:rPr>
          <w:rFonts w:asciiTheme="majorHAnsi" w:hAnsiTheme="majorHAnsi"/>
          <w:b w:val="0"/>
          <w:sz w:val="24"/>
          <w:szCs w:val="24"/>
        </w:rPr>
        <w:tab/>
      </w: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1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8F1C" w14:textId="77777777" w:rsidR="00683FF4" w:rsidRDefault="00683FF4" w:rsidP="00020781">
      <w:pPr>
        <w:spacing w:after="0" w:line="240" w:lineRule="auto"/>
      </w:pPr>
      <w:r>
        <w:separator/>
      </w:r>
    </w:p>
  </w:endnote>
  <w:endnote w:type="continuationSeparator" w:id="0">
    <w:p w14:paraId="2E7AFA71" w14:textId="77777777" w:rsidR="00683FF4" w:rsidRDefault="00683FF4"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49E2" w14:textId="77777777" w:rsidR="00683FF4" w:rsidRDefault="00683FF4" w:rsidP="00020781">
      <w:pPr>
        <w:spacing w:after="0" w:line="240" w:lineRule="auto"/>
      </w:pPr>
      <w:r>
        <w:separator/>
      </w:r>
    </w:p>
  </w:footnote>
  <w:footnote w:type="continuationSeparator" w:id="0">
    <w:p w14:paraId="7117FE95" w14:textId="77777777" w:rsidR="00683FF4" w:rsidRDefault="00683FF4"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3311"/>
    <w:rsid w:val="000E4203"/>
    <w:rsid w:val="000E51AD"/>
    <w:rsid w:val="001168F9"/>
    <w:rsid w:val="00121320"/>
    <w:rsid w:val="00125A6B"/>
    <w:rsid w:val="00130B0C"/>
    <w:rsid w:val="00137857"/>
    <w:rsid w:val="0015175F"/>
    <w:rsid w:val="00151B04"/>
    <w:rsid w:val="00151D96"/>
    <w:rsid w:val="00160894"/>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A105D"/>
    <w:rsid w:val="003B6FDE"/>
    <w:rsid w:val="003C7B5F"/>
    <w:rsid w:val="003F0391"/>
    <w:rsid w:val="003F1AEF"/>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317D4"/>
    <w:rsid w:val="00550211"/>
    <w:rsid w:val="00556A90"/>
    <w:rsid w:val="00560A27"/>
    <w:rsid w:val="00565431"/>
    <w:rsid w:val="00594C5A"/>
    <w:rsid w:val="005A78B2"/>
    <w:rsid w:val="005C3204"/>
    <w:rsid w:val="005F4F42"/>
    <w:rsid w:val="005F6A74"/>
    <w:rsid w:val="006047CD"/>
    <w:rsid w:val="00610569"/>
    <w:rsid w:val="006246AA"/>
    <w:rsid w:val="0064197E"/>
    <w:rsid w:val="0064261A"/>
    <w:rsid w:val="00662283"/>
    <w:rsid w:val="00672AA4"/>
    <w:rsid w:val="006774D3"/>
    <w:rsid w:val="00683FF4"/>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E5441"/>
    <w:rsid w:val="00902417"/>
    <w:rsid w:val="00903B92"/>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1587E"/>
    <w:rsid w:val="00A207FD"/>
    <w:rsid w:val="00A30BC1"/>
    <w:rsid w:val="00A32739"/>
    <w:rsid w:val="00A64498"/>
    <w:rsid w:val="00A717C5"/>
    <w:rsid w:val="00A87C6D"/>
    <w:rsid w:val="00A95AB2"/>
    <w:rsid w:val="00AB5248"/>
    <w:rsid w:val="00AD36B0"/>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45DF3"/>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D005F1"/>
    <w:rsid w:val="00D03AEF"/>
    <w:rsid w:val="00D0406D"/>
    <w:rsid w:val="00D24CE7"/>
    <w:rsid w:val="00D26B27"/>
    <w:rsid w:val="00D4576B"/>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D5BAF"/>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ar.unt.edu/exams/final-exam-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3.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1812</Words>
  <Characters>9272</Characters>
  <Application>Microsoft Office Word</Application>
  <DocSecurity>0</DocSecurity>
  <Lines>473</Lines>
  <Paragraphs>278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Sarah Rozell</cp:lastModifiedBy>
  <cp:revision>3</cp:revision>
  <cp:lastPrinted>2022-08-25T19:37:00Z</cp:lastPrinted>
  <dcterms:created xsi:type="dcterms:W3CDTF">2026-04-16T00:07:00Z</dcterms:created>
  <dcterms:modified xsi:type="dcterms:W3CDTF">2026-04-16T00:07:00Z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