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360" w:after="120"/>
        <w:jc w:val="both"/>
        <w:rPr>
          <w:color w:val="000000"/>
        </w:rPr>
      </w:pPr>
      <w:r>
        <w:rPr>
          <w:color w:val="000000"/>
          <w:shd w:fill="FFFFFF" w:val="clear"/>
        </w:rPr>
        <w:t>MATH 2730.410 (Fall 2025): Multivariable Calculus INET</w:t>
      </w:r>
    </w:p>
    <w:p>
      <w:pPr>
        <w:pStyle w:val="Heading2"/>
        <w:rPr/>
      </w:pPr>
      <w:r>
        <w:rPr/>
        <w:t>Instructor Contact</w:t>
      </w:r>
    </w:p>
    <w:p>
      <w:pPr>
        <w:pStyle w:val="Normal"/>
        <w:spacing w:before="0" w:after="0"/>
        <w:rPr>
          <w:bCs/>
        </w:rPr>
      </w:pPr>
      <w:r>
        <w:rPr>
          <w:b/>
        </w:rPr>
        <w:t xml:space="preserve">Name: </w:t>
      </w:r>
      <w:r>
        <w:rPr>
          <w:shd w:fill="FFFFFF" w:val="clear"/>
        </w:rPr>
        <w:t>Santiago Betelu</w:t>
      </w:r>
    </w:p>
    <w:p>
      <w:pPr>
        <w:pStyle w:val="Normal"/>
        <w:spacing w:before="0" w:after="0"/>
        <w:rPr>
          <w:bCs/>
        </w:rPr>
      </w:pPr>
      <w:bookmarkStart w:id="0" w:name="_Hlk124195173"/>
      <w:r>
        <w:rPr>
          <w:b/>
        </w:rPr>
        <w:t>Office Location:</w:t>
      </w:r>
      <w:bookmarkEnd w:id="0"/>
      <w:r>
        <w:rPr>
          <w:b/>
        </w:rPr>
        <w:t xml:space="preserve"> </w:t>
      </w:r>
      <w:r>
        <w:rPr/>
        <w:t>GAB 470B</w:t>
      </w:r>
    </w:p>
    <w:p>
      <w:pPr>
        <w:pStyle w:val="Normal"/>
        <w:spacing w:before="0" w:after="0"/>
        <w:rPr>
          <w:bCs/>
        </w:rPr>
      </w:pPr>
      <w:r>
        <w:rPr>
          <w:b/>
        </w:rPr>
        <w:t>Course is f</w:t>
      </w:r>
      <w:r>
        <w:rPr>
          <w:b/>
          <w:bCs/>
        </w:rPr>
        <w:t>ully online with Canvas / Webassign</w:t>
      </w:r>
    </w:p>
    <w:p>
      <w:pPr>
        <w:pStyle w:val="Normal"/>
        <w:spacing w:before="0" w:after="0"/>
        <w:rPr>
          <w:shd w:fill="FFFFFF" w:val="clear"/>
        </w:rPr>
      </w:pPr>
      <w:r>
        <w:rPr>
          <w:b/>
          <w:shd w:fill="FFFFFF" w:val="clear"/>
        </w:rPr>
        <w:t xml:space="preserve">E-mail: </w:t>
      </w:r>
      <w:r>
        <w:rPr>
          <w:shd w:fill="FFFFFF" w:val="clear"/>
        </w:rPr>
        <w:t>santiago.betelu@unt.edu</w:t>
      </w:r>
    </w:p>
    <w:p>
      <w:pPr>
        <w:pStyle w:val="Normal"/>
        <w:rPr/>
      </w:pPr>
      <w:r>
        <w:rPr>
          <w:b/>
        </w:rPr>
        <w:t xml:space="preserve">Office Hours: </w:t>
      </w:r>
      <w:r>
        <w:rPr>
          <w:b w:val="false"/>
          <w:bCs w:val="false"/>
        </w:rPr>
        <w:t xml:space="preserve"> Mo We 16:25-17:25PM</w:t>
      </w:r>
      <w:r>
        <w:rPr>
          <w:rFonts w:ascii="sans-serif" w:hAnsi="sans-serif"/>
          <w:sz w:val="26"/>
        </w:rPr>
        <w:t xml:space="preserve"> </w:t>
      </w:r>
      <w:r>
        <w:rPr>
          <w:b w:val="false"/>
          <w:bCs w:val="false"/>
        </w:rPr>
        <w:t>at</w:t>
      </w:r>
      <w:r>
        <w:rPr/>
        <w:t xml:space="preserve"> </w:t>
      </w:r>
      <w:hyperlink r:id="rId2">
        <w:r>
          <w:rPr>
            <w:rStyle w:val="Hyperlink"/>
          </w:rPr>
          <w:t>https://unt.zoom.us/j/85768106388</w:t>
        </w:r>
      </w:hyperlink>
      <w:r>
        <w:rPr/>
        <w:t xml:space="preserve"> </w:t>
      </w:r>
      <w:r>
        <w:rPr>
          <w:b w:val="false"/>
          <w:bCs w:val="false"/>
        </w:rPr>
        <w:t>or by appointment</w:t>
      </w:r>
    </w:p>
    <w:p>
      <w:pPr>
        <w:pStyle w:val="Heading2"/>
        <w:rPr/>
      </w:pPr>
      <w:r>
        <w:rPr/>
        <w:t>Course Description</w:t>
      </w:r>
    </w:p>
    <w:p>
      <w:pPr>
        <w:pStyle w:val="Normal"/>
        <w:widowControl w:val="false"/>
        <w:spacing w:lineRule="auto" w:line="240" w:before="0" w:after="0"/>
        <w:rPr>
          <w:color w:val="333333"/>
        </w:rPr>
      </w:pPr>
      <w:r>
        <w:rPr>
          <w:bCs/>
        </w:rPr>
        <w:t>3 hours. This is a Multivariable Calculus course about vectors and analytic geometry in 3-space; partial and directional derivatives; extrema; double and triple integrals and applications; cylindrical and spherical coordinates.</w:t>
      </w:r>
    </w:p>
    <w:p>
      <w:pPr>
        <w:pStyle w:val="Heading2"/>
        <w:rPr/>
      </w:pPr>
      <w:r>
        <w:rPr/>
        <w:t xml:space="preserve">Course Prerequisites </w:t>
      </w:r>
    </w:p>
    <w:p>
      <w:pPr>
        <w:pStyle w:val="Heading2"/>
        <w:rPr>
          <w:rFonts w:ascii="Calibri" w:hAnsi="Calibri" w:eastAsia="Calibri" w:cs="" w:asciiTheme="minorHAnsi" w:cstheme="minorBidi" w:eastAsiaTheme="minorHAnsi" w:hAnsiTheme="minorHAnsi"/>
          <w:color w:val="auto"/>
          <w:sz w:val="22"/>
          <w:szCs w:val="22"/>
        </w:rPr>
      </w:pPr>
      <w:r>
        <w:rPr>
          <w:rFonts w:eastAsia="Calibri" w:cs="" w:ascii="Calibri" w:hAnsi="Calibri" w:asciiTheme="minorHAnsi" w:cstheme="minorBidi" w:eastAsiaTheme="minorHAnsi" w:hAnsiTheme="minorHAnsi"/>
          <w:color w:val="auto"/>
          <w:sz w:val="22"/>
          <w:szCs w:val="22"/>
        </w:rPr>
        <w:t>Math 1720 or equivalent</w:t>
      </w:r>
    </w:p>
    <w:p>
      <w:pPr>
        <w:pStyle w:val="Heading2"/>
        <w:rPr/>
      </w:pPr>
      <w:r>
        <w:rPr/>
        <w:t>Course Objectives</w:t>
      </w:r>
    </w:p>
    <w:p>
      <w:pPr>
        <w:pStyle w:val="Normal"/>
        <w:rPr/>
      </w:pPr>
      <w:r>
        <w:rPr/>
        <w:t>By the end of this course, students will be able to:</w:t>
      </w:r>
    </w:p>
    <w:p>
      <w:pPr>
        <w:pStyle w:val="ListParagraph"/>
        <w:numPr>
          <w:ilvl w:val="0"/>
          <w:numId w:val="3"/>
        </w:numPr>
        <w:rPr/>
      </w:pPr>
      <w:r>
        <w:rPr/>
        <w:t xml:space="preserve">Understand and compute multi-variable limits,  partial derivatives and their connections to problems in analytic geometry </w:t>
      </w:r>
    </w:p>
    <w:p>
      <w:pPr>
        <w:pStyle w:val="ListParagraph"/>
        <w:numPr>
          <w:ilvl w:val="0"/>
          <w:numId w:val="3"/>
        </w:numPr>
        <w:rPr/>
      </w:pPr>
      <w:r>
        <w:rPr/>
        <w:t>Find maxima and minima of multiple variable functions with or without constraints</w:t>
      </w:r>
    </w:p>
    <w:p>
      <w:pPr>
        <w:pStyle w:val="ListParagraph"/>
        <w:numPr>
          <w:ilvl w:val="0"/>
          <w:numId w:val="3"/>
        </w:numPr>
        <w:rPr/>
      </w:pPr>
      <w:r>
        <w:rPr/>
        <w:t>Compute double and triple integrals in rectangular, cylindrical and spherical coordinates and with variable changes</w:t>
      </w:r>
    </w:p>
    <w:p>
      <w:pPr>
        <w:pStyle w:val="ListParagraph"/>
        <w:numPr>
          <w:ilvl w:val="0"/>
          <w:numId w:val="3"/>
        </w:numPr>
        <w:rPr/>
      </w:pPr>
      <w:r>
        <w:rPr>
          <w:rFonts w:eastAsia="Calibri" w:cs="" w:cstheme="minorBidi" w:eastAsiaTheme="minorHAnsi"/>
          <w:color w:val="auto"/>
          <w:sz w:val="22"/>
          <w:szCs w:val="22"/>
        </w:rPr>
        <w:t>Develop applications requiring multiple variables, including optimization problems.</w:t>
      </w:r>
    </w:p>
    <w:p>
      <w:pPr>
        <w:pStyle w:val="Heading2"/>
        <w:rPr/>
      </w:pPr>
      <w:r>
        <w:rPr/>
        <w:t>Communication Expectations</w:t>
      </w:r>
    </w:p>
    <w:p>
      <w:pPr>
        <w:pStyle w:val="BodyText"/>
        <w:rPr/>
      </w:pPr>
      <w:r>
        <w:rPr>
          <w:rFonts w:cs="Calibri" w:ascii="Calibri" w:hAnsi="Calibri" w:asciiTheme="minorHAnsi" w:cstheme="minorHAnsi" w:hAnsiTheme="minorHAnsi"/>
          <w:sz w:val="22"/>
          <w:szCs w:val="22"/>
        </w:rPr>
        <w:t>If you have a question about the contents of the course or homework, connect during office hours for help. I will check my email every day (except weekends and holidays) and will make every effort to respond within 24 hours.</w:t>
      </w:r>
    </w:p>
    <w:p>
      <w:pPr>
        <w:pStyle w:val="BodyText"/>
        <w:rPr>
          <w:rFonts w:ascii="Calibri" w:hAnsi="Calibri" w:cs="Calibri" w:asciiTheme="minorHAnsi" w:cstheme="minorHAnsi" w:hAnsiTheme="minorHAnsi"/>
          <w:sz w:val="22"/>
          <w:szCs w:val="22"/>
        </w:rPr>
      </w:pPr>
      <w:r>
        <w:rPr>
          <w:rFonts w:cs="Calibri" w:cstheme="minorHAnsi" w:ascii="Calibri" w:hAnsi="Calibri"/>
          <w:sz w:val="22"/>
          <w:szCs w:val="22"/>
        </w:rPr>
      </w:r>
    </w:p>
    <w:p>
      <w:pPr>
        <w:pStyle w:val="Heading2"/>
        <w:rPr/>
      </w:pPr>
      <w:r>
        <w:rPr/>
        <w:t>Required Texts</w:t>
      </w:r>
    </w:p>
    <w:p>
      <w:pPr>
        <w:pStyle w:val="Normal"/>
        <w:rPr>
          <w:rFonts w:cs="Arial"/>
          <w:b/>
          <w:bCs/>
          <w:iCs/>
        </w:rPr>
      </w:pPr>
      <w:r>
        <w:rPr/>
        <w:t xml:space="preserve">The textbook is "Calculus", James Stewart, 9E edition. </w:t>
      </w:r>
      <w:r>
        <w:rPr>
          <w:rFonts w:cs="Arial"/>
          <w:b/>
          <w:bCs/>
          <w:iCs/>
        </w:rPr>
        <w:t>It is available online through WebAssign platform.</w:t>
      </w:r>
    </w:p>
    <w:p>
      <w:pPr>
        <w:pStyle w:val="Heading2"/>
        <w:rPr/>
      </w:pPr>
      <w:r>
        <w:rPr/>
        <w:t>Cengage WebAssign Required</w:t>
      </w:r>
    </w:p>
    <w:p>
      <w:pPr>
        <w:pStyle w:val="Normal"/>
        <w:rPr/>
      </w:pPr>
      <w:r>
        <w:rPr/>
        <w:t xml:space="preserve">WebAssign is accessed directly through Canvas. It includes all online homework assignments, the e-textbook and additional learning resources. </w:t>
      </w:r>
      <w:r>
        <w:rPr>
          <w:b/>
          <w:bCs/>
        </w:rPr>
        <w:t xml:space="preserve">Use the link in Canvas to register immediately. </w:t>
      </w:r>
      <w:r>
        <w:rPr/>
        <w:t>You must register in WebAssign by the 2</w:t>
      </w:r>
      <w:r>
        <w:rPr>
          <w:vertAlign w:val="superscript"/>
        </w:rPr>
        <w:t>nd</w:t>
      </w:r>
      <w:r>
        <w:rPr/>
        <w:t xml:space="preserve"> class day of the semester.  </w:t>
      </w:r>
    </w:p>
    <w:p>
      <w:pPr>
        <w:pStyle w:val="Heading2"/>
        <w:rPr/>
      </w:pPr>
      <w:r>
        <w:rPr/>
        <w:t>What You Should Do Immediately</w:t>
      </w:r>
    </w:p>
    <w:p>
      <w:pPr>
        <w:pStyle w:val="Normal"/>
        <w:rPr>
          <w:rFonts w:cs="Calibri" w:cstheme="minorHAnsi"/>
          <w:color w:val="2D3B45"/>
        </w:rPr>
      </w:pPr>
      <w:r>
        <w:rPr>
          <w:rFonts w:cs="Calibri" w:cstheme="minorHAnsi"/>
        </w:rPr>
        <w:t xml:space="preserve">Log in to Canvas and </w:t>
      </w:r>
      <w:r>
        <w:rPr>
          <w:rFonts w:cs="Calibri" w:cstheme="minorHAnsi"/>
          <w:color w:val="2D3B45"/>
        </w:rPr>
        <w:t xml:space="preserve">click the WebAssign link at the top of the module page. Please use </w:t>
      </w:r>
      <w:r>
        <w:rPr>
          <w:rStyle w:val="Strong"/>
          <w:rFonts w:cs="Calibri" w:cstheme="minorHAnsi"/>
          <w:color w:val="2D3B45"/>
        </w:rPr>
        <w:t>your UNT E-mail address</w:t>
      </w:r>
      <w:r>
        <w:rPr>
          <w:rFonts w:cs="Calibri" w:cstheme="minorHAnsi"/>
          <w:color w:val="2D3B45"/>
        </w:rPr>
        <w:t xml:space="preserve"> to register for this course.  See </w:t>
      </w:r>
      <w:hyperlink r:id="rId3">
        <w:r>
          <w:rPr>
            <w:rStyle w:val="Hyperlink"/>
          </w:rPr>
          <w:t>Video Tutorial: Access WebAssign from Canvas</w:t>
        </w:r>
      </w:hyperlink>
      <w:r>
        <w:rPr/>
        <w:t xml:space="preserve"> for more information. </w:t>
      </w:r>
      <w:r>
        <w:rPr>
          <w:rFonts w:cs="Calibri" w:cstheme="minorHAnsi"/>
          <w:color w:val="2D3B45"/>
        </w:rPr>
        <w:t xml:space="preserve">WebAssign grants a </w:t>
      </w:r>
      <w:r>
        <w:rPr>
          <w:rFonts w:cs="Calibri" w:cstheme="minorHAnsi"/>
          <w:b/>
          <w:bCs/>
          <w:color w:val="2D3B45"/>
        </w:rPr>
        <w:t>no-cost temporary access</w:t>
      </w:r>
      <w:r>
        <w:rPr>
          <w:rFonts w:cs="Calibri" w:cstheme="minorHAnsi"/>
          <w:color w:val="2D3B45"/>
        </w:rPr>
        <w:t>. You must purchase your access before the temporary access expires. Students who do not purchase WebAssign by the end of the temporary access period may lose credit for all work previously completed with the possibility of no refund.</w:t>
      </w:r>
    </w:p>
    <w:p>
      <w:pPr>
        <w:pStyle w:val="NormalWeb"/>
        <w:spacing w:beforeAutospacing="0" w:before="0" w:afterAutospacing="0" w:after="0"/>
        <w:rPr>
          <w:rFonts w:ascii="Calibri" w:hAnsi="Calibri" w:cs="Calibri" w:asciiTheme="minorHAnsi" w:cstheme="minorHAnsi" w:hAnsiTheme="minorHAnsi"/>
          <w:color w:val="2D3B45"/>
          <w:sz w:val="22"/>
          <w:szCs w:val="22"/>
        </w:rPr>
      </w:pPr>
      <w:r>
        <w:rPr>
          <w:rFonts w:cs="Calibri" w:ascii="Calibri" w:hAnsi="Calibri" w:asciiTheme="minorHAnsi" w:cstheme="minorHAnsi" w:hAnsiTheme="minorHAnsi"/>
          <w:color w:val="2D3B45"/>
          <w:sz w:val="22"/>
          <w:szCs w:val="22"/>
        </w:rPr>
        <w:t xml:space="preserve">I strongly encourage you to get started with Enhanced WebAssign as soon as possible. If you delay, you run the risk of unforeseen technical problems that could prevent you from completing the first assignment. For more directions, please go to the Cengage Zoom office. </w:t>
      </w:r>
      <w:hyperlink r:id="rId4">
        <w:r>
          <w:rPr>
            <w:rStyle w:val="Hyperlink"/>
          </w:rPr>
          <w:t>U of North Texas MATH (cengage.com)</w:t>
        </w:r>
      </w:hyperlink>
    </w:p>
    <w:p>
      <w:pPr>
        <w:pStyle w:val="Heading2"/>
        <w:rPr/>
      </w:pPr>
      <w:r>
        <w:rPr/>
        <w:t>Technical Requirements &amp; Skills</w:t>
      </w:r>
    </w:p>
    <w:p>
      <w:pPr>
        <w:pStyle w:val="Heading3"/>
        <w:rPr/>
      </w:pPr>
      <w:r>
        <w:rPr/>
        <w:t>Minimum Technology Requirements</w:t>
      </w:r>
    </w:p>
    <w:p>
      <w:pPr>
        <w:pStyle w:val="ListParagraph"/>
        <w:numPr>
          <w:ilvl w:val="0"/>
          <w:numId w:val="1"/>
        </w:numPr>
        <w:rPr/>
      </w:pPr>
      <w:r>
        <w:rPr/>
        <w:t>Access to a computer, tablet, or laptop that is compatible with all required apps for the course.</w:t>
      </w:r>
    </w:p>
    <w:p>
      <w:pPr>
        <w:pStyle w:val="ListParagraph"/>
        <w:numPr>
          <w:ilvl w:val="0"/>
          <w:numId w:val="1"/>
        </w:numPr>
        <w:rPr/>
      </w:pPr>
      <w:r>
        <w:rPr/>
        <w:t>Phone access to Canvas/Webassign is not sufficient nor adequate.</w:t>
      </w:r>
    </w:p>
    <w:p>
      <w:pPr>
        <w:pStyle w:val="ListParagraph"/>
        <w:numPr>
          <w:ilvl w:val="0"/>
          <w:numId w:val="1"/>
        </w:numPr>
        <w:rPr/>
      </w:pPr>
      <w:r>
        <w:rPr/>
        <w:t>Access to reliable internet access</w:t>
      </w:r>
    </w:p>
    <w:p>
      <w:pPr>
        <w:pStyle w:val="ListParagraph"/>
        <w:numPr>
          <w:ilvl w:val="0"/>
          <w:numId w:val="1"/>
        </w:numPr>
        <w:rPr>
          <w:rStyle w:val="Hyperlink"/>
          <w:color w:val="auto"/>
          <w:u w:val="none"/>
        </w:rPr>
      </w:pPr>
      <w:hyperlink r:id="rId5">
        <w:r>
          <w:rPr>
            <w:rStyle w:val="Hyperlink"/>
          </w:rPr>
          <w:t>Canvas Technical Requirements</w:t>
        </w:r>
      </w:hyperlink>
      <w:r>
        <w:rPr/>
        <w:t xml:space="preserve"> (</w:t>
      </w:r>
      <w:hyperlink r:id="rId6">
        <w:r>
          <w:rPr>
            <w:rStyle w:val="Hyperlink"/>
          </w:rPr>
          <w:t>https://clear.unt.edu/supported-technologies/canvas/requirements</w:t>
        </w:r>
      </w:hyperlink>
      <w:r>
        <w:rPr>
          <w:rStyle w:val="Hyperlink"/>
          <w:color w:val="auto"/>
          <w:u w:val="none"/>
        </w:rPr>
        <w:t>)</w:t>
      </w:r>
    </w:p>
    <w:p>
      <w:pPr>
        <w:pStyle w:val="ListParagraph"/>
        <w:rPr>
          <w:rStyle w:val="Hyperlink"/>
          <w:color w:val="auto"/>
          <w:u w:val="none"/>
        </w:rPr>
      </w:pPr>
      <w:r>
        <w:rPr>
          <w:color w:val="auto"/>
          <w:u w:val="none"/>
        </w:rPr>
      </w:r>
    </w:p>
    <w:p>
      <w:pPr>
        <w:pStyle w:val="Heading3"/>
        <w:rPr/>
      </w:pPr>
      <w:r>
        <w:rPr/>
        <w:t>Computer Skills &amp; Digital Literacy</w:t>
      </w:r>
    </w:p>
    <w:p>
      <w:pPr>
        <w:pStyle w:val="Normal"/>
        <w:rPr/>
      </w:pPr>
      <w:r>
        <w:rPr/>
        <w:t>Students are expected to be proficient at:</w:t>
      </w:r>
    </w:p>
    <w:p>
      <w:pPr>
        <w:pStyle w:val="ListParagraph"/>
        <w:numPr>
          <w:ilvl w:val="0"/>
          <w:numId w:val="2"/>
        </w:numPr>
        <w:rPr/>
      </w:pPr>
      <w:r>
        <w:rPr/>
        <w:t>Navigating Canvas and WebAssign</w:t>
      </w:r>
    </w:p>
    <w:p>
      <w:pPr>
        <w:pStyle w:val="ListParagraph"/>
        <w:numPr>
          <w:ilvl w:val="0"/>
          <w:numId w:val="2"/>
        </w:numPr>
        <w:rPr/>
      </w:pPr>
      <w:r>
        <w:rPr/>
        <w:t>Uploading documents to Canvas</w:t>
      </w:r>
    </w:p>
    <w:p>
      <w:pPr>
        <w:pStyle w:val="ListParagraph"/>
        <w:numPr>
          <w:ilvl w:val="0"/>
          <w:numId w:val="2"/>
        </w:numPr>
        <w:rPr/>
      </w:pPr>
      <w:r>
        <w:rPr/>
        <w:t>Completing assignments on WebAssign</w:t>
      </w:r>
    </w:p>
    <w:p>
      <w:pPr>
        <w:pStyle w:val="ListParagraph"/>
        <w:numPr>
          <w:ilvl w:val="0"/>
          <w:numId w:val="2"/>
        </w:numPr>
        <w:rPr/>
      </w:pPr>
      <w:r>
        <w:rPr/>
        <w:t xml:space="preserve">Scanning documents and creating pdf files (there are several free scanning apps for phones / tablets like Adobe Scan or Office Lens) </w:t>
      </w:r>
    </w:p>
    <w:p>
      <w:pPr>
        <w:pStyle w:val="Heading3"/>
        <w:rPr/>
      </w:pPr>
      <w:r>
        <w:rPr/>
      </w:r>
    </w:p>
    <w:p>
      <w:pPr>
        <w:pStyle w:val="Heading3"/>
        <w:rPr/>
      </w:pPr>
      <w:r>
        <w:rPr/>
        <w:t>Course/Assignment Schedule</w:t>
      </w:r>
    </w:p>
    <w:p>
      <w:pPr>
        <w:pStyle w:val="Normal"/>
        <w:widowControl w:val="false"/>
        <w:rPr>
          <w:rFonts w:cs="Calibri" w:cstheme="minorHAnsi"/>
          <w:i/>
          <w:i/>
        </w:rPr>
      </w:pPr>
      <w:r>
        <w:rPr>
          <w:rFonts w:cs="Calibri" w:cstheme="minorHAnsi"/>
          <w:i/>
        </w:rPr>
        <w:t>I reserve the right to change this schedule as necessary throughout the semester. You are still responsible for being aware of any changes I announce in class even if you were not in class.</w:t>
      </w:r>
    </w:p>
    <w:tbl>
      <w:tblPr>
        <w:tblStyle w:val="TableGrid"/>
        <w:tblW w:w="6585"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3974"/>
        <w:gridCol w:w="2610"/>
      </w:tblGrid>
      <w:tr>
        <w:trPr/>
        <w:tc>
          <w:tcPr>
            <w:tcW w:w="3974" w:type="dxa"/>
            <w:tcBorders/>
          </w:tcPr>
          <w:p>
            <w:pPr>
              <w:pStyle w:val="Normal"/>
              <w:widowControl w:val="false"/>
              <w:suppressAutoHyphens w:val="true"/>
              <w:spacing w:lineRule="auto" w:line="240" w:before="0" w:after="0"/>
              <w:ind w:hanging="360" w:left="720"/>
              <w:jc w:val="center"/>
              <w:rPr>
                <w:rFonts w:cs="Calibri" w:cstheme="minorHAnsi"/>
                <w:b/>
                <w:bCs/>
              </w:rPr>
            </w:pPr>
            <w:r>
              <w:rPr>
                <w:rFonts w:eastAsia="Calibri" w:cs="Calibri" w:cstheme="minorHAnsi"/>
                <w:b/>
                <w:bCs/>
                <w:kern w:val="0"/>
                <w:sz w:val="24"/>
                <w:szCs w:val="22"/>
                <w:lang w:val="en-US" w:eastAsia="en-US" w:bidi="ar-SA"/>
              </w:rPr>
              <w:t>Assignment (Section)</w:t>
            </w:r>
          </w:p>
        </w:tc>
        <w:tc>
          <w:tcPr>
            <w:tcW w:w="2610" w:type="dxa"/>
            <w:tcBorders/>
          </w:tcPr>
          <w:p>
            <w:pPr>
              <w:pStyle w:val="Normal"/>
              <w:widowControl w:val="false"/>
              <w:suppressAutoHyphens w:val="true"/>
              <w:spacing w:lineRule="auto" w:line="240" w:before="0" w:after="0"/>
              <w:ind w:hanging="360" w:left="720"/>
              <w:jc w:val="center"/>
              <w:rPr>
                <w:rFonts w:cs="Calibri" w:cstheme="minorHAnsi"/>
                <w:b/>
                <w:bCs/>
              </w:rPr>
            </w:pPr>
            <w:r>
              <w:rPr>
                <w:rFonts w:eastAsia="Calibri" w:cs="Calibri" w:cstheme="minorHAnsi"/>
                <w:b/>
                <w:bCs/>
                <w:kern w:val="0"/>
                <w:sz w:val="24"/>
                <w:szCs w:val="22"/>
                <w:lang w:val="en-US" w:eastAsia="en-US" w:bidi="ar-SA"/>
              </w:rPr>
              <w:t>Due Date</w:t>
            </w:r>
          </w:p>
        </w:tc>
      </w:tr>
      <w:tr>
        <w:trPr/>
        <w:tc>
          <w:tcPr>
            <w:tcW w:w="3974" w:type="dxa"/>
            <w:tcBorders/>
          </w:tcPr>
          <w:p>
            <w:pPr>
              <w:pStyle w:val="Normal"/>
              <w:widowControl w:val="false"/>
              <w:suppressAutoHyphens w:val="true"/>
              <w:spacing w:lineRule="auto" w:line="240" w:before="0" w:after="0"/>
              <w:ind w:hanging="360" w:left="720"/>
              <w:jc w:val="left"/>
              <w:rPr>
                <w:rFonts w:cs="Calibri" w:cstheme="minorHAnsi"/>
              </w:rPr>
            </w:pPr>
            <w:r>
              <w:rPr>
                <w:rFonts w:eastAsia="Calibri" w:cs="Calibri" w:cstheme="minorHAnsi"/>
                <w:kern w:val="0"/>
                <w:sz w:val="24"/>
                <w:szCs w:val="22"/>
                <w:lang w:val="en-US" w:eastAsia="en-US" w:bidi="ar-SA"/>
              </w:rPr>
              <w:t>Practice with LockDown Browser</w:t>
            </w:r>
          </w:p>
        </w:tc>
        <w:tc>
          <w:tcPr>
            <w:tcW w:w="2610" w:type="dxa"/>
            <w:tcBorders/>
          </w:tcPr>
          <w:p>
            <w:pPr>
              <w:pStyle w:val="Normal"/>
              <w:widowControl w:val="false"/>
              <w:suppressAutoHyphens w:val="true"/>
              <w:spacing w:lineRule="auto" w:line="240" w:before="0" w:after="0"/>
              <w:ind w:hanging="360" w:left="720"/>
              <w:jc w:val="center"/>
              <w:rPr>
                <w:rFonts w:ascii="Calibri" w:hAnsi="Calibri" w:eastAsia="Calibri" w:cs=""/>
                <w:kern w:val="0"/>
                <w:sz w:val="24"/>
                <w:szCs w:val="22"/>
                <w:lang w:val="en-US" w:eastAsia="en-US" w:bidi="ar-SA"/>
              </w:rPr>
            </w:pPr>
            <w:r>
              <w:rPr>
                <w:rFonts w:eastAsia="Calibri" w:cs="Calibri" w:cstheme="minorHAnsi"/>
                <w:kern w:val="0"/>
                <w:sz w:val="24"/>
                <w:szCs w:val="22"/>
                <w:lang w:val="en-US" w:eastAsia="en-US" w:bidi="ar-SA"/>
              </w:rPr>
              <w:t>8/20</w:t>
            </w:r>
          </w:p>
        </w:tc>
      </w:tr>
      <w:tr>
        <w:trPr/>
        <w:tc>
          <w:tcPr>
            <w:tcW w:w="3974" w:type="dxa"/>
            <w:tcBorders/>
          </w:tcPr>
          <w:p>
            <w:pPr>
              <w:pStyle w:val="Normal"/>
              <w:widowControl w:val="false"/>
              <w:suppressAutoHyphens w:val="true"/>
              <w:spacing w:lineRule="auto" w:line="240" w:before="0" w:after="0"/>
              <w:ind w:hanging="360" w:left="720"/>
              <w:jc w:val="left"/>
              <w:rPr>
                <w:rFonts w:cs="Calibri" w:cstheme="minorHAnsi"/>
              </w:rPr>
            </w:pPr>
            <w:r>
              <w:rPr>
                <w:rFonts w:eastAsia="Calibri" w:cs="Calibri" w:cstheme="minorHAnsi"/>
                <w:kern w:val="0"/>
                <w:sz w:val="24"/>
                <w:szCs w:val="22"/>
                <w:lang w:val="en-US" w:eastAsia="en-US" w:bidi="ar-SA"/>
              </w:rPr>
              <w:t>12.1, 12.2</w:t>
            </w:r>
          </w:p>
        </w:tc>
        <w:tc>
          <w:tcPr>
            <w:tcW w:w="2610" w:type="dxa"/>
            <w:tcBorders/>
          </w:tcPr>
          <w:p>
            <w:pPr>
              <w:pStyle w:val="Normal"/>
              <w:widowControl w:val="false"/>
              <w:suppressAutoHyphens w:val="true"/>
              <w:spacing w:lineRule="auto" w:line="240" w:before="0" w:after="0"/>
              <w:ind w:hanging="360" w:left="720"/>
              <w:jc w:val="center"/>
              <w:rPr>
                <w:rFonts w:ascii="Calibri" w:hAnsi="Calibri" w:eastAsia="Calibri" w:cs=""/>
                <w:kern w:val="0"/>
                <w:sz w:val="24"/>
                <w:szCs w:val="22"/>
                <w:lang w:val="en-US" w:eastAsia="en-US" w:bidi="ar-SA"/>
              </w:rPr>
            </w:pPr>
            <w:r>
              <w:rPr>
                <w:rFonts w:eastAsia="Calibri" w:cs="Calibri" w:cstheme="minorHAnsi"/>
                <w:kern w:val="0"/>
                <w:sz w:val="24"/>
                <w:szCs w:val="22"/>
                <w:lang w:val="en-US" w:eastAsia="en-US" w:bidi="ar-SA"/>
              </w:rPr>
              <w:t>8/2</w:t>
            </w:r>
            <w:r>
              <w:rPr>
                <w:rFonts w:eastAsia="Calibri" w:cs=""/>
                <w:kern w:val="0"/>
                <w:sz w:val="24"/>
                <w:szCs w:val="22"/>
                <w:lang w:val="en-US" w:eastAsia="en-US" w:bidi="ar-SA"/>
              </w:rPr>
              <w:t>2</w:t>
            </w:r>
          </w:p>
        </w:tc>
      </w:tr>
      <w:tr>
        <w:trPr/>
        <w:tc>
          <w:tcPr>
            <w:tcW w:w="3974" w:type="dxa"/>
            <w:tcBorders/>
          </w:tcPr>
          <w:p>
            <w:pPr>
              <w:pStyle w:val="Normal"/>
              <w:widowControl w:val="false"/>
              <w:suppressAutoHyphens w:val="true"/>
              <w:spacing w:lineRule="auto" w:line="240" w:before="0" w:after="0"/>
              <w:ind w:hanging="360" w:left="720"/>
              <w:jc w:val="left"/>
              <w:rPr>
                <w:rFonts w:cs="Calibri" w:cstheme="minorHAnsi"/>
              </w:rPr>
            </w:pPr>
            <w:r>
              <w:rPr>
                <w:rFonts w:eastAsia="Calibri" w:cs="Calibri" w:cstheme="minorHAnsi"/>
                <w:kern w:val="0"/>
                <w:sz w:val="24"/>
                <w:szCs w:val="22"/>
                <w:lang w:val="en-US" w:eastAsia="en-US" w:bidi="ar-SA"/>
              </w:rPr>
              <w:t>12.3, 12.4</w:t>
            </w:r>
          </w:p>
        </w:tc>
        <w:tc>
          <w:tcPr>
            <w:tcW w:w="2610" w:type="dxa"/>
            <w:tcBorders/>
          </w:tcPr>
          <w:p>
            <w:pPr>
              <w:pStyle w:val="Normal"/>
              <w:widowControl w:val="false"/>
              <w:suppressAutoHyphens w:val="true"/>
              <w:spacing w:lineRule="auto" w:line="240" w:before="0" w:after="0"/>
              <w:ind w:hanging="360" w:left="720"/>
              <w:jc w:val="center"/>
              <w:rPr>
                <w:rFonts w:ascii="Calibri" w:hAnsi="Calibri" w:eastAsia="Calibri" w:cs=""/>
                <w:kern w:val="0"/>
                <w:sz w:val="24"/>
                <w:szCs w:val="22"/>
                <w:lang w:val="en-US" w:eastAsia="en-US" w:bidi="ar-SA"/>
              </w:rPr>
            </w:pPr>
            <w:r>
              <w:rPr>
                <w:rFonts w:eastAsia="Calibri" w:cs="Calibri" w:cstheme="minorHAnsi"/>
                <w:kern w:val="0"/>
                <w:sz w:val="24"/>
                <w:szCs w:val="22"/>
                <w:lang w:val="en-US" w:eastAsia="en-US" w:bidi="ar-SA"/>
              </w:rPr>
              <w:t>8/29</w:t>
            </w:r>
          </w:p>
        </w:tc>
      </w:tr>
      <w:tr>
        <w:trPr/>
        <w:tc>
          <w:tcPr>
            <w:tcW w:w="3974" w:type="dxa"/>
            <w:tcBorders/>
          </w:tcPr>
          <w:p>
            <w:pPr>
              <w:pStyle w:val="Normal"/>
              <w:widowControl w:val="false"/>
              <w:suppressAutoHyphens w:val="true"/>
              <w:spacing w:lineRule="auto" w:line="240" w:before="0" w:after="0"/>
              <w:ind w:hanging="360" w:left="720"/>
              <w:jc w:val="left"/>
              <w:rPr>
                <w:rFonts w:ascii="Calibri" w:hAnsi="Calibri" w:eastAsia="Calibri" w:cs=""/>
                <w:b w:val="false"/>
                <w:bCs w:val="false"/>
                <w:kern w:val="0"/>
                <w:sz w:val="24"/>
                <w:szCs w:val="22"/>
                <w:lang w:val="en-US" w:eastAsia="en-US" w:bidi="ar-SA"/>
              </w:rPr>
            </w:pPr>
            <w:r>
              <w:rPr>
                <w:rFonts w:eastAsia="Calibri" w:cs="Calibri" w:cstheme="minorHAnsi"/>
                <w:b w:val="false"/>
                <w:bCs w:val="false"/>
                <w:kern w:val="0"/>
                <w:sz w:val="24"/>
                <w:szCs w:val="22"/>
                <w:lang w:val="en-US" w:eastAsia="en-US" w:bidi="ar-SA"/>
              </w:rPr>
              <w:t>12.5</w:t>
            </w:r>
          </w:p>
        </w:tc>
        <w:tc>
          <w:tcPr>
            <w:tcW w:w="2610" w:type="dxa"/>
            <w:tcBorders/>
          </w:tcPr>
          <w:p>
            <w:pPr>
              <w:pStyle w:val="Normal"/>
              <w:widowControl w:val="false"/>
              <w:suppressAutoHyphens w:val="true"/>
              <w:spacing w:lineRule="auto" w:line="240" w:before="0" w:after="0"/>
              <w:ind w:hanging="360" w:left="720"/>
              <w:jc w:val="center"/>
              <w:rPr>
                <w:rFonts w:ascii="Calibri" w:hAnsi="Calibri" w:eastAsia="Calibri" w:cs=""/>
                <w:kern w:val="0"/>
                <w:sz w:val="24"/>
                <w:szCs w:val="22"/>
                <w:lang w:val="en-US" w:eastAsia="en-US" w:bidi="ar-SA"/>
              </w:rPr>
            </w:pPr>
            <w:r>
              <w:rPr>
                <w:rFonts w:eastAsia="Calibri" w:cs="Calibri" w:cstheme="minorHAnsi"/>
                <w:kern w:val="0"/>
                <w:sz w:val="24"/>
                <w:szCs w:val="22"/>
                <w:lang w:val="en-US" w:eastAsia="en-US" w:bidi="ar-SA"/>
              </w:rPr>
              <w:t>8/29</w:t>
            </w:r>
          </w:p>
        </w:tc>
      </w:tr>
      <w:tr>
        <w:trPr/>
        <w:tc>
          <w:tcPr>
            <w:tcW w:w="3974" w:type="dxa"/>
            <w:tcBorders/>
          </w:tcPr>
          <w:p>
            <w:pPr>
              <w:pStyle w:val="Normal"/>
              <w:widowControl w:val="false"/>
              <w:suppressAutoHyphens w:val="true"/>
              <w:spacing w:lineRule="auto" w:line="240" w:before="0" w:after="0"/>
              <w:ind w:hanging="360" w:left="720"/>
              <w:jc w:val="left"/>
              <w:rPr>
                <w:rFonts w:cs="Calibri" w:cstheme="minorHAnsi"/>
              </w:rPr>
            </w:pPr>
            <w:r>
              <w:rPr>
                <w:rFonts w:eastAsia="Calibri" w:cs="Calibri" w:cstheme="minorHAnsi"/>
                <w:kern w:val="0"/>
                <w:sz w:val="24"/>
                <w:szCs w:val="22"/>
                <w:lang w:val="en-US" w:eastAsia="en-US" w:bidi="ar-SA"/>
              </w:rPr>
              <w:t>12.6</w:t>
            </w:r>
          </w:p>
        </w:tc>
        <w:tc>
          <w:tcPr>
            <w:tcW w:w="2610" w:type="dxa"/>
            <w:tcBorders/>
          </w:tcPr>
          <w:p>
            <w:pPr>
              <w:pStyle w:val="Normal"/>
              <w:widowControl w:val="false"/>
              <w:suppressAutoHyphens w:val="true"/>
              <w:spacing w:lineRule="auto" w:line="240" w:before="0" w:after="0"/>
              <w:ind w:hanging="360" w:left="720"/>
              <w:jc w:val="center"/>
              <w:rPr>
                <w:rFonts w:ascii="Calibri" w:hAnsi="Calibri" w:eastAsia="Calibri" w:cs=""/>
                <w:kern w:val="0"/>
                <w:sz w:val="24"/>
                <w:szCs w:val="22"/>
                <w:lang w:val="en-US" w:eastAsia="en-US" w:bidi="ar-SA"/>
              </w:rPr>
            </w:pPr>
            <w:r>
              <w:rPr>
                <w:rFonts w:eastAsia="Calibri" w:cs="Calibri" w:cstheme="minorHAnsi"/>
                <w:kern w:val="0"/>
                <w:sz w:val="24"/>
                <w:szCs w:val="22"/>
                <w:lang w:val="en-US" w:eastAsia="en-US" w:bidi="ar-SA"/>
              </w:rPr>
              <w:t>9/5</w:t>
            </w:r>
          </w:p>
        </w:tc>
      </w:tr>
      <w:tr>
        <w:trPr/>
        <w:tc>
          <w:tcPr>
            <w:tcW w:w="3974" w:type="dxa"/>
            <w:tcBorders/>
          </w:tcPr>
          <w:p>
            <w:pPr>
              <w:pStyle w:val="Normal"/>
              <w:widowControl w:val="false"/>
              <w:suppressAutoHyphens w:val="true"/>
              <w:spacing w:lineRule="auto" w:line="240" w:before="0" w:after="0"/>
              <w:ind w:hanging="360" w:left="720"/>
              <w:jc w:val="left"/>
              <w:rPr>
                <w:rFonts w:cs="Calibri" w:cstheme="minorHAnsi"/>
              </w:rPr>
            </w:pPr>
            <w:r>
              <w:rPr>
                <w:rFonts w:eastAsia="Calibri" w:cs="Calibri" w:cstheme="minorHAnsi"/>
                <w:kern w:val="0"/>
                <w:sz w:val="24"/>
                <w:szCs w:val="22"/>
                <w:lang w:val="en-US" w:eastAsia="en-US" w:bidi="ar-SA"/>
              </w:rPr>
              <w:t>13.1, 13.2</w:t>
            </w:r>
          </w:p>
        </w:tc>
        <w:tc>
          <w:tcPr>
            <w:tcW w:w="2610" w:type="dxa"/>
            <w:tcBorders/>
          </w:tcPr>
          <w:p>
            <w:pPr>
              <w:pStyle w:val="Normal"/>
              <w:widowControl w:val="false"/>
              <w:suppressAutoHyphens w:val="true"/>
              <w:spacing w:lineRule="auto" w:line="240" w:before="0" w:after="0"/>
              <w:ind w:hanging="360" w:left="720"/>
              <w:jc w:val="center"/>
              <w:rPr>
                <w:rFonts w:ascii="Calibri" w:hAnsi="Calibri" w:eastAsia="Calibri" w:cs=""/>
                <w:kern w:val="0"/>
                <w:sz w:val="24"/>
                <w:szCs w:val="22"/>
                <w:lang w:val="en-US" w:eastAsia="en-US" w:bidi="ar-SA"/>
              </w:rPr>
            </w:pPr>
            <w:r>
              <w:rPr>
                <w:rFonts w:eastAsia="Calibri" w:cs="Calibri" w:cstheme="minorHAnsi"/>
                <w:kern w:val="0"/>
                <w:sz w:val="24"/>
                <w:szCs w:val="22"/>
                <w:lang w:val="en-US" w:eastAsia="en-US" w:bidi="ar-SA"/>
              </w:rPr>
              <w:t>9/12</w:t>
            </w:r>
          </w:p>
        </w:tc>
      </w:tr>
      <w:tr>
        <w:trPr/>
        <w:tc>
          <w:tcPr>
            <w:tcW w:w="3974" w:type="dxa"/>
            <w:tcBorders/>
          </w:tcPr>
          <w:p>
            <w:pPr>
              <w:pStyle w:val="Normal"/>
              <w:widowControl w:val="false"/>
              <w:suppressAutoHyphens w:val="true"/>
              <w:spacing w:lineRule="auto" w:line="240" w:before="0" w:after="0"/>
              <w:ind w:hanging="360" w:left="720"/>
              <w:jc w:val="left"/>
              <w:rPr>
                <w:rFonts w:ascii="Calibri" w:hAnsi="Calibri" w:eastAsia="Calibri" w:cs=""/>
                <w:b w:val="false"/>
                <w:bCs w:val="false"/>
                <w:kern w:val="0"/>
                <w:sz w:val="24"/>
                <w:szCs w:val="22"/>
                <w:lang w:val="en-US" w:eastAsia="en-US" w:bidi="ar-SA"/>
              </w:rPr>
            </w:pPr>
            <w:r>
              <w:rPr>
                <w:rFonts w:eastAsia="Calibri" w:cs="Calibri" w:cstheme="minorHAnsi"/>
                <w:b w:val="false"/>
                <w:bCs w:val="false"/>
                <w:kern w:val="0"/>
                <w:sz w:val="28"/>
                <w:szCs w:val="28"/>
                <w:lang w:val="en-US" w:eastAsia="en-US" w:bidi="ar-SA"/>
              </w:rPr>
              <w:t>13.3</w:t>
            </w:r>
          </w:p>
        </w:tc>
        <w:tc>
          <w:tcPr>
            <w:tcW w:w="2610" w:type="dxa"/>
            <w:tcBorders/>
          </w:tcPr>
          <w:p>
            <w:pPr>
              <w:pStyle w:val="Normal"/>
              <w:widowControl w:val="false"/>
              <w:suppressAutoHyphens w:val="true"/>
              <w:spacing w:lineRule="auto" w:line="240" w:before="0" w:after="0"/>
              <w:ind w:hanging="360" w:left="720"/>
              <w:jc w:val="center"/>
              <w:rPr>
                <w:rFonts w:ascii="Calibri" w:hAnsi="Calibri" w:eastAsia="Calibri" w:cs=""/>
                <w:kern w:val="0"/>
                <w:sz w:val="24"/>
                <w:szCs w:val="22"/>
                <w:lang w:val="en-US" w:eastAsia="en-US" w:bidi="ar-SA"/>
              </w:rPr>
            </w:pPr>
            <w:r>
              <w:rPr>
                <w:rFonts w:eastAsia="Calibri" w:cs="Calibri" w:cstheme="minorHAnsi"/>
                <w:kern w:val="0"/>
                <w:sz w:val="24"/>
                <w:szCs w:val="22"/>
                <w:lang w:val="en-US" w:eastAsia="en-US" w:bidi="ar-SA"/>
              </w:rPr>
              <w:t>9/19</w:t>
            </w:r>
          </w:p>
        </w:tc>
      </w:tr>
      <w:tr>
        <w:trPr/>
        <w:tc>
          <w:tcPr>
            <w:tcW w:w="3974" w:type="dxa"/>
            <w:tcBorders/>
          </w:tcPr>
          <w:p>
            <w:pPr>
              <w:pStyle w:val="Normal"/>
              <w:widowControl w:val="false"/>
              <w:suppressAutoHyphens w:val="true"/>
              <w:spacing w:lineRule="auto" w:line="240" w:before="0" w:after="0"/>
              <w:ind w:hanging="360" w:left="720"/>
              <w:jc w:val="left"/>
              <w:rPr>
                <w:rFonts w:cs="Calibri" w:cstheme="minorHAnsi"/>
              </w:rPr>
            </w:pPr>
            <w:r>
              <w:rPr>
                <w:rFonts w:eastAsia="Calibri" w:cs="Calibri" w:cstheme="minorHAnsi"/>
                <w:kern w:val="0"/>
                <w:sz w:val="24"/>
                <w:szCs w:val="22"/>
                <w:lang w:val="en-US" w:eastAsia="en-US" w:bidi="ar-SA"/>
              </w:rPr>
              <w:t>14.1, 14.2</w:t>
            </w:r>
          </w:p>
        </w:tc>
        <w:tc>
          <w:tcPr>
            <w:tcW w:w="2610" w:type="dxa"/>
            <w:tcBorders/>
          </w:tcPr>
          <w:p>
            <w:pPr>
              <w:pStyle w:val="Normal"/>
              <w:widowControl w:val="false"/>
              <w:suppressAutoHyphens w:val="true"/>
              <w:spacing w:lineRule="auto" w:line="240" w:before="0" w:after="0"/>
              <w:ind w:hanging="360" w:left="720"/>
              <w:jc w:val="center"/>
              <w:rPr>
                <w:rFonts w:ascii="Calibri" w:hAnsi="Calibri" w:eastAsia="Calibri" w:cs=""/>
                <w:kern w:val="0"/>
                <w:sz w:val="24"/>
                <w:szCs w:val="22"/>
                <w:lang w:val="en-US" w:eastAsia="en-US" w:bidi="ar-SA"/>
              </w:rPr>
            </w:pPr>
            <w:r>
              <w:rPr>
                <w:rFonts w:eastAsia="Calibri" w:cs="Calibri" w:cstheme="minorHAnsi"/>
                <w:kern w:val="0"/>
                <w:sz w:val="24"/>
                <w:szCs w:val="22"/>
                <w:lang w:val="en-US" w:eastAsia="en-US" w:bidi="ar-SA"/>
              </w:rPr>
              <w:t>9/26</w:t>
            </w:r>
          </w:p>
        </w:tc>
      </w:tr>
      <w:tr>
        <w:trPr/>
        <w:tc>
          <w:tcPr>
            <w:tcW w:w="3974" w:type="dxa"/>
            <w:tcBorders/>
          </w:tcPr>
          <w:p>
            <w:pPr>
              <w:pStyle w:val="Normal"/>
              <w:widowControl w:val="false"/>
              <w:suppressAutoHyphens w:val="true"/>
              <w:spacing w:lineRule="auto" w:line="240" w:before="0" w:after="0"/>
              <w:ind w:hanging="360" w:left="720"/>
              <w:jc w:val="left"/>
              <w:rPr>
                <w:rFonts w:cs="Calibri" w:cstheme="minorHAnsi"/>
              </w:rPr>
            </w:pPr>
            <w:r>
              <w:rPr>
                <w:rFonts w:eastAsia="Calibri" w:cs="Calibri" w:cstheme="minorHAnsi"/>
                <w:kern w:val="0"/>
                <w:sz w:val="24"/>
                <w:szCs w:val="22"/>
                <w:lang w:val="en-US" w:eastAsia="en-US" w:bidi="ar-SA"/>
              </w:rPr>
              <w:t>14.3</w:t>
            </w:r>
          </w:p>
        </w:tc>
        <w:tc>
          <w:tcPr>
            <w:tcW w:w="2610" w:type="dxa"/>
            <w:tcBorders/>
          </w:tcPr>
          <w:p>
            <w:pPr>
              <w:pStyle w:val="Normal"/>
              <w:widowControl w:val="false"/>
              <w:suppressAutoHyphens w:val="true"/>
              <w:spacing w:lineRule="auto" w:line="240" w:before="0" w:after="0"/>
              <w:ind w:hanging="360" w:left="720"/>
              <w:jc w:val="center"/>
              <w:rPr>
                <w:rFonts w:ascii="Calibri" w:hAnsi="Calibri" w:eastAsia="Calibri" w:cs=""/>
                <w:kern w:val="0"/>
                <w:sz w:val="24"/>
                <w:szCs w:val="22"/>
                <w:lang w:val="en-US" w:eastAsia="en-US" w:bidi="ar-SA"/>
              </w:rPr>
            </w:pPr>
            <w:r>
              <w:rPr>
                <w:rFonts w:eastAsia="Calibri" w:cs="Calibri" w:cstheme="minorHAnsi"/>
                <w:kern w:val="0"/>
                <w:sz w:val="24"/>
                <w:szCs w:val="22"/>
                <w:lang w:val="en-US" w:eastAsia="en-US" w:bidi="ar-SA"/>
              </w:rPr>
              <w:t>10/3</w:t>
            </w:r>
          </w:p>
        </w:tc>
      </w:tr>
      <w:tr>
        <w:trPr/>
        <w:tc>
          <w:tcPr>
            <w:tcW w:w="3974" w:type="dxa"/>
            <w:tcBorders/>
          </w:tcPr>
          <w:p>
            <w:pPr>
              <w:pStyle w:val="Normal"/>
              <w:widowControl w:val="false"/>
              <w:suppressAutoHyphens w:val="true"/>
              <w:spacing w:lineRule="auto" w:line="240" w:before="0" w:after="0"/>
              <w:ind w:hanging="360" w:left="720"/>
              <w:jc w:val="left"/>
              <w:rPr>
                <w:rFonts w:ascii="Calibri" w:hAnsi="Calibri" w:eastAsia="Calibri" w:cs=""/>
                <w:b/>
                <w:bCs/>
                <w:kern w:val="0"/>
                <w:sz w:val="24"/>
                <w:szCs w:val="22"/>
                <w:lang w:val="en-US" w:eastAsia="en-US" w:bidi="ar-SA"/>
              </w:rPr>
            </w:pPr>
            <w:r>
              <w:rPr>
                <w:rFonts w:eastAsia="Calibri" w:cs="Calibri" w:cstheme="minorHAnsi"/>
                <w:b/>
                <w:bCs/>
                <w:kern w:val="0"/>
                <w:sz w:val="24"/>
                <w:szCs w:val="22"/>
                <w:lang w:val="en-US" w:eastAsia="en-US" w:bidi="ar-SA"/>
              </w:rPr>
              <w:t>Midterm 1</w:t>
            </w:r>
          </w:p>
        </w:tc>
        <w:tc>
          <w:tcPr>
            <w:tcW w:w="2610" w:type="dxa"/>
            <w:tcBorders/>
          </w:tcPr>
          <w:p>
            <w:pPr>
              <w:pStyle w:val="Normal"/>
              <w:widowControl w:val="false"/>
              <w:suppressAutoHyphens w:val="true"/>
              <w:spacing w:lineRule="auto" w:line="240" w:before="0" w:after="0"/>
              <w:ind w:hanging="360" w:left="720"/>
              <w:jc w:val="center"/>
              <w:rPr>
                <w:rFonts w:ascii="Calibri" w:hAnsi="Calibri" w:eastAsia="Calibri" w:cs=""/>
                <w:kern w:val="0"/>
                <w:sz w:val="24"/>
                <w:szCs w:val="22"/>
                <w:lang w:val="en-US" w:eastAsia="en-US" w:bidi="ar-SA"/>
              </w:rPr>
            </w:pPr>
            <w:r>
              <w:rPr>
                <w:rFonts w:eastAsia="Calibri" w:cs="Calibri" w:cstheme="minorHAnsi"/>
                <w:kern w:val="0"/>
                <w:sz w:val="24"/>
                <w:szCs w:val="22"/>
                <w:lang w:val="en-US" w:eastAsia="en-US" w:bidi="ar-SA"/>
              </w:rPr>
              <w:t>10/3</w:t>
            </w:r>
          </w:p>
        </w:tc>
      </w:tr>
      <w:tr>
        <w:trPr/>
        <w:tc>
          <w:tcPr>
            <w:tcW w:w="3974" w:type="dxa"/>
            <w:tcBorders/>
          </w:tcPr>
          <w:p>
            <w:pPr>
              <w:pStyle w:val="Normal"/>
              <w:widowControl w:val="false"/>
              <w:suppressAutoHyphens w:val="true"/>
              <w:spacing w:lineRule="auto" w:line="240" w:before="0" w:after="0"/>
              <w:ind w:hanging="360" w:left="720"/>
              <w:jc w:val="left"/>
              <w:rPr>
                <w:rFonts w:eastAsia="Calibri" w:cs="Calibri" w:cstheme="minorHAnsi"/>
              </w:rPr>
            </w:pPr>
            <w:r>
              <w:rPr>
                <w:rFonts w:eastAsia="Calibri" w:cs="Calibri" w:cstheme="minorHAnsi"/>
                <w:kern w:val="0"/>
                <w:sz w:val="24"/>
                <w:szCs w:val="22"/>
                <w:lang w:val="en-US" w:eastAsia="en-US" w:bidi="ar-SA"/>
              </w:rPr>
              <w:t>14.4, 14.5</w:t>
            </w:r>
          </w:p>
        </w:tc>
        <w:tc>
          <w:tcPr>
            <w:tcW w:w="2610" w:type="dxa"/>
            <w:tcBorders/>
          </w:tcPr>
          <w:p>
            <w:pPr>
              <w:pStyle w:val="Normal"/>
              <w:widowControl w:val="false"/>
              <w:suppressAutoHyphens w:val="true"/>
              <w:spacing w:lineRule="auto" w:line="240" w:before="0" w:after="0"/>
              <w:ind w:hanging="360" w:left="720"/>
              <w:jc w:val="center"/>
              <w:rPr>
                <w:rFonts w:ascii="Calibri" w:hAnsi="Calibri" w:eastAsia="Calibri" w:cs=""/>
                <w:kern w:val="0"/>
                <w:sz w:val="24"/>
                <w:szCs w:val="22"/>
                <w:lang w:val="en-US" w:eastAsia="en-US" w:bidi="ar-SA"/>
              </w:rPr>
            </w:pPr>
            <w:r>
              <w:rPr>
                <w:rFonts w:eastAsia="Calibri" w:cs="Calibri" w:cstheme="minorHAnsi"/>
                <w:kern w:val="0"/>
                <w:sz w:val="24"/>
                <w:szCs w:val="22"/>
                <w:lang w:val="en-US" w:eastAsia="en-US" w:bidi="ar-SA"/>
              </w:rPr>
              <w:t>10/10</w:t>
            </w:r>
          </w:p>
        </w:tc>
      </w:tr>
      <w:tr>
        <w:trPr/>
        <w:tc>
          <w:tcPr>
            <w:tcW w:w="3974" w:type="dxa"/>
            <w:tcBorders>
              <w:top w:val="nil"/>
            </w:tcBorders>
          </w:tcPr>
          <w:p>
            <w:pPr>
              <w:pStyle w:val="Normal"/>
              <w:widowControl w:val="false"/>
              <w:suppressAutoHyphens w:val="true"/>
              <w:spacing w:lineRule="auto" w:line="240" w:before="0" w:after="0"/>
              <w:ind w:hanging="360" w:left="720"/>
              <w:jc w:val="left"/>
              <w:rPr>
                <w:rFonts w:cs="Calibri" w:cstheme="minorHAnsi"/>
              </w:rPr>
            </w:pPr>
            <w:r>
              <w:rPr>
                <w:rFonts w:eastAsia="Calibri" w:cs="Calibri" w:cstheme="minorHAnsi"/>
                <w:kern w:val="0"/>
                <w:sz w:val="24"/>
                <w:szCs w:val="22"/>
                <w:lang w:val="en-US" w:eastAsia="en-US" w:bidi="ar-SA"/>
              </w:rPr>
              <w:t>14.6, 14.7</w:t>
            </w:r>
          </w:p>
        </w:tc>
        <w:tc>
          <w:tcPr>
            <w:tcW w:w="2610" w:type="dxa"/>
            <w:tcBorders>
              <w:top w:val="nil"/>
            </w:tcBorders>
          </w:tcPr>
          <w:p>
            <w:pPr>
              <w:pStyle w:val="Normal"/>
              <w:widowControl w:val="false"/>
              <w:suppressAutoHyphens w:val="true"/>
              <w:spacing w:lineRule="auto" w:line="240" w:before="0" w:after="0"/>
              <w:ind w:hanging="360" w:left="720"/>
              <w:jc w:val="center"/>
              <w:rPr>
                <w:rFonts w:ascii="Calibri" w:hAnsi="Calibri" w:eastAsia="Calibri" w:cs=""/>
                <w:kern w:val="0"/>
                <w:sz w:val="24"/>
                <w:szCs w:val="22"/>
                <w:lang w:val="en-US" w:eastAsia="en-US" w:bidi="ar-SA"/>
              </w:rPr>
            </w:pPr>
            <w:r>
              <w:rPr>
                <w:rFonts w:eastAsia="Calibri" w:cs="Calibri" w:cstheme="minorHAnsi"/>
                <w:kern w:val="0"/>
                <w:sz w:val="24"/>
                <w:szCs w:val="22"/>
                <w:lang w:val="en-US" w:eastAsia="en-US" w:bidi="ar-SA"/>
              </w:rPr>
              <w:t>10/24</w:t>
            </w:r>
          </w:p>
        </w:tc>
      </w:tr>
      <w:tr>
        <w:trPr/>
        <w:tc>
          <w:tcPr>
            <w:tcW w:w="3974" w:type="dxa"/>
            <w:tcBorders/>
          </w:tcPr>
          <w:p>
            <w:pPr>
              <w:pStyle w:val="Normal"/>
              <w:widowControl w:val="false"/>
              <w:suppressAutoHyphens w:val="true"/>
              <w:spacing w:lineRule="auto" w:line="240" w:before="0" w:after="0"/>
              <w:ind w:hanging="360" w:left="720"/>
              <w:jc w:val="left"/>
              <w:rPr>
                <w:rFonts w:eastAsia="Calibri" w:cs="Calibri" w:cstheme="minorHAnsi"/>
              </w:rPr>
            </w:pPr>
            <w:r>
              <w:rPr>
                <w:rFonts w:eastAsia="Calibri" w:cs="Calibri" w:cstheme="minorHAnsi"/>
                <w:kern w:val="0"/>
                <w:sz w:val="24"/>
                <w:szCs w:val="22"/>
                <w:lang w:val="en-US" w:eastAsia="en-US" w:bidi="ar-SA"/>
              </w:rPr>
              <w:t>14.8</w:t>
            </w:r>
          </w:p>
        </w:tc>
        <w:tc>
          <w:tcPr>
            <w:tcW w:w="2610" w:type="dxa"/>
            <w:tcBorders/>
          </w:tcPr>
          <w:p>
            <w:pPr>
              <w:pStyle w:val="Normal"/>
              <w:widowControl w:val="false"/>
              <w:suppressAutoHyphens w:val="true"/>
              <w:spacing w:lineRule="auto" w:line="240" w:before="0" w:after="0"/>
              <w:ind w:hanging="360" w:left="720"/>
              <w:jc w:val="center"/>
              <w:rPr>
                <w:rFonts w:ascii="Calibri" w:hAnsi="Calibri" w:eastAsia="Calibri" w:cs=""/>
                <w:kern w:val="0"/>
                <w:sz w:val="24"/>
                <w:szCs w:val="22"/>
                <w:lang w:val="en-US" w:eastAsia="en-US" w:bidi="ar-SA"/>
              </w:rPr>
            </w:pPr>
            <w:r>
              <w:rPr>
                <w:rFonts w:eastAsia="Calibri" w:cs="Calibri" w:cstheme="minorHAnsi"/>
                <w:kern w:val="0"/>
                <w:sz w:val="24"/>
                <w:szCs w:val="22"/>
                <w:lang w:val="en-US" w:eastAsia="en-US" w:bidi="ar-SA"/>
              </w:rPr>
              <w:t>10/31</w:t>
            </w:r>
          </w:p>
        </w:tc>
      </w:tr>
      <w:tr>
        <w:trPr/>
        <w:tc>
          <w:tcPr>
            <w:tcW w:w="3974" w:type="dxa"/>
            <w:tcBorders/>
          </w:tcPr>
          <w:p>
            <w:pPr>
              <w:pStyle w:val="Normal"/>
              <w:widowControl w:val="false"/>
              <w:suppressAutoHyphens w:val="true"/>
              <w:spacing w:lineRule="auto" w:line="240" w:before="0" w:after="0"/>
              <w:ind w:hanging="360" w:left="720"/>
              <w:jc w:val="left"/>
              <w:rPr>
                <w:rFonts w:eastAsia="Calibri" w:cs="Calibri" w:cstheme="minorHAnsi"/>
              </w:rPr>
            </w:pPr>
            <w:r>
              <w:rPr>
                <w:rFonts w:eastAsia="Calibri" w:cs="Calibri" w:cstheme="minorHAnsi"/>
                <w:kern w:val="0"/>
                <w:sz w:val="24"/>
                <w:szCs w:val="22"/>
                <w:lang w:val="en-US" w:eastAsia="en-US" w:bidi="ar-SA"/>
              </w:rPr>
              <w:t>15.1, 15.2</w:t>
            </w:r>
          </w:p>
        </w:tc>
        <w:tc>
          <w:tcPr>
            <w:tcW w:w="2610" w:type="dxa"/>
            <w:tcBorders/>
          </w:tcPr>
          <w:p>
            <w:pPr>
              <w:pStyle w:val="Normal"/>
              <w:widowControl w:val="false"/>
              <w:suppressAutoHyphens w:val="true"/>
              <w:spacing w:lineRule="auto" w:line="240" w:before="0" w:after="0"/>
              <w:ind w:hanging="360" w:left="720"/>
              <w:jc w:val="center"/>
              <w:rPr>
                <w:rFonts w:ascii="Calibri" w:hAnsi="Calibri" w:eastAsia="Calibri" w:cs=""/>
                <w:kern w:val="0"/>
                <w:sz w:val="24"/>
                <w:szCs w:val="22"/>
                <w:lang w:val="en-US" w:eastAsia="en-US" w:bidi="ar-SA"/>
              </w:rPr>
            </w:pPr>
            <w:r>
              <w:rPr>
                <w:rFonts w:eastAsia="Calibri" w:cs="Calibri" w:cstheme="minorHAnsi"/>
                <w:kern w:val="0"/>
                <w:sz w:val="24"/>
                <w:szCs w:val="22"/>
                <w:lang w:val="en-US" w:eastAsia="en-US" w:bidi="ar-SA"/>
              </w:rPr>
              <w:t>11/7</w:t>
            </w:r>
          </w:p>
        </w:tc>
      </w:tr>
      <w:tr>
        <w:trPr/>
        <w:tc>
          <w:tcPr>
            <w:tcW w:w="3974" w:type="dxa"/>
            <w:tcBorders/>
          </w:tcPr>
          <w:p>
            <w:pPr>
              <w:pStyle w:val="Normal"/>
              <w:widowControl w:val="false"/>
              <w:suppressAutoHyphens w:val="true"/>
              <w:spacing w:lineRule="auto" w:line="240" w:before="0" w:after="0"/>
              <w:ind w:hanging="360" w:left="720"/>
              <w:jc w:val="left"/>
              <w:rPr>
                <w:rFonts w:cs="Calibri" w:cstheme="minorHAnsi"/>
                <w:b/>
                <w:bCs/>
              </w:rPr>
            </w:pPr>
            <w:r>
              <w:rPr>
                <w:rFonts w:eastAsia="Calibri" w:cs="Calibri" w:cstheme="minorHAnsi"/>
                <w:b/>
                <w:bCs/>
                <w:kern w:val="0"/>
                <w:sz w:val="24"/>
                <w:szCs w:val="22"/>
                <w:lang w:val="en-US" w:eastAsia="en-US" w:bidi="ar-SA"/>
              </w:rPr>
              <w:t>Midterm 2</w:t>
            </w:r>
          </w:p>
        </w:tc>
        <w:tc>
          <w:tcPr>
            <w:tcW w:w="2610" w:type="dxa"/>
            <w:tcBorders/>
          </w:tcPr>
          <w:p>
            <w:pPr>
              <w:pStyle w:val="Normal"/>
              <w:widowControl w:val="false"/>
              <w:suppressAutoHyphens w:val="true"/>
              <w:spacing w:lineRule="auto" w:line="240" w:before="0" w:after="0"/>
              <w:ind w:hanging="360" w:left="720"/>
              <w:jc w:val="center"/>
              <w:rPr>
                <w:rFonts w:ascii="Calibri" w:hAnsi="Calibri" w:eastAsia="Calibri" w:cs=""/>
                <w:kern w:val="0"/>
                <w:sz w:val="24"/>
                <w:szCs w:val="22"/>
                <w:lang w:val="en-US" w:eastAsia="en-US" w:bidi="ar-SA"/>
              </w:rPr>
            </w:pPr>
            <w:r>
              <w:rPr>
                <w:rFonts w:eastAsia="Calibri" w:cs="Calibri" w:cstheme="minorHAnsi"/>
                <w:kern w:val="0"/>
                <w:sz w:val="24"/>
                <w:szCs w:val="22"/>
                <w:shd w:fill="FFFFFF" w:val="clear"/>
                <w:lang w:val="en-US" w:eastAsia="en-US" w:bidi="ar-SA"/>
              </w:rPr>
              <w:t>11/7</w:t>
            </w:r>
          </w:p>
        </w:tc>
      </w:tr>
      <w:tr>
        <w:trPr/>
        <w:tc>
          <w:tcPr>
            <w:tcW w:w="3974" w:type="dxa"/>
            <w:tcBorders/>
          </w:tcPr>
          <w:p>
            <w:pPr>
              <w:pStyle w:val="Normal"/>
              <w:widowControl w:val="false"/>
              <w:suppressAutoHyphens w:val="true"/>
              <w:spacing w:lineRule="auto" w:line="240" w:before="0" w:after="0"/>
              <w:ind w:hanging="360" w:left="720"/>
              <w:jc w:val="left"/>
              <w:rPr>
                <w:rFonts w:cs="Calibri" w:cstheme="minorHAnsi"/>
              </w:rPr>
            </w:pPr>
            <w:r>
              <w:rPr>
                <w:rFonts w:eastAsia="Calibri" w:cs="Calibri" w:ascii="Arial" w:hAnsi="Arial" w:cstheme="minorHAnsi"/>
                <w:kern w:val="0"/>
                <w:sz w:val="24"/>
                <w:szCs w:val="22"/>
                <w:lang w:val="en-US" w:eastAsia="en-US" w:bidi="ar-SA"/>
              </w:rPr>
              <w:t>15.3, 15.6</w:t>
            </w:r>
          </w:p>
        </w:tc>
        <w:tc>
          <w:tcPr>
            <w:tcW w:w="2610" w:type="dxa"/>
            <w:tcBorders/>
          </w:tcPr>
          <w:p>
            <w:pPr>
              <w:pStyle w:val="Normal"/>
              <w:widowControl w:val="false"/>
              <w:suppressAutoHyphens w:val="true"/>
              <w:spacing w:lineRule="auto" w:line="240" w:before="0" w:after="0"/>
              <w:ind w:hanging="360" w:left="720"/>
              <w:jc w:val="center"/>
              <w:rPr>
                <w:rFonts w:ascii="Calibri" w:hAnsi="Calibri" w:eastAsia="Calibri" w:cs=""/>
                <w:kern w:val="0"/>
                <w:sz w:val="24"/>
                <w:szCs w:val="22"/>
                <w:lang w:val="en-US" w:eastAsia="en-US" w:bidi="ar-SA"/>
              </w:rPr>
            </w:pPr>
            <w:r>
              <w:rPr>
                <w:rFonts w:eastAsia="Calibri" w:cs="Calibri" w:cstheme="minorHAnsi"/>
                <w:kern w:val="0"/>
                <w:sz w:val="24"/>
                <w:szCs w:val="22"/>
                <w:shd w:fill="FFFFFF" w:val="clear"/>
                <w:lang w:val="en-US" w:eastAsia="en-US" w:bidi="ar-SA"/>
              </w:rPr>
              <w:t>11/6</w:t>
            </w:r>
          </w:p>
        </w:tc>
      </w:tr>
      <w:tr>
        <w:trPr/>
        <w:tc>
          <w:tcPr>
            <w:tcW w:w="3974" w:type="dxa"/>
            <w:tcBorders/>
          </w:tcPr>
          <w:p>
            <w:pPr>
              <w:pStyle w:val="Normal"/>
              <w:widowControl w:val="false"/>
              <w:suppressAutoHyphens w:val="true"/>
              <w:spacing w:lineRule="auto" w:line="240" w:before="0" w:after="0"/>
              <w:ind w:hanging="360" w:left="720"/>
              <w:jc w:val="left"/>
              <w:rPr>
                <w:sz w:val="26"/>
                <w:szCs w:val="26"/>
              </w:rPr>
            </w:pPr>
            <w:r>
              <w:rPr>
                <w:rFonts w:eastAsia="Calibri" w:cs="Calibri" w:cstheme="minorHAnsi"/>
                <w:b w:val="false"/>
                <w:bCs w:val="false"/>
                <w:kern w:val="0"/>
                <w:sz w:val="26"/>
                <w:szCs w:val="26"/>
                <w:lang w:val="en-US" w:eastAsia="en-US" w:bidi="ar-SA"/>
              </w:rPr>
              <w:t>15.7</w:t>
            </w:r>
          </w:p>
        </w:tc>
        <w:tc>
          <w:tcPr>
            <w:tcW w:w="2610" w:type="dxa"/>
            <w:tcBorders/>
          </w:tcPr>
          <w:p>
            <w:pPr>
              <w:pStyle w:val="Normal"/>
              <w:widowControl w:val="false"/>
              <w:suppressAutoHyphens w:val="true"/>
              <w:spacing w:lineRule="auto" w:line="240" w:before="0" w:after="0"/>
              <w:ind w:hanging="360" w:left="720"/>
              <w:jc w:val="center"/>
              <w:rPr>
                <w:rFonts w:ascii="Calibri" w:hAnsi="Calibri" w:eastAsia="Calibri" w:cs=""/>
                <w:kern w:val="0"/>
                <w:sz w:val="24"/>
                <w:szCs w:val="22"/>
                <w:lang w:val="en-US" w:eastAsia="en-US" w:bidi="ar-SA"/>
              </w:rPr>
            </w:pPr>
            <w:r>
              <w:rPr>
                <w:rFonts w:eastAsia="Calibri" w:cs="Calibri" w:cstheme="minorHAnsi"/>
                <w:kern w:val="0"/>
                <w:sz w:val="24"/>
                <w:szCs w:val="22"/>
                <w:shd w:fill="FFFFFF" w:val="clear"/>
                <w:lang w:val="en-US" w:eastAsia="en-US" w:bidi="ar-SA"/>
              </w:rPr>
              <w:t>11/21</w:t>
            </w:r>
          </w:p>
        </w:tc>
      </w:tr>
      <w:tr>
        <w:trPr/>
        <w:tc>
          <w:tcPr>
            <w:tcW w:w="3974" w:type="dxa"/>
            <w:tcBorders>
              <w:top w:val="nil"/>
            </w:tcBorders>
          </w:tcPr>
          <w:p>
            <w:pPr>
              <w:pStyle w:val="Normal"/>
              <w:widowControl w:val="false"/>
              <w:suppressAutoHyphens w:val="true"/>
              <w:spacing w:lineRule="auto" w:line="240" w:before="0" w:after="0"/>
              <w:ind w:hanging="360" w:left="720"/>
              <w:jc w:val="left"/>
              <w:rPr>
                <w:rFonts w:ascii="Calibri" w:hAnsi="Calibri" w:eastAsia="Calibri" w:cs=""/>
                <w:b w:val="false"/>
                <w:bCs w:val="false"/>
                <w:kern w:val="0"/>
                <w:sz w:val="24"/>
                <w:szCs w:val="22"/>
                <w:lang w:val="en-US" w:eastAsia="en-US" w:bidi="ar-SA"/>
              </w:rPr>
            </w:pPr>
            <w:r>
              <w:rPr>
                <w:rFonts w:eastAsia="Calibri" w:cs=""/>
                <w:b w:val="false"/>
                <w:bCs w:val="false"/>
                <w:kern w:val="0"/>
                <w:sz w:val="24"/>
                <w:szCs w:val="22"/>
                <w:lang w:val="en-US" w:eastAsia="en-US" w:bidi="ar-SA"/>
              </w:rPr>
              <w:t>15.8</w:t>
            </w:r>
          </w:p>
        </w:tc>
        <w:tc>
          <w:tcPr>
            <w:tcW w:w="2610" w:type="dxa"/>
            <w:tcBorders>
              <w:top w:val="nil"/>
            </w:tcBorders>
          </w:tcPr>
          <w:p>
            <w:pPr>
              <w:pStyle w:val="Normal"/>
              <w:widowControl w:val="false"/>
              <w:suppressAutoHyphens w:val="true"/>
              <w:spacing w:lineRule="auto" w:line="240" w:before="0" w:after="0"/>
              <w:ind w:hanging="360" w:left="720"/>
              <w:jc w:val="center"/>
              <w:rPr>
                <w:rFonts w:ascii="Calibri" w:hAnsi="Calibri" w:eastAsia="Calibri" w:cs=""/>
                <w:kern w:val="0"/>
                <w:sz w:val="24"/>
                <w:szCs w:val="22"/>
                <w:lang w:val="en-US" w:eastAsia="en-US" w:bidi="ar-SA"/>
              </w:rPr>
            </w:pPr>
            <w:r>
              <w:rPr>
                <w:rFonts w:eastAsia="Calibri" w:cs=""/>
                <w:kern w:val="0"/>
                <w:sz w:val="24"/>
                <w:szCs w:val="22"/>
                <w:lang w:val="en-US" w:eastAsia="en-US" w:bidi="ar-SA"/>
              </w:rPr>
              <w:t>11/15</w:t>
            </w:r>
          </w:p>
        </w:tc>
      </w:tr>
      <w:tr>
        <w:trPr/>
        <w:tc>
          <w:tcPr>
            <w:tcW w:w="3974" w:type="dxa"/>
            <w:tcBorders>
              <w:top w:val="nil"/>
            </w:tcBorders>
          </w:tcPr>
          <w:p>
            <w:pPr>
              <w:pStyle w:val="Normal"/>
              <w:widowControl w:val="false"/>
              <w:suppressAutoHyphens w:val="true"/>
              <w:spacing w:lineRule="auto" w:line="240" w:before="0" w:after="0"/>
              <w:ind w:hanging="360" w:left="720"/>
              <w:jc w:val="left"/>
              <w:rPr>
                <w:rFonts w:ascii="Calibri" w:hAnsi="Calibri" w:eastAsia="Calibri" w:cs=""/>
                <w:b w:val="false"/>
                <w:bCs w:val="false"/>
                <w:kern w:val="0"/>
                <w:sz w:val="24"/>
                <w:szCs w:val="22"/>
                <w:lang w:val="en-US" w:eastAsia="en-US" w:bidi="ar-SA"/>
              </w:rPr>
            </w:pPr>
            <w:r>
              <w:rPr>
                <w:rFonts w:eastAsia="Calibri" w:cs=""/>
                <w:b w:val="false"/>
                <w:bCs w:val="false"/>
                <w:kern w:val="0"/>
                <w:sz w:val="24"/>
                <w:szCs w:val="22"/>
                <w:lang w:val="en-US" w:eastAsia="en-US" w:bidi="ar-SA"/>
              </w:rPr>
              <w:t>15.9</w:t>
            </w:r>
          </w:p>
        </w:tc>
        <w:tc>
          <w:tcPr>
            <w:tcW w:w="2610" w:type="dxa"/>
            <w:tcBorders>
              <w:top w:val="nil"/>
            </w:tcBorders>
          </w:tcPr>
          <w:p>
            <w:pPr>
              <w:pStyle w:val="Normal"/>
              <w:widowControl w:val="false"/>
              <w:suppressAutoHyphens w:val="true"/>
              <w:spacing w:lineRule="auto" w:line="240" w:before="0" w:after="0"/>
              <w:ind w:hanging="360" w:left="720"/>
              <w:jc w:val="center"/>
              <w:rPr>
                <w:rFonts w:ascii="Calibri" w:hAnsi="Calibri" w:eastAsia="Calibri" w:cs=""/>
                <w:kern w:val="0"/>
                <w:sz w:val="24"/>
                <w:szCs w:val="22"/>
                <w:lang w:val="en-US" w:eastAsia="en-US" w:bidi="ar-SA"/>
              </w:rPr>
            </w:pPr>
            <w:r>
              <w:rPr>
                <w:rFonts w:eastAsia="Calibri" w:cs=""/>
                <w:kern w:val="0"/>
                <w:sz w:val="24"/>
                <w:szCs w:val="22"/>
                <w:lang w:val="en-US" w:eastAsia="en-US" w:bidi="ar-SA"/>
              </w:rPr>
              <w:t>11/2</w:t>
            </w:r>
            <w:r>
              <w:rPr>
                <w:rFonts w:eastAsia="Calibri" w:cs=""/>
                <w:kern w:val="0"/>
                <w:sz w:val="24"/>
                <w:szCs w:val="22"/>
                <w:lang w:val="en-US" w:eastAsia="en-US" w:bidi="ar-SA"/>
              </w:rPr>
              <w:t>1</w:t>
            </w:r>
          </w:p>
        </w:tc>
      </w:tr>
      <w:tr>
        <w:trPr/>
        <w:tc>
          <w:tcPr>
            <w:tcW w:w="3974" w:type="dxa"/>
            <w:tcBorders>
              <w:top w:val="nil"/>
            </w:tcBorders>
          </w:tcPr>
          <w:p>
            <w:pPr>
              <w:pStyle w:val="Normal"/>
              <w:widowControl w:val="false"/>
              <w:suppressAutoHyphens w:val="true"/>
              <w:spacing w:lineRule="auto" w:line="240" w:before="0" w:after="0"/>
              <w:ind w:hanging="360" w:left="720"/>
              <w:jc w:val="left"/>
              <w:rPr>
                <w:rFonts w:ascii="Calibri" w:hAnsi="Calibri" w:eastAsia="Calibri" w:cs=""/>
                <w:b/>
                <w:bCs/>
                <w:kern w:val="0"/>
                <w:sz w:val="24"/>
                <w:szCs w:val="22"/>
                <w:lang w:val="en-US" w:eastAsia="en-US" w:bidi="ar-SA"/>
              </w:rPr>
            </w:pPr>
            <w:r>
              <w:rPr>
                <w:rFonts w:eastAsia="Calibri" w:cs=""/>
                <w:b/>
                <w:bCs/>
                <w:kern w:val="0"/>
                <w:sz w:val="24"/>
                <w:szCs w:val="22"/>
                <w:lang w:val="en-US" w:eastAsia="en-US" w:bidi="ar-SA"/>
              </w:rPr>
              <w:t>Midterm 3</w:t>
            </w:r>
          </w:p>
        </w:tc>
        <w:tc>
          <w:tcPr>
            <w:tcW w:w="2610" w:type="dxa"/>
            <w:tcBorders>
              <w:top w:val="nil"/>
            </w:tcBorders>
          </w:tcPr>
          <w:p>
            <w:pPr>
              <w:pStyle w:val="Normal"/>
              <w:widowControl w:val="false"/>
              <w:suppressAutoHyphens w:val="true"/>
              <w:spacing w:lineRule="auto" w:line="240" w:before="0" w:after="0"/>
              <w:ind w:hanging="360" w:left="720"/>
              <w:jc w:val="center"/>
              <w:rPr>
                <w:rFonts w:ascii="Calibri" w:hAnsi="Calibri" w:eastAsia="Calibri" w:cs=""/>
                <w:kern w:val="0"/>
                <w:sz w:val="24"/>
                <w:szCs w:val="22"/>
                <w:lang w:val="en-US" w:eastAsia="en-US" w:bidi="ar-SA"/>
              </w:rPr>
            </w:pPr>
            <w:r>
              <w:rPr>
                <w:rFonts w:eastAsia="Calibri" w:cs=""/>
                <w:kern w:val="0"/>
                <w:sz w:val="24"/>
                <w:szCs w:val="22"/>
                <w:lang w:val="en-US" w:eastAsia="en-US" w:bidi="ar-SA"/>
              </w:rPr>
              <w:t>11/21</w:t>
            </w:r>
          </w:p>
        </w:tc>
      </w:tr>
      <w:tr>
        <w:trPr/>
        <w:tc>
          <w:tcPr>
            <w:tcW w:w="3974" w:type="dxa"/>
            <w:tcBorders>
              <w:top w:val="nil"/>
            </w:tcBorders>
          </w:tcPr>
          <w:p>
            <w:pPr>
              <w:pStyle w:val="Normal"/>
              <w:widowControl w:val="false"/>
              <w:suppressAutoHyphens w:val="true"/>
              <w:spacing w:lineRule="auto" w:line="240" w:before="0" w:after="0"/>
              <w:ind w:hanging="360" w:left="720"/>
              <w:jc w:val="left"/>
              <w:rPr>
                <w:rFonts w:ascii="Calibri" w:hAnsi="Calibri" w:eastAsia="Calibri" w:cs=""/>
                <w:b w:val="false"/>
                <w:bCs w:val="false"/>
                <w:kern w:val="0"/>
                <w:sz w:val="24"/>
                <w:szCs w:val="22"/>
                <w:lang w:val="en-US" w:eastAsia="en-US" w:bidi="ar-SA"/>
              </w:rPr>
            </w:pPr>
            <w:r>
              <w:rPr>
                <w:rFonts w:eastAsia="Calibri" w:cs=""/>
                <w:b w:val="false"/>
                <w:bCs w:val="false"/>
                <w:kern w:val="0"/>
                <w:sz w:val="24"/>
                <w:szCs w:val="22"/>
                <w:lang w:val="en-US" w:eastAsia="en-US" w:bidi="ar-SA"/>
              </w:rPr>
              <w:t>16.1, 16.2</w:t>
            </w:r>
          </w:p>
        </w:tc>
        <w:tc>
          <w:tcPr>
            <w:tcW w:w="2610" w:type="dxa"/>
            <w:tcBorders>
              <w:top w:val="nil"/>
            </w:tcBorders>
          </w:tcPr>
          <w:p>
            <w:pPr>
              <w:pStyle w:val="Normal"/>
              <w:widowControl w:val="false"/>
              <w:suppressAutoHyphens w:val="true"/>
              <w:spacing w:lineRule="auto" w:line="240" w:before="0" w:after="0"/>
              <w:ind w:hanging="360" w:left="720"/>
              <w:jc w:val="center"/>
              <w:rPr>
                <w:rFonts w:ascii="Calibri" w:hAnsi="Calibri" w:eastAsia="Calibri" w:cs=""/>
                <w:kern w:val="0"/>
                <w:sz w:val="24"/>
                <w:szCs w:val="22"/>
                <w:lang w:val="en-US" w:eastAsia="en-US" w:bidi="ar-SA"/>
              </w:rPr>
            </w:pPr>
            <w:r>
              <w:rPr>
                <w:rFonts w:eastAsia="Calibri" w:cs=""/>
                <w:kern w:val="0"/>
                <w:sz w:val="24"/>
                <w:szCs w:val="22"/>
                <w:lang w:val="en-US" w:eastAsia="en-US" w:bidi="ar-SA"/>
              </w:rPr>
              <w:t>12/4</w:t>
            </w:r>
          </w:p>
        </w:tc>
      </w:tr>
      <w:tr>
        <w:trPr/>
        <w:tc>
          <w:tcPr>
            <w:tcW w:w="3974" w:type="dxa"/>
            <w:tcBorders>
              <w:top w:val="nil"/>
            </w:tcBorders>
          </w:tcPr>
          <w:p>
            <w:pPr>
              <w:pStyle w:val="Normal"/>
              <w:widowControl w:val="false"/>
              <w:suppressAutoHyphens w:val="true"/>
              <w:spacing w:lineRule="auto" w:line="240" w:before="0" w:after="0"/>
              <w:ind w:hanging="360" w:left="720"/>
              <w:jc w:val="left"/>
              <w:rPr>
                <w:rFonts w:ascii="Calibri" w:hAnsi="Calibri" w:eastAsia="Calibri" w:cs=""/>
                <w:b w:val="false"/>
                <w:bCs w:val="false"/>
                <w:kern w:val="0"/>
                <w:sz w:val="24"/>
                <w:szCs w:val="22"/>
                <w:lang w:val="en-US" w:eastAsia="en-US" w:bidi="ar-SA"/>
              </w:rPr>
            </w:pPr>
            <w:r>
              <w:rPr>
                <w:rFonts w:eastAsia="Calibri" w:cs=""/>
                <w:b w:val="false"/>
                <w:bCs w:val="false"/>
                <w:kern w:val="0"/>
                <w:sz w:val="24"/>
                <w:szCs w:val="22"/>
                <w:lang w:val="en-US" w:eastAsia="en-US" w:bidi="ar-SA"/>
              </w:rPr>
              <w:t>Comprehensive Review</w:t>
            </w:r>
          </w:p>
        </w:tc>
        <w:tc>
          <w:tcPr>
            <w:tcW w:w="2610" w:type="dxa"/>
            <w:tcBorders>
              <w:top w:val="nil"/>
            </w:tcBorders>
          </w:tcPr>
          <w:p>
            <w:pPr>
              <w:pStyle w:val="Normal"/>
              <w:widowControl w:val="false"/>
              <w:suppressAutoHyphens w:val="true"/>
              <w:spacing w:lineRule="auto" w:line="240" w:before="0" w:after="0"/>
              <w:ind w:hanging="360" w:left="720"/>
              <w:jc w:val="center"/>
              <w:rPr>
                <w:rFonts w:ascii="Calibri" w:hAnsi="Calibri" w:eastAsia="Calibri" w:cs=""/>
                <w:kern w:val="0"/>
                <w:sz w:val="24"/>
                <w:szCs w:val="22"/>
                <w:lang w:val="en-US" w:eastAsia="en-US" w:bidi="ar-SA"/>
              </w:rPr>
            </w:pPr>
            <w:r>
              <w:rPr>
                <w:rFonts w:eastAsia="Calibri" w:cs=""/>
                <w:kern w:val="0"/>
                <w:sz w:val="24"/>
                <w:szCs w:val="22"/>
                <w:lang w:val="en-US" w:eastAsia="en-US" w:bidi="ar-SA"/>
              </w:rPr>
              <w:t>12/5</w:t>
            </w:r>
          </w:p>
        </w:tc>
      </w:tr>
      <w:tr>
        <w:trPr>
          <w:trHeight w:val="333" w:hRule="atLeast"/>
        </w:trPr>
        <w:tc>
          <w:tcPr>
            <w:tcW w:w="3974" w:type="dxa"/>
            <w:tcBorders>
              <w:top w:val="nil"/>
            </w:tcBorders>
          </w:tcPr>
          <w:p>
            <w:pPr>
              <w:pStyle w:val="Normal"/>
              <w:widowControl w:val="false"/>
              <w:suppressAutoHyphens w:val="true"/>
              <w:spacing w:lineRule="auto" w:line="240" w:before="0" w:after="0"/>
              <w:ind w:hanging="360" w:left="720"/>
              <w:jc w:val="left"/>
              <w:rPr>
                <w:rFonts w:ascii="Calibri" w:hAnsi="Calibri" w:eastAsia="Calibri" w:cs=""/>
                <w:b/>
                <w:bCs/>
                <w:kern w:val="0"/>
                <w:sz w:val="24"/>
                <w:szCs w:val="22"/>
                <w:lang w:val="en-US" w:eastAsia="en-US" w:bidi="ar-SA"/>
              </w:rPr>
            </w:pPr>
            <w:r>
              <w:rPr>
                <w:rFonts w:eastAsia="Calibri" w:cs=""/>
                <w:b/>
                <w:bCs/>
                <w:kern w:val="0"/>
                <w:sz w:val="24"/>
                <w:szCs w:val="22"/>
                <w:lang w:val="en-US" w:eastAsia="en-US" w:bidi="ar-SA"/>
              </w:rPr>
              <w:t>Final Exam Tuesday</w:t>
            </w:r>
          </w:p>
        </w:tc>
        <w:tc>
          <w:tcPr>
            <w:tcW w:w="2610" w:type="dxa"/>
            <w:tcBorders>
              <w:top w:val="nil"/>
            </w:tcBorders>
          </w:tcPr>
          <w:p>
            <w:pPr>
              <w:pStyle w:val="Normal"/>
              <w:widowControl w:val="false"/>
              <w:suppressAutoHyphens w:val="true"/>
              <w:spacing w:lineRule="auto" w:line="240" w:before="0" w:after="0"/>
              <w:ind w:hanging="360" w:left="720"/>
              <w:jc w:val="center"/>
              <w:rPr>
                <w:rFonts w:ascii="Calibri" w:hAnsi="Calibri" w:eastAsia="Calibri" w:cs=""/>
                <w:kern w:val="0"/>
                <w:sz w:val="24"/>
                <w:szCs w:val="22"/>
                <w:lang w:val="en-US" w:eastAsia="en-US" w:bidi="ar-SA"/>
              </w:rPr>
            </w:pPr>
            <w:r>
              <w:rPr>
                <w:rFonts w:eastAsia="Calibri" w:cs=""/>
                <w:kern w:val="0"/>
                <w:sz w:val="24"/>
                <w:szCs w:val="22"/>
                <w:lang w:val="en-US" w:eastAsia="en-US" w:bidi="ar-SA"/>
              </w:rPr>
              <w:t>12/12</w:t>
            </w:r>
          </w:p>
        </w:tc>
      </w:tr>
    </w:tbl>
    <w:p>
      <w:pPr>
        <w:pStyle w:val="Normal"/>
        <w:rPr/>
      </w:pPr>
      <w:r>
        <w:rPr/>
      </w:r>
    </w:p>
    <w:p>
      <w:pPr>
        <w:pStyle w:val="Heading2"/>
        <w:rPr/>
      </w:pPr>
      <w:r>
        <w:rPr/>
        <w:t>Grading</w:t>
      </w:r>
    </w:p>
    <w:tbl>
      <w:tblPr>
        <w:tblW w:w="6540" w:type="dxa"/>
        <w:jc w:val="left"/>
        <w:tblInd w:w="985" w:type="dxa"/>
        <w:tblLayout w:type="fixed"/>
        <w:tblCellMar>
          <w:top w:w="55" w:type="dxa"/>
          <w:left w:w="55" w:type="dxa"/>
          <w:bottom w:w="55" w:type="dxa"/>
          <w:right w:w="55" w:type="dxa"/>
        </w:tblCellMar>
        <w:tblLook w:val="04a0" w:noHBand="0" w:noVBand="1" w:firstColumn="1" w:lastRow="0" w:lastColumn="0" w:firstRow="1"/>
      </w:tblPr>
      <w:tblGrid>
        <w:gridCol w:w="3239"/>
        <w:gridCol w:w="3300"/>
      </w:tblGrid>
      <w:tr>
        <w:trPr/>
        <w:tc>
          <w:tcPr>
            <w:tcW w:w="3239" w:type="dxa"/>
            <w:tcBorders>
              <w:top w:val="single" w:sz="4" w:space="0" w:color="000000"/>
              <w:left w:val="single" w:sz="4" w:space="0" w:color="000000"/>
              <w:bottom w:val="single" w:sz="4" w:space="0" w:color="000000"/>
            </w:tcBorders>
          </w:tcPr>
          <w:p>
            <w:pPr>
              <w:pStyle w:val="TableContents"/>
              <w:widowControl w:val="false"/>
              <w:suppressLineNumbers/>
              <w:spacing w:before="0" w:after="160"/>
              <w:rPr/>
            </w:pPr>
            <w:r>
              <w:rPr/>
              <w:t>Midterms</w:t>
            </w:r>
          </w:p>
        </w:tc>
        <w:tc>
          <w:tcPr>
            <w:tcW w:w="3300" w:type="dxa"/>
            <w:tcBorders>
              <w:top w:val="single" w:sz="4" w:space="0" w:color="000000"/>
              <w:left w:val="single" w:sz="4" w:space="0" w:color="000000"/>
              <w:bottom w:val="single" w:sz="4" w:space="0" w:color="000000"/>
              <w:right w:val="single" w:sz="4" w:space="0" w:color="000000"/>
            </w:tcBorders>
          </w:tcPr>
          <w:p>
            <w:pPr>
              <w:pStyle w:val="TableContents"/>
              <w:widowControl w:val="false"/>
              <w:suppressLineNumbers/>
              <w:spacing w:before="0" w:after="160"/>
              <w:rPr/>
            </w:pPr>
            <w:r>
              <w:rPr/>
              <w:t xml:space="preserve"> </w:t>
            </w:r>
            <w:r>
              <w:rPr/>
              <w:t>3 x 20 (lowest dropped)</w:t>
            </w:r>
          </w:p>
        </w:tc>
      </w:tr>
      <w:tr>
        <w:trPr/>
        <w:tc>
          <w:tcPr>
            <w:tcW w:w="3239" w:type="dxa"/>
            <w:tcBorders>
              <w:left w:val="single" w:sz="4" w:space="0" w:color="000000"/>
              <w:bottom w:val="single" w:sz="4" w:space="0" w:color="000000"/>
            </w:tcBorders>
          </w:tcPr>
          <w:p>
            <w:pPr>
              <w:pStyle w:val="TableContents"/>
              <w:widowControl w:val="false"/>
              <w:suppressLineNumbers/>
              <w:spacing w:before="0" w:after="160"/>
              <w:rPr/>
            </w:pPr>
            <w:r>
              <w:rPr/>
              <w:t>Homework+Quizzes</w:t>
            </w:r>
          </w:p>
        </w:tc>
        <w:tc>
          <w:tcPr>
            <w:tcW w:w="3300" w:type="dxa"/>
            <w:tcBorders>
              <w:left w:val="single" w:sz="4" w:space="0" w:color="000000"/>
              <w:bottom w:val="single" w:sz="4" w:space="0" w:color="000000"/>
              <w:right w:val="single" w:sz="4" w:space="0" w:color="000000"/>
            </w:tcBorders>
          </w:tcPr>
          <w:p>
            <w:pPr>
              <w:pStyle w:val="TableContents"/>
              <w:widowControl w:val="false"/>
              <w:suppressLineNumbers/>
              <w:spacing w:before="0" w:after="160"/>
              <w:rPr/>
            </w:pPr>
            <w:r>
              <w:rPr/>
              <w:t>20</w:t>
            </w:r>
          </w:p>
        </w:tc>
      </w:tr>
      <w:tr>
        <w:trPr/>
        <w:tc>
          <w:tcPr>
            <w:tcW w:w="3239" w:type="dxa"/>
            <w:tcBorders>
              <w:left w:val="single" w:sz="4" w:space="0" w:color="000000"/>
              <w:bottom w:val="single" w:sz="4" w:space="0" w:color="000000"/>
            </w:tcBorders>
          </w:tcPr>
          <w:p>
            <w:pPr>
              <w:pStyle w:val="TableContents"/>
              <w:widowControl w:val="false"/>
              <w:suppressLineNumbers/>
              <w:spacing w:before="0" w:after="160"/>
              <w:rPr/>
            </w:pPr>
            <w:r>
              <w:rPr/>
              <w:t>Final</w:t>
            </w:r>
          </w:p>
        </w:tc>
        <w:tc>
          <w:tcPr>
            <w:tcW w:w="3300" w:type="dxa"/>
            <w:tcBorders>
              <w:left w:val="single" w:sz="4" w:space="0" w:color="000000"/>
              <w:bottom w:val="single" w:sz="4" w:space="0" w:color="000000"/>
              <w:right w:val="single" w:sz="4" w:space="0" w:color="000000"/>
            </w:tcBorders>
          </w:tcPr>
          <w:p>
            <w:pPr>
              <w:pStyle w:val="TableContents"/>
              <w:widowControl w:val="false"/>
              <w:suppressLineNumbers/>
              <w:spacing w:before="0" w:after="160"/>
              <w:rPr/>
            </w:pPr>
            <w:r>
              <w:rPr/>
              <w:t>40</w:t>
            </w:r>
          </w:p>
        </w:tc>
      </w:tr>
      <w:tr>
        <w:trPr/>
        <w:tc>
          <w:tcPr>
            <w:tcW w:w="3239" w:type="dxa"/>
            <w:tcBorders>
              <w:left w:val="single" w:sz="4" w:space="0" w:color="000000"/>
              <w:bottom w:val="single" w:sz="4" w:space="0" w:color="000000"/>
            </w:tcBorders>
          </w:tcPr>
          <w:p>
            <w:pPr>
              <w:pStyle w:val="TableContents"/>
              <w:widowControl w:val="false"/>
              <w:suppressLineNumbers/>
              <w:spacing w:before="0" w:after="160"/>
              <w:rPr/>
            </w:pPr>
            <w:r>
              <w:rPr/>
              <w:t>Total after dropping midterm</w:t>
            </w:r>
          </w:p>
        </w:tc>
        <w:tc>
          <w:tcPr>
            <w:tcW w:w="3300" w:type="dxa"/>
            <w:tcBorders>
              <w:left w:val="single" w:sz="4" w:space="0" w:color="000000"/>
              <w:bottom w:val="single" w:sz="4" w:space="0" w:color="000000"/>
              <w:right w:val="single" w:sz="4" w:space="0" w:color="000000"/>
            </w:tcBorders>
          </w:tcPr>
          <w:p>
            <w:pPr>
              <w:pStyle w:val="TableContents"/>
              <w:widowControl w:val="false"/>
              <w:suppressLineNumbers/>
              <w:spacing w:before="0" w:after="160"/>
              <w:rPr/>
            </w:pPr>
            <w:r>
              <w:rPr/>
              <w:t>100</w:t>
            </w:r>
          </w:p>
        </w:tc>
      </w:tr>
    </w:tbl>
    <w:p>
      <w:pPr>
        <w:pStyle w:val="Normal"/>
        <w:rPr/>
      </w:pPr>
      <w:r>
        <w:rPr/>
      </w:r>
    </w:p>
    <w:p>
      <w:pPr>
        <w:pStyle w:val="Normal"/>
        <w:jc w:val="center"/>
        <w:rPr/>
      </w:pPr>
      <w:r>
        <w:rPr>
          <w:b/>
          <w:bCs/>
        </w:rPr>
        <w:t>Grades:</w:t>
      </w:r>
      <w:r>
        <w:rPr/>
        <w:t xml:space="preserve"> A:90–100 % B:80–89.9%  C:70–79.9%  D:60–69.9% F:below 60%</w:t>
      </w:r>
    </w:p>
    <w:p>
      <w:pPr>
        <w:pStyle w:val="Heading2"/>
        <w:rPr/>
      </w:pPr>
      <w:r>
        <w:rPr/>
        <w:t>Course Policies</w:t>
      </w:r>
    </w:p>
    <w:p>
      <w:pPr>
        <w:pStyle w:val="Heading3"/>
        <w:rPr/>
      </w:pPr>
      <w:r>
        <w:rPr/>
        <w:t xml:space="preserve">Examination Policy </w:t>
      </w:r>
    </w:p>
    <w:p>
      <w:pPr>
        <w:pStyle w:val="Normal"/>
        <w:spacing w:lineRule="auto" w:line="240" w:before="180" w:after="180"/>
        <w:rPr/>
      </w:pPr>
      <w:r>
        <w:rPr/>
        <w:t xml:space="preserve">There will be 3 midterm exams and a comprehensive final exam administered with </w:t>
      </w:r>
      <w:r>
        <w:rPr>
          <w:b/>
          <w:bCs/>
        </w:rPr>
        <w:t>Respondus</w:t>
      </w:r>
      <w:r>
        <w:rPr/>
        <w:t xml:space="preserve"> and </w:t>
      </w:r>
      <w:r>
        <w:rPr>
          <w:b/>
          <w:bCs/>
        </w:rPr>
        <w:t>Lockdown Browser</w:t>
      </w:r>
      <w:r>
        <w:rPr/>
        <w:t xml:space="preserve">. No notes or assistance are allowed during exams. After the exam is graded, you have 48 hours to appeal your grade. You may ask me to go over exam problems with you. </w:t>
      </w:r>
    </w:p>
    <w:p>
      <w:pPr>
        <w:pStyle w:val="Normal"/>
        <w:spacing w:lineRule="auto" w:line="240" w:before="180" w:after="180"/>
        <w:rPr>
          <w:rFonts w:eastAsia="Times New Roman" w:cs="Calibri" w:cstheme="minorHAnsi"/>
          <w:color w:val="3D3D3D"/>
          <w:lang w:eastAsia="ja-JP"/>
        </w:rPr>
      </w:pPr>
      <w:r>
        <w:rPr>
          <w:b/>
          <w:bCs/>
        </w:rPr>
        <w:t>Your lowest  midterm exam score will be dropped.</w:t>
      </w:r>
      <w:r>
        <w:rPr/>
        <w:t xml:space="preserve">  </w:t>
      </w:r>
    </w:p>
    <w:p>
      <w:pPr>
        <w:pStyle w:val="Normal"/>
        <w:spacing w:lineRule="auto" w:line="240" w:before="180" w:after="180"/>
        <w:rPr/>
      </w:pPr>
      <w:r>
        <w:rPr>
          <w:b/>
          <w:bCs/>
        </w:rPr>
        <w:t>Make-up Policy:</w:t>
      </w:r>
      <w:r>
        <w:rPr/>
        <w:t xml:space="preserve"> Make up exams will NOT be given for any reason after the fact. I drop the lowest exam score to cover emergencies which may arise unexpectedly. An exam may be taken prior to the scheduled date if you have a conflict with another obligation and can provide documentation. I require notification a week in advance for this accommodation. </w:t>
      </w:r>
    </w:p>
    <w:p>
      <w:pPr>
        <w:pStyle w:val="Normal"/>
        <w:spacing w:lineRule="auto" w:line="240" w:before="180" w:after="180"/>
        <w:rPr/>
      </w:pPr>
      <w:r>
        <w:rPr>
          <w:b/>
          <w:bCs/>
        </w:rPr>
        <w:t>Academic Dishonesty:</w:t>
      </w:r>
      <w:r>
        <w:rPr/>
        <w:t xml:space="preserve"> Cheating will not be tolerated. Any student caught cheating will receive a “0” on the assignment and a report will be filed with the Office of Academic Integrity. </w:t>
      </w:r>
    </w:p>
    <w:p>
      <w:pPr>
        <w:pStyle w:val="Normal"/>
        <w:spacing w:lineRule="auto" w:line="240" w:before="180" w:after="180"/>
        <w:rPr>
          <w:rFonts w:eastAsia="Times New Roman" w:cs="Calibri" w:cstheme="minorHAnsi"/>
          <w:lang w:eastAsia="ja-JP"/>
        </w:rPr>
      </w:pPr>
      <w:r>
        <w:rPr>
          <w:rFonts w:eastAsia="Times New Roman" w:cs="Calibri" w:cstheme="minorHAnsi"/>
          <w:lang w:eastAsia="ja-JP"/>
        </w:rPr>
        <w:t xml:space="preserve">I reserve the right to test you on problems that are generalizations of material covered in the class and/or in the text. In short, the problems may not look exactly like the ones in the book. Everything that is covered in the course content is fair game for exam material. You will be responsible for everything unless I advise you to the contrary. </w:t>
      </w:r>
      <w:r>
        <w:rPr>
          <w:u w:val="single"/>
        </w:rPr>
        <w:t xml:space="preserve"> </w:t>
      </w:r>
    </w:p>
    <w:p>
      <w:pPr>
        <w:pStyle w:val="Heading3"/>
        <w:rPr/>
      </w:pPr>
      <w:r>
        <w:rPr/>
        <w:t>Homework Policies</w:t>
      </w:r>
    </w:p>
    <w:p>
      <w:pPr>
        <w:pStyle w:val="Normal"/>
        <w:rPr/>
      </w:pPr>
      <w:r>
        <w:rPr/>
        <w:t>All homework assignments are given via WebAssign.</w:t>
      </w:r>
    </w:p>
    <w:p>
      <w:pPr>
        <w:pStyle w:val="ListParagraph"/>
        <w:numPr>
          <w:ilvl w:val="0"/>
          <w:numId w:val="6"/>
        </w:numPr>
        <w:rPr/>
      </w:pPr>
      <w:r>
        <w:rPr/>
        <w:t xml:space="preserve">When you log in, you will be able to see due dates. </w:t>
      </w:r>
    </w:p>
    <w:p>
      <w:pPr>
        <w:pStyle w:val="ListParagraph"/>
        <w:numPr>
          <w:ilvl w:val="0"/>
          <w:numId w:val="6"/>
        </w:numPr>
        <w:rPr/>
      </w:pPr>
      <w:r>
        <w:rPr/>
        <w:t>You have multiple</w:t>
      </w:r>
      <w:r>
        <w:rPr>
          <w:b/>
          <w:bCs/>
        </w:rPr>
        <w:t xml:space="preserve"> submissions</w:t>
      </w:r>
      <w:r>
        <w:rPr/>
        <w:t xml:space="preserve"> for most questions. Your last submission will count as your final answer. </w:t>
      </w:r>
    </w:p>
    <w:p>
      <w:pPr>
        <w:pStyle w:val="ListParagraph"/>
        <w:rPr/>
      </w:pPr>
      <w:r>
        <w:rPr/>
        <w:t>If you use a help option (Read it, Watch it and Talk to a Tutor), it will count as 1 submission.</w:t>
      </w:r>
    </w:p>
    <w:p>
      <w:pPr>
        <w:pStyle w:val="ListParagraph"/>
        <w:numPr>
          <w:ilvl w:val="0"/>
          <w:numId w:val="6"/>
        </w:numPr>
        <w:rPr/>
      </w:pPr>
      <w:r>
        <w:rPr/>
        <w:t>You can save your work without using a submission.</w:t>
      </w:r>
    </w:p>
    <w:p>
      <w:pPr>
        <w:pStyle w:val="ListParagraph"/>
        <w:numPr>
          <w:ilvl w:val="0"/>
          <w:numId w:val="6"/>
        </w:numPr>
        <w:rPr/>
      </w:pPr>
      <w:r>
        <w:rPr/>
        <w:t xml:space="preserve">Some exercises will use randomization. In other words, it’s possible that every student will have slightly different questions with accordingly different answers. </w:t>
      </w:r>
    </w:p>
    <w:p>
      <w:pPr>
        <w:pStyle w:val="ListParagraph"/>
        <w:numPr>
          <w:ilvl w:val="0"/>
          <w:numId w:val="6"/>
        </w:numPr>
        <w:rPr/>
      </w:pPr>
      <w:r>
        <w:rPr/>
        <w:t>Requests for manual extensions will NOT be granted.</w:t>
      </w:r>
      <w:r>
        <w:rPr>
          <w:b/>
        </w:rPr>
        <w:t xml:space="preserve"> </w:t>
      </w:r>
      <w:r>
        <w:rPr>
          <w:rFonts w:cs="Arial"/>
          <w:iCs/>
        </w:rPr>
        <w:t xml:space="preserve"> </w:t>
      </w:r>
    </w:p>
    <w:p>
      <w:pPr>
        <w:pStyle w:val="ListParagraph"/>
        <w:numPr>
          <w:ilvl w:val="0"/>
          <w:numId w:val="6"/>
        </w:numPr>
        <w:rPr/>
      </w:pPr>
      <w:r>
        <w:rPr>
          <w:rFonts w:cs="Arial"/>
          <w:iCs/>
        </w:rPr>
        <w:t>Quizzes will be given with Respondus LockDown Browser and will be counted as homework</w:t>
      </w:r>
    </w:p>
    <w:p>
      <w:pPr>
        <w:pStyle w:val="Normal"/>
        <w:rPr>
          <w:rFonts w:cs="Arial"/>
          <w:b/>
          <w:iCs/>
        </w:rPr>
      </w:pPr>
      <w:r>
        <w:rPr>
          <w:rStyle w:val="Heading3Char"/>
        </w:rPr>
        <w:t>Late Work</w:t>
      </w:r>
      <w:r>
        <w:rPr>
          <w:rFonts w:cs="Arial"/>
          <w:b/>
          <w:iCs/>
        </w:rPr>
        <w:t xml:space="preserve"> </w:t>
      </w:r>
    </w:p>
    <w:p>
      <w:pPr>
        <w:pStyle w:val="Normal"/>
        <w:rPr>
          <w:b/>
          <w:bCs/>
        </w:rPr>
      </w:pPr>
      <w:r>
        <w:rPr/>
        <w:t xml:space="preserve">The best way to ensure you pass this course is to work consistently throughout the semester. In mathematics courses topics always build one upon the other making it very difficult to catch up later if you fall behind. If you need to pass this course because it is your last semester, your financial aid depends on it, your scholarship depends on it, or your parent/guardian has threatened you in some manner then do yourself a favor and start studying right away. </w:t>
      </w:r>
      <w:r>
        <w:rPr>
          <w:b/>
        </w:rPr>
        <w:t xml:space="preserve">I will not entertain any pleas for extra credit or offers to do additional work at the end of the semester. </w:t>
      </w:r>
      <w:r>
        <w:rPr>
          <w:b/>
          <w:bCs/>
        </w:rPr>
        <w:t>Late work will not be accepted in this course regardless of the reason.</w:t>
      </w:r>
    </w:p>
    <w:p>
      <w:pPr>
        <w:pStyle w:val="Normal"/>
        <w:rPr>
          <w:b/>
        </w:rPr>
      </w:pPr>
      <w:r>
        <w:rPr>
          <w:b/>
        </w:rPr>
      </w:r>
    </w:p>
    <w:p>
      <w:pPr>
        <w:pStyle w:val="Normal"/>
        <w:keepNext w:val="true"/>
        <w:keepLines/>
        <w:numPr>
          <w:ilvl w:val="0"/>
          <w:numId w:val="0"/>
        </w:numPr>
        <w:spacing w:before="120" w:after="120"/>
        <w:ind w:hanging="0" w:left="0"/>
        <w:outlineLvl w:val="1"/>
        <w:rPr>
          <w:rFonts w:ascii="Calibri Light" w:hAnsi="Calibri Light" w:eastAsia="" w:cs="" w:asciiTheme="majorHAnsi" w:cstheme="majorBidi" w:eastAsiaTheme="majorEastAsia" w:hAnsiTheme="majorHAnsi"/>
          <w:b/>
          <w:bCs/>
          <w:color w:themeColor="accent1" w:themeShade="bf" w:val="2E74B5"/>
          <w:sz w:val="26"/>
          <w:szCs w:val="26"/>
        </w:rPr>
      </w:pPr>
      <w:r>
        <w:rPr>
          <w:rFonts w:eastAsia="" w:cs="" w:ascii="Calibri Light" w:hAnsi="Calibri Light" w:asciiTheme="majorHAnsi" w:cstheme="majorBidi" w:eastAsiaTheme="majorEastAsia" w:hAnsiTheme="majorHAnsi"/>
          <w:b/>
          <w:bCs/>
          <w:color w:themeColor="accent1" w:themeShade="bf" w:val="2E74B5"/>
          <w:sz w:val="26"/>
          <w:szCs w:val="26"/>
        </w:rPr>
        <w:t>Getting Help</w:t>
      </w:r>
    </w:p>
    <w:p>
      <w:pPr>
        <w:pStyle w:val="Normal"/>
        <w:keepNext w:val="true"/>
        <w:keepLines/>
        <w:numPr>
          <w:ilvl w:val="0"/>
          <w:numId w:val="0"/>
        </w:numPr>
        <w:spacing w:before="0" w:after="0"/>
        <w:ind w:hanging="0" w:left="0"/>
        <w:outlineLvl w:val="2"/>
        <w:rPr>
          <w:rFonts w:ascii="Calibri Light" w:hAnsi="Calibri Light" w:eastAsia="" w:cs="" w:asciiTheme="majorHAnsi" w:cstheme="majorBidi" w:eastAsiaTheme="majorEastAsia" w:hAnsiTheme="majorHAnsi"/>
          <w:b/>
          <w:bCs/>
          <w:color w:themeColor="accent1" w:themeShade="7f" w:val="1F4D78"/>
          <w:sz w:val="24"/>
          <w:szCs w:val="24"/>
        </w:rPr>
      </w:pPr>
      <w:r>
        <w:rPr>
          <w:rFonts w:eastAsia="" w:cs="" w:ascii="Calibri Light" w:hAnsi="Calibri Light" w:asciiTheme="majorHAnsi" w:cstheme="majorBidi" w:eastAsiaTheme="majorEastAsia" w:hAnsiTheme="majorHAnsi"/>
          <w:b/>
          <w:bCs/>
          <w:color w:themeColor="accent1" w:themeShade="7f" w:val="1F4D78"/>
          <w:sz w:val="24"/>
          <w:szCs w:val="24"/>
        </w:rPr>
        <w:t>Technical Assistance</w:t>
      </w:r>
    </w:p>
    <w:p>
      <w:pPr>
        <w:pStyle w:val="Normal"/>
        <w:widowControl w:val="false"/>
        <w:spacing w:lineRule="auto" w:line="240" w:before="0" w:after="240"/>
        <w:ind w:right="147"/>
        <w:rPr>
          <w:rFonts w:ascii="Calibri" w:hAnsi="Calibri" w:eastAsia="Times New Roman" w:cs="Calibri"/>
        </w:rPr>
      </w:pPr>
      <w:r>
        <w:rPr>
          <w:rFonts w:eastAsia="Times New Roman" w:cs="Calibri"/>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pPr>
        <w:pStyle w:val="Normal"/>
        <w:spacing w:before="0" w:after="0"/>
        <w:rPr/>
      </w:pPr>
      <w:r>
        <w:rPr>
          <w:b/>
        </w:rPr>
        <w:t>UIT Help Desk</w:t>
      </w:r>
      <w:r>
        <w:rPr/>
        <w:t xml:space="preserve">: </w:t>
      </w:r>
      <w:hyperlink r:id="rId7">
        <w:r>
          <w:rPr>
            <w:rStyle w:val="Style5"/>
            <w:color w:themeColor="hyperlink" w:val="0563C1"/>
            <w:u w:val="single"/>
          </w:rPr>
          <w:t>UIT Student Help Desk site</w:t>
        </w:r>
      </w:hyperlink>
      <w:r>
        <w:rPr/>
        <w:t xml:space="preserve"> (http://www.unt.edu/helpdesk/index.htm</w:t>
      </w:r>
      <w:r>
        <w:rPr>
          <w:color w:themeColor="hyperlink" w:val="0563C1"/>
          <w:u w:val="single"/>
        </w:rPr>
        <w:t>)</w:t>
      </w:r>
    </w:p>
    <w:p>
      <w:pPr>
        <w:pStyle w:val="Normal"/>
        <w:spacing w:before="0" w:after="0"/>
        <w:rPr/>
      </w:pPr>
      <w:r>
        <w:rPr>
          <w:rFonts w:cs="Calibri"/>
          <w:b/>
        </w:rPr>
        <w:t>Email</w:t>
      </w:r>
      <w:r>
        <w:rPr>
          <w:rFonts w:cs="Calibri"/>
        </w:rPr>
        <w:t xml:space="preserve">: </w:t>
      </w:r>
      <w:hyperlink r:id="rId8">
        <w:r>
          <w:rPr>
            <w:rStyle w:val="Style5"/>
            <w:rFonts w:cs="Calibri"/>
            <w:color w:themeColor="hyperlink" w:val="0563C1"/>
            <w:u w:val="single"/>
          </w:rPr>
          <w:t>helpdesk@unt.edu</w:t>
        </w:r>
      </w:hyperlink>
      <w:r>
        <w:rPr>
          <w:rFonts w:cs="Calibri"/>
        </w:rPr>
        <w:t xml:space="preserve">     </w:t>
      </w:r>
    </w:p>
    <w:p>
      <w:pPr>
        <w:pStyle w:val="Normal"/>
        <w:widowControl w:val="false"/>
        <w:spacing w:lineRule="auto" w:line="240" w:before="0" w:after="0"/>
        <w:ind w:right="6649"/>
        <w:rPr>
          <w:rFonts w:ascii="Calibri" w:hAnsi="Calibri" w:eastAsia="Times New Roman" w:cs="Calibri"/>
        </w:rPr>
      </w:pPr>
      <w:r>
        <w:rPr>
          <w:rFonts w:eastAsia="Times New Roman" w:cs="Calibri"/>
          <w:b/>
        </w:rPr>
        <w:t>Phone</w:t>
      </w:r>
      <w:r>
        <w:rPr>
          <w:rFonts w:eastAsia="Times New Roman" w:cs="Calibri"/>
        </w:rPr>
        <w:t>: 940-565-2324</w:t>
      </w:r>
    </w:p>
    <w:p>
      <w:pPr>
        <w:pStyle w:val="Normal"/>
        <w:widowControl w:val="false"/>
        <w:spacing w:lineRule="auto" w:line="240" w:before="0" w:after="0"/>
        <w:rPr>
          <w:rFonts w:ascii="Calibri" w:hAnsi="Calibri" w:eastAsia="Times New Roman" w:cs="Calibri"/>
        </w:rPr>
      </w:pPr>
      <w:r>
        <w:rPr>
          <w:rFonts w:eastAsia="Times New Roman" w:cs="Calibri"/>
          <w:b/>
        </w:rPr>
        <w:t>In Person</w:t>
      </w:r>
      <w:r>
        <w:rPr>
          <w:rFonts w:eastAsia="Times New Roman" w:cs="Calibri"/>
        </w:rPr>
        <w:t>: Sage Hall, Room 130</w:t>
      </w:r>
    </w:p>
    <w:p>
      <w:pPr>
        <w:pStyle w:val="Normal"/>
        <w:widowControl w:val="false"/>
        <w:spacing w:lineRule="auto" w:line="240" w:before="0" w:after="0"/>
        <w:ind w:right="147"/>
        <w:rPr>
          <w:rFonts w:ascii="Calibri" w:hAnsi="Calibri" w:eastAsia="Times New Roman" w:cs="Calibri"/>
        </w:rPr>
      </w:pPr>
      <w:r>
        <w:rPr>
          <w:rFonts w:eastAsia="Times New Roman" w:cs="Calibri"/>
          <w:b/>
        </w:rPr>
        <w:t>Walk-In Availability</w:t>
      </w:r>
      <w:r>
        <w:rPr>
          <w:rFonts w:eastAsia="Times New Roman" w:cs="Calibri"/>
        </w:rPr>
        <w:t>: 8am-9pm</w:t>
      </w:r>
    </w:p>
    <w:p>
      <w:pPr>
        <w:pStyle w:val="Normal"/>
        <w:widowControl w:val="false"/>
        <w:spacing w:lineRule="auto" w:line="240" w:before="0" w:after="0"/>
        <w:ind w:right="147"/>
        <w:rPr>
          <w:rFonts w:ascii="Calibri" w:hAnsi="Calibri" w:eastAsia="Times New Roman" w:cs="Calibri"/>
        </w:rPr>
      </w:pPr>
      <w:r>
        <w:rPr>
          <w:rFonts w:eastAsia="Times New Roman" w:cs="Calibri"/>
          <w:b/>
        </w:rPr>
        <w:t>Telephone Availability</w:t>
      </w:r>
      <w:r>
        <w:rPr>
          <w:rFonts w:eastAsia="Times New Roman" w:cs="Calibri"/>
        </w:rPr>
        <w:t>:</w:t>
      </w:r>
    </w:p>
    <w:p>
      <w:pPr>
        <w:pStyle w:val="Normal"/>
        <w:widowControl w:val="false"/>
        <w:numPr>
          <w:ilvl w:val="0"/>
          <w:numId w:val="3"/>
        </w:numPr>
        <w:spacing w:lineRule="auto" w:line="240" w:before="0" w:after="0"/>
        <w:ind w:hanging="360" w:left="720" w:right="147"/>
        <w:rPr>
          <w:rFonts w:ascii="Calibri" w:hAnsi="Calibri" w:eastAsia="Times New Roman" w:cs="Calibri"/>
        </w:rPr>
      </w:pPr>
      <w:r>
        <w:rPr>
          <w:rFonts w:eastAsia="Times New Roman" w:cs="Calibri"/>
        </w:rPr>
        <w:t>Sunday: noon-midnight</w:t>
      </w:r>
    </w:p>
    <w:p>
      <w:pPr>
        <w:pStyle w:val="Normal"/>
        <w:widowControl w:val="false"/>
        <w:numPr>
          <w:ilvl w:val="0"/>
          <w:numId w:val="3"/>
        </w:numPr>
        <w:spacing w:lineRule="auto" w:line="240" w:before="0" w:after="0"/>
        <w:ind w:hanging="360" w:left="720" w:right="147"/>
        <w:rPr>
          <w:rFonts w:ascii="Calibri" w:hAnsi="Calibri" w:eastAsia="Times New Roman" w:cs="Calibri"/>
        </w:rPr>
      </w:pPr>
      <w:r>
        <w:rPr>
          <w:rFonts w:eastAsia="Times New Roman" w:cs="Calibri"/>
        </w:rPr>
        <w:t>Monday-Thursday: 8am-midnight</w:t>
      </w:r>
    </w:p>
    <w:p>
      <w:pPr>
        <w:pStyle w:val="Normal"/>
        <w:widowControl w:val="false"/>
        <w:numPr>
          <w:ilvl w:val="0"/>
          <w:numId w:val="3"/>
        </w:numPr>
        <w:spacing w:lineRule="auto" w:line="240" w:before="0" w:after="0"/>
        <w:ind w:hanging="360" w:left="720" w:right="147"/>
        <w:rPr>
          <w:rFonts w:ascii="Calibri" w:hAnsi="Calibri" w:eastAsia="Times New Roman" w:cs="Calibri"/>
        </w:rPr>
      </w:pPr>
      <w:r>
        <w:rPr>
          <w:rFonts w:eastAsia="Times New Roman" w:cs="Calibri"/>
        </w:rPr>
        <w:t>Friday: 8am-8pm</w:t>
      </w:r>
    </w:p>
    <w:p>
      <w:pPr>
        <w:pStyle w:val="Normal"/>
        <w:widowControl w:val="false"/>
        <w:numPr>
          <w:ilvl w:val="0"/>
          <w:numId w:val="3"/>
        </w:numPr>
        <w:spacing w:lineRule="auto" w:line="240" w:before="0" w:after="0"/>
        <w:ind w:hanging="360" w:left="720" w:right="147"/>
        <w:rPr>
          <w:rFonts w:ascii="Calibri" w:hAnsi="Calibri" w:eastAsia="Times New Roman" w:cs="Calibri"/>
        </w:rPr>
      </w:pPr>
      <w:r>
        <w:rPr>
          <w:rFonts w:eastAsia="Times New Roman" w:cs="Calibri"/>
        </w:rPr>
        <w:t>Saturday: 9am-5pm</w:t>
      </w:r>
    </w:p>
    <w:p>
      <w:pPr>
        <w:pStyle w:val="Normal"/>
        <w:widowControl w:val="false"/>
        <w:spacing w:lineRule="auto" w:line="240" w:before="0" w:after="0"/>
        <w:ind w:right="147"/>
        <w:rPr>
          <w:rFonts w:ascii="Calibri" w:hAnsi="Calibri" w:eastAsia="Times New Roman" w:cs="Calibri"/>
        </w:rPr>
      </w:pPr>
      <w:r>
        <w:rPr>
          <w:rFonts w:eastAsia="Times New Roman" w:cs="Calibri"/>
          <w:b/>
        </w:rPr>
        <w:t>Laptop Checkout</w:t>
      </w:r>
      <w:r>
        <w:rPr>
          <w:rFonts w:eastAsia="Times New Roman" w:cs="Calibri"/>
        </w:rPr>
        <w:t>: 8am-7pm</w:t>
      </w:r>
    </w:p>
    <w:p>
      <w:pPr>
        <w:pStyle w:val="Normal"/>
        <w:widowControl w:val="false"/>
        <w:spacing w:lineRule="auto" w:line="240" w:before="0" w:after="0"/>
        <w:ind w:right="147"/>
        <w:rPr>
          <w:rFonts w:ascii="Calibri" w:hAnsi="Calibri" w:eastAsia="Times New Roman" w:cs="Calibri"/>
        </w:rPr>
      </w:pPr>
      <w:r>
        <w:rPr>
          <w:rFonts w:eastAsia="Times New Roman" w:cs="Calibri"/>
        </w:rPr>
      </w:r>
    </w:p>
    <w:p>
      <w:pPr>
        <w:pStyle w:val="Normal"/>
        <w:widowControl w:val="false"/>
        <w:spacing w:lineRule="auto" w:line="240" w:before="0" w:after="240"/>
        <w:ind w:right="147"/>
        <w:rPr>
          <w:rFonts w:ascii="Calibri" w:hAnsi="Calibri" w:eastAsia="Times New Roman" w:cs="Calibri"/>
        </w:rPr>
      </w:pPr>
      <w:r>
        <w:rPr>
          <w:rFonts w:eastAsia="Times New Roman" w:cs="Calibri"/>
        </w:rPr>
        <w:t xml:space="preserve">For additional support, visit </w:t>
      </w:r>
      <w:hyperlink r:id="rId9">
        <w:r>
          <w:rPr>
            <w:rStyle w:val="Style5"/>
            <w:rFonts w:eastAsia="" w:cs="Calibri" w:cstheme="minorHAnsi" w:eastAsiaTheme="majorEastAsia"/>
            <w:color w:themeColor="hyperlink" w:val="0563C1"/>
            <w:u w:val="single"/>
          </w:rPr>
          <w:t>Canvas Technical Help</w:t>
        </w:r>
      </w:hyperlink>
      <w:r>
        <w:rPr>
          <w:rFonts w:eastAsia="Times New Roman" w:cs="Calibri" w:cstheme="minorHAnsi"/>
        </w:rPr>
        <w:t xml:space="preserve"> (https://community.canvaslms.com/docs/DOC-10554-4212710328)</w:t>
      </w:r>
    </w:p>
    <w:p>
      <w:pPr>
        <w:pStyle w:val="Normal"/>
        <w:keepNext w:val="true"/>
        <w:keepLines/>
        <w:numPr>
          <w:ilvl w:val="0"/>
          <w:numId w:val="0"/>
        </w:numPr>
        <w:spacing w:before="0" w:after="0"/>
        <w:ind w:hanging="0" w:left="0"/>
        <w:outlineLvl w:val="2"/>
        <w:rPr>
          <w:rFonts w:ascii="Calibri Light" w:hAnsi="Calibri Light" w:eastAsia="" w:cs="" w:asciiTheme="majorHAnsi" w:cstheme="majorBidi" w:eastAsiaTheme="majorEastAsia" w:hAnsiTheme="majorHAnsi"/>
          <w:b/>
          <w:bCs/>
          <w:color w:themeColor="accent1" w:themeShade="bf" w:val="2E74B5"/>
          <w:sz w:val="24"/>
          <w:szCs w:val="24"/>
        </w:rPr>
      </w:pPr>
      <w:r>
        <w:rPr>
          <w:rFonts w:eastAsia="" w:cs="" w:ascii="Calibri Light" w:hAnsi="Calibri Light" w:asciiTheme="majorHAnsi" w:cstheme="majorBidi" w:eastAsiaTheme="majorEastAsia" w:hAnsiTheme="majorHAnsi"/>
          <w:b/>
          <w:bCs/>
          <w:color w:themeColor="accent1" w:themeShade="bf" w:val="2E74B5"/>
          <w:sz w:val="24"/>
          <w:szCs w:val="24"/>
        </w:rPr>
        <w:t>Student Support Services</w:t>
      </w:r>
    </w:p>
    <w:p>
      <w:pPr>
        <w:pStyle w:val="Normal"/>
        <w:spacing w:before="0" w:after="160"/>
        <w:contextualSpacing/>
        <w:rPr/>
      </w:pPr>
      <w:r>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pPr>
        <w:pStyle w:val="Normal"/>
        <w:numPr>
          <w:ilvl w:val="0"/>
          <w:numId w:val="7"/>
        </w:numPr>
        <w:spacing w:before="0" w:after="160"/>
        <w:contextualSpacing/>
        <w:rPr/>
      </w:pPr>
      <w:hyperlink r:id="rId10">
        <w:r>
          <w:rPr>
            <w:rStyle w:val="Style5"/>
            <w:color w:themeColor="hyperlink" w:val="0563C1"/>
            <w:u w:val="single"/>
          </w:rPr>
          <w:t>Student Health and Wellness Center</w:t>
        </w:r>
      </w:hyperlink>
      <w:r>
        <w:rPr/>
        <w:t xml:space="preserve"> (</w:t>
      </w:r>
      <w:r>
        <w:rPr>
          <w:u w:val="single"/>
        </w:rPr>
        <w:t>https://studentaffairs.unt.edu/student-health-and-wellness-center</w:t>
      </w:r>
      <w:r>
        <w:rPr/>
        <w:t>)</w:t>
      </w:r>
    </w:p>
    <w:p>
      <w:pPr>
        <w:pStyle w:val="Normal"/>
        <w:numPr>
          <w:ilvl w:val="0"/>
          <w:numId w:val="7"/>
        </w:numPr>
        <w:spacing w:before="0" w:after="160"/>
        <w:contextualSpacing/>
        <w:rPr/>
      </w:pPr>
      <w:hyperlink r:id="rId11">
        <w:r>
          <w:rPr>
            <w:rStyle w:val="Style5"/>
            <w:color w:themeColor="hyperlink" w:val="0563C1"/>
            <w:u w:val="single"/>
          </w:rPr>
          <w:t>Counseling and Testing Services</w:t>
        </w:r>
      </w:hyperlink>
      <w:r>
        <w:rPr/>
        <w:t xml:space="preserve"> (</w:t>
      </w:r>
      <w:r>
        <w:rPr>
          <w:u w:val="single"/>
        </w:rPr>
        <w:t>https://studentaffairs.unt.edu/counseling-and-testing-services</w:t>
      </w:r>
      <w:r>
        <w:rPr/>
        <w:t>)</w:t>
      </w:r>
    </w:p>
    <w:p>
      <w:pPr>
        <w:pStyle w:val="Normal"/>
        <w:numPr>
          <w:ilvl w:val="0"/>
          <w:numId w:val="7"/>
        </w:numPr>
        <w:spacing w:before="0" w:after="160"/>
        <w:contextualSpacing/>
        <w:rPr/>
      </w:pPr>
      <w:hyperlink r:id="rId12">
        <w:r>
          <w:rPr>
            <w:rStyle w:val="Style5"/>
            <w:color w:themeColor="hyperlink" w:val="0563C1"/>
            <w:u w:val="single"/>
          </w:rPr>
          <w:t>UNT Care Team</w:t>
        </w:r>
      </w:hyperlink>
      <w:r>
        <w:rPr/>
        <w:t xml:space="preserve"> (https://studentaffairs.unt.edu/care)</w:t>
      </w:r>
    </w:p>
    <w:p>
      <w:pPr>
        <w:pStyle w:val="Normal"/>
        <w:numPr>
          <w:ilvl w:val="0"/>
          <w:numId w:val="7"/>
        </w:numPr>
        <w:spacing w:before="0" w:after="160"/>
        <w:contextualSpacing/>
        <w:rPr/>
      </w:pPr>
      <w:hyperlink r:id="rId13">
        <w:r>
          <w:rPr>
            <w:rStyle w:val="Style5"/>
            <w:color w:themeColor="hyperlink" w:val="0563C1"/>
            <w:u w:val="single"/>
          </w:rPr>
          <w:t>UNT Psychiatric Services</w:t>
        </w:r>
      </w:hyperlink>
      <w:r>
        <w:rPr/>
        <w:t xml:space="preserve"> (https://studentaffairs.unt.edu/student-health-and-wellness-center/services/psychiatry)</w:t>
      </w:r>
    </w:p>
    <w:p>
      <w:pPr>
        <w:pStyle w:val="Normal"/>
        <w:numPr>
          <w:ilvl w:val="0"/>
          <w:numId w:val="7"/>
        </w:numPr>
        <w:spacing w:before="0" w:after="160"/>
        <w:contextualSpacing/>
        <w:rPr/>
      </w:pPr>
      <w:hyperlink r:id="rId14">
        <w:r>
          <w:rPr>
            <w:rStyle w:val="Style5"/>
            <w:color w:themeColor="hyperlink" w:val="0563C1"/>
            <w:u w:val="single"/>
          </w:rPr>
          <w:t>Individual Counseling</w:t>
        </w:r>
      </w:hyperlink>
      <w:r>
        <w:rPr/>
        <w:t xml:space="preserve"> (https://studentaffairs.unt.edu/counseling-and-testing-services/services/individual-counseling)</w:t>
      </w:r>
    </w:p>
    <w:p>
      <w:pPr>
        <w:pStyle w:val="Normal"/>
        <w:rPr/>
      </w:pPr>
      <w:r>
        <w:rPr/>
        <w:t>Other student support services offered by UNT include</w:t>
      </w:r>
    </w:p>
    <w:p>
      <w:pPr>
        <w:pStyle w:val="Normal"/>
        <w:numPr>
          <w:ilvl w:val="0"/>
          <w:numId w:val="4"/>
        </w:numPr>
        <w:spacing w:before="0" w:after="160"/>
        <w:contextualSpacing/>
        <w:rPr/>
      </w:pPr>
      <w:hyperlink r:id="rId15">
        <w:r>
          <w:rPr>
            <w:rStyle w:val="Style5"/>
            <w:color w:themeColor="hyperlink" w:val="0563C1"/>
            <w:u w:val="single"/>
          </w:rPr>
          <w:t>Registrar</w:t>
        </w:r>
      </w:hyperlink>
      <w:r>
        <w:rPr/>
        <w:t xml:space="preserve"> (</w:t>
      </w:r>
      <w:r>
        <w:rPr>
          <w:u w:val="single"/>
        </w:rPr>
        <w:t>https://registrar.unt.edu/registration</w:t>
      </w:r>
      <w:r>
        <w:rPr/>
        <w:t>)</w:t>
      </w:r>
    </w:p>
    <w:p>
      <w:pPr>
        <w:pStyle w:val="Normal"/>
        <w:numPr>
          <w:ilvl w:val="0"/>
          <w:numId w:val="4"/>
        </w:numPr>
        <w:spacing w:before="0" w:after="160"/>
        <w:contextualSpacing/>
        <w:rPr/>
      </w:pPr>
      <w:hyperlink r:id="rId16">
        <w:r>
          <w:rPr>
            <w:rStyle w:val="Style5"/>
            <w:color w:themeColor="hyperlink" w:val="0563C1"/>
            <w:u w:val="single"/>
          </w:rPr>
          <w:t>Financial Aid</w:t>
        </w:r>
      </w:hyperlink>
      <w:r>
        <w:rPr/>
        <w:t xml:space="preserve"> (</w:t>
      </w:r>
      <w:r>
        <w:rPr>
          <w:u w:val="single"/>
        </w:rPr>
        <w:t>https://financialaid.unt.edu/</w:t>
      </w:r>
      <w:r>
        <w:rPr/>
        <w:t>)</w:t>
      </w:r>
    </w:p>
    <w:p>
      <w:pPr>
        <w:pStyle w:val="Normal"/>
        <w:numPr>
          <w:ilvl w:val="0"/>
          <w:numId w:val="4"/>
        </w:numPr>
        <w:spacing w:before="0" w:after="160"/>
        <w:contextualSpacing/>
        <w:rPr/>
      </w:pPr>
      <w:hyperlink r:id="rId17">
        <w:r>
          <w:rPr>
            <w:rStyle w:val="Style5"/>
            <w:color w:themeColor="hyperlink" w:val="0563C1"/>
            <w:u w:val="single"/>
          </w:rPr>
          <w:t>Student Legal Services</w:t>
        </w:r>
      </w:hyperlink>
      <w:r>
        <w:rPr/>
        <w:t xml:space="preserve"> (</w:t>
      </w:r>
      <w:r>
        <w:rPr>
          <w:u w:val="single"/>
        </w:rPr>
        <w:t>https://studentaffairs.unt.edu/student-legal-services</w:t>
      </w:r>
      <w:r>
        <w:rPr/>
        <w:t>)</w:t>
      </w:r>
    </w:p>
    <w:p>
      <w:pPr>
        <w:pStyle w:val="Normal"/>
        <w:numPr>
          <w:ilvl w:val="0"/>
          <w:numId w:val="4"/>
        </w:numPr>
        <w:spacing w:before="0" w:after="160"/>
        <w:contextualSpacing/>
        <w:rPr/>
      </w:pPr>
      <w:hyperlink r:id="rId18">
        <w:r>
          <w:rPr>
            <w:rStyle w:val="Style5"/>
            <w:color w:themeColor="hyperlink" w:val="0563C1"/>
            <w:u w:val="single"/>
          </w:rPr>
          <w:t>Career Center</w:t>
        </w:r>
      </w:hyperlink>
      <w:r>
        <w:rPr/>
        <w:t xml:space="preserve"> (</w:t>
      </w:r>
      <w:r>
        <w:rPr>
          <w:u w:val="single"/>
        </w:rPr>
        <w:t>https://studentaffairs.unt.edu/career-center</w:t>
      </w:r>
      <w:r>
        <w:rPr/>
        <w:t>)</w:t>
      </w:r>
    </w:p>
    <w:p>
      <w:pPr>
        <w:pStyle w:val="Normal"/>
        <w:numPr>
          <w:ilvl w:val="0"/>
          <w:numId w:val="4"/>
        </w:numPr>
        <w:spacing w:before="0" w:after="160"/>
        <w:contextualSpacing/>
        <w:rPr/>
      </w:pPr>
      <w:hyperlink r:id="rId19">
        <w:r>
          <w:rPr>
            <w:rStyle w:val="Style5"/>
            <w:color w:themeColor="hyperlink" w:val="0563C1"/>
            <w:u w:val="single"/>
          </w:rPr>
          <w:t>Multicultural Center</w:t>
        </w:r>
      </w:hyperlink>
      <w:r>
        <w:rPr/>
        <w:t xml:space="preserve"> (</w:t>
      </w:r>
      <w:r>
        <w:rPr>
          <w:u w:val="single"/>
        </w:rPr>
        <w:t>https://edo.unt.edu/multicultural-center</w:t>
      </w:r>
      <w:r>
        <w:rPr/>
        <w:t>)</w:t>
      </w:r>
    </w:p>
    <w:p>
      <w:pPr>
        <w:pStyle w:val="Normal"/>
        <w:numPr>
          <w:ilvl w:val="0"/>
          <w:numId w:val="4"/>
        </w:numPr>
        <w:spacing w:before="0" w:after="160"/>
        <w:contextualSpacing/>
        <w:rPr/>
      </w:pPr>
      <w:hyperlink r:id="rId20">
        <w:r>
          <w:rPr>
            <w:rStyle w:val="Style5"/>
            <w:color w:themeColor="hyperlink" w:val="0563C1"/>
            <w:u w:val="single"/>
          </w:rPr>
          <w:t>Counseling and Testing Services</w:t>
        </w:r>
      </w:hyperlink>
      <w:r>
        <w:rPr/>
        <w:t xml:space="preserve"> (</w:t>
      </w:r>
      <w:r>
        <w:rPr>
          <w:u w:val="single"/>
        </w:rPr>
        <w:t>https://studentaffairs.unt.edu/counseling-and-testing-services</w:t>
      </w:r>
      <w:r>
        <w:rPr/>
        <w:t>)</w:t>
      </w:r>
    </w:p>
    <w:p>
      <w:pPr>
        <w:pStyle w:val="Normal"/>
        <w:numPr>
          <w:ilvl w:val="0"/>
          <w:numId w:val="4"/>
        </w:numPr>
        <w:spacing w:before="0" w:after="160"/>
        <w:contextualSpacing/>
        <w:rPr/>
      </w:pPr>
      <w:hyperlink r:id="rId21">
        <w:r>
          <w:rPr>
            <w:rStyle w:val="Style5"/>
            <w:color w:themeColor="hyperlink" w:val="0563C1"/>
            <w:u w:val="single"/>
          </w:rPr>
          <w:t>Pride Alliance</w:t>
        </w:r>
      </w:hyperlink>
      <w:r>
        <w:rPr/>
        <w:t xml:space="preserve"> (</w:t>
      </w:r>
      <w:r>
        <w:rPr>
          <w:u w:val="single"/>
        </w:rPr>
        <w:t>https://edo.unt.edu/pridealliance</w:t>
      </w:r>
      <w:r>
        <w:rPr/>
        <w:t>)</w:t>
      </w:r>
    </w:p>
    <w:p>
      <w:pPr>
        <w:pStyle w:val="Normal"/>
        <w:numPr>
          <w:ilvl w:val="0"/>
          <w:numId w:val="4"/>
        </w:numPr>
        <w:spacing w:before="0" w:after="160"/>
        <w:contextualSpacing/>
        <w:rPr/>
      </w:pPr>
      <w:hyperlink r:id="rId22">
        <w:r>
          <w:rPr>
            <w:rStyle w:val="Style5"/>
            <w:color w:themeColor="hyperlink" w:val="0563C1"/>
            <w:u w:val="single"/>
          </w:rPr>
          <w:t>UNT Food Pantry</w:t>
        </w:r>
      </w:hyperlink>
      <w:r>
        <w:rPr/>
        <w:t xml:space="preserve"> (https://deanofstudents.unt.edu/resources/food-pantry)</w:t>
      </w:r>
    </w:p>
    <w:p>
      <w:pPr>
        <w:pStyle w:val="Normal"/>
        <w:keepNext w:val="true"/>
        <w:keepLines/>
        <w:numPr>
          <w:ilvl w:val="0"/>
          <w:numId w:val="0"/>
        </w:numPr>
        <w:spacing w:before="0" w:after="0"/>
        <w:ind w:hanging="0" w:left="0"/>
        <w:outlineLvl w:val="2"/>
        <w:rPr>
          <w:rFonts w:ascii="Calibri Light" w:hAnsi="Calibri Light" w:eastAsia="" w:cs="" w:asciiTheme="majorHAnsi" w:cstheme="majorBidi" w:eastAsiaTheme="majorEastAsia" w:hAnsiTheme="majorHAnsi"/>
          <w:b/>
          <w:bCs/>
          <w:color w:themeColor="accent1" w:themeShade="7f" w:val="1F4D78"/>
          <w:sz w:val="24"/>
          <w:szCs w:val="24"/>
        </w:rPr>
      </w:pPr>
      <w:r>
        <w:rPr>
          <w:rFonts w:eastAsia="" w:cs="" w:ascii="Calibri Light" w:hAnsi="Calibri Light" w:asciiTheme="majorHAnsi" w:cstheme="majorBidi" w:eastAsiaTheme="majorEastAsia" w:hAnsiTheme="majorHAnsi"/>
          <w:b/>
          <w:bCs/>
          <w:color w:themeColor="accent1" w:themeShade="bf" w:val="2E74B5"/>
          <w:sz w:val="24"/>
          <w:szCs w:val="24"/>
        </w:rPr>
        <w:t>Academic Support Services</w:t>
      </w:r>
    </w:p>
    <w:p>
      <w:pPr>
        <w:pStyle w:val="Normal"/>
        <w:numPr>
          <w:ilvl w:val="0"/>
          <w:numId w:val="5"/>
        </w:numPr>
        <w:spacing w:before="0" w:after="160"/>
        <w:contextualSpacing/>
        <w:rPr/>
      </w:pPr>
      <w:hyperlink r:id="rId23">
        <w:r>
          <w:rPr>
            <w:rStyle w:val="Style5"/>
            <w:color w:themeColor="hyperlink" w:val="0563C1"/>
            <w:u w:val="single"/>
          </w:rPr>
          <w:t>Academic Resource Center</w:t>
        </w:r>
      </w:hyperlink>
      <w:r>
        <w:rPr/>
        <w:t xml:space="preserve"> (</w:t>
      </w:r>
      <w:r>
        <w:rPr>
          <w:u w:val="single"/>
        </w:rPr>
        <w:t>https://clear.unt.edu/canvas/student-resources</w:t>
      </w:r>
      <w:r>
        <w:rPr/>
        <w:t>)</w:t>
      </w:r>
    </w:p>
    <w:p>
      <w:pPr>
        <w:pStyle w:val="Normal"/>
        <w:numPr>
          <w:ilvl w:val="0"/>
          <w:numId w:val="5"/>
        </w:numPr>
        <w:spacing w:before="0" w:after="160"/>
        <w:contextualSpacing/>
        <w:rPr/>
      </w:pPr>
      <w:hyperlink r:id="rId24">
        <w:r>
          <w:rPr>
            <w:rStyle w:val="Style5"/>
            <w:color w:themeColor="hyperlink" w:val="0563C1"/>
            <w:u w:val="single"/>
          </w:rPr>
          <w:t>Academic Success Center</w:t>
        </w:r>
      </w:hyperlink>
      <w:r>
        <w:rPr/>
        <w:t xml:space="preserve"> (</w:t>
      </w:r>
      <w:r>
        <w:rPr>
          <w:u w:val="single"/>
        </w:rPr>
        <w:t>https://success.unt.edu/asc</w:t>
      </w:r>
      <w:r>
        <w:rPr/>
        <w:t>)</w:t>
      </w:r>
    </w:p>
    <w:p>
      <w:pPr>
        <w:pStyle w:val="Normal"/>
        <w:numPr>
          <w:ilvl w:val="0"/>
          <w:numId w:val="5"/>
        </w:numPr>
        <w:spacing w:before="0" w:after="160"/>
        <w:contextualSpacing/>
        <w:rPr/>
      </w:pPr>
      <w:hyperlink r:id="rId25">
        <w:r>
          <w:rPr>
            <w:rStyle w:val="Style5"/>
            <w:color w:themeColor="hyperlink" w:val="0563C1"/>
            <w:u w:val="single"/>
          </w:rPr>
          <w:t>UNT Libraries</w:t>
        </w:r>
      </w:hyperlink>
      <w:r>
        <w:rPr/>
        <w:t xml:space="preserve"> (</w:t>
      </w:r>
      <w:r>
        <w:rPr>
          <w:u w:val="single"/>
        </w:rPr>
        <w:t>https://library.unt.edu/</w:t>
      </w:r>
      <w:r>
        <w:rPr/>
        <w:t>)</w:t>
      </w:r>
    </w:p>
    <w:p>
      <w:pPr>
        <w:pStyle w:val="Normal"/>
        <w:numPr>
          <w:ilvl w:val="0"/>
          <w:numId w:val="5"/>
        </w:numPr>
        <w:spacing w:before="0" w:after="160"/>
        <w:contextualSpacing/>
        <w:rPr/>
      </w:pPr>
      <w:hyperlink r:id="rId26">
        <w:r>
          <w:rPr>
            <w:rStyle w:val="Style5"/>
            <w:color w:themeColor="hyperlink" w:val="0563C1"/>
            <w:u w:val="single"/>
          </w:rPr>
          <w:t>Writing Lab</w:t>
        </w:r>
      </w:hyperlink>
      <w:r>
        <w:rPr/>
        <w:t xml:space="preserve"> (</w:t>
      </w:r>
      <w:r>
        <w:rPr>
          <w:u w:val="single"/>
        </w:rPr>
        <w:t>http://writingcenter.unt.edu/</w:t>
      </w:r>
      <w:r>
        <w:rPr/>
        <w:t>)</w:t>
      </w:r>
    </w:p>
    <w:p>
      <w:pPr>
        <w:pStyle w:val="Normal"/>
        <w:numPr>
          <w:ilvl w:val="0"/>
          <w:numId w:val="5"/>
        </w:numPr>
        <w:spacing w:before="0" w:after="160"/>
        <w:contextualSpacing/>
        <w:rPr/>
      </w:pPr>
      <w:hyperlink r:id="rId27">
        <w:r>
          <w:rPr>
            <w:rStyle w:val="Style5"/>
            <w:color w:themeColor="hyperlink" w:val="0563C1"/>
            <w:u w:val="single"/>
          </w:rPr>
          <w:t>MathLab</w:t>
        </w:r>
      </w:hyperlink>
      <w:r>
        <w:rPr/>
        <w:t xml:space="preserve"> (</w:t>
      </w:r>
      <w:r>
        <w:rPr>
          <w:u w:val="single"/>
        </w:rPr>
        <w:t>https://math.unt.edu/mathlab</w:t>
      </w:r>
      <w:r>
        <w:rPr/>
        <w:t>)</w:t>
      </w:r>
    </w:p>
    <w:p>
      <w:pPr>
        <w:pStyle w:val="Normal"/>
        <w:keepNext w:val="true"/>
        <w:keepLines/>
        <w:numPr>
          <w:ilvl w:val="0"/>
          <w:numId w:val="0"/>
        </w:numPr>
        <w:spacing w:before="120" w:after="120"/>
        <w:ind w:hanging="0" w:left="0"/>
        <w:outlineLvl w:val="1"/>
        <w:rPr>
          <w:rFonts w:ascii="Calibri Light" w:hAnsi="Calibri Light" w:eastAsia="" w:cs="" w:asciiTheme="majorHAnsi" w:cstheme="majorBidi" w:eastAsiaTheme="majorEastAsia" w:hAnsiTheme="majorHAnsi"/>
          <w:b/>
          <w:bCs/>
          <w:color w:themeColor="accent1" w:themeShade="bf" w:val="2E74B5"/>
          <w:sz w:val="26"/>
          <w:szCs w:val="26"/>
        </w:rPr>
      </w:pPr>
      <w:r>
        <w:rPr>
          <w:rFonts w:eastAsia="" w:cs="" w:cstheme="majorBidi" w:eastAsiaTheme="majorEastAsia" w:ascii="Calibri Light" w:hAnsi="Calibri Light"/>
          <w:b/>
          <w:bCs/>
          <w:color w:themeColor="accent1" w:themeShade="bf" w:val="2E74B5"/>
          <w:sz w:val="26"/>
          <w:szCs w:val="26"/>
        </w:rPr>
      </w:r>
    </w:p>
    <w:p>
      <w:pPr>
        <w:pStyle w:val="Normal"/>
        <w:keepNext w:val="true"/>
        <w:keepLines/>
        <w:numPr>
          <w:ilvl w:val="0"/>
          <w:numId w:val="0"/>
        </w:numPr>
        <w:spacing w:before="120" w:after="120"/>
        <w:ind w:hanging="0" w:left="0"/>
        <w:outlineLvl w:val="1"/>
        <w:rPr>
          <w:rFonts w:ascii="Calibri Light" w:hAnsi="Calibri Light" w:eastAsia="" w:cs="" w:asciiTheme="majorHAnsi" w:cstheme="majorBidi" w:eastAsiaTheme="majorEastAsia" w:hAnsiTheme="majorHAnsi"/>
          <w:b/>
          <w:bCs/>
          <w:color w:themeColor="accent1" w:themeShade="bf" w:val="2E74B5"/>
          <w:sz w:val="26"/>
          <w:szCs w:val="26"/>
        </w:rPr>
      </w:pPr>
      <w:r>
        <w:rPr>
          <w:rFonts w:eastAsia="" w:cs="" w:ascii="Calibri Light" w:hAnsi="Calibri Light" w:asciiTheme="majorHAnsi" w:cstheme="majorBidi" w:eastAsiaTheme="majorEastAsia" w:hAnsiTheme="majorHAnsi"/>
          <w:b/>
          <w:bCs/>
          <w:color w:themeColor="accent1" w:themeShade="bf" w:val="2E74B5"/>
          <w:sz w:val="26"/>
          <w:szCs w:val="26"/>
        </w:rPr>
        <w:t>UNT Policies</w:t>
      </w:r>
    </w:p>
    <w:p>
      <w:pPr>
        <w:pStyle w:val="Normal"/>
        <w:keepNext w:val="true"/>
        <w:keepLines/>
        <w:numPr>
          <w:ilvl w:val="0"/>
          <w:numId w:val="0"/>
        </w:numPr>
        <w:spacing w:before="0" w:after="0"/>
        <w:ind w:hanging="0" w:left="0"/>
        <w:outlineLvl w:val="2"/>
        <w:rPr>
          <w:rFonts w:ascii="Calibri Light" w:hAnsi="Calibri Light" w:eastAsia="" w:cs="" w:asciiTheme="majorHAnsi" w:cstheme="majorBidi" w:eastAsiaTheme="majorEastAsia" w:hAnsiTheme="majorHAnsi"/>
          <w:b/>
          <w:bCs/>
          <w:color w:themeColor="accent1" w:themeShade="7f" w:val="1F4D78"/>
          <w:sz w:val="24"/>
          <w:szCs w:val="24"/>
        </w:rPr>
      </w:pPr>
      <w:r>
        <w:rPr>
          <w:rFonts w:eastAsia="" w:cs="" w:ascii="Calibri Light" w:hAnsi="Calibri Light" w:asciiTheme="majorHAnsi" w:cstheme="majorBidi" w:eastAsiaTheme="majorEastAsia" w:hAnsiTheme="majorHAnsi"/>
          <w:b/>
          <w:bCs/>
          <w:color w:themeColor="accent1" w:themeShade="7f" w:val="1F4D78"/>
          <w:sz w:val="24"/>
          <w:szCs w:val="24"/>
        </w:rPr>
        <w:t>Academic Integrity Policy</w:t>
      </w:r>
    </w:p>
    <w:p>
      <w:pPr>
        <w:pStyle w:val="Normal"/>
        <w:rPr/>
      </w:pPr>
      <w:r>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pPr>
        <w:pStyle w:val="Heading2"/>
        <w:rPr>
          <w:b/>
          <w:bCs/>
        </w:rPr>
      </w:pPr>
      <w:r>
        <w:rPr>
          <w:b/>
          <w:bCs/>
        </w:rPr>
        <w:t>AI Policy</w:t>
      </w:r>
    </w:p>
    <w:p>
      <w:pPr>
        <w:pStyle w:val="Normal"/>
        <w:rPr/>
      </w:pPr>
      <w:r>
        <w:rPr/>
        <w:t xml:space="preserve">You can use AI to check formatting or spelling in the </w:t>
      </w:r>
      <w:r>
        <w:rPr>
          <w:b/>
          <w:bCs/>
        </w:rPr>
        <w:t>homeworks</w:t>
      </w:r>
      <w:r>
        <w:rPr/>
        <w:t>, but you cannot use it to actually solve the problems. AI is absolutely prohibited during exams and its use will be considered cheating. When I create exam problems I make sure I can detect AI on the answers.</w:t>
      </w:r>
    </w:p>
    <w:p>
      <w:pPr>
        <w:pStyle w:val="Normal"/>
        <w:keepNext w:val="true"/>
        <w:keepLines/>
        <w:numPr>
          <w:ilvl w:val="0"/>
          <w:numId w:val="0"/>
        </w:numPr>
        <w:spacing w:before="0" w:after="0"/>
        <w:ind w:hanging="0" w:left="0"/>
        <w:outlineLvl w:val="2"/>
        <w:rPr>
          <w:rFonts w:ascii="Calibri Light" w:hAnsi="Calibri Light" w:eastAsia="" w:cs="" w:asciiTheme="majorHAnsi" w:cstheme="majorBidi" w:eastAsiaTheme="majorEastAsia" w:hAnsiTheme="majorHAnsi"/>
          <w:b/>
          <w:bCs/>
          <w:color w:themeColor="accent1" w:themeShade="7f" w:val="1F4D78"/>
          <w:sz w:val="24"/>
          <w:szCs w:val="24"/>
        </w:rPr>
      </w:pPr>
      <w:r>
        <w:rPr>
          <w:rFonts w:eastAsia="" w:cs="" w:ascii="Calibri Light" w:hAnsi="Calibri Light" w:asciiTheme="majorHAnsi" w:cstheme="majorBidi" w:eastAsiaTheme="majorEastAsia" w:hAnsiTheme="majorHAnsi"/>
          <w:b/>
          <w:bCs/>
          <w:color w:themeColor="accent1" w:themeShade="7f" w:val="1F4D78"/>
          <w:sz w:val="24"/>
          <w:szCs w:val="24"/>
        </w:rPr>
        <w:t>ADA Policy</w:t>
      </w:r>
    </w:p>
    <w:p>
      <w:pPr>
        <w:pStyle w:val="Normal"/>
        <w:rPr/>
      </w:pPr>
      <w:r>
        <w:rPr/>
        <w:t xml:space="preserve">UNT makes reasonable academic accommodation for students with disabilities. Students seeking accommodation must first register with the Office of Disability Access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If you are an ODA approved student  then you must take the exam at the ODA Test Center. Note that students must obtain a new letter of accommodation for every semester and must meet with each faculty member prior to implementation in each class. For additional information see the </w:t>
      </w:r>
      <w:hyperlink r:id="rId28">
        <w:r>
          <w:rPr>
            <w:rStyle w:val="Style5"/>
            <w:color w:themeColor="hyperlink" w:val="0563C1"/>
            <w:u w:val="single"/>
          </w:rPr>
          <w:t>ODA website</w:t>
        </w:r>
      </w:hyperlink>
      <w:r>
        <w:rPr/>
        <w:t xml:space="preserve"> (</w:t>
      </w:r>
      <w:hyperlink r:id="rId29">
        <w:r>
          <w:rPr>
            <w:rStyle w:val="Hyperlink"/>
          </w:rPr>
          <w:t>https://disability.unt.edu/</w:t>
        </w:r>
      </w:hyperlink>
      <w:r>
        <w:rPr/>
        <w:t>).</w:t>
      </w:r>
    </w:p>
    <w:p>
      <w:pPr>
        <w:pStyle w:val="Normal"/>
        <w:keepNext w:val="true"/>
        <w:keepLines/>
        <w:numPr>
          <w:ilvl w:val="0"/>
          <w:numId w:val="0"/>
        </w:numPr>
        <w:spacing w:before="0" w:after="0"/>
        <w:ind w:hanging="0" w:left="0"/>
        <w:outlineLvl w:val="2"/>
        <w:rPr>
          <w:rFonts w:ascii="Calibri Light" w:hAnsi="Calibri Light" w:eastAsia="" w:cs="" w:asciiTheme="majorHAnsi" w:cstheme="majorBidi" w:eastAsiaTheme="majorEastAsia" w:hAnsiTheme="majorHAnsi"/>
          <w:b/>
          <w:bCs/>
          <w:color w:themeColor="accent1" w:themeShade="7f" w:val="1F4D78"/>
          <w:sz w:val="24"/>
          <w:szCs w:val="24"/>
        </w:rPr>
      </w:pPr>
      <w:r>
        <w:rPr>
          <w:rFonts w:eastAsia="" w:cs="" w:ascii="Calibri Light" w:hAnsi="Calibri Light" w:asciiTheme="majorHAnsi" w:cstheme="majorBidi" w:eastAsiaTheme="majorEastAsia" w:hAnsiTheme="majorHAnsi"/>
          <w:b/>
          <w:bCs/>
          <w:color w:themeColor="accent1" w:themeShade="7f" w:val="1F4D78"/>
          <w:sz w:val="24"/>
          <w:szCs w:val="24"/>
        </w:rPr>
        <w:t xml:space="preserve">Emergency Notification &amp; Procedures </w:t>
      </w:r>
    </w:p>
    <w:p>
      <w:pPr>
        <w:pStyle w:val="Normal"/>
        <w:shd w:val="clear" w:color="auto" w:fill="FFFFFF"/>
        <w:spacing w:lineRule="auto" w:line="240" w:before="0" w:after="0"/>
        <w:textAlignment w:val="baseline"/>
        <w:rPr>
          <w:rFonts w:eastAsia="Times New Roman" w:cs="Calibri" w:cstheme="minorHAnsi"/>
          <w:color w:val="000000"/>
          <w:lang w:eastAsia="ja-JP"/>
        </w:rPr>
      </w:pPr>
      <w:r>
        <w:rPr>
          <w:rFonts w:eastAsia="Times New Roman" w:cs="Calibri" w:cstheme="minorHAnsi"/>
          <w:color w:val="000000"/>
          <w:lang w:eastAsia="ja-JP"/>
        </w:rPr>
        <w:t>UNT uses a system called Eagle Alert to quickly notify students with critical information</w:t>
      </w:r>
    </w:p>
    <w:p>
      <w:pPr>
        <w:pStyle w:val="Normal"/>
        <w:shd w:val="clear" w:color="auto" w:fill="FFFFFF"/>
        <w:spacing w:lineRule="auto" w:line="240" w:before="0" w:after="0"/>
        <w:textAlignment w:val="baseline"/>
        <w:rPr>
          <w:rFonts w:eastAsia="Times New Roman" w:cs="Calibri" w:cstheme="minorHAnsi"/>
          <w:color w:val="000000"/>
          <w:lang w:eastAsia="ja-JP"/>
        </w:rPr>
      </w:pPr>
      <w:r>
        <w:rPr>
          <w:rFonts w:eastAsia="Times New Roman" w:cs="Calibri" w:cstheme="minorHAnsi"/>
          <w:color w:val="000000"/>
          <w:lang w:eastAsia="ja-JP"/>
        </w:rPr>
        <w:t>in the event of an emergency (i.e., severe weather, campus closing, and health and</w:t>
      </w:r>
    </w:p>
    <w:p>
      <w:pPr>
        <w:pStyle w:val="Normal"/>
        <w:shd w:val="clear" w:color="auto" w:fill="FFFFFF"/>
        <w:spacing w:lineRule="auto" w:line="240" w:before="0" w:after="0"/>
        <w:textAlignment w:val="baseline"/>
        <w:rPr>
          <w:rFonts w:eastAsia="Times New Roman" w:cs="Calibri" w:cstheme="minorHAnsi"/>
          <w:color w:val="000000"/>
          <w:lang w:eastAsia="ja-JP"/>
        </w:rPr>
      </w:pPr>
      <w:r>
        <w:rPr>
          <w:rFonts w:eastAsia="Times New Roman" w:cs="Calibri" w:cstheme="minorHAnsi"/>
          <w:color w:val="000000"/>
          <w:lang w:eastAsia="ja-JP"/>
        </w:rPr>
        <w:t>public safety emergencies like chemical spills, fires, or violence). In the event of a</w:t>
      </w:r>
    </w:p>
    <w:p>
      <w:pPr>
        <w:pStyle w:val="Normal"/>
        <w:shd w:val="clear" w:color="auto" w:fill="FFFFFF"/>
        <w:spacing w:lineRule="auto" w:line="240" w:before="0" w:after="0"/>
        <w:textAlignment w:val="baseline"/>
        <w:rPr>
          <w:rFonts w:eastAsia="Times New Roman" w:cs="Calibri" w:cstheme="minorHAnsi"/>
          <w:color w:val="000000"/>
          <w:lang w:eastAsia="ja-JP"/>
        </w:rPr>
      </w:pPr>
      <w:r>
        <w:rPr>
          <w:rFonts w:eastAsia="Times New Roman" w:cs="Calibri" w:cstheme="minorHAnsi"/>
          <w:color w:val="000000"/>
          <w:lang w:eastAsia="ja-JP"/>
        </w:rPr>
        <w:t>university closure, please refer to the UNT Learning Management System (LMS) for</w:t>
      </w:r>
    </w:p>
    <w:p>
      <w:pPr>
        <w:pStyle w:val="Normal"/>
        <w:shd w:val="clear" w:color="auto" w:fill="FFFFFF"/>
        <w:spacing w:lineRule="auto" w:line="240" w:before="0" w:after="0"/>
        <w:textAlignment w:val="baseline"/>
        <w:rPr>
          <w:rFonts w:eastAsia="Times New Roman" w:cs="Calibri" w:cstheme="minorHAnsi"/>
          <w:color w:val="000000"/>
          <w:lang w:eastAsia="ja-JP"/>
        </w:rPr>
      </w:pPr>
      <w:r>
        <w:rPr>
          <w:rFonts w:eastAsia="Times New Roman" w:cs="Calibri" w:cstheme="minorHAnsi"/>
          <w:color w:val="000000"/>
          <w:lang w:eastAsia="ja-JP"/>
        </w:rPr>
        <w:t>contingency plans for covering course materials.</w:t>
      </w:r>
    </w:p>
    <w:sectPr>
      <w:footerReference w:type="even" r:id="rId30"/>
      <w:footerReference w:type="default" r:id="rId31"/>
      <w:footerReference w:type="first" r:id="rId32"/>
      <w:type w:val="nextPage"/>
      <w:pgSz w:w="12240" w:h="15840"/>
      <w:pgMar w:left="1440" w:right="1440" w:gutter="0" w:header="0" w:top="1440" w:footer="720" w:bottom="144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roman"/>
    <w:pitch w:val="variable"/>
  </w:font>
  <w:font w:name="sans-serif">
    <w:altName w:val="Arial"/>
    <w:charset w:val="01"/>
    <w:family w:val="roman"/>
    <w:pitch w:val="variable"/>
  </w:font>
  <w:font w:name="Arial">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838796902"/>
    </w:sdtPr>
    <w:sdtContent>
      <w:p>
        <w:pPr>
          <w:pStyle w:val="Footer"/>
          <w:jc w:val="right"/>
          <w:rPr/>
        </w:pPr>
        <w:r>
          <w:rPr/>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838796902"/>
    </w:sdtPr>
    <w:sdtContent>
      <w:p>
        <w:pPr>
          <w:pStyle w:val="Footer"/>
          <w:jc w:val="right"/>
          <w:rPr/>
        </w:pPr>
        <w:r>
          <w:rPr/>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d40c61"/>
    <w:pPr>
      <w:keepNext w:val="true"/>
      <w:keepLines/>
      <w:spacing w:before="360" w:after="120"/>
      <w:outlineLvl w:val="0"/>
    </w:pPr>
    <w:rPr>
      <w:rFonts w:ascii="Calibri Light" w:hAnsi="Calibri Light" w:eastAsia="" w:cs="" w:asciiTheme="majorHAnsi" w:cstheme="majorBidi" w:eastAsiaTheme="majorEastAsia" w:hAnsiTheme="majorHAnsi"/>
      <w:color w:themeColor="accent1" w:themeShade="bf" w:val="2E74B5"/>
      <w:sz w:val="32"/>
      <w:szCs w:val="32"/>
    </w:rPr>
  </w:style>
  <w:style w:type="paragraph" w:styleId="Heading2">
    <w:name w:val="heading 2"/>
    <w:basedOn w:val="Normal"/>
    <w:next w:val="Normal"/>
    <w:link w:val="Heading2Char"/>
    <w:uiPriority w:val="9"/>
    <w:unhideWhenUsed/>
    <w:qFormat/>
    <w:rsid w:val="00e07387"/>
    <w:pPr>
      <w:keepNext w:val="true"/>
      <w:keepLines/>
      <w:spacing w:before="120" w:after="120"/>
      <w:outlineLvl w:val="1"/>
    </w:pPr>
    <w:rPr>
      <w:rFonts w:ascii="Calibri Light" w:hAnsi="Calibri Light" w:eastAsia="" w:cs="" w:asciiTheme="majorHAnsi" w:cstheme="majorBidi" w:eastAsiaTheme="majorEastAsia" w:hAnsiTheme="majorHAnsi"/>
      <w:color w:themeColor="accent1" w:themeShade="bf" w:val="2E74B5"/>
      <w:sz w:val="26"/>
      <w:szCs w:val="26"/>
    </w:rPr>
  </w:style>
  <w:style w:type="paragraph" w:styleId="Heading3">
    <w:name w:val="heading 3"/>
    <w:basedOn w:val="Normal"/>
    <w:next w:val="Normal"/>
    <w:link w:val="Heading3Char"/>
    <w:uiPriority w:val="9"/>
    <w:unhideWhenUsed/>
    <w:qFormat/>
    <w:rsid w:val="001c599d"/>
    <w:pPr>
      <w:keepNext w:val="true"/>
      <w:keepLines/>
      <w:spacing w:before="0" w:after="0"/>
      <w:outlineLvl w:val="2"/>
    </w:pPr>
    <w:rPr>
      <w:rFonts w:ascii="Calibri Light" w:hAnsi="Calibri Light" w:eastAsia="" w:cs="" w:asciiTheme="majorHAnsi" w:cstheme="majorBidi" w:eastAsiaTheme="majorEastAsia" w:hAnsiTheme="majorHAnsi"/>
      <w:color w:themeColor="accent1" w:themeShade="7f" w:val="1F4D78"/>
      <w:sz w:val="24"/>
      <w:szCs w:val="24"/>
    </w:rPr>
  </w:style>
  <w:style w:type="paragraph" w:styleId="Heading4">
    <w:name w:val="heading 4"/>
    <w:basedOn w:val="Normal"/>
    <w:next w:val="Normal"/>
    <w:link w:val="Heading4Char"/>
    <w:uiPriority w:val="9"/>
    <w:unhideWhenUsed/>
    <w:qFormat/>
    <w:rsid w:val="002f28f2"/>
    <w:pPr>
      <w:keepNext w:val="true"/>
      <w:keepLines/>
      <w:spacing w:before="40" w:after="0"/>
      <w:outlineLvl w:val="3"/>
    </w:pPr>
    <w:rPr>
      <w:rFonts w:ascii="Calibri Light" w:hAnsi="Calibri Light" w:eastAsia="" w:cs="" w:asciiTheme="majorHAnsi" w:cstheme="majorBidi" w:eastAsiaTheme="majorEastAsia" w:hAnsiTheme="majorHAnsi"/>
      <w:i/>
      <w:iCs/>
      <w:color w:themeColor="accent1" w:themeShade="bf" w:val="2E74B5"/>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d40c61"/>
    <w:rPr>
      <w:rFonts w:ascii="Calibri Light" w:hAnsi="Calibri Light" w:eastAsia="" w:cs="" w:asciiTheme="majorHAnsi" w:cstheme="majorBidi" w:eastAsiaTheme="majorEastAsia" w:hAnsiTheme="majorHAnsi"/>
      <w:color w:themeColor="accent1" w:themeShade="bf" w:val="2E74B5"/>
      <w:sz w:val="32"/>
      <w:szCs w:val="32"/>
    </w:rPr>
  </w:style>
  <w:style w:type="character" w:styleId="Hyperlink">
    <w:name w:val="Hyperlink"/>
    <w:basedOn w:val="DefaultParagraphFont"/>
    <w:uiPriority w:val="99"/>
    <w:unhideWhenUsed/>
    <w:rsid w:val="00244604"/>
    <w:rPr>
      <w:color w:themeColor="hyperlink" w:val="0563C1"/>
      <w:u w:val="single"/>
    </w:rPr>
  </w:style>
  <w:style w:type="character" w:styleId="Heading2Char" w:customStyle="1">
    <w:name w:val="Heading 2 Char"/>
    <w:basedOn w:val="DefaultParagraphFont"/>
    <w:link w:val="Heading2"/>
    <w:uiPriority w:val="9"/>
    <w:qFormat/>
    <w:rsid w:val="00e07387"/>
    <w:rPr>
      <w:rFonts w:ascii="Calibri Light" w:hAnsi="Calibri Light" w:eastAsia="" w:cs="" w:asciiTheme="majorHAnsi" w:cstheme="majorBidi" w:eastAsiaTheme="majorEastAsia" w:hAnsiTheme="majorHAnsi"/>
      <w:color w:themeColor="accent1" w:themeShade="bf" w:val="2E74B5"/>
      <w:sz w:val="26"/>
      <w:szCs w:val="26"/>
    </w:rPr>
  </w:style>
  <w:style w:type="character" w:styleId="TitleChar" w:customStyle="1">
    <w:name w:val="Title Char"/>
    <w:basedOn w:val="DefaultParagraphFont"/>
    <w:link w:val="Title"/>
    <w:uiPriority w:val="10"/>
    <w:qFormat/>
    <w:rsid w:val="00dd3ad3"/>
    <w:rPr>
      <w:rFonts w:ascii="Calibri Light" w:hAnsi="Calibri Light" w:eastAsia="" w:cs="" w:asciiTheme="majorHAnsi" w:cstheme="majorBidi" w:eastAsiaTheme="majorEastAsia" w:hAnsiTheme="majorHAnsi"/>
      <w:spacing w:val="-10"/>
      <w:kern w:val="2"/>
      <w:sz w:val="56"/>
      <w:szCs w:val="56"/>
    </w:rPr>
  </w:style>
  <w:style w:type="character" w:styleId="HeaderChar" w:customStyle="1">
    <w:name w:val="Header Char"/>
    <w:basedOn w:val="DefaultParagraphFont"/>
    <w:link w:val="Header"/>
    <w:uiPriority w:val="99"/>
    <w:qFormat/>
    <w:rsid w:val="00f41a70"/>
    <w:rPr/>
  </w:style>
  <w:style w:type="character" w:styleId="FooterChar" w:customStyle="1">
    <w:name w:val="Footer Char"/>
    <w:basedOn w:val="DefaultParagraphFont"/>
    <w:link w:val="Footer"/>
    <w:uiPriority w:val="99"/>
    <w:qFormat/>
    <w:rsid w:val="00f41a70"/>
    <w:rPr/>
  </w:style>
  <w:style w:type="character" w:styleId="Strong">
    <w:name w:val="Strong"/>
    <w:basedOn w:val="DefaultParagraphFont"/>
    <w:uiPriority w:val="22"/>
    <w:qFormat/>
    <w:rsid w:val="00b32b4a"/>
    <w:rPr>
      <w:b/>
      <w:bCs/>
    </w:rPr>
  </w:style>
  <w:style w:type="character" w:styleId="BodyTextChar" w:customStyle="1">
    <w:name w:val="Body Text Char"/>
    <w:basedOn w:val="DefaultParagraphFont"/>
    <w:uiPriority w:val="1"/>
    <w:qFormat/>
    <w:rsid w:val="005109e3"/>
    <w:rPr>
      <w:rFonts w:ascii="Times New Roman" w:hAnsi="Times New Roman" w:eastAsia="Times New Roman" w:cs="Times New Roman"/>
      <w:sz w:val="24"/>
      <w:szCs w:val="24"/>
    </w:rPr>
  </w:style>
  <w:style w:type="character" w:styleId="FollowedHyperlink">
    <w:name w:val="FollowedHyperlink"/>
    <w:basedOn w:val="DefaultParagraphFont"/>
    <w:uiPriority w:val="99"/>
    <w:semiHidden/>
    <w:unhideWhenUsed/>
    <w:rsid w:val="008313a0"/>
    <w:rPr>
      <w:color w:themeColor="followedHyperlink" w:val="954F72"/>
      <w:u w:val="single"/>
    </w:rPr>
  </w:style>
  <w:style w:type="character" w:styleId="UnresolvedMention1" w:customStyle="1">
    <w:name w:val="Unresolved Mention1"/>
    <w:basedOn w:val="DefaultParagraphFont"/>
    <w:uiPriority w:val="99"/>
    <w:semiHidden/>
    <w:unhideWhenUsed/>
    <w:qFormat/>
    <w:rsid w:val="00d40267"/>
    <w:rPr>
      <w:color w:val="605E5C"/>
      <w:shd w:fill="E1DFDD" w:val="clear"/>
    </w:rPr>
  </w:style>
  <w:style w:type="character" w:styleId="BalloonTextChar" w:customStyle="1">
    <w:name w:val="Balloon Text Char"/>
    <w:basedOn w:val="DefaultParagraphFont"/>
    <w:link w:val="BalloonText"/>
    <w:uiPriority w:val="99"/>
    <w:semiHidden/>
    <w:qFormat/>
    <w:rsid w:val="00e1607c"/>
    <w:rPr>
      <w:rFonts w:ascii="Segoe UI" w:hAnsi="Segoe UI" w:cs="Segoe UI"/>
      <w:sz w:val="18"/>
      <w:szCs w:val="18"/>
    </w:rPr>
  </w:style>
  <w:style w:type="character" w:styleId="Heading3Char" w:customStyle="1">
    <w:name w:val="Heading 3 Char"/>
    <w:basedOn w:val="DefaultParagraphFont"/>
    <w:link w:val="Heading3"/>
    <w:uiPriority w:val="9"/>
    <w:qFormat/>
    <w:rsid w:val="001c599d"/>
    <w:rPr>
      <w:rFonts w:ascii="Calibri Light" w:hAnsi="Calibri Light" w:eastAsia="" w:cs="" w:asciiTheme="majorHAnsi" w:cstheme="majorBidi" w:eastAsiaTheme="majorEastAsia" w:hAnsiTheme="majorHAnsi"/>
      <w:color w:themeColor="accent1" w:themeShade="7f" w:val="1F4D78"/>
      <w:sz w:val="24"/>
      <w:szCs w:val="24"/>
    </w:rPr>
  </w:style>
  <w:style w:type="character" w:styleId="Heading4Char" w:customStyle="1">
    <w:name w:val="Heading 4 Char"/>
    <w:basedOn w:val="DefaultParagraphFont"/>
    <w:link w:val="Heading4"/>
    <w:uiPriority w:val="9"/>
    <w:qFormat/>
    <w:rsid w:val="002f28f2"/>
    <w:rPr>
      <w:rFonts w:ascii="Calibri Light" w:hAnsi="Calibri Light" w:eastAsia="" w:cs="" w:asciiTheme="majorHAnsi" w:cstheme="majorBidi" w:eastAsiaTheme="majorEastAsia" w:hAnsiTheme="majorHAnsi"/>
      <w:i/>
      <w:iCs/>
      <w:color w:themeColor="accent1" w:themeShade="bf" w:val="2E74B5"/>
    </w:rPr>
  </w:style>
  <w:style w:type="character" w:styleId="CommentReference">
    <w:name w:val="annotation reference"/>
    <w:basedOn w:val="DefaultParagraphFont"/>
    <w:uiPriority w:val="99"/>
    <w:semiHidden/>
    <w:unhideWhenUsed/>
    <w:qFormat/>
    <w:rsid w:val="006f5f75"/>
    <w:rPr>
      <w:sz w:val="16"/>
      <w:szCs w:val="16"/>
    </w:rPr>
  </w:style>
  <w:style w:type="character" w:styleId="CommentTextChar" w:customStyle="1">
    <w:name w:val="Comment Text Char"/>
    <w:basedOn w:val="DefaultParagraphFont"/>
    <w:link w:val="CommentText"/>
    <w:uiPriority w:val="99"/>
    <w:semiHidden/>
    <w:qFormat/>
    <w:rsid w:val="006f5f75"/>
    <w:rPr>
      <w:sz w:val="20"/>
      <w:szCs w:val="20"/>
    </w:rPr>
  </w:style>
  <w:style w:type="character" w:styleId="CommentSubjectChar" w:customStyle="1">
    <w:name w:val="Comment Subject Char"/>
    <w:basedOn w:val="CommentTextChar"/>
    <w:link w:val="annotationsubject"/>
    <w:uiPriority w:val="99"/>
    <w:semiHidden/>
    <w:qFormat/>
    <w:rsid w:val="006f5f75"/>
    <w:rPr>
      <w:b/>
      <w:bCs/>
      <w:sz w:val="20"/>
      <w:szCs w:val="20"/>
    </w:rPr>
  </w:style>
  <w:style w:type="character" w:styleId="UnresolvedMention2" w:customStyle="1">
    <w:name w:val="Unresolved Mention2"/>
    <w:basedOn w:val="DefaultParagraphFont"/>
    <w:uiPriority w:val="99"/>
    <w:semiHidden/>
    <w:unhideWhenUsed/>
    <w:qFormat/>
    <w:rsid w:val="00c277b7"/>
    <w:rPr>
      <w:color w:val="605E5C"/>
      <w:shd w:fill="E1DFDD" w:val="clear"/>
    </w:rPr>
  </w:style>
  <w:style w:type="character" w:styleId="normaltextrun" w:customStyle="1">
    <w:name w:val="normaltextrun"/>
    <w:basedOn w:val="DefaultParagraphFont"/>
    <w:qFormat/>
    <w:rsid w:val="00f53726"/>
    <w:rPr/>
  </w:style>
  <w:style w:type="character" w:styleId="eop" w:customStyle="1">
    <w:name w:val="eop"/>
    <w:basedOn w:val="DefaultParagraphFont"/>
    <w:qFormat/>
    <w:rsid w:val="00f53726"/>
    <w:rPr/>
  </w:style>
  <w:style w:type="character" w:styleId="Emphasis">
    <w:name w:val="Emphasis"/>
    <w:basedOn w:val="DefaultParagraphFont"/>
    <w:uiPriority w:val="20"/>
    <w:qFormat/>
    <w:rsid w:val="00374fd7"/>
    <w:rPr>
      <w:i/>
      <w:iCs/>
    </w:rPr>
  </w:style>
  <w:style w:type="character" w:styleId="screenreader-only" w:customStyle="1">
    <w:name w:val="screenreader-only"/>
    <w:basedOn w:val="DefaultParagraphFont"/>
    <w:qFormat/>
    <w:rsid w:val="00985608"/>
    <w:rPr/>
  </w:style>
  <w:style w:type="character" w:styleId="UnresolvedMention">
    <w:name w:val="Unresolved Mention"/>
    <w:basedOn w:val="DefaultParagraphFont"/>
    <w:uiPriority w:val="99"/>
    <w:semiHidden/>
    <w:unhideWhenUsed/>
    <w:qFormat/>
    <w:rsid w:val="00524be2"/>
    <w:rPr>
      <w:color w:val="605E5C"/>
      <w:shd w:fill="E1DFDD" w:val="clear"/>
    </w:rPr>
  </w:style>
  <w:style w:type="paragraph" w:styleId="Heading" w:customStyle="1">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link w:val="BodyTextChar"/>
    <w:uiPriority w:val="1"/>
    <w:unhideWhenUsed/>
    <w:qFormat/>
    <w:rsid w:val="005109e3"/>
    <w:pPr>
      <w:widowControl w:val="false"/>
      <w:spacing w:lineRule="auto" w:line="240" w:before="0" w:after="0"/>
      <w:ind w:left="100"/>
    </w:pPr>
    <w:rPr>
      <w:rFonts w:ascii="Times New Roman" w:hAnsi="Times New Roman" w:eastAsia="Times New Roman" w:cs="Times New Roman"/>
      <w:sz w:val="24"/>
      <w:szCs w:val="24"/>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1"/>
    <w:basedOn w:val="Normal"/>
    <w:qFormat/>
    <w:pPr>
      <w:suppressLineNumbers/>
      <w:spacing w:before="120" w:after="120"/>
    </w:pPr>
    <w:rPr>
      <w:rFonts w:cs="Lohit Devanagari"/>
      <w:i/>
      <w:iCs/>
      <w:sz w:val="24"/>
      <w:szCs w:val="24"/>
    </w:rPr>
  </w:style>
  <w:style w:type="paragraph" w:styleId="ListParagraph">
    <w:name w:val="List Paragraph"/>
    <w:basedOn w:val="Normal"/>
    <w:uiPriority w:val="34"/>
    <w:qFormat/>
    <w:rsid w:val="00271577"/>
    <w:pPr>
      <w:spacing w:before="0" w:after="160"/>
      <w:ind w:left="720"/>
      <w:contextualSpacing/>
    </w:pPr>
    <w:rPr/>
  </w:style>
  <w:style w:type="paragraph" w:styleId="Title">
    <w:name w:val="Title"/>
    <w:basedOn w:val="Normal"/>
    <w:next w:val="Normal"/>
    <w:link w:val="TitleChar"/>
    <w:uiPriority w:val="10"/>
    <w:qFormat/>
    <w:rsid w:val="00dd3ad3"/>
    <w:pPr>
      <w:spacing w:lineRule="auto" w:line="240"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HeaderandFooter" w:customStyle="1">
    <w:name w:val="Header and Footer"/>
    <w:basedOn w:val="Normal"/>
    <w:qFormat/>
    <w:pPr/>
    <w:rPr/>
  </w:style>
  <w:style w:type="paragraph" w:styleId="Header">
    <w:name w:val="header"/>
    <w:basedOn w:val="Normal"/>
    <w:link w:val="HeaderChar"/>
    <w:uiPriority w:val="99"/>
    <w:unhideWhenUsed/>
    <w:rsid w:val="00f41a70"/>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f41a70"/>
    <w:pPr>
      <w:tabs>
        <w:tab w:val="clear" w:pos="720"/>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e1607c"/>
    <w:pPr>
      <w:spacing w:lineRule="auto" w:line="240" w:before="0" w:after="0"/>
    </w:pPr>
    <w:rPr>
      <w:rFonts w:ascii="Segoe UI" w:hAnsi="Segoe UI" w:cs="Segoe UI"/>
      <w:sz w:val="18"/>
      <w:szCs w:val="18"/>
    </w:rPr>
  </w:style>
  <w:style w:type="paragraph" w:styleId="CommentText">
    <w:name w:val="annotation text"/>
    <w:basedOn w:val="Normal"/>
    <w:link w:val="CommentTextChar"/>
    <w:uiPriority w:val="99"/>
    <w:semiHidden/>
    <w:unhideWhenUsed/>
    <w:qFormat/>
    <w:rsid w:val="006f5f75"/>
    <w:pPr>
      <w:spacing w:lineRule="auto" w:line="240"/>
    </w:pPr>
    <w:rPr>
      <w:sz w:val="20"/>
      <w:szCs w:val="20"/>
    </w:rPr>
  </w:style>
  <w:style w:type="paragraph" w:styleId="annotationsubject">
    <w:name w:val="annotation subject"/>
    <w:basedOn w:val="CommentText"/>
    <w:next w:val="CommentText"/>
    <w:link w:val="CommentSubjectChar"/>
    <w:uiPriority w:val="99"/>
    <w:semiHidden/>
    <w:unhideWhenUsed/>
    <w:qFormat/>
    <w:rsid w:val="006f5f75"/>
    <w:pPr/>
    <w:rPr>
      <w:b/>
      <w:bCs/>
    </w:rPr>
  </w:style>
  <w:style w:type="paragraph" w:styleId="paragraph" w:customStyle="1">
    <w:name w:val="paragraph"/>
    <w:basedOn w:val="Normal"/>
    <w:qFormat/>
    <w:rsid w:val="00f53726"/>
    <w:pPr>
      <w:spacing w:lineRule="auto" w:line="240" w:beforeAutospacing="1" w:afterAutospacing="1"/>
    </w:pPr>
    <w:rPr>
      <w:rFonts w:ascii="Times New Roman" w:hAnsi="Times New Roman" w:eastAsia="Times New Roman" w:cs="Times New Roman"/>
      <w:sz w:val="24"/>
      <w:szCs w:val="24"/>
      <w:lang w:eastAsia="ja-JP"/>
    </w:rPr>
  </w:style>
  <w:style w:type="paragraph" w:styleId="NormalWeb">
    <w:name w:val="Normal (Web)"/>
    <w:basedOn w:val="Normal"/>
    <w:uiPriority w:val="99"/>
    <w:unhideWhenUsed/>
    <w:qFormat/>
    <w:rsid w:val="00020a3a"/>
    <w:pPr>
      <w:spacing w:lineRule="auto" w:line="240" w:beforeAutospacing="1" w:afterAutospacing="1"/>
    </w:pPr>
    <w:rPr>
      <w:rFonts w:ascii="Times New Roman" w:hAnsi="Times New Roman" w:eastAsia="Times New Roman" w:cs="Times New Roman"/>
      <w:sz w:val="24"/>
      <w:szCs w:val="24"/>
      <w:lang w:eastAsia="ja-JP"/>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6e25c5"/>
    <w:rPr>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unt.zoom.us/j/85768106388" TargetMode="External"/><Relationship Id="rId3" Type="http://schemas.openxmlformats.org/officeDocument/2006/relationships/hyperlink" Target="https://www.webassign.net/manual/student_guide/t_s_vt_canvas.htm" TargetMode="External"/><Relationship Id="rId4" Type="http://schemas.openxmlformats.org/officeDocument/2006/relationships/hyperlink" Target="https://www.cengage.com/coursepages/UNT_WebAssign_FALL231" TargetMode="External"/><Relationship Id="rId5" Type="http://schemas.openxmlformats.org/officeDocument/2006/relationships/hyperlink" Target="https://clear.unt.edu/supported-technologies/canvas/requirements" TargetMode="External"/><Relationship Id="rId6" Type="http://schemas.openxmlformats.org/officeDocument/2006/relationships/hyperlink" Target="https://clear.unt.edu/supported-technologies/canvas/requirements" TargetMode="External"/><Relationship Id="rId7" Type="http://schemas.openxmlformats.org/officeDocument/2006/relationships/hyperlink" Target="http://www.unt.edu/helpdesk/index.htm" TargetMode="External"/><Relationship Id="rId8" Type="http://schemas.openxmlformats.org/officeDocument/2006/relationships/hyperlink" Target="mailto:helpdesk@unt.edu" TargetMode="External"/><Relationship Id="rId9" Type="http://schemas.openxmlformats.org/officeDocument/2006/relationships/hyperlink" Target="https://community.canvaslms.com/docs/DOC-10554-4212710328" TargetMode="External"/><Relationship Id="rId10" Type="http://schemas.openxmlformats.org/officeDocument/2006/relationships/hyperlink" Target="https://studentaffairs.unt.edu/student-health-and-wellness-center" TargetMode="External"/><Relationship Id="rId11" Type="http://schemas.openxmlformats.org/officeDocument/2006/relationships/hyperlink" Target="https://studentaffairs.unt.edu/counseling-and-testing-services" TargetMode="External"/><Relationship Id="rId12" Type="http://schemas.openxmlformats.org/officeDocument/2006/relationships/hyperlink" Target="https://studentaffairs.unt.edu/care" TargetMode="External"/><Relationship Id="rId13" Type="http://schemas.openxmlformats.org/officeDocument/2006/relationships/hyperlink" Target="https://studentaffairs.unt.edu/student-health-and-wellness-center/services/psychiatry" TargetMode="External"/><Relationship Id="rId14" Type="http://schemas.openxmlformats.org/officeDocument/2006/relationships/hyperlink" Target="https://studentaffairs.unt.edu/counseling-and-testing-services/services/individual-counseling" TargetMode="External"/><Relationship Id="rId15" Type="http://schemas.openxmlformats.org/officeDocument/2006/relationships/hyperlink" Target="../../../../../C:/Users/jdl0126/AppData/Local/Temp/OneNote/16.0/NT/0/Registrar" TargetMode="External"/><Relationship Id="rId16" Type="http://schemas.openxmlformats.org/officeDocument/2006/relationships/hyperlink" Target="https://financialaid.unt.edu/" TargetMode="External"/><Relationship Id="rId17" Type="http://schemas.openxmlformats.org/officeDocument/2006/relationships/hyperlink" Target="https://studentaffairs.unt.edu/student-legal-services" TargetMode="External"/><Relationship Id="rId18" Type="http://schemas.openxmlformats.org/officeDocument/2006/relationships/hyperlink" Target="https://studentaffairs.unt.edu/career-center" TargetMode="External"/><Relationship Id="rId19" Type="http://schemas.openxmlformats.org/officeDocument/2006/relationships/hyperlink" Target="https://edo.unt.edu/multicultural-center" TargetMode="External"/><Relationship Id="rId20" Type="http://schemas.openxmlformats.org/officeDocument/2006/relationships/hyperlink" Target="https://studentaffairs.unt.edu/counseling-and-testing-services" TargetMode="External"/><Relationship Id="rId21" Type="http://schemas.openxmlformats.org/officeDocument/2006/relationships/hyperlink" Target="https://edo.unt.edu/pridealliance" TargetMode="External"/><Relationship Id="rId22" Type="http://schemas.openxmlformats.org/officeDocument/2006/relationships/hyperlink" Target="https://deanofstudents.unt.edu/resources/food-pantry" TargetMode="External"/><Relationship Id="rId23" Type="http://schemas.openxmlformats.org/officeDocument/2006/relationships/hyperlink" Target="https://clear.unt.edu/canvas/student-resources" TargetMode="External"/><Relationship Id="rId24" Type="http://schemas.openxmlformats.org/officeDocument/2006/relationships/hyperlink" Target="https://success.unt.edu/asc" TargetMode="External"/><Relationship Id="rId25" Type="http://schemas.openxmlformats.org/officeDocument/2006/relationships/hyperlink" Target="https://library.unt.edu/" TargetMode="External"/><Relationship Id="rId26" Type="http://schemas.openxmlformats.org/officeDocument/2006/relationships/hyperlink" Target="http://writingcenter.unt.edu/" TargetMode="External"/><Relationship Id="rId27" Type="http://schemas.openxmlformats.org/officeDocument/2006/relationships/hyperlink" Target="https://math.unt.edu/mathlab" TargetMode="External"/><Relationship Id="rId28" Type="http://schemas.openxmlformats.org/officeDocument/2006/relationships/hyperlink" Target="https://disability.unt.edu/" TargetMode="External"/><Relationship Id="rId29" Type="http://schemas.openxmlformats.org/officeDocument/2006/relationships/hyperlink" Target="https://disability.unt.edu/" TargetMode="External"/><Relationship Id="rId30" Type="http://schemas.openxmlformats.org/officeDocument/2006/relationships/footer" Target="footer1.xml"/><Relationship Id="rId31" Type="http://schemas.openxmlformats.org/officeDocument/2006/relationships/footer" Target="footer2.xml"/><Relationship Id="rId32" Type="http://schemas.openxmlformats.org/officeDocument/2006/relationships/footer" Target="footer3.xml"/><Relationship Id="rId33" Type="http://schemas.openxmlformats.org/officeDocument/2006/relationships/numbering" Target="numbering.xml"/><Relationship Id="rId34" Type="http://schemas.openxmlformats.org/officeDocument/2006/relationships/fontTable" Target="fontTable.xml"/><Relationship Id="rId35" Type="http://schemas.openxmlformats.org/officeDocument/2006/relationships/settings" Target="settings.xml"/><Relationship Id="rId3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268</TotalTime>
  <Application>LibreOffice/25.2.3.2$Linux_X86_64 LibreOffice_project/520$Build-2</Application>
  <AppVersion>15.0000</AppVersion>
  <Pages>6</Pages>
  <Words>1621</Words>
  <Characters>9545</Characters>
  <CharactersWithSpaces>10991</CharactersWithSpaces>
  <Paragraphs>166</Paragraphs>
  <Company>University of North Texas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2023-08-02T03:40:00Z</dcterms:created>
  <dc:creator>Marsden, Anna</dc:creator>
  <dc:description/>
  <dc:language>en-US</dc:language>
  <cp:lastModifiedBy/>
  <dcterms:modified xsi:type="dcterms:W3CDTF">2025-08-21T09:56:06Z</dcterms:modified>
  <cp:revision>74</cp:revision>
  <dc:subject/>
  <dc:title/>
</cp:coreProperties>
</file>

<file path=docProps/custom.xml><?xml version="1.0" encoding="utf-8"?>
<Properties xmlns="http://schemas.openxmlformats.org/officeDocument/2006/custom-properties" xmlns:vt="http://schemas.openxmlformats.org/officeDocument/2006/docPropsVTypes"/>
</file>