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Raven K. Gipson-Washington, M.A.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Doctoral Student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University of North Texas, Department of Psychology, Counseling Psychology Program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ravengipson-washington@my.unt.edu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www.ravenkye.com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Doctor of Philosophy in Counseling Psychology, University of North Texas,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Anticipated Graduation 2029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Concentration: Culture, Identity, and Wellbeing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Master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Clinical Psychology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Texas A&amp;M University-Corpus Christi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Phi Kappa Phi Honor Society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Concentration: Thesis - A mental health literacy intervention to improve psychological help-seeking attitudes and intentions in African Americans.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61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61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Bachelor of Arts in Psychology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Arizona State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2019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611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Psi Chi International Honor Society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Associate of Arts in Business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Skagit Valley College-Whidbey Island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right="658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Phi Theta Kappa International Honor Society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right="658" w:firstLine="15.000000000000002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65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658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HONORS, AWARDS, SCHOLARSHIPS &amp; GRANTS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65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Departmental Match for CLASS Summer 2025 Graduate Student Support Grant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($200)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Psychology, University of North Texas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Summer 2025 Graduate Student Support Grant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($400)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Liberal Arts and Social Sciences, University of North Texas – 2025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Summer Texas Public Education Grant Graduate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($2,000)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North Texas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Tuition Grant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Graduate ($3,000)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North Texas –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Toulouse Graduate School Academic Achievement Scholarship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($1,000)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North Texas – 2024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Outstanding Master’s Student Award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($1,000)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Texas A&amp;M University-Corpus Christi – 2024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Recognizes graduate students whose academic achievements and current research display a high level of excellence and distinction. This award distinguishes students of exceptional ability who show promise for significant future achievement.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1st Place Winner of 3-Minute Thesis Competition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($1,000)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Texas A&amp;M University-Corpus Christi – 2024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research communication competition where graduate students present their thesis (or dissertation) research in just three minutes, using only one slide, to a non-specialist audience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0" w:right="65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0" w:right="65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65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2024 – Current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 Assistant,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Black Women’s Wellness (BWell) Lab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National Science Foundation Grant-Funded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Psychology, University of North Texas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principal Investigator: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Martinique K. Jones, Ph.D.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2024 – Current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 Assistant,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Grief, Loss, and Trauma (GLT) Lab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Department of Psychology, University of North Texas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principal Investigator: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NaYeon Yang, Ph.D.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2024 – January 2025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 Assistant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Michigan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Principal Investigator: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Isis Settles, Ph.D.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2022 – November 2022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Research Assistant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3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Texas A&amp;M University-Corpus Christi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3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Amy E. Houlihan, Ph.D.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8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Assisted program administration in constructing a proposal to present to executive administration for the development of a Bachelor of Social Work program at Texas A&amp;M University-Corpus Christi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1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2022 – August 2022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 Assistant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3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Texas A&amp;M University-Corpus Christi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3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principal Investigator: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Susan L. Longley, Ph.D.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18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CLINICAL EXPERIENCE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2024 - Current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Practicum Student-Clinician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North Texas Psychology Clinic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7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Participate in weekly practicum team meetings and observe and engage with upper year case presentations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7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 consultation with an upper year student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7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case conceptualization paper based on consultation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7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Engage in foundational clinical training through observation, discussion, and applied conceptual work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2024 - Current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Owner &amp; Mental Health and Wellness Coach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Raven K. Gipson-Washington, MA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6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Goal-directed, strengths-based mental health and wellness coaching, implementing cognitive-behavioral and acceptance and commitment based approaches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2023 – May 2024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Practicum Student-Clinician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Kathryn W. Soward, Ph.D. 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psychotherapy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Administered psychological assessments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Wrote psychological reports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treatment plans tailored to each individual client, couple, or family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progress notes after each psychotherapeutic session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and protected client mental health records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classroom observations in early childhood development centers to identify behavior management issues in children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consultations with early childhood education teachers concerning behavior management techniques and self-care outside the classroom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Assisted in conducting evaluations concerning defendants’ competency to stand trial to support legal proceedings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5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Wrote psychological reports adhering to the judicial standards for determining competency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2019 – November 2019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Child Life Assistant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Driscoll Children’s Hospital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age-appropriate play opportunities to children and adolescents from birth to age 18 and beyond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customized play opportunities for ICU patients with severe disabilities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Spent quality time with patients who were paralyzed, comatose, or severely disabled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Brainstormed and created safe play opportunities for groups of pediatric patients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healthy distractions to parents of patients via crossword puzzles, coloring books, etc.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in accordance with HIPPA rules and regulations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Documented patient encounters including patient affect and any significant observations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Organized and maintained stock in Child Life supply closet and playroom cabinets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9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all in-patient hospital playrooms and game rooms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right="190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2018 – March 2019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Certified Medical Scribe Specialist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Proscribe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as both a family medicine scribe and an emergency medicine scribe completed patients’ electronic medical record using both eClinicalWorks and MEDITECH through real-time documentation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Made phone calls to external specialists, primary care physicians, laboratory and imaging departments, etc., to schedule consultations and to admit emergency department patients to the hospital; admitted, discharged, and transferred patients from the emergency department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in accordance with HIPAA rules and regulations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2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Obtained Certified Medical Scribe Specialist certification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0" w:right="190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2024 – December 2024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Teaching Assistant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288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North Texas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4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PSYC 4030 – Multicultural Psychology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2023 – May 2024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Teaching Assistant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Texas A&amp;M University-Corpus Christi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PSYC 5343 – Intellectual Assessment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PSYC 5344 – Personality Assessment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PSYC 5311 – Research Methods and Statistics I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PSYC 5312 – Research Methods and Statistics II)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SERVICE &amp;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 Student Representative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(Elected)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2025 - Current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University of North Texas – Ph.D. in Counseling Psychology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Texas State Representative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2025 - Current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American Psychological Association: Division 17 – Society of Counseling Psychology, Student Affiliates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(Elected)</w:t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2025 – Current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University of North Texas’ Student Circle Chapter of the Association of Black Psychologists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 &amp; TRAININGS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April 2025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Sawubona Healing Circle Facilitator, Association of Black Psychologists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August 2024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QPR Gatekeeper, University of North Texas, QPR Institute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March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Deliberate Practice in Multicultural Therapy, APA Publishing Books Webinars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November 2022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Socratic Dialogue: A 4-Stage Model of Discovery, Strong Star Training Initiative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June 2022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Integrated Behavioral Healthcare: What it is, How it Can be Implemented, and Why This 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Matters, Texas A&amp;M University-Corpus Christi, Department of Counseling and 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Educational Psychology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August 2019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Certified Medical Scribe Specialist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July 2017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Foundations of Positive Psychology Specialization, Coursera</w:t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MANUSCRIPTS IN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2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720" w:right="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Jones, M., Settles, I., Buchanan, N. T.,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(2025).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NSF ADVANCE 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Manuscript in Preparation.</w:t>
      </w:r>
    </w:p>
    <w:p w:rsidR="00000000" w:rsidDel="00000000" w:rsidP="00000000" w:rsidRDefault="00000000" w:rsidRPr="00000000" w14:paraId="000000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Jones, M.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(2025).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Gendered Racial Discrimination and Gendered Racial Socialization as Predictors of Mental Health Outcomes Among Strong Black Women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Manuscript in preparation.</w:t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left="748.8" w:right="36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Houlihan, A. E. (2024).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mental health literacy intervention to improve psychological help-seeking attitudes and intentions in African Americans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Manuscript in preparation.</w:t>
      </w:r>
    </w:p>
    <w:p w:rsidR="00000000" w:rsidDel="00000000" w:rsidP="00000000" w:rsidRDefault="00000000" w:rsidRPr="00000000" w14:paraId="000000B0">
      <w:pPr>
        <w:widowControl w:val="0"/>
        <w:spacing w:line="240" w:lineRule="auto"/>
        <w:ind w:left="748.8" w:right="36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41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415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PEER-REVIEWED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ind w:right="634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Jones, Martinique K. (2025, August 7–9).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Development of the Black Mental Health Education Program-Anxiety and Depression (BMHE-AD): A Culturally Grounded Mental Health Literacy Intervention for African Americans.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Poster accepted for presentation at The American Psychological Association 2025 Convention, Denver, Colorado.</w:t>
      </w:r>
    </w:p>
    <w:p w:rsidR="00000000" w:rsidDel="00000000" w:rsidP="00000000" w:rsidRDefault="00000000" w:rsidRPr="00000000" w14:paraId="000000B6">
      <w:pPr>
        <w:widowControl w:val="0"/>
        <w:spacing w:line="24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Jones, Martinique K. (2025, July 30 – August 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Black Mental Health Education Program-Anxiety and Depression: A Pilot Study of a Mental Health Literacy Intervention for African Americans.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Poster accepted for presentation at The Association of Black Psychologists 2025 Convention, Daytona Beach, Florida.</w:t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Yang, N.,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Moussa Pasha, L., Hwang, H., &amp; Stowe, M. (2025, April 2–5).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Culture in grief research: A 25-year systematic review and content analysis.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[Poster session]. Association for Death Education and Counseling 2025 Annual Conference, Albuquerque, New Mexico.</w:t>
      </w:r>
    </w:p>
    <w:p w:rsidR="00000000" w:rsidDel="00000000" w:rsidP="00000000" w:rsidRDefault="00000000" w:rsidRPr="00000000" w14:paraId="000000BA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Houlihan, A. H. (2024, July).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mental health literacy intervention to improve psychological help-seeking attitudes and intentions in African Americans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[Poster session]. The Association of Black Psychologists 2024 Convention, Phoenix, Arizona.</w:t>
      </w:r>
    </w:p>
    <w:p w:rsidR="00000000" w:rsidDel="00000000" w:rsidP="00000000" w:rsidRDefault="00000000" w:rsidRPr="00000000" w14:paraId="000000BC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Houlihan, A. H. (2024, March).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Mental Health Literacy Intervention to Improve Psychological Help-Seeking Attitudes and Intentions in African Americans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[Poster session]. The Southwestern Psychological Association 2024 Convention, San Antonio, Texas.</w:t>
      </w:r>
    </w:p>
    <w:p w:rsidR="00000000" w:rsidDel="00000000" w:rsidP="00000000" w:rsidRDefault="00000000" w:rsidRPr="00000000" w14:paraId="000000BE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Houlihan, A. H. (2024, February).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Mental Health Literacy Intervention to Improve Psychological Help-Seeking Attitudes and Intentions in African Americans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[Poster session]. The Society for Personality and Social Psychology 2024 Annual Convention, San Diego, California.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Longley, S., Martinez, D.,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Free, B., &amp; Beck, J. G. (2023, November).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Current Status and Future Directions: University Programs to Prevent Intimate Partner Violence (IPV) Using Bystander Awareness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[Poster session]. The Association for Behavioral and Cognitive Therapies 2023 Annual Convention, Seattle, Washington.</w:t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&amp; Houlihan, A. H. (2023, April).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Mental Health Literacy Intervention to Improve Psychological Treatment-Seeking Attitudes and Intentions in African Americans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[Poster session]. Symposium for Student Innovation, Research, and Creative Activities, Corpus Christi, Texas.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Comparini, L., Benkowski, H.,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(2023, March).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College Students’ Emerging Awareness of Privilege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[Poster session]. Southwest Psychological Association 2023 Convention, Frisco, Texas.</w:t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6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266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line="240" w:lineRule="auto"/>
        <w:ind w:right="141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INVITED LECTURES, PANELS, AND SPEAKING ENGAGEMENTS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ind w:right="634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ind w:left="720" w:right="259.2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Tomlinson, S., &amp; Comeaux, N. (2023, September).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Conversation Between Cohorts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Invited Panelist, Corpus Christi, Texas. </w:t>
      </w:r>
    </w:p>
    <w:p w:rsidR="00000000" w:rsidDel="00000000" w:rsidP="00000000" w:rsidRDefault="00000000" w:rsidRPr="00000000" w14:paraId="000000CC">
      <w:pPr>
        <w:widowControl w:val="0"/>
        <w:spacing w:line="240" w:lineRule="auto"/>
        <w:ind w:left="720" w:right="49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ind w:left="720" w:right="49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(2022, November).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Mental Health Literacy Intervention to Improve Psychological Treatment-Seeking Attitudes and Intentions in African Americans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Invited Lecturer for Final-Year Graduate Clinical Psychology Students, Corpus Christi, TX.</w:t>
      </w:r>
    </w:p>
    <w:p w:rsidR="00000000" w:rsidDel="00000000" w:rsidP="00000000" w:rsidRDefault="00000000" w:rsidRPr="00000000" w14:paraId="000000C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40" w:lineRule="auto"/>
        <w:ind w:left="720" w:right="26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Gipson-Washington, R. 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Gipson, H., &amp; Bennet, B. (2022, September).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Conversation Between Cohorts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Invited Panelist, Virtual, Corpus Christi, Texas. </w:t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266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63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3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INFORMATION TECHNOLOGY EXPERIENCE</w:t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right="634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63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Titanium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eClinicalWorks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MEDITECH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Microsoft Office Suite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 Suite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Statistical Package for Social Sciences (SPSS)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RStudio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SQL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63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Tableau</w:t>
      </w:r>
    </w:p>
    <w:sectPr>
      <w:footerReference r:id="rId8" w:type="default"/>
      <w:pgSz w:h="15840" w:w="12240" w:orient="portrait"/>
      <w:pgMar w:bottom="734" w:top="1142" w:left="1082" w:right="101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Raven K. Gipson-Washington, M.A. – Page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avenkye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uhRuIdenpRcYoqMwPOw0VJCBQ==">CgMxLjA4AHIhMTJWcWZrcDVYUUVfckJPcjNnRjR5dnhDWXB2Yi1IRWRa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2024-10-13T19:39:00.0000000Z</dcterms:created>
</cp:coreProperties>
</file>