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sz w:val="32"/>
          <w:szCs w:val="32"/>
        </w:rPr>
        <w:t xml:space="preserve">ARTH 4841 · HISTORIC INTERIORS</w:t>
      </w:r>
    </w:p>
    <w:p>
      <w:pPr>
        <w:spacing w:after="140" w:line="276"/>
      </w:pPr>
      <w:r>
        <w:rPr>
          <w:rFonts w:ascii="Calibri" w:cs="Calibri" w:eastAsia="Calibri" w:hAnsi="Calibri"/>
          <w:sz w:val="22"/>
          <w:szCs w:val="22"/>
        </w:rPr>
        <w:t xml:space="preserve">Syllabus, Fall 2026  ·  University of North Texas, College of Visual Arts and Design</w:t>
      </w:r>
    </w:p>
    <w:p>
      <w:pPr>
        <w:spacing w:after="140" w:line="276"/>
      </w:pPr>
      <w:r>
        <w:rPr>
          <w:rFonts w:ascii="Calibri" w:cs="Calibri" w:eastAsia="Calibri" w:hAnsi="Calibri"/>
          <w:sz w:val="22"/>
          <w:szCs w:val="22"/>
        </w:rPr>
        <w:t xml:space="preserve">Monday and Wednesday, 12:45–2:05 p.m.  ·  Art 288</w:t>
      </w:r>
    </w:p>
    <w:p>
      <w:pPr>
        <w:spacing w:after="140" w:line="276"/>
      </w:pPr>
      <w:r>
        <w:rPr>
          <w:rFonts w:ascii="Calibri" w:cs="Calibri" w:eastAsia="Calibri" w:hAnsi="Calibri"/>
          <w:b/>
          <w:bCs/>
          <w:sz w:val="22"/>
          <w:szCs w:val="22"/>
        </w:rPr>
        <w:t xml:space="preserve">Instructor  </w:t>
      </w:r>
      <w:r>
        <w:rPr>
          <w:rFonts w:ascii="Calibri" w:cs="Calibri" w:eastAsia="Calibri" w:hAnsi="Calibri"/>
          <w:sz w:val="22"/>
          <w:szCs w:val="22"/>
        </w:rPr>
        <w:t xml:space="preserve">Dr. Paula Lupkin</w:t>
      </w:r>
    </w:p>
    <w:p>
      <w:pPr>
        <w:spacing w:after="140" w:line="276"/>
      </w:pPr>
      <w:r>
        <w:rPr>
          <w:rFonts w:ascii="Calibri" w:cs="Calibri" w:eastAsia="Calibri" w:hAnsi="Calibri"/>
          <w:b/>
          <w:bCs/>
          <w:sz w:val="22"/>
          <w:szCs w:val="22"/>
        </w:rPr>
        <w:t xml:space="preserve">Office  </w:t>
      </w:r>
      <w:r>
        <w:rPr>
          <w:rFonts w:ascii="Calibri" w:cs="Calibri" w:eastAsia="Calibri" w:hAnsi="Calibri"/>
          <w:sz w:val="22"/>
          <w:szCs w:val="22"/>
        </w:rPr>
        <w:t xml:space="preserve">Art 311</w:t>
      </w:r>
    </w:p>
    <w:p>
      <w:pPr>
        <w:spacing w:after="140" w:line="276"/>
      </w:pPr>
      <w:r>
        <w:rPr>
          <w:rFonts w:ascii="Calibri" w:cs="Calibri" w:eastAsia="Calibri" w:hAnsi="Calibri"/>
          <w:b/>
          <w:bCs/>
          <w:sz w:val="22"/>
          <w:szCs w:val="22"/>
        </w:rPr>
        <w:t xml:space="preserve">Office hours  </w:t>
      </w:r>
      <w:r>
        <w:rPr>
          <w:rFonts w:ascii="Calibri" w:cs="Calibri" w:eastAsia="Calibri" w:hAnsi="Calibri"/>
          <w:sz w:val="22"/>
          <w:szCs w:val="22"/>
        </w:rPr>
        <w:t xml:space="preserve">Wednesdays 3:00–5:00 p.m. and Thursdays 4:00–6:00 p.m. No appointment is needed during posted hours; Tuesday appointments may be booked via Google Calendar at https://calendar.app.google/o1tumYgCVr4SKrNHA.</w:t>
      </w:r>
    </w:p>
    <w:p>
      <w:pPr>
        <w:spacing w:after="140" w:line="276"/>
      </w:pPr>
      <w:r>
        <w:rPr>
          <w:rFonts w:ascii="Calibri" w:cs="Calibri" w:eastAsia="Calibri" w:hAnsi="Calibri"/>
          <w:b/>
          <w:bCs/>
          <w:sz w:val="22"/>
          <w:szCs w:val="22"/>
        </w:rPr>
        <w:t xml:space="preserve">Email  </w:t>
      </w:r>
      <w:r>
        <w:rPr>
          <w:rFonts w:ascii="Calibri" w:cs="Calibri" w:eastAsia="Calibri" w:hAnsi="Calibri"/>
          <w:sz w:val="22"/>
          <w:szCs w:val="22"/>
        </w:rPr>
        <w:t xml:space="preserve">Canvas Mail. All course correspondence goes through Canvas.</w:t>
      </w:r>
    </w:p>
    <w:p>
      <w:pPr>
        <w:spacing w:after="140" w:before="300"/>
      </w:pPr>
      <w:r>
        <w:rPr>
          <w:rFonts w:ascii="Calibri" w:cs="Calibri" w:eastAsia="Calibri" w:hAnsi="Calibri"/>
          <w:b/>
          <w:bCs/>
          <w:sz w:val="26"/>
          <w:szCs w:val="26"/>
        </w:rPr>
        <w:t xml:space="preserve">Course Description</w:t>
      </w:r>
    </w:p>
    <w:p>
      <w:pPr>
        <w:spacing w:after="140" w:line="276"/>
      </w:pPr>
      <w:r>
        <w:rPr>
          <w:rFonts w:ascii="Calibri" w:cs="Calibri" w:eastAsia="Calibri" w:hAnsi="Calibri"/>
          <w:sz w:val="22"/>
          <w:szCs w:val="22"/>
        </w:rPr>
        <w:t xml:space="preserve">This course examines the interior as a historical artifact and an analytical problem. It begins with the caves of the Paleolithic period in Europe and Mesoamerica and concludes with the Crystal Palace exhibition of 1851, which many consider the first modern interior. Through lectures, readings, a visual and sensory analysis of a represented interior, several writing assignments, and sensory labs students will face the challenges and rewards of reconstructing ephemeral spaces. Sensory labs give direct access to materials that texts and images cannot convey. The focus will be on lived interiors, animated by ceremony and everyday life.</w:t>
      </w:r>
    </w:p>
    <w:p>
      <w:pPr>
        <w:spacing w:after="140" w:line="276"/>
      </w:pPr>
      <w:r>
        <w:rPr>
          <w:rFonts w:ascii="Calibri" w:cs="Calibri" w:eastAsia="Calibri" w:hAnsi="Calibri"/>
          <w:sz w:val="22"/>
          <w:szCs w:val="22"/>
        </w:rPr>
        <w:t xml:space="preserve">Case studies, from the Paleolithic cave to the Crystal Palace of 1851, establish a method for interpreting the ways humans have produced enclosure, shelter, comfort, family structure, and social relationships. The interior is an environment produced through use. Furnishings, textiles, fuel, water, service routes, and the schedules of daily life also carry important analytical weight. Those elements seldom survive, even if the shell does. In workshops and written assignments, students weave together archaeological sites, texts, inventories, probate records, travel accounts, paintings, and prints to reconstruct how painters, artisans, workers, and inhabitants understood these spaces.</w:t>
      </w:r>
    </w:p>
    <w:p>
      <w:pPr>
        <w:spacing w:after="140" w:line="276"/>
      </w:pPr>
      <w:r>
        <w:rPr>
          <w:rFonts w:ascii="Calibri" w:cs="Calibri" w:eastAsia="Calibri" w:hAnsi="Calibri"/>
          <w:sz w:val="22"/>
          <w:szCs w:val="22"/>
        </w:rPr>
        <w:t xml:space="preserve">The aim is to recover what these spaces meant to the people who made and inhabited them, and to arrive at an interpretation that reveals as much about how we understand our world as about how earlier people understood theirs.</w:t>
      </w:r>
    </w:p>
    <w:p>
      <w:pPr>
        <w:spacing w:after="140" w:before="300"/>
      </w:pPr>
      <w:r>
        <w:rPr>
          <w:rFonts w:ascii="Calibri" w:cs="Calibri" w:eastAsia="Calibri" w:hAnsi="Calibri"/>
          <w:b/>
          <w:bCs/>
          <w:sz w:val="26"/>
          <w:szCs w:val="26"/>
        </w:rPr>
        <w:t xml:space="preserve">Learning Objectives</w:t>
      </w:r>
    </w:p>
    <w:p>
      <w:pPr>
        <w:spacing w:after="140" w:line="276"/>
      </w:pPr>
      <w:r>
        <w:rPr>
          <w:rFonts w:ascii="Calibri" w:cs="Calibri" w:eastAsia="Calibri" w:hAnsi="Calibri"/>
          <w:sz w:val="22"/>
          <w:szCs w:val="22"/>
        </w:rPr>
        <w:t xml:space="preserve">With engagement and steady work, students will:</w:t>
      </w:r>
    </w:p>
    <w:p>
      <w:pPr>
        <w:pStyle w:val="ListParagraph"/>
        <w:numPr>
          <w:ilvl w:val="0"/>
          <w:numId w:val="2"/>
        </w:numPr>
        <w:spacing w:after="90" w:line="276"/>
      </w:pPr>
      <w:r>
        <w:rPr>
          <w:rFonts w:ascii="Calibri" w:cs="Calibri" w:eastAsia="Calibri" w:hAnsi="Calibri"/>
          <w:sz w:val="22"/>
          <w:szCs w:val="22"/>
        </w:rPr>
        <w:t xml:space="preserve">Analyze interiors as physical, spatial, and material objects using the vocabulary of the field and visual evidence.</w:t>
      </w:r>
    </w:p>
    <w:p>
      <w:pPr>
        <w:pStyle w:val="ListParagraph"/>
        <w:numPr>
          <w:ilvl w:val="0"/>
          <w:numId w:val="2"/>
        </w:numPr>
        <w:spacing w:after="90" w:line="276"/>
      </w:pPr>
      <w:r>
        <w:rPr>
          <w:rFonts w:ascii="Calibri" w:cs="Calibri" w:eastAsia="Calibri" w:hAnsi="Calibri"/>
          <w:sz w:val="22"/>
          <w:szCs w:val="22"/>
        </w:rPr>
        <w:t xml:space="preserve">Interpret archaeological remains, texts, inventories, images, and objects as evidence for reconstructing historic interiors.</w:t>
      </w:r>
    </w:p>
    <w:p>
      <w:pPr>
        <w:pStyle w:val="ListParagraph"/>
        <w:numPr>
          <w:ilvl w:val="0"/>
          <w:numId w:val="2"/>
        </w:numPr>
        <w:spacing w:after="90" w:line="276"/>
      </w:pPr>
      <w:r>
        <w:rPr>
          <w:rFonts w:ascii="Calibri" w:cs="Calibri" w:eastAsia="Calibri" w:hAnsi="Calibri"/>
          <w:sz w:val="22"/>
          <w:szCs w:val="22"/>
        </w:rPr>
        <w:t xml:space="preserve">Account for the interior as a space produced through use, and for the furnishings, textiles, and routines of daily life that seldom survive.</w:t>
      </w:r>
    </w:p>
    <w:p>
      <w:pPr>
        <w:pStyle w:val="ListParagraph"/>
        <w:numPr>
          <w:ilvl w:val="0"/>
          <w:numId w:val="2"/>
        </w:numPr>
        <w:spacing w:after="90" w:line="276"/>
      </w:pPr>
      <w:r>
        <w:rPr>
          <w:rFonts w:ascii="Calibri" w:cs="Calibri" w:eastAsia="Calibri" w:hAnsi="Calibri"/>
          <w:sz w:val="22"/>
          <w:szCs w:val="22"/>
        </w:rPr>
        <w:t xml:space="preserve">Gather sensory evidence in the laboratory sessions and use it to account for the lived interior rather than the visual interior.</w:t>
      </w:r>
    </w:p>
    <w:p>
      <w:pPr>
        <w:pStyle w:val="ListParagraph"/>
        <w:numPr>
          <w:ilvl w:val="0"/>
          <w:numId w:val="2"/>
        </w:numPr>
        <w:spacing w:after="90" w:line="276"/>
      </w:pPr>
      <w:r>
        <w:rPr>
          <w:rFonts w:ascii="Calibri" w:cs="Calibri" w:eastAsia="Calibri" w:hAnsi="Calibri"/>
          <w:sz w:val="22"/>
          <w:szCs w:val="22"/>
        </w:rPr>
        <w:t xml:space="preserve">Compare interiors across time and place, and use that comparison to make claims about how each was made and used.</w:t>
      </w:r>
    </w:p>
    <w:p>
      <w:pPr>
        <w:pStyle w:val="ListParagraph"/>
        <w:numPr>
          <w:ilvl w:val="0"/>
          <w:numId w:val="2"/>
        </w:numPr>
        <w:spacing w:after="90" w:line="276"/>
      </w:pPr>
      <w:r>
        <w:rPr>
          <w:rFonts w:ascii="Calibri" w:cs="Calibri" w:eastAsia="Calibri" w:hAnsi="Calibri"/>
          <w:sz w:val="22"/>
          <w:szCs w:val="22"/>
        </w:rPr>
        <w:t xml:space="preserve">Trace the movement of materials, goods, and design across cultures, and account for its effect on interiors.</w:t>
      </w:r>
    </w:p>
    <w:p>
      <w:pPr>
        <w:pStyle w:val="ListParagraph"/>
        <w:numPr>
          <w:ilvl w:val="0"/>
          <w:numId w:val="2"/>
        </w:numPr>
        <w:spacing w:after="90" w:line="276"/>
      </w:pPr>
      <w:r>
        <w:rPr>
          <w:rFonts w:ascii="Calibri" w:cs="Calibri" w:eastAsia="Calibri" w:hAnsi="Calibri"/>
          <w:sz w:val="22"/>
          <w:szCs w:val="22"/>
        </w:rPr>
        <w:t xml:space="preserve">Communicate analysis of interiors clearly in written and visual formats.</w:t>
      </w:r>
    </w:p>
    <w:p>
      <w:pPr>
        <w:pStyle w:val="ListParagraph"/>
        <w:numPr>
          <w:ilvl w:val="0"/>
          <w:numId w:val="2"/>
        </w:numPr>
        <w:spacing w:after="90" w:line="276"/>
      </w:pPr>
      <w:r>
        <w:rPr>
          <w:rFonts w:ascii="Calibri" w:cs="Calibri" w:eastAsia="Calibri" w:hAnsi="Calibri"/>
          <w:sz w:val="22"/>
          <w:szCs w:val="22"/>
        </w:rPr>
        <w:t xml:space="preserve">Develop a written interpretation through revision, extending an initial argument as further evidence is brought to it.</w:t>
      </w:r>
    </w:p>
    <w:p>
      <w:pPr>
        <w:pStyle w:val="ListParagraph"/>
        <w:numPr>
          <w:ilvl w:val="0"/>
          <w:numId w:val="2"/>
        </w:numPr>
        <w:spacing w:after="90" w:line="276"/>
      </w:pPr>
      <w:r>
        <w:rPr>
          <w:rFonts w:ascii="Calibri" w:cs="Calibri" w:eastAsia="Calibri" w:hAnsi="Calibri"/>
          <w:sz w:val="22"/>
          <w:szCs w:val="22"/>
        </w:rPr>
        <w:t xml:space="preserve">Apply the history of interiors to contemporary design practice, and recognize precedents that inform current work.</w:t>
      </w:r>
    </w:p>
    <w:p>
      <w:pPr>
        <w:pStyle w:val="ListParagraph"/>
        <w:numPr>
          <w:ilvl w:val="0"/>
          <w:numId w:val="2"/>
        </w:numPr>
        <w:spacing w:after="90" w:line="276"/>
      </w:pPr>
      <w:r>
        <w:rPr>
          <w:rFonts w:ascii="Calibri" w:cs="Calibri" w:eastAsia="Calibri" w:hAnsi="Calibri"/>
          <w:sz w:val="22"/>
          <w:szCs w:val="22"/>
        </w:rPr>
        <w:t xml:space="preserve">Practice close looking, evidence-based argument, and clear writing as skills that carry into professional work.</w:t>
      </w:r>
    </w:p>
    <w:p>
      <w:pPr>
        <w:spacing w:after="140" w:before="300"/>
      </w:pPr>
      <w:r>
        <w:rPr>
          <w:rFonts w:ascii="Calibri" w:cs="Calibri" w:eastAsia="Calibri" w:hAnsi="Calibri"/>
          <w:b/>
          <w:bCs/>
          <w:sz w:val="26"/>
          <w:szCs w:val="26"/>
        </w:rPr>
        <w:t xml:space="preserve">Required Materials</w:t>
      </w:r>
    </w:p>
    <w:p>
      <w:pPr>
        <w:pStyle w:val="ListParagraph"/>
        <w:numPr>
          <w:ilvl w:val="0"/>
          <w:numId w:val="2"/>
        </w:numPr>
        <w:spacing w:after="90" w:line="276"/>
      </w:pPr>
      <w:r>
        <w:rPr>
          <w:rFonts w:ascii="Calibri" w:cs="Calibri" w:eastAsia="Calibri" w:hAnsi="Calibri"/>
          <w:sz w:val="22"/>
          <w:szCs w:val="22"/>
        </w:rPr>
        <w:t xml:space="preserve">Access to the internet.</w:t>
      </w:r>
    </w:p>
    <w:p>
      <w:pPr>
        <w:pStyle w:val="ListParagraph"/>
        <w:numPr>
          <w:ilvl w:val="0"/>
          <w:numId w:val="2"/>
        </w:numPr>
        <w:spacing w:after="90" w:line="276"/>
      </w:pPr>
      <w:r>
        <w:rPr>
          <w:rFonts w:ascii="Calibri" w:cs="Calibri" w:eastAsia="Calibri" w:hAnsi="Calibri"/>
          <w:sz w:val="22"/>
          <w:szCs w:val="22"/>
        </w:rPr>
        <w:t xml:space="preserve">Access to Willis Library.</w:t>
      </w:r>
    </w:p>
    <w:p>
      <w:pPr>
        <w:pStyle w:val="ListParagraph"/>
        <w:numPr>
          <w:ilvl w:val="0"/>
          <w:numId w:val="2"/>
        </w:numPr>
        <w:spacing w:after="90" w:line="276"/>
      </w:pPr>
      <w:r>
        <w:rPr>
          <w:rFonts w:ascii="Calibri" w:cs="Calibri" w:eastAsia="Calibri" w:hAnsi="Calibri"/>
          <w:sz w:val="22"/>
          <w:szCs w:val="22"/>
        </w:rPr>
        <w:t xml:space="preserve">Printing.</w:t>
      </w:r>
    </w:p>
    <w:p>
      <w:pPr>
        <w:pStyle w:val="ListParagraph"/>
        <w:numPr>
          <w:ilvl w:val="0"/>
          <w:numId w:val="2"/>
        </w:numPr>
        <w:spacing w:after="90" w:line="276"/>
      </w:pPr>
      <w:r>
        <w:rPr>
          <w:rFonts w:ascii="Calibri" w:cs="Calibri" w:eastAsia="Calibri" w:hAnsi="Calibri"/>
          <w:sz w:val="22"/>
          <w:szCs w:val="22"/>
        </w:rPr>
        <w:t xml:space="preserve">A pen you can write with for the full class period. Blue books are provided.</w:t>
      </w:r>
    </w:p>
    <w:p>
      <w:pPr>
        <w:spacing w:after="140" w:line="276"/>
      </w:pPr>
      <w:r>
        <w:rPr>
          <w:rFonts w:ascii="Calibri" w:cs="Calibri" w:eastAsia="Calibri" w:hAnsi="Calibri"/>
          <w:sz w:val="22"/>
          <w:szCs w:val="22"/>
        </w:rPr>
        <w:t xml:space="preserve">The course reader is posted on Canvas. All other readings are on Canvas, on library reserve, or available online at the addresses given in the Meeting Calendar.</w:t>
      </w:r>
    </w:p>
    <w:p>
      <w:pPr>
        <w:spacing w:after="140" w:before="300"/>
      </w:pPr>
      <w:r>
        <w:rPr>
          <w:rFonts w:ascii="Calibri" w:cs="Calibri" w:eastAsia="Calibri" w:hAnsi="Calibri"/>
          <w:b/>
          <w:bCs/>
          <w:sz w:val="26"/>
          <w:szCs w:val="26"/>
        </w:rPr>
        <w:t xml:space="preserve">The Textbook and the Lectures</w:t>
      </w:r>
    </w:p>
    <w:p>
      <w:pPr>
        <w:spacing w:after="140" w:line="276"/>
      </w:pPr>
      <w:r>
        <w:rPr>
          <w:rFonts w:ascii="Calibri" w:cs="Calibri" w:eastAsia="Calibri" w:hAnsi="Calibri"/>
          <w:sz w:val="22"/>
          <w:szCs w:val="22"/>
        </w:rPr>
        <w:t xml:space="preserve">This course uses a reader, “Historic Interiors,” written by your professor specifically as a companion to lectures. The reader and the lectures are closely intertwined: the prose and the images in the book echo those in lectures and each reinforces the other. Each lecture assumes the chapter has been read, and the two work together.</w:t>
      </w:r>
    </w:p>
    <w:p>
      <w:pPr>
        <w:spacing w:after="120" w:before="220"/>
      </w:pPr>
      <w:r>
        <w:rPr>
          <w:rFonts w:ascii="Calibri" w:cs="Calibri" w:eastAsia="Calibri" w:hAnsi="Calibri"/>
          <w:b/>
          <w:bCs/>
          <w:sz w:val="23"/>
          <w:szCs w:val="23"/>
        </w:rPr>
        <w:t xml:space="preserve">Exam Preparation</w:t>
      </w:r>
    </w:p>
    <w:p>
      <w:pPr>
        <w:spacing w:after="140" w:line="276"/>
      </w:pPr>
      <w:r>
        <w:rPr>
          <w:rFonts w:ascii="Calibri" w:cs="Calibri" w:eastAsia="Calibri" w:hAnsi="Calibri"/>
          <w:sz w:val="22"/>
          <w:szCs w:val="22"/>
        </w:rPr>
        <w:t xml:space="preserve">A student who misses a class can recover most of what was covered by reading the relevant chapter closely and then meeting with me in office hours. The reading should come first; the meeting will address student questions.</w:t>
      </w:r>
    </w:p>
    <w:p>
      <w:pPr>
        <w:spacing w:after="140" w:before="300"/>
      </w:pPr>
      <w:r>
        <w:rPr>
          <w:rFonts w:ascii="Calibri" w:cs="Calibri" w:eastAsia="Calibri" w:hAnsi="Calibri"/>
          <w:b/>
          <w:bCs/>
          <w:sz w:val="26"/>
          <w:szCs w:val="26"/>
        </w:rPr>
        <w:t xml:space="preserve">Reading the Syllabus</w:t>
      </w:r>
    </w:p>
    <w:p>
      <w:pPr>
        <w:spacing w:after="140" w:line="276"/>
      </w:pPr>
      <w:r>
        <w:rPr>
          <w:rFonts w:ascii="Calibri" w:cs="Calibri" w:eastAsia="Calibri" w:hAnsi="Calibri"/>
          <w:sz w:val="22"/>
          <w:szCs w:val="22"/>
        </w:rPr>
        <w:t xml:space="preserve">The syllabus is the reference document for this course. It states what is due and when, how the grade is calculated, what the attendance and office hours requirements are, and which forms apply in which circumstance.</w:t>
      </w:r>
    </w:p>
    <w:p>
      <w:pPr>
        <w:spacing w:after="140" w:line="276"/>
      </w:pPr>
      <w:r>
        <w:rPr>
          <w:rFonts w:ascii="Calibri" w:cs="Calibri" w:eastAsia="Calibri" w:hAnsi="Calibri"/>
          <w:sz w:val="22"/>
          <w:szCs w:val="22"/>
        </w:rPr>
        <w:t xml:space="preserve">Read it in full during the first week and return to it before each assignment and each examination, since requirements differ from one assignment to the next.</w:t>
      </w:r>
    </w:p>
    <w:p>
      <w:pPr>
        <w:spacing w:after="140" w:line="276"/>
      </w:pPr>
      <w:r>
        <w:rPr>
          <w:rFonts w:ascii="Calibri" w:cs="Calibri" w:eastAsia="Calibri" w:hAnsi="Calibri"/>
          <w:sz w:val="22"/>
          <w:szCs w:val="22"/>
        </w:rPr>
        <w:t xml:space="preserve">Questions that the syllabus already answers will be answered by a pointer back to the syllabus. Office hours are the place for anything the document does not settle.</w:t>
      </w:r>
    </w:p>
    <w:p>
      <w:pPr>
        <w:spacing w:after="140" w:line="276"/>
      </w:pPr>
      <w:r>
        <w:rPr>
          <w:rFonts w:ascii="Calibri" w:cs="Calibri" w:eastAsia="Calibri" w:hAnsi="Calibri"/>
          <w:sz w:val="22"/>
          <w:szCs w:val="22"/>
        </w:rPr>
        <w:t xml:space="preserve">Each of the three examinations includes one question about course policy, drawn from the syllabus.</w:t>
      </w:r>
    </w:p>
    <w:p>
      <w:pPr>
        <w:spacing w:after="140" w:before="300"/>
      </w:pPr>
      <w:r>
        <w:rPr>
          <w:rFonts w:ascii="Calibri" w:cs="Calibri" w:eastAsia="Calibri" w:hAnsi="Calibri"/>
          <w:b/>
          <w:bCs/>
          <w:sz w:val="26"/>
          <w:szCs w:val="26"/>
        </w:rPr>
        <w:t xml:space="preserve">Grade Breakdown</w:t>
      </w:r>
    </w:p>
    <w:tbl>
      <w:tblPr>
        <w:tblW w:type="dxa" w:w="10080"/>
        <w:tblBorders>
          <w:top w:val="single" w:color="AAAAAA" w:sz="4"/>
          <w:left w:val="single" w:color="AAAAAA" w:sz="4"/>
          <w:bottom w:val="single" w:color="AAAAAA" w:sz="4"/>
          <w:right w:val="single" w:color="AAAAAA" w:sz="4"/>
          <w:insideH w:val="single" w:color="CCCCCC" w:sz="4"/>
          <w:insideV w:val="single" w:color="CCCCCC" w:sz="4"/>
        </w:tblBorders>
      </w:tblPr>
      <w:tblGrid>
        <w:gridCol w:w="7900"/>
        <w:gridCol w:w="2180"/>
      </w:tblGrid>
      <w:tr>
        <w:tc>
          <w:tcPr>
            <w:tcW w:type="dxa" w:w="7900"/>
            <w:shd w:fill="E7EDF4" w:val="clear"/>
            <w:tcMar>
              <w:top w:type="dxa" w:w="70"/>
              <w:left w:type="dxa" w:w="110"/>
              <w:bottom w:type="dxa" w:w="70"/>
              <w:right w:type="dxa" w:w="110"/>
            </w:tcMar>
          </w:tcPr>
          <w:p>
            <w:pPr>
              <w:spacing w:after="0"/>
              <w:jc w:val="left"/>
            </w:pPr>
            <w:r>
              <w:rPr>
                <w:rFonts w:ascii="Calibri" w:cs="Calibri" w:eastAsia="Calibri" w:hAnsi="Calibri"/>
                <w:b/>
                <w:bCs/>
                <w:sz w:val="22"/>
                <w:szCs w:val="22"/>
              </w:rPr>
              <w:t xml:space="preserve">Component</w:t>
            </w:r>
          </w:p>
        </w:tc>
        <w:tc>
          <w:tcPr>
            <w:tcW w:type="dxa" w:w="2180"/>
            <w:shd w:fill="E7EDF4" w:val="clear"/>
            <w:tcMar>
              <w:top w:type="dxa" w:w="70"/>
              <w:left w:type="dxa" w:w="110"/>
              <w:bottom w:type="dxa" w:w="70"/>
              <w:right w:type="dxa" w:w="110"/>
            </w:tcMar>
          </w:tcPr>
          <w:p>
            <w:pPr>
              <w:spacing w:after="0"/>
              <w:jc w:val="right"/>
            </w:pPr>
            <w:r>
              <w:rPr>
                <w:rFonts w:ascii="Calibri" w:cs="Calibri" w:eastAsia="Calibri" w:hAnsi="Calibri"/>
                <w:b/>
                <w:bCs/>
                <w:sz w:val="22"/>
                <w:szCs w:val="22"/>
              </w:rPr>
              <w:t xml:space="preserve">Weight</w:t>
            </w:r>
          </w:p>
        </w:tc>
      </w:tr>
      <w:tr>
        <w:tc>
          <w:tcPr>
            <w:tcW w:type="dxa" w:w="7900"/>
            <w:tcMar>
              <w:top w:type="dxa" w:w="70"/>
              <w:left w:type="dxa" w:w="110"/>
              <w:bottom w:type="dxa" w:w="70"/>
              <w:right w:type="dxa" w:w="110"/>
            </w:tcMar>
          </w:tcPr>
          <w:p>
            <w:pPr>
              <w:spacing w:after="0"/>
              <w:jc w:val="left"/>
            </w:pPr>
            <w:r>
              <w:rPr>
                <w:rFonts w:ascii="Calibri" w:cs="Calibri" w:eastAsia="Calibri" w:hAnsi="Calibri"/>
                <w:b w:val="false"/>
                <w:bCs w:val="false"/>
                <w:sz w:val="22"/>
                <w:szCs w:val="22"/>
              </w:rPr>
              <w:t xml:space="preserve">Three short assignments (Chair, Film Clip, Vitruvius), averaged</w:t>
            </w:r>
          </w:p>
        </w:tc>
        <w:tc>
          <w:tcPr>
            <w:tcW w:type="dxa" w:w="2180"/>
            <w:tcMar>
              <w:top w:type="dxa" w:w="70"/>
              <w:left w:type="dxa" w:w="110"/>
              <w:bottom w:type="dxa" w:w="70"/>
              <w:right w:type="dxa" w:w="110"/>
            </w:tcMar>
          </w:tcPr>
          <w:p>
            <w:pPr>
              <w:spacing w:after="0"/>
              <w:jc w:val="right"/>
            </w:pPr>
            <w:r>
              <w:rPr>
                <w:rFonts w:ascii="Calibri" w:cs="Calibri" w:eastAsia="Calibri" w:hAnsi="Calibri"/>
                <w:b w:val="false"/>
                <w:bCs w:val="false"/>
                <w:sz w:val="22"/>
                <w:szCs w:val="22"/>
              </w:rPr>
              <w:t xml:space="preserve">10%</w:t>
            </w:r>
          </w:p>
        </w:tc>
      </w:tr>
      <w:tr>
        <w:tc>
          <w:tcPr>
            <w:tcW w:type="dxa" w:w="7900"/>
            <w:tcMar>
              <w:top w:type="dxa" w:w="70"/>
              <w:left w:type="dxa" w:w="110"/>
              <w:bottom w:type="dxa" w:w="70"/>
              <w:right w:type="dxa" w:w="110"/>
            </w:tcMar>
          </w:tcPr>
          <w:p>
            <w:pPr>
              <w:spacing w:after="0"/>
              <w:jc w:val="left"/>
            </w:pPr>
            <w:r>
              <w:rPr>
                <w:rFonts w:ascii="Calibri" w:cs="Calibri" w:eastAsia="Calibri" w:hAnsi="Calibri"/>
                <w:b w:val="false"/>
                <w:bCs w:val="false"/>
                <w:sz w:val="22"/>
                <w:szCs w:val="22"/>
              </w:rPr>
              <w:t xml:space="preserve">Exam 1</w:t>
            </w:r>
          </w:p>
        </w:tc>
        <w:tc>
          <w:tcPr>
            <w:tcW w:type="dxa" w:w="2180"/>
            <w:tcMar>
              <w:top w:type="dxa" w:w="70"/>
              <w:left w:type="dxa" w:w="110"/>
              <w:bottom w:type="dxa" w:w="70"/>
              <w:right w:type="dxa" w:w="110"/>
            </w:tcMar>
          </w:tcPr>
          <w:p>
            <w:pPr>
              <w:spacing w:after="0"/>
              <w:jc w:val="right"/>
            </w:pPr>
            <w:r>
              <w:rPr>
                <w:rFonts w:ascii="Calibri" w:cs="Calibri" w:eastAsia="Calibri" w:hAnsi="Calibri"/>
                <w:b w:val="false"/>
                <w:bCs w:val="false"/>
                <w:sz w:val="22"/>
                <w:szCs w:val="22"/>
              </w:rPr>
              <w:t xml:space="preserve">15%</w:t>
            </w:r>
          </w:p>
        </w:tc>
      </w:tr>
      <w:tr>
        <w:tc>
          <w:tcPr>
            <w:tcW w:type="dxa" w:w="7900"/>
            <w:tcMar>
              <w:top w:type="dxa" w:w="70"/>
              <w:left w:type="dxa" w:w="110"/>
              <w:bottom w:type="dxa" w:w="70"/>
              <w:right w:type="dxa" w:w="110"/>
            </w:tcMar>
          </w:tcPr>
          <w:p>
            <w:pPr>
              <w:spacing w:after="0"/>
              <w:jc w:val="left"/>
            </w:pPr>
            <w:r>
              <w:rPr>
                <w:rFonts w:ascii="Calibri" w:cs="Calibri" w:eastAsia="Calibri" w:hAnsi="Calibri"/>
                <w:b w:val="false"/>
                <w:bCs w:val="false"/>
                <w:sz w:val="22"/>
                <w:szCs w:val="22"/>
              </w:rPr>
              <w:t xml:space="preserve">Exam 2</w:t>
            </w:r>
          </w:p>
        </w:tc>
        <w:tc>
          <w:tcPr>
            <w:tcW w:type="dxa" w:w="2180"/>
            <w:tcMar>
              <w:top w:type="dxa" w:w="70"/>
              <w:left w:type="dxa" w:w="110"/>
              <w:bottom w:type="dxa" w:w="70"/>
              <w:right w:type="dxa" w:w="110"/>
            </w:tcMar>
          </w:tcPr>
          <w:p>
            <w:pPr>
              <w:spacing w:after="0"/>
              <w:jc w:val="right"/>
            </w:pPr>
            <w:r>
              <w:rPr>
                <w:rFonts w:ascii="Calibri" w:cs="Calibri" w:eastAsia="Calibri" w:hAnsi="Calibri"/>
                <w:b w:val="false"/>
                <w:bCs w:val="false"/>
                <w:sz w:val="22"/>
                <w:szCs w:val="22"/>
              </w:rPr>
              <w:t xml:space="preserve">15%</w:t>
            </w:r>
          </w:p>
        </w:tc>
      </w:tr>
      <w:tr>
        <w:tc>
          <w:tcPr>
            <w:tcW w:type="dxa" w:w="7900"/>
            <w:tcMar>
              <w:top w:type="dxa" w:w="70"/>
              <w:left w:type="dxa" w:w="110"/>
              <w:bottom w:type="dxa" w:w="70"/>
              <w:right w:type="dxa" w:w="110"/>
            </w:tcMar>
          </w:tcPr>
          <w:p>
            <w:pPr>
              <w:spacing w:after="0"/>
              <w:jc w:val="left"/>
            </w:pPr>
            <w:r>
              <w:rPr>
                <w:rFonts w:ascii="Calibri" w:cs="Calibri" w:eastAsia="Calibri" w:hAnsi="Calibri"/>
                <w:b w:val="false"/>
                <w:bCs w:val="false"/>
                <w:sz w:val="22"/>
                <w:szCs w:val="22"/>
              </w:rPr>
              <w:t xml:space="preserve">Final Examination</w:t>
            </w:r>
          </w:p>
        </w:tc>
        <w:tc>
          <w:tcPr>
            <w:tcW w:type="dxa" w:w="2180"/>
            <w:tcMar>
              <w:top w:type="dxa" w:w="70"/>
              <w:left w:type="dxa" w:w="110"/>
              <w:bottom w:type="dxa" w:w="70"/>
              <w:right w:type="dxa" w:w="110"/>
            </w:tcMar>
          </w:tcPr>
          <w:p>
            <w:pPr>
              <w:spacing w:after="0"/>
              <w:jc w:val="right"/>
            </w:pPr>
            <w:r>
              <w:rPr>
                <w:rFonts w:ascii="Calibri" w:cs="Calibri" w:eastAsia="Calibri" w:hAnsi="Calibri"/>
                <w:b w:val="false"/>
                <w:bCs w:val="false"/>
                <w:sz w:val="22"/>
                <w:szCs w:val="22"/>
              </w:rPr>
              <w:t xml:space="preserve">15%</w:t>
            </w:r>
          </w:p>
        </w:tc>
      </w:tr>
      <w:tr>
        <w:tc>
          <w:tcPr>
            <w:tcW w:type="dxa" w:w="7900"/>
            <w:tcMar>
              <w:top w:type="dxa" w:w="70"/>
              <w:left w:type="dxa" w:w="110"/>
              <w:bottom w:type="dxa" w:w="70"/>
              <w:right w:type="dxa" w:w="110"/>
            </w:tcMar>
          </w:tcPr>
          <w:p>
            <w:pPr>
              <w:spacing w:after="0"/>
              <w:jc w:val="left"/>
            </w:pPr>
            <w:r>
              <w:rPr>
                <w:rFonts w:ascii="Calibri" w:cs="Calibri" w:eastAsia="Calibri" w:hAnsi="Calibri"/>
                <w:b w:val="false"/>
                <w:bCs w:val="false"/>
                <w:sz w:val="22"/>
                <w:szCs w:val="22"/>
              </w:rPr>
              <w:t xml:space="preserve">Assignment 4: Meditation on a Represented Interior</w:t>
            </w:r>
          </w:p>
        </w:tc>
        <w:tc>
          <w:tcPr>
            <w:tcW w:type="dxa" w:w="2180"/>
            <w:tcMar>
              <w:top w:type="dxa" w:w="70"/>
              <w:left w:type="dxa" w:w="110"/>
              <w:bottom w:type="dxa" w:w="70"/>
              <w:right w:type="dxa" w:w="110"/>
            </w:tcMar>
          </w:tcPr>
          <w:p>
            <w:pPr>
              <w:spacing w:after="0"/>
              <w:jc w:val="right"/>
            </w:pPr>
            <w:r>
              <w:rPr>
                <w:rFonts w:ascii="Calibri" w:cs="Calibri" w:eastAsia="Calibri" w:hAnsi="Calibri"/>
                <w:b w:val="false"/>
                <w:bCs w:val="false"/>
                <w:sz w:val="22"/>
                <w:szCs w:val="22"/>
              </w:rPr>
              <w:t xml:space="preserve">15%</w:t>
            </w:r>
          </w:p>
        </w:tc>
      </w:tr>
      <w:tr>
        <w:tc>
          <w:tcPr>
            <w:tcW w:type="dxa" w:w="7900"/>
            <w:tcMar>
              <w:top w:type="dxa" w:w="70"/>
              <w:left w:type="dxa" w:w="110"/>
              <w:bottom w:type="dxa" w:w="70"/>
              <w:right w:type="dxa" w:w="110"/>
            </w:tcMar>
          </w:tcPr>
          <w:p>
            <w:pPr>
              <w:spacing w:after="0"/>
              <w:jc w:val="left"/>
            </w:pPr>
            <w:r>
              <w:rPr>
                <w:rFonts w:ascii="Calibri" w:cs="Calibri" w:eastAsia="Calibri" w:hAnsi="Calibri"/>
                <w:b w:val="false"/>
                <w:bCs w:val="false"/>
                <w:sz w:val="22"/>
                <w:szCs w:val="22"/>
              </w:rPr>
              <w:t xml:space="preserve">Assignment 5: Revision and Extension of the Meditation</w:t>
            </w:r>
          </w:p>
        </w:tc>
        <w:tc>
          <w:tcPr>
            <w:tcW w:type="dxa" w:w="2180"/>
            <w:tcMar>
              <w:top w:type="dxa" w:w="70"/>
              <w:left w:type="dxa" w:w="110"/>
              <w:bottom w:type="dxa" w:w="70"/>
              <w:right w:type="dxa" w:w="110"/>
            </w:tcMar>
          </w:tcPr>
          <w:p>
            <w:pPr>
              <w:spacing w:after="0"/>
              <w:jc w:val="right"/>
            </w:pPr>
            <w:r>
              <w:rPr>
                <w:rFonts w:ascii="Calibri" w:cs="Calibri" w:eastAsia="Calibri" w:hAnsi="Calibri"/>
                <w:b w:val="false"/>
                <w:bCs w:val="false"/>
                <w:sz w:val="22"/>
                <w:szCs w:val="22"/>
              </w:rPr>
              <w:t xml:space="preserve">20%</w:t>
            </w:r>
          </w:p>
        </w:tc>
      </w:tr>
      <w:tr>
        <w:tc>
          <w:tcPr>
            <w:tcW w:type="dxa" w:w="7900"/>
            <w:tcMar>
              <w:top w:type="dxa" w:w="70"/>
              <w:left w:type="dxa" w:w="110"/>
              <w:bottom w:type="dxa" w:w="70"/>
              <w:right w:type="dxa" w:w="110"/>
            </w:tcMar>
          </w:tcPr>
          <w:p>
            <w:pPr>
              <w:spacing w:after="0"/>
              <w:jc w:val="left"/>
            </w:pPr>
            <w:r>
              <w:rPr>
                <w:rFonts w:ascii="Calibri" w:cs="Calibri" w:eastAsia="Calibri" w:hAnsi="Calibri"/>
                <w:b w:val="false"/>
                <w:bCs w:val="false"/>
                <w:sz w:val="22"/>
                <w:szCs w:val="22"/>
              </w:rPr>
              <w:t xml:space="preserve">Sensory lab participation</w:t>
            </w:r>
          </w:p>
        </w:tc>
        <w:tc>
          <w:tcPr>
            <w:tcW w:type="dxa" w:w="2180"/>
            <w:tcMar>
              <w:top w:type="dxa" w:w="70"/>
              <w:left w:type="dxa" w:w="110"/>
              <w:bottom w:type="dxa" w:w="70"/>
              <w:right w:type="dxa" w:w="110"/>
            </w:tcMar>
          </w:tcPr>
          <w:p>
            <w:pPr>
              <w:spacing w:after="0"/>
              <w:jc w:val="right"/>
            </w:pPr>
            <w:r>
              <w:rPr>
                <w:rFonts w:ascii="Calibri" w:cs="Calibri" w:eastAsia="Calibri" w:hAnsi="Calibri"/>
                <w:b w:val="false"/>
                <w:bCs w:val="false"/>
                <w:sz w:val="22"/>
                <w:szCs w:val="22"/>
              </w:rPr>
              <w:t xml:space="preserve">10%</w:t>
            </w:r>
          </w:p>
        </w:tc>
      </w:tr>
      <w:tr>
        <w:tc>
          <w:tcPr>
            <w:tcW w:type="dxa" w:w="7900"/>
            <w:shd w:fill="F2F2F2" w:val="clear"/>
            <w:tcMar>
              <w:top w:type="dxa" w:w="70"/>
              <w:left w:type="dxa" w:w="110"/>
              <w:bottom w:type="dxa" w:w="70"/>
              <w:right w:type="dxa" w:w="110"/>
            </w:tcMar>
          </w:tcPr>
          <w:p>
            <w:pPr>
              <w:spacing w:after="0"/>
              <w:jc w:val="left"/>
            </w:pPr>
            <w:r>
              <w:rPr>
                <w:rFonts w:ascii="Calibri" w:cs="Calibri" w:eastAsia="Calibri" w:hAnsi="Calibri"/>
                <w:b/>
                <w:bCs/>
                <w:sz w:val="22"/>
                <w:szCs w:val="22"/>
              </w:rPr>
              <w:t xml:space="preserve">Total</w:t>
            </w:r>
          </w:p>
        </w:tc>
        <w:tc>
          <w:tcPr>
            <w:tcW w:type="dxa" w:w="2180"/>
            <w:shd w:fill="F2F2F2" w:val="clear"/>
            <w:tcMar>
              <w:top w:type="dxa" w:w="70"/>
              <w:left w:type="dxa" w:w="110"/>
              <w:bottom w:type="dxa" w:w="70"/>
              <w:right w:type="dxa" w:w="110"/>
            </w:tcMar>
          </w:tcPr>
          <w:p>
            <w:pPr>
              <w:spacing w:after="0"/>
              <w:jc w:val="right"/>
            </w:pPr>
            <w:r>
              <w:rPr>
                <w:rFonts w:ascii="Calibri" w:cs="Calibri" w:eastAsia="Calibri" w:hAnsi="Calibri"/>
                <w:b/>
                <w:bCs/>
                <w:sz w:val="22"/>
                <w:szCs w:val="22"/>
              </w:rPr>
              <w:t xml:space="preserve">100%</w:t>
            </w:r>
          </w:p>
        </w:tc>
      </w:tr>
    </w:tbl>
    <w:p>
      <w:pPr>
        <w:spacing w:after="120"/>
      </w:pPr>
      <w:r>
        <w:rPr>
          <w:rFonts w:ascii="Calibri" w:cs="Calibri" w:eastAsia="Calibri" w:hAnsi="Calibri"/>
          <w:sz w:val="22"/>
          <w:szCs w:val="22"/>
        </w:rPr>
        <w:t xml:space="preserve"/>
      </w:r>
    </w:p>
    <w:p>
      <w:pPr>
        <w:spacing w:after="140" w:line="276"/>
      </w:pPr>
      <w:r>
        <w:rPr>
          <w:rFonts w:ascii="Calibri" w:cs="Calibri" w:eastAsia="Calibri" w:hAnsi="Calibri"/>
          <w:sz w:val="22"/>
          <w:szCs w:val="22"/>
        </w:rPr>
        <w:t xml:space="preserve">The three short assignments are averaged. No scores are dropped.</w:t>
      </w:r>
    </w:p>
    <w:p>
      <w:pPr>
        <w:spacing w:after="140" w:line="276"/>
      </w:pPr>
      <w:r>
        <w:rPr>
          <w:rFonts w:ascii="Calibri" w:cs="Calibri" w:eastAsia="Calibri" w:hAnsi="Calibri"/>
          <w:sz w:val="22"/>
          <w:szCs w:val="22"/>
        </w:rPr>
        <w:t xml:space="preserve">Sensory lab participation is based on attendance at the five labs and submission of the lab worksheet. Worksheets are not graded for content.</w:t>
      </w:r>
    </w:p>
    <w:p>
      <w:pPr>
        <w:spacing w:after="140" w:line="276"/>
      </w:pPr>
      <w:r>
        <w:rPr>
          <w:rFonts w:ascii="Calibri" w:cs="Calibri" w:eastAsia="Calibri" w:hAnsi="Calibri"/>
          <w:sz w:val="22"/>
          <w:szCs w:val="22"/>
        </w:rPr>
        <w:t xml:space="preserve">All dates appear in the Meeting Calendar below and nowhere else.</w:t>
      </w:r>
    </w:p>
    <w:p>
      <w:pPr>
        <w:spacing w:after="140" w:before="300"/>
      </w:pPr>
      <w:r>
        <w:rPr>
          <w:rFonts w:ascii="Calibri" w:cs="Calibri" w:eastAsia="Calibri" w:hAnsi="Calibri"/>
          <w:b/>
          <w:bCs/>
          <w:sz w:val="26"/>
          <w:szCs w:val="26"/>
        </w:rPr>
        <w:t xml:space="preserve">Assignments</w:t>
      </w:r>
    </w:p>
    <w:p>
      <w:pPr>
        <w:spacing w:after="140" w:line="276"/>
      </w:pPr>
      <w:r>
        <w:rPr>
          <w:rFonts w:ascii="Calibri" w:cs="Calibri" w:eastAsia="Calibri" w:hAnsi="Calibri"/>
          <w:sz w:val="22"/>
          <w:szCs w:val="22"/>
        </w:rPr>
        <w:t xml:space="preserve">Five graded assignments. Full descriptions, including rubrics, are distributed at the session where each is assigned and posted on Canvas.</w:t>
      </w:r>
    </w:p>
    <w:p>
      <w:pPr>
        <w:spacing w:after="140" w:line="276"/>
      </w:pPr>
      <w:r>
        <w:rPr>
          <w:rFonts w:ascii="Calibri" w:cs="Calibri" w:eastAsia="Calibri" w:hAnsi="Calibri"/>
          <w:sz w:val="22"/>
          <w:szCs w:val="22"/>
        </w:rPr>
        <w:t xml:space="preserve">Assignment 1, “This Is Not a Chair.” Two to three pages plus one image. Describe a chair you use every day without naming it or saying what it is for, account for what it does to a body seated in it, distinguish the marks of use from your guesses about their cause, and give three accounts of the same object from three different positions.</w:t>
      </w:r>
    </w:p>
    <w:p>
      <w:pPr>
        <w:spacing w:after="140" w:line="276"/>
      </w:pPr>
      <w:r>
        <w:rPr>
          <w:rFonts w:ascii="Calibri" w:cs="Calibri" w:eastAsia="Calibri" w:hAnsi="Calibri"/>
          <w:sz w:val="22"/>
          <w:szCs w:val="22"/>
        </w:rPr>
        <w:t xml:space="preserve">Assignment 2, Film Clip. Approximately 300 words. Select one passage of no more than three minutes from Cave of Forgotten Dreams and treat it as a piece of an argument: what evidence it puts in front of you, what has been left out of the frame, and what it wants you to believe about the cave.</w:t>
      </w:r>
    </w:p>
    <w:p>
      <w:pPr>
        <w:spacing w:after="140" w:line="276"/>
      </w:pPr>
      <w:r>
        <w:rPr>
          <w:rFonts w:ascii="Calibri" w:cs="Calibri" w:eastAsia="Calibri" w:hAnsi="Calibri"/>
          <w:sz w:val="22"/>
          <w:szCs w:val="22"/>
        </w:rPr>
        <w:t xml:space="preserve">Assignment 3, Annotation of Vitruvius. Completed in class, by hand, on distributed materials. Annotate the assigned passage against a plan of the House of the Vettii, marking where the text and the plan agree, where they diverge, and where the text describes something a plan cannot record.</w:t>
      </w:r>
    </w:p>
    <w:p>
      <w:pPr>
        <w:spacing w:after="140" w:line="276"/>
      </w:pPr>
      <w:r>
        <w:rPr>
          <w:rFonts w:ascii="Calibri" w:cs="Calibri" w:eastAsia="Calibri" w:hAnsi="Calibri"/>
          <w:sz w:val="22"/>
          <w:szCs w:val="22"/>
        </w:rPr>
        <w:t xml:space="preserve">Assignment 4, Meditation on a Represented Interior. Three to four pages. Select one work from the distributed option list. Establish what the representation shows and what governed its making, then identify one kind of evidence, of a different order from the image itself, that would test what it asserts.</w:t>
      </w:r>
    </w:p>
    <w:p>
      <w:pPr>
        <w:spacing w:after="140" w:line="276"/>
      </w:pPr>
      <w:r>
        <w:rPr>
          <w:rFonts w:ascii="Calibri" w:cs="Calibri" w:eastAsia="Calibri" w:hAnsi="Calibri"/>
          <w:sz w:val="22"/>
          <w:szCs w:val="22"/>
        </w:rPr>
        <w:t xml:space="preserve">Assignment 5, Revision and Extension of the Meditation. Five to six pages. Return to the same work. Pursue the evidence proposed in October as far as it can be pursued, take account of at least two interiors studied in the interval, and state what remains unrecoverable about the room behind the representation. It is weighted more heavily than the original because it asks for reasoning across the gap between a representation and the room behind it, where the first assignment asked only that the gap be identified.</w:t>
      </w:r>
    </w:p>
    <w:p>
      <w:pPr>
        <w:spacing w:after="140" w:line="276"/>
      </w:pPr>
      <w:r>
        <w:rPr>
          <w:rFonts w:ascii="Calibri" w:cs="Calibri" w:eastAsia="Calibri" w:hAnsi="Calibri"/>
          <w:sz w:val="22"/>
          <w:szCs w:val="22"/>
        </w:rPr>
        <w:t xml:space="preserve">Assignments 4 and 5 must each draw on at least one sensory lab session.</w:t>
      </w:r>
    </w:p>
    <w:p>
      <w:pPr>
        <w:spacing w:after="140" w:line="276"/>
      </w:pPr>
      <w:r>
        <w:rPr>
          <w:rFonts w:ascii="Calibri" w:cs="Calibri" w:eastAsia="Calibri" w:hAnsi="Calibri"/>
          <w:sz w:val="22"/>
          <w:szCs w:val="22"/>
        </w:rPr>
        <w:t xml:space="preserve">The Meditation is introduced with the Roman domus texts and discussed in class alongside Rybczynski before it is due; feedback is returned at the session where the Revision is assigned; and a revision workshop is held before the Revision is due.</w:t>
      </w:r>
    </w:p>
    <w:p>
      <w:pPr>
        <w:spacing w:after="140" w:before="300"/>
      </w:pPr>
      <w:r>
        <w:rPr>
          <w:rFonts w:ascii="Calibri" w:cs="Calibri" w:eastAsia="Calibri" w:hAnsi="Calibri"/>
          <w:b/>
          <w:bCs/>
          <w:sz w:val="26"/>
          <w:szCs w:val="26"/>
        </w:rPr>
        <w:t xml:space="preserve">Required but Not Graded</w:t>
      </w:r>
    </w:p>
    <w:p>
      <w:pPr>
        <w:spacing w:after="140" w:line="276"/>
      </w:pPr>
      <w:r>
        <w:rPr>
          <w:rFonts w:ascii="Calibri" w:cs="Calibri" w:eastAsia="Calibri" w:hAnsi="Calibri"/>
          <w:sz w:val="22"/>
          <w:szCs w:val="22"/>
        </w:rPr>
        <w:t xml:space="preserve">Four things are required and carry no grade. All are marked on the calendar.</w:t>
      </w:r>
    </w:p>
    <w:p>
      <w:pPr>
        <w:pStyle w:val="ListParagraph"/>
        <w:numPr>
          <w:ilvl w:val="0"/>
          <w:numId w:val="2"/>
        </w:numPr>
        <w:spacing w:after="90" w:line="276"/>
      </w:pPr>
      <w:r>
        <w:rPr>
          <w:rFonts w:ascii="Calibri" w:cs="Calibri" w:eastAsia="Calibri" w:hAnsi="Calibri"/>
          <w:sz w:val="22"/>
          <w:szCs w:val="22"/>
        </w:rPr>
        <w:t xml:space="preserve">Sensory lab worksheets, submitted at the close of each lab and counted toward participation.</w:t>
      </w:r>
    </w:p>
    <w:p>
      <w:pPr>
        <w:pStyle w:val="ListParagraph"/>
        <w:numPr>
          <w:ilvl w:val="0"/>
          <w:numId w:val="2"/>
        </w:numPr>
        <w:spacing w:after="90" w:line="276"/>
      </w:pPr>
      <w:r>
        <w:rPr>
          <w:rFonts w:ascii="Calibri" w:cs="Calibri" w:eastAsia="Calibri" w:hAnsi="Calibri"/>
          <w:sz w:val="22"/>
          <w:szCs w:val="22"/>
        </w:rPr>
        <w:t xml:space="preserve">The handwritten review sheet for Exam 1 and the handwritten review sheet for Exam 2, each drafted in class at the preceding session and submitted with the corresponding examination.</w:t>
      </w:r>
    </w:p>
    <w:p>
      <w:pPr>
        <w:pStyle w:val="ListParagraph"/>
        <w:numPr>
          <w:ilvl w:val="0"/>
          <w:numId w:val="2"/>
        </w:numPr>
        <w:spacing w:after="90" w:line="276"/>
      </w:pPr>
      <w:r>
        <w:rPr>
          <w:rFonts w:ascii="Calibri" w:cs="Calibri" w:eastAsia="Calibri" w:hAnsi="Calibri"/>
          <w:sz w:val="22"/>
          <w:szCs w:val="22"/>
        </w:rPr>
        <w:t xml:space="preserve">The Lived Interiors exercise, introduced at the first meeting and submitted at the second.</w:t>
      </w:r>
    </w:p>
    <w:p>
      <w:pPr>
        <w:pStyle w:val="ListParagraph"/>
        <w:numPr>
          <w:ilvl w:val="0"/>
          <w:numId w:val="2"/>
        </w:numPr>
        <w:spacing w:after="90" w:line="276"/>
      </w:pPr>
      <w:r>
        <w:rPr>
          <w:rFonts w:ascii="Calibri" w:cs="Calibri" w:eastAsia="Calibri" w:hAnsi="Calibri"/>
          <w:sz w:val="22"/>
          <w:szCs w:val="22"/>
        </w:rPr>
        <w:t xml:space="preserve">One office visit, between the return of feedback on Assignment 4 and the Assignment 5 deadline.</w:t>
      </w:r>
    </w:p>
    <w:p>
      <w:pPr>
        <w:spacing w:after="140" w:before="300"/>
      </w:pPr>
      <w:r>
        <w:rPr>
          <w:rFonts w:ascii="Calibri" w:cs="Calibri" w:eastAsia="Calibri" w:hAnsi="Calibri"/>
          <w:b/>
          <w:bCs/>
          <w:sz w:val="26"/>
          <w:szCs w:val="26"/>
        </w:rPr>
        <w:t xml:space="preserve">Examinations</w:t>
      </w:r>
    </w:p>
    <w:p>
      <w:pPr>
        <w:spacing w:after="140" w:line="276"/>
      </w:pPr>
      <w:r>
        <w:rPr>
          <w:rFonts w:ascii="Calibri" w:cs="Calibri" w:eastAsia="Calibri" w:hAnsi="Calibri"/>
          <w:sz w:val="22"/>
          <w:szCs w:val="22"/>
        </w:rPr>
        <w:t xml:space="preserve">Three examinations. None is cumulative.</w:t>
      </w:r>
    </w:p>
    <w:p>
      <w:pPr>
        <w:spacing w:after="140" w:line="276"/>
      </w:pPr>
      <w:r>
        <w:rPr>
          <w:rFonts w:ascii="Calibri" w:cs="Calibri" w:eastAsia="Calibri" w:hAnsi="Calibri"/>
          <w:sz w:val="22"/>
          <w:szCs w:val="22"/>
        </w:rPr>
        <w:t xml:space="preserve">All three are written by hand in blue books during the class period. Each consists of identifications, short annotations of projected images, one question about course policy, and one longer response accounting for the significance of a building, object, or interior. Essay questions are drawn from the after-reading questions printed at the end of each chapter of the reader.</w:t>
      </w:r>
    </w:p>
    <w:p>
      <w:pPr>
        <w:spacing w:after="140" w:line="276"/>
      </w:pPr>
      <w:r>
        <w:rPr>
          <w:rFonts w:ascii="Calibri" w:cs="Calibri" w:eastAsia="Calibri" w:hAnsi="Calibri"/>
          <w:sz w:val="22"/>
          <w:szCs w:val="22"/>
        </w:rPr>
        <w:t xml:space="preserve">Because handwritten examination is unfamiliar to many students, a blue-book practice session is held before the first exam, and the format is walked through in advance of each.</w:t>
      </w:r>
    </w:p>
    <w:p>
      <w:pPr>
        <w:spacing w:after="140" w:line="276"/>
      </w:pPr>
      <w:r>
        <w:rPr>
          <w:rFonts w:ascii="Calibri" w:cs="Calibri" w:eastAsia="Calibri" w:hAnsi="Calibri"/>
          <w:sz w:val="22"/>
          <w:szCs w:val="22"/>
        </w:rPr>
        <w:t xml:space="preserve">A handwritten review sheet for Exam 1 and a handwritten review sheet for Exam 2 are drafted in class at the preceding session and submitted with the corresponding examination. Neither is graded.</w:t>
      </w:r>
    </w:p>
    <w:p>
      <w:pPr>
        <w:spacing w:after="140" w:line="276"/>
      </w:pPr>
      <w:r>
        <w:rPr>
          <w:rFonts w:ascii="Calibri" w:cs="Calibri" w:eastAsia="Calibri" w:hAnsi="Calibri"/>
          <w:sz w:val="22"/>
          <w:szCs w:val="22"/>
        </w:rPr>
        <w:t xml:space="preserve">Each examination is written within the 12:45–2:05 class period. Plan on roughly seventy minutes of continuous handwriting. Blue books are provided.</w:t>
      </w:r>
    </w:p>
    <w:p>
      <w:pPr>
        <w:spacing w:after="140" w:before="300"/>
      </w:pPr>
      <w:r>
        <w:rPr>
          <w:rFonts w:ascii="Calibri" w:cs="Calibri" w:eastAsia="Calibri" w:hAnsi="Calibri"/>
          <w:b/>
          <w:bCs/>
          <w:sz w:val="26"/>
          <w:szCs w:val="26"/>
        </w:rPr>
        <w:t xml:space="preserve">Sensory Labs</w:t>
      </w:r>
    </w:p>
    <w:p>
      <w:pPr>
        <w:spacing w:after="140" w:line="276"/>
      </w:pPr>
      <w:r>
        <w:rPr>
          <w:rFonts w:ascii="Calibri" w:cs="Calibri" w:eastAsia="Calibri" w:hAnsi="Calibri"/>
          <w:sz w:val="22"/>
          <w:szCs w:val="22"/>
        </w:rPr>
        <w:t xml:space="preserve">Five sessions across the middle of the term. Each occupies most of a class period, since groups rotate through the stations in turn.</w:t>
      </w:r>
    </w:p>
    <w:p>
      <w:pPr>
        <w:spacing w:after="140" w:line="276"/>
      </w:pPr>
      <w:r>
        <w:rPr>
          <w:rFonts w:ascii="Calibri" w:cs="Calibri" w:eastAsia="Calibri" w:hAnsi="Calibri"/>
          <w:sz w:val="22"/>
          <w:szCs w:val="22"/>
        </w:rPr>
        <w:t xml:space="preserve">Labs give students direct access to materials that texts describe but cannot convey. A worksheet is distributed at each session and submitted at its close. Worksheets are not graded for their content; the grade is based on attendance and submission.</w:t>
      </w:r>
    </w:p>
    <w:p>
      <w:pPr>
        <w:spacing w:after="140" w:line="276"/>
      </w:pPr>
      <w:r>
        <w:rPr>
          <w:rFonts w:ascii="Calibri" w:cs="Calibri" w:eastAsia="Calibri" w:hAnsi="Calibri"/>
          <w:sz w:val="22"/>
          <w:szCs w:val="22"/>
        </w:rPr>
        <w:t xml:space="preserve">Assignments 4 and 5 must each draw on at least one lab session. Notes taken during a lab are worth keeping for that reason.</w:t>
      </w:r>
    </w:p>
    <w:p>
      <w:pPr>
        <w:spacing w:after="140" w:line="276"/>
      </w:pPr>
      <w:r>
        <w:rPr>
          <w:rFonts w:ascii="Calibri" w:cs="Calibri" w:eastAsia="Calibri" w:hAnsi="Calibri"/>
          <w:sz w:val="22"/>
          <w:szCs w:val="22"/>
        </w:rPr>
        <w:t xml:space="preserve">Anyone with a scent, food, or material allergy should speak with me before the first lab. Materials can be handled in a sealed container or skipped without penalty.</w:t>
      </w:r>
    </w:p>
    <w:p>
      <w:pPr>
        <w:spacing w:after="140" w:before="300"/>
      </w:pPr>
      <w:r>
        <w:rPr>
          <w:rFonts w:ascii="Calibri" w:cs="Calibri" w:eastAsia="Calibri" w:hAnsi="Calibri"/>
          <w:b/>
          <w:bCs/>
          <w:sz w:val="26"/>
          <w:szCs w:val="26"/>
        </w:rPr>
        <w:t xml:space="preserve">Office Hours</w:t>
      </w:r>
    </w:p>
    <w:p>
      <w:pPr>
        <w:spacing w:after="140" w:line="276"/>
      </w:pPr>
      <w:r>
        <w:rPr>
          <w:rFonts w:ascii="Calibri" w:cs="Calibri" w:eastAsia="Calibri" w:hAnsi="Calibri"/>
          <w:sz w:val="22"/>
          <w:szCs w:val="22"/>
        </w:rPr>
        <w:t xml:space="preserve">Office hours are held Wednesdays 3:00–5:00 p.m. and Thursdays 4:00–6:00 p.m. in Art 311, and by appointment on Tuesdays, booked via Google Calendar at https://calendar.app.google/o1tumYgCVr4SKrNHA. No appointment is needed during posted hours.</w:t>
      </w:r>
    </w:p>
    <w:p>
      <w:pPr>
        <w:spacing w:after="140" w:line="276"/>
      </w:pPr>
      <w:r>
        <w:rPr>
          <w:rFonts w:ascii="Calibri" w:cs="Calibri" w:eastAsia="Calibri" w:hAnsi="Calibri"/>
          <w:sz w:val="22"/>
          <w:szCs w:val="22"/>
        </w:rPr>
        <w:t xml:space="preserve">A visit is required in three circumstances:</w:t>
      </w:r>
    </w:p>
    <w:p>
      <w:pPr>
        <w:pStyle w:val="ListParagraph"/>
        <w:numPr>
          <w:ilvl w:val="0"/>
          <w:numId w:val="2"/>
        </w:numPr>
        <w:spacing w:after="90" w:line="276"/>
      </w:pPr>
      <w:r>
        <w:rPr>
          <w:rFonts w:ascii="Calibri" w:cs="Calibri" w:eastAsia="Calibri" w:hAnsi="Calibri"/>
          <w:b/>
          <w:bCs/>
          <w:sz w:val="22"/>
          <w:szCs w:val="22"/>
        </w:rPr>
        <w:t xml:space="preserve">On request. </w:t>
      </w:r>
      <w:r>
        <w:rPr>
          <w:rFonts w:ascii="Calibri" w:cs="Calibri" w:eastAsia="Calibri" w:hAnsi="Calibri"/>
          <w:sz w:val="22"/>
          <w:szCs w:val="22"/>
        </w:rPr>
        <w:t xml:space="preserve">When I ask for a meeting, whether about an assignment, a pattern in the work, or anything else.</w:t>
      </w:r>
    </w:p>
    <w:p>
      <w:pPr>
        <w:pStyle w:val="ListParagraph"/>
        <w:numPr>
          <w:ilvl w:val="0"/>
          <w:numId w:val="2"/>
        </w:numPr>
        <w:spacing w:after="90" w:line="276"/>
      </w:pPr>
      <w:r>
        <w:rPr>
          <w:rFonts w:ascii="Calibri" w:cs="Calibri" w:eastAsia="Calibri" w:hAnsi="Calibri"/>
          <w:b/>
          <w:bCs/>
          <w:sz w:val="22"/>
          <w:szCs w:val="22"/>
        </w:rPr>
        <w:t xml:space="preserve">After a class absence. </w:t>
      </w:r>
      <w:r>
        <w:rPr>
          <w:rFonts w:ascii="Calibri" w:cs="Calibri" w:eastAsia="Calibri" w:hAnsi="Calibri"/>
          <w:sz w:val="22"/>
          <w:szCs w:val="22"/>
        </w:rPr>
        <w:t xml:space="preserve">Excused or unexcused. The absence form is submitted first, and the visit covers what was missed.</w:t>
      </w:r>
    </w:p>
    <w:p>
      <w:pPr>
        <w:pStyle w:val="ListParagraph"/>
        <w:numPr>
          <w:ilvl w:val="0"/>
          <w:numId w:val="2"/>
        </w:numPr>
        <w:spacing w:after="90" w:line="276"/>
      </w:pPr>
      <w:r>
        <w:rPr>
          <w:rFonts w:ascii="Calibri" w:cs="Calibri" w:eastAsia="Calibri" w:hAnsi="Calibri"/>
          <w:b/>
          <w:bCs/>
          <w:sz w:val="22"/>
          <w:szCs w:val="22"/>
        </w:rPr>
        <w:t xml:space="preserve">Once before the Revision is due, </w:t>
      </w:r>
      <w:r>
        <w:rPr>
          <w:rFonts w:ascii="Calibri" w:cs="Calibri" w:eastAsia="Calibri" w:hAnsi="Calibri"/>
          <w:sz w:val="22"/>
          <w:szCs w:val="22"/>
        </w:rPr>
        <w:t xml:space="preserve">between the return of feedback on Assignment 4 and the deadline, to discuss the direction of the revision.</w:t>
      </w:r>
    </w:p>
    <w:p>
      <w:pPr>
        <w:spacing w:after="140" w:line="276"/>
      </w:pPr>
      <w:r>
        <w:rPr>
          <w:rFonts w:ascii="Calibri" w:cs="Calibri" w:eastAsia="Calibri" w:hAnsi="Calibri"/>
          <w:sz w:val="22"/>
          <w:szCs w:val="22"/>
        </w:rPr>
        <w:t xml:space="preserve">Office hours are also open for questions about a reading, an assignment, a grade, or anything happening outside the course that is affecting work in it. Canvas email works well for short logistical questions and for official submission of course absence forms. More complex discussion would be better suited for an office hour visit.</w:t>
      </w:r>
    </w:p>
    <w:p>
      <w:pPr>
        <w:spacing w:after="140" w:line="276"/>
      </w:pPr>
      <w:r>
        <w:rPr>
          <w:rFonts w:ascii="Calibri" w:cs="Calibri" w:eastAsia="Calibri" w:hAnsi="Calibri"/>
          <w:sz w:val="22"/>
          <w:szCs w:val="22"/>
        </w:rPr>
        <w:t xml:space="preserve">Additional office hours are available in the two weeks before Thanksgiving (November 4–November 18), the window in which the required pre-revision visit falls.</w:t>
      </w:r>
    </w:p>
    <w:p>
      <w:pPr>
        <w:spacing w:after="140" w:before="300"/>
      </w:pPr>
      <w:r>
        <w:rPr>
          <w:rFonts w:ascii="Calibri" w:cs="Calibri" w:eastAsia="Calibri" w:hAnsi="Calibri"/>
          <w:b/>
          <w:bCs/>
          <w:sz w:val="26"/>
          <w:szCs w:val="26"/>
        </w:rPr>
        <w:t xml:space="preserve">Course Forms</w:t>
      </w:r>
    </w:p>
    <w:p>
      <w:pPr>
        <w:spacing w:after="140" w:line="276"/>
      </w:pPr>
      <w:r>
        <w:rPr>
          <w:rFonts w:ascii="Calibri" w:cs="Calibri" w:eastAsia="Calibri" w:hAnsi="Calibri"/>
          <w:sz w:val="22"/>
          <w:szCs w:val="22"/>
        </w:rPr>
        <w:t xml:space="preserve">Two sets of forms are posted under Course Policies on Canvas and are submitted by Canvas email. Both exist so that a request leaves a record, since arrangements reached in conversation are easily lost or misremembered later in the term.</w:t>
      </w:r>
    </w:p>
    <w:p>
      <w:pPr>
        <w:spacing w:after="120" w:before="220"/>
      </w:pPr>
      <w:r>
        <w:rPr>
          <w:rFonts w:ascii="Calibri" w:cs="Calibri" w:eastAsia="Calibri" w:hAnsi="Calibri"/>
          <w:b/>
          <w:bCs/>
          <w:sz w:val="23"/>
          <w:szCs w:val="23"/>
        </w:rPr>
        <w:t xml:space="preserve">Attendance modification forms</w:t>
      </w:r>
    </w:p>
    <w:p>
      <w:pPr>
        <w:pStyle w:val="ListParagraph"/>
        <w:numPr>
          <w:ilvl w:val="0"/>
          <w:numId w:val="2"/>
        </w:numPr>
        <w:spacing w:after="90" w:line="276"/>
      </w:pPr>
      <w:r>
        <w:rPr>
          <w:rFonts w:ascii="Calibri" w:cs="Calibri" w:eastAsia="Calibri" w:hAnsi="Calibri"/>
          <w:b/>
          <w:bCs/>
          <w:sz w:val="22"/>
          <w:szCs w:val="22"/>
        </w:rPr>
        <w:t xml:space="preserve">Excused Absence Form. </w:t>
      </w:r>
      <w:r>
        <w:rPr>
          <w:rFonts w:ascii="Calibri" w:cs="Calibri" w:eastAsia="Calibri" w:hAnsi="Calibri"/>
          <w:sz w:val="22"/>
          <w:szCs w:val="22"/>
        </w:rPr>
        <w:t xml:space="preserve">For absences the University recognizes, including illness, religious observance, University-sponsored activity, and military service. Documentation required.</w:t>
      </w:r>
    </w:p>
    <w:p>
      <w:pPr>
        <w:pStyle w:val="ListParagraph"/>
        <w:numPr>
          <w:ilvl w:val="0"/>
          <w:numId w:val="2"/>
        </w:numPr>
        <w:spacing w:after="90" w:line="276"/>
      </w:pPr>
      <w:r>
        <w:rPr>
          <w:rFonts w:ascii="Calibri" w:cs="Calibri" w:eastAsia="Calibri" w:hAnsi="Calibri"/>
          <w:b/>
          <w:bCs/>
          <w:sz w:val="22"/>
          <w:szCs w:val="22"/>
        </w:rPr>
        <w:t xml:space="preserve">Unexcused Absence Form. </w:t>
      </w:r>
      <w:r>
        <w:rPr>
          <w:rFonts w:ascii="Calibri" w:cs="Calibri" w:eastAsia="Calibri" w:hAnsi="Calibri"/>
          <w:sz w:val="22"/>
          <w:szCs w:val="22"/>
        </w:rPr>
        <w:t xml:space="preserve">Records a missed session and sets out how the material will be covered. It is not a request for excusal.</w:t>
      </w:r>
    </w:p>
    <w:p>
      <w:pPr>
        <w:pStyle w:val="ListParagraph"/>
        <w:numPr>
          <w:ilvl w:val="0"/>
          <w:numId w:val="2"/>
        </w:numPr>
        <w:spacing w:after="90" w:line="276"/>
      </w:pPr>
      <w:r>
        <w:rPr>
          <w:rFonts w:ascii="Calibri" w:cs="Calibri" w:eastAsia="Calibri" w:hAnsi="Calibri"/>
          <w:b/>
          <w:bCs/>
          <w:sz w:val="22"/>
          <w:szCs w:val="22"/>
        </w:rPr>
        <w:t xml:space="preserve">Religious Holiday Planning Form. </w:t>
      </w:r>
      <w:r>
        <w:rPr>
          <w:rFonts w:ascii="Calibri" w:cs="Calibri" w:eastAsia="Calibri" w:hAnsi="Calibri"/>
          <w:sz w:val="22"/>
          <w:szCs w:val="22"/>
        </w:rPr>
        <w:t xml:space="preserve">Submitted in the first two weeks of the term, listing dates known in advance, so examinations and deadlines can be arranged around them.</w:t>
      </w:r>
    </w:p>
    <w:p>
      <w:pPr>
        <w:spacing w:after="120" w:before="220"/>
      </w:pPr>
      <w:r>
        <w:rPr>
          <w:rFonts w:ascii="Calibri" w:cs="Calibri" w:eastAsia="Calibri" w:hAnsi="Calibri"/>
          <w:b/>
          <w:bCs/>
          <w:sz w:val="23"/>
          <w:szCs w:val="23"/>
        </w:rPr>
        <w:t xml:space="preserve">Policy modification forms</w:t>
      </w:r>
    </w:p>
    <w:p>
      <w:pPr>
        <w:pStyle w:val="ListParagraph"/>
        <w:numPr>
          <w:ilvl w:val="0"/>
          <w:numId w:val="2"/>
        </w:numPr>
        <w:spacing w:after="90" w:line="276"/>
      </w:pPr>
      <w:r>
        <w:rPr>
          <w:rFonts w:ascii="Calibri" w:cs="Calibri" w:eastAsia="Calibri" w:hAnsi="Calibri"/>
          <w:b/>
          <w:bCs/>
          <w:sz w:val="22"/>
          <w:szCs w:val="22"/>
        </w:rPr>
        <w:t xml:space="preserve">ODA Accommodation Confirmation Form. </w:t>
      </w:r>
      <w:r>
        <w:rPr>
          <w:rFonts w:ascii="Calibri" w:cs="Calibri" w:eastAsia="Calibri" w:hAnsi="Calibri"/>
          <w:sz w:val="22"/>
          <w:szCs w:val="22"/>
        </w:rPr>
        <w:t xml:space="preserve">Accommodations are arranged through the Office of Disability Access. This form confirms with me how approved accommodations apply to examinations, labs, and deadlines.</w:t>
      </w:r>
    </w:p>
    <w:p>
      <w:pPr>
        <w:pStyle w:val="ListParagraph"/>
        <w:numPr>
          <w:ilvl w:val="0"/>
          <w:numId w:val="2"/>
        </w:numPr>
        <w:spacing w:after="90" w:line="276"/>
      </w:pPr>
      <w:r>
        <w:rPr>
          <w:rFonts w:ascii="Calibri" w:cs="Calibri" w:eastAsia="Calibri" w:hAnsi="Calibri"/>
          <w:b/>
          <w:bCs/>
          <w:sz w:val="22"/>
          <w:szCs w:val="22"/>
        </w:rPr>
        <w:t xml:space="preserve">Recording Policy Form. </w:t>
      </w:r>
      <w:r>
        <w:rPr>
          <w:rFonts w:ascii="Calibri" w:cs="Calibri" w:eastAsia="Calibri" w:hAnsi="Calibri"/>
          <w:sz w:val="22"/>
          <w:szCs w:val="22"/>
        </w:rPr>
        <w:t xml:space="preserve">Required before any class session is recorded.</w:t>
      </w:r>
    </w:p>
    <w:p>
      <w:pPr>
        <w:spacing w:after="140" w:line="276"/>
      </w:pPr>
      <w:r>
        <w:rPr>
          <w:rFonts w:ascii="Calibri" w:cs="Calibri" w:eastAsia="Calibri" w:hAnsi="Calibri"/>
          <w:sz w:val="22"/>
          <w:szCs w:val="22"/>
        </w:rPr>
        <w:t xml:space="preserve">Forms are submitted within one week of the absence, or in advance where the date is known. Anything that cannot wait for a form should be raised in office hours.</w:t>
      </w:r>
    </w:p>
    <w:p>
      <w:pPr>
        <w:spacing w:after="140" w:before="300"/>
      </w:pPr>
      <w:r>
        <w:rPr>
          <w:rFonts w:ascii="Calibri" w:cs="Calibri" w:eastAsia="Calibri" w:hAnsi="Calibri"/>
          <w:b/>
          <w:bCs/>
          <w:sz w:val="26"/>
          <w:szCs w:val="26"/>
        </w:rPr>
        <w:t xml:space="preserve">Attendance and Late Work</w:t>
      </w:r>
    </w:p>
    <w:p>
      <w:pPr>
        <w:spacing w:after="140" w:line="276"/>
      </w:pPr>
      <w:r>
        <w:rPr>
          <w:rFonts w:ascii="Calibri" w:cs="Calibri" w:eastAsia="Calibri" w:hAnsi="Calibri"/>
          <w:sz w:val="22"/>
          <w:szCs w:val="22"/>
        </w:rPr>
        <w:t xml:space="preserve">This course meets twice a week. Attendance is expected at every session.</w:t>
      </w:r>
    </w:p>
    <w:p>
      <w:pPr>
        <w:spacing w:after="140" w:line="276"/>
      </w:pPr>
      <w:r>
        <w:rPr>
          <w:rFonts w:ascii="Calibri" w:cs="Calibri" w:eastAsia="Calibri" w:hAnsi="Calibri"/>
          <w:sz w:val="22"/>
          <w:szCs w:val="22"/>
        </w:rPr>
        <w:t xml:space="preserve">Absences are excused in accordance with UNT Policy 06.039, Student Attendance and Authorized Absences, for the following reasons:</w:t>
      </w:r>
    </w:p>
    <w:p>
      <w:pPr>
        <w:pStyle w:val="ListParagraph"/>
        <w:numPr>
          <w:ilvl w:val="0"/>
          <w:numId w:val="2"/>
        </w:numPr>
        <w:spacing w:after="90" w:line="276"/>
      </w:pPr>
      <w:r>
        <w:rPr>
          <w:rFonts w:ascii="Calibri" w:cs="Calibri" w:eastAsia="Calibri" w:hAnsi="Calibri"/>
          <w:sz w:val="22"/>
          <w:szCs w:val="22"/>
        </w:rPr>
        <w:t xml:space="preserve">Religious holy day, including travel for that purpose</w:t>
      </w:r>
    </w:p>
    <w:p>
      <w:pPr>
        <w:pStyle w:val="ListParagraph"/>
        <w:numPr>
          <w:ilvl w:val="0"/>
          <w:numId w:val="2"/>
        </w:numPr>
        <w:spacing w:after="90" w:line="276"/>
      </w:pPr>
      <w:r>
        <w:rPr>
          <w:rFonts w:ascii="Calibri" w:cs="Calibri" w:eastAsia="Calibri" w:hAnsi="Calibri"/>
          <w:sz w:val="22"/>
          <w:szCs w:val="22"/>
        </w:rPr>
        <w:t xml:space="preserve">Required military service, including travel to and from the place of duty</w:t>
      </w:r>
    </w:p>
    <w:p>
      <w:pPr>
        <w:pStyle w:val="ListParagraph"/>
        <w:numPr>
          <w:ilvl w:val="0"/>
          <w:numId w:val="2"/>
        </w:numPr>
        <w:spacing w:after="90" w:line="276"/>
      </w:pPr>
      <w:r>
        <w:rPr>
          <w:rFonts w:ascii="Calibri" w:cs="Calibri" w:eastAsia="Calibri" w:hAnsi="Calibri"/>
          <w:sz w:val="22"/>
          <w:szCs w:val="22"/>
        </w:rPr>
        <w:t xml:space="preserve">Participation in an official University function</w:t>
      </w:r>
    </w:p>
    <w:p>
      <w:pPr>
        <w:pStyle w:val="ListParagraph"/>
        <w:numPr>
          <w:ilvl w:val="0"/>
          <w:numId w:val="2"/>
        </w:numPr>
        <w:spacing w:after="90" w:line="276"/>
      </w:pPr>
      <w:r>
        <w:rPr>
          <w:rFonts w:ascii="Calibri" w:cs="Calibri" w:eastAsia="Calibri" w:hAnsi="Calibri"/>
          <w:sz w:val="22"/>
          <w:szCs w:val="22"/>
        </w:rPr>
        <w:t xml:space="preserve">Pregnancy and parenting under Title IX</w:t>
      </w:r>
    </w:p>
    <w:p>
      <w:pPr>
        <w:pStyle w:val="ListParagraph"/>
        <w:numPr>
          <w:ilvl w:val="0"/>
          <w:numId w:val="2"/>
        </w:numPr>
        <w:spacing w:after="90" w:line="276"/>
      </w:pPr>
      <w:r>
        <w:rPr>
          <w:rFonts w:ascii="Calibri" w:cs="Calibri" w:eastAsia="Calibri" w:hAnsi="Calibri"/>
          <w:sz w:val="22"/>
          <w:szCs w:val="22"/>
        </w:rPr>
        <w:t xml:space="preserve">University closure</w:t>
      </w:r>
    </w:p>
    <w:p>
      <w:pPr>
        <w:spacing w:after="140" w:line="276"/>
      </w:pPr>
      <w:r>
        <w:rPr>
          <w:rFonts w:ascii="Calibri" w:cs="Calibri" w:eastAsia="Calibri" w:hAnsi="Calibri"/>
          <w:sz w:val="22"/>
          <w:szCs w:val="22"/>
        </w:rPr>
        <w:t xml:space="preserve">Notice of an anticipated excused absence is given as early in the semester as possible and in advance of the absence. Documentation may be required. The Excused Absence Form and the Religious Holiday Planning Form are posted under Course Policies on Canvas and are submitted by Canvas email.</w:t>
      </w:r>
    </w:p>
    <w:p>
      <w:pPr>
        <w:spacing w:after="140" w:line="276"/>
      </w:pPr>
      <w:r>
        <w:rPr>
          <w:rFonts w:ascii="Calibri" w:cs="Calibri" w:eastAsia="Calibri" w:hAnsi="Calibri"/>
          <w:sz w:val="22"/>
          <w:szCs w:val="22"/>
        </w:rPr>
        <w:t xml:space="preserve">The sensory labs, the in-class assignments, and the examinations cannot be repeated as taught. A student with an excused absence on one of those dates will be given equivalent work within a reasonable period, arranged in office hours. A student with an unexcused absence on one of those dates receives no credit for it, and an unexcused absence from an examination is recorded as a zero.</w:t>
      </w:r>
    </w:p>
    <w:p>
      <w:pPr>
        <w:spacing w:after="140" w:line="276"/>
      </w:pPr>
      <w:r>
        <w:rPr>
          <w:rFonts w:ascii="Calibri" w:cs="Calibri" w:eastAsia="Calibri" w:hAnsi="Calibri"/>
          <w:sz w:val="22"/>
          <w:szCs w:val="22"/>
        </w:rPr>
        <w:t xml:space="preserve">A student who misses any session submits the appropriate absence form within one week and then meets with me in office hours, having read the chapter first.</w:t>
      </w:r>
    </w:p>
    <w:p>
      <w:pPr>
        <w:spacing w:after="140" w:line="276"/>
      </w:pPr>
      <w:r>
        <w:rPr>
          <w:rFonts w:ascii="Calibri" w:cs="Calibri" w:eastAsia="Calibri" w:hAnsi="Calibri"/>
          <w:sz w:val="22"/>
          <w:szCs w:val="22"/>
        </w:rPr>
        <w:t xml:space="preserve">No category of the grade carries a dropped score, so unexcused absence has a direct effect. Sensory lab participation is calculated from attendance at the five labs and submission of the worksheet; each unexcused lab absence removes one fifth of that component.</w:t>
      </w:r>
    </w:p>
    <w:p>
      <w:pPr>
        <w:spacing w:after="120" w:before="220"/>
      </w:pPr>
      <w:r>
        <w:rPr>
          <w:rFonts w:ascii="Calibri" w:cs="Calibri" w:eastAsia="Calibri" w:hAnsi="Calibri"/>
          <w:b/>
          <w:bCs/>
          <w:sz w:val="23"/>
          <w:szCs w:val="23"/>
        </w:rPr>
        <w:t xml:space="preserve">Late Work</w:t>
      </w:r>
    </w:p>
    <w:p>
      <w:pPr>
        <w:spacing w:after="140" w:line="276"/>
      </w:pPr>
      <w:r>
        <w:rPr>
          <w:rFonts w:ascii="Calibri" w:cs="Calibri" w:eastAsia="Calibri" w:hAnsi="Calibri"/>
          <w:sz w:val="22"/>
          <w:szCs w:val="22"/>
        </w:rPr>
        <w:t xml:space="preserve">Late work is accepted only through previous arrangement. Contact me at least 24 hours before the deadline to request consideration. Work submitted late under a prior arrangement is graded with a reduction of 5 percent per 24-hour period after the deadline.</w:t>
      </w:r>
    </w:p>
    <w:p>
      <w:pPr>
        <w:spacing w:after="140" w:line="276"/>
      </w:pPr>
      <w:r>
        <w:rPr>
          <w:rFonts w:ascii="Calibri" w:cs="Calibri" w:eastAsia="Calibri" w:hAnsi="Calibri"/>
          <w:sz w:val="22"/>
          <w:szCs w:val="22"/>
        </w:rPr>
        <w:t xml:space="preserve">Late work submitted without a prior arrangement is not accepted and receives a grade of zero. Do not wait until after a deadline has passed to make contact.</w:t>
      </w:r>
    </w:p>
    <w:p>
      <w:pPr>
        <w:spacing w:after="140" w:line="276"/>
      </w:pPr>
      <w:r>
        <w:rPr>
          <w:rFonts w:ascii="Calibri" w:cs="Calibri" w:eastAsia="Calibri" w:hAnsi="Calibri"/>
          <w:sz w:val="22"/>
          <w:szCs w:val="22"/>
        </w:rPr>
        <w:t xml:space="preserve">This policy applies to Assignments 1, 4, and 5. Assignments 2 and 3 and the three examinations are completed in class and cannot be submitted late.</w:t>
      </w:r>
    </w:p>
    <w:p>
      <w:pPr>
        <w:spacing w:after="140" w:before="300"/>
      </w:pPr>
      <w:r>
        <w:rPr>
          <w:rFonts w:ascii="Calibri" w:cs="Calibri" w:eastAsia="Calibri" w:hAnsi="Calibri"/>
          <w:b/>
          <w:bCs/>
          <w:sz w:val="26"/>
          <w:szCs w:val="26"/>
        </w:rPr>
        <w:t xml:space="preserve">University Policies</w:t>
      </w:r>
    </w:p>
    <w:p>
      <w:pPr>
        <w:spacing w:after="120" w:before="220"/>
      </w:pPr>
      <w:r>
        <w:rPr>
          <w:rFonts w:ascii="Calibri" w:cs="Calibri" w:eastAsia="Calibri" w:hAnsi="Calibri"/>
          <w:b/>
          <w:bCs/>
          <w:sz w:val="23"/>
          <w:szCs w:val="23"/>
        </w:rPr>
        <w:t xml:space="preserve">Academic Integrity</w:t>
      </w:r>
    </w:p>
    <w:p>
      <w:pPr>
        <w:spacing w:after="140" w:line="276"/>
      </w:pPr>
      <w:r>
        <w:rPr>
          <w:rFonts w:ascii="Calibri" w:cs="Calibri" w:eastAsia="Calibri" w:hAnsi="Calibri"/>
          <w:sz w:val="22"/>
          <w:szCs w:val="22"/>
        </w:rPr>
        <w:t xml:space="preserve">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pPr>
        <w:spacing w:after="140" w:line="276"/>
      </w:pPr>
      <w:r>
        <w:rPr>
          <w:rFonts w:ascii="Calibri" w:cs="Calibri" w:eastAsia="Calibri" w:hAnsi="Calibri"/>
          <w:sz w:val="22"/>
          <w:szCs w:val="22"/>
        </w:rPr>
        <w:t xml:space="preserve">Use of AI-generated writing in any submitted work in this course constitutes a violation of this policy. The course-level consequence is that the assignment is returned without a grade for resubmission; the University-level consequence is determined under Policy 06.003, and a finding may be reported accordingly.</w:t>
      </w:r>
    </w:p>
    <w:p>
      <w:pPr>
        <w:spacing w:after="140" w:line="276"/>
      </w:pPr>
      <w:r>
        <w:rPr>
          <w:rFonts w:ascii="Calibri" w:cs="Calibri" w:eastAsia="Calibri" w:hAnsi="Calibri"/>
          <w:sz w:val="22"/>
          <w:szCs w:val="22"/>
        </w:rPr>
        <w:t xml:space="preserve">The written assignments in this course are built around close attention to a particular object, image, or room examined in class or held in the hand, and around evidence gathered in the sensory labs. Work of that kind cannot be produced by a system that has not been in the room.</w:t>
      </w:r>
    </w:p>
    <w:p>
      <w:pPr>
        <w:spacing w:after="120" w:before="220"/>
      </w:pPr>
      <w:r>
        <w:rPr>
          <w:rFonts w:ascii="Calibri" w:cs="Calibri" w:eastAsia="Calibri" w:hAnsi="Calibri"/>
          <w:b/>
          <w:bCs/>
          <w:sz w:val="23"/>
          <w:szCs w:val="23"/>
        </w:rPr>
        <w:t xml:space="preserve">Disability Accommodations</w:t>
      </w:r>
    </w:p>
    <w:p>
      <w:pPr>
        <w:spacing w:after="140" w:line="276"/>
      </w:pPr>
      <w:r>
        <w:rPr>
          <w:rFonts w:ascii="Calibri" w:cs="Calibri" w:eastAsia="Calibri" w:hAnsi="Calibri"/>
          <w:sz w:val="22"/>
          <w:szCs w:val="22"/>
        </w:rPr>
        <w:t xml:space="preserve">The University of North Texas makes reasonable accommodation for students with disabilities. Students needing reasonable academic accommodations must first register with the Office of Disability Access (ODA) to verify their eligibility. If a disability is verified, the student will request their letter of accommodation. ODA will provide faculty with a reasonable accommodation letter via email to begin a private discussion regarding a student’s specific needs in a course. Students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meet with faculty regarding their accommodations during office hours or by appointment. Faculty members have the authority to ask students to discuss such letters during their designated office hours to protect the privacy of the student. For additional information, refer to the Office of Disability Access website at disability.unt.edu.</w:t>
      </w:r>
    </w:p>
    <w:p>
      <w:pPr>
        <w:spacing w:after="120" w:before="220"/>
      </w:pPr>
      <w:r>
        <w:rPr>
          <w:rFonts w:ascii="Calibri" w:cs="Calibri" w:eastAsia="Calibri" w:hAnsi="Calibri"/>
          <w:b/>
          <w:bCs/>
          <w:sz w:val="23"/>
          <w:szCs w:val="23"/>
        </w:rPr>
        <w:t xml:space="preserve">Emergency Notification and Procedures</w:t>
      </w:r>
    </w:p>
    <w:p>
      <w:pPr>
        <w:spacing w:after="140" w:line="276"/>
      </w:pPr>
      <w:r>
        <w:rPr>
          <w:rFonts w:ascii="Calibri" w:cs="Calibri" w:eastAsia="Calibri" w:hAnsi="Calibri"/>
          <w:sz w:val="22"/>
          <w:szCs w:val="22"/>
        </w:rPr>
        <w:t xml:space="preserve">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pPr>
        <w:spacing w:after="140" w:line="276"/>
      </w:pPr>
      <w:r>
        <w:rPr>
          <w:rFonts w:ascii="Calibri" w:cs="Calibri" w:eastAsia="Calibri" w:hAnsi="Calibri"/>
          <w:b/>
          <w:bCs/>
          <w:sz w:val="22"/>
          <w:szCs w:val="22"/>
        </w:rPr>
        <w:t xml:space="preserve">Evacuation. </w:t>
      </w:r>
      <w:r>
        <w:rPr>
          <w:rFonts w:ascii="Calibri" w:cs="Calibri" w:eastAsia="Calibri" w:hAnsi="Calibri"/>
          <w:sz w:val="22"/>
          <w:szCs w:val="22"/>
        </w:rPr>
        <w:t xml:space="preserve">Prompts include a fire alarm, an Eagle Alert, direction from UNT Police or the Denton Fire Department, or a visibly life-threatening situation. Leave by the nearest exit, offer assistance to anyone with limited mobility, move at least 200 feet from the building, stay off fire lanes, and follow the directions of first responders. Assemble in the church parking lot across Mulberry Street to the north, or in the grassy area by the Physics Building to the west, unless directed elsewhere. Anyone unable to use the stairs should go to the nearest fire refuge area and call 911. This course meets on the second floor, where refuge areas are located at each stairwell.</w:t>
      </w:r>
    </w:p>
    <w:p>
      <w:pPr>
        <w:spacing w:after="140" w:line="276"/>
      </w:pPr>
      <w:r>
        <w:rPr>
          <w:rFonts w:ascii="Calibri" w:cs="Calibri" w:eastAsia="Calibri" w:hAnsi="Calibri"/>
          <w:b/>
          <w:bCs/>
          <w:sz w:val="22"/>
          <w:szCs w:val="22"/>
        </w:rPr>
        <w:t xml:space="preserve">Shelter. </w:t>
      </w:r>
      <w:r>
        <w:rPr>
          <w:rFonts w:ascii="Calibri" w:cs="Calibri" w:eastAsia="Calibri" w:hAnsi="Calibri"/>
          <w:sz w:val="22"/>
          <w:szCs w:val="22"/>
        </w:rPr>
        <w:t xml:space="preserve">Prompts include an Eagle Alert and the outdoor warning sirens. Go indoors immediately and seek shelter on the lowest level of the building that can be reached, away from windows and exterior walls. In the Art Building the shelter areas are the interior hallways and restrooms on the lowest accessible floor. For a tornado, shield the head and neck with the arms and place furniture or other material around the body. For a hazardous materials release, seal off windows, doors, and air vents. Remain in shelter until an Eagle Alert gives the all clear.</w:t>
      </w:r>
    </w:p>
    <w:p>
      <w:pPr>
        <w:spacing w:after="120" w:before="220"/>
      </w:pPr>
      <w:r>
        <w:rPr>
          <w:rFonts w:ascii="Calibri" w:cs="Calibri" w:eastAsia="Calibri" w:hAnsi="Calibri"/>
          <w:b/>
          <w:bCs/>
          <w:sz w:val="23"/>
          <w:szCs w:val="23"/>
        </w:rPr>
        <w:t xml:space="preserve">Student Conduct</w:t>
      </w:r>
    </w:p>
    <w:p>
      <w:pPr>
        <w:spacing w:after="140" w:line="276"/>
      </w:pPr>
      <w:r>
        <w:rPr>
          <w:rFonts w:ascii="Calibri" w:cs="Calibri" w:eastAsia="Calibri" w:hAnsi="Calibri"/>
          <w:sz w:val="22"/>
          <w:szCs w:val="22"/>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and field trips. The Code of Student Conduct can be found at deanofstudents.unt.edu/conduct.</w:t>
      </w:r>
    </w:p>
    <w:p>
      <w:pPr>
        <w:spacing w:after="120" w:before="220"/>
      </w:pPr>
      <w:r>
        <w:rPr>
          <w:rFonts w:ascii="Calibri" w:cs="Calibri" w:eastAsia="Calibri" w:hAnsi="Calibri"/>
          <w:b/>
          <w:bCs/>
          <w:sz w:val="23"/>
          <w:szCs w:val="23"/>
        </w:rPr>
        <w:t xml:space="preserve">Student Evaluation of Instruction (SPOT)</w:t>
      </w:r>
    </w:p>
    <w:p>
      <w:pPr>
        <w:spacing w:after="140" w:line="276"/>
      </w:pPr>
      <w:r>
        <w:rPr>
          <w:rFonts w:ascii="Calibri" w:cs="Calibri" w:eastAsia="Calibri" w:hAnsi="Calibri"/>
          <w:sz w:val="22"/>
          <w:szCs w:val="22"/>
        </w:rPr>
        <w:t xml:space="preserve">Student feedback is important and an essential part of participation in this course. The student evaluation of instruction is a requirement for all organized classes at UNT. The survey will be made available during weeks 13, 14, and 15 of the semester. Students will receive an email from “UNT SPOT Course Evaluations via IASystem Notification” (no-reply@iasystem.org) with the survey link. Students should look for the email in their UNT Eagle Connect inbox. For additional information, visit spot.unt.edu or email spot@unt.edu.</w:t>
      </w:r>
    </w:p>
    <w:p>
      <w:pPr>
        <w:spacing w:after="120" w:before="220"/>
      </w:pPr>
      <w:r>
        <w:rPr>
          <w:rFonts w:ascii="Calibri" w:cs="Calibri" w:eastAsia="Calibri" w:hAnsi="Calibri"/>
          <w:b/>
          <w:bCs/>
          <w:sz w:val="23"/>
          <w:szCs w:val="23"/>
        </w:rPr>
        <w:t xml:space="preserve">Eagle Connect</w:t>
      </w:r>
    </w:p>
    <w:p>
      <w:pPr>
        <w:spacing w:after="140" w:line="276"/>
      </w:pPr>
      <w:r>
        <w:rPr>
          <w:rFonts w:ascii="Calibri" w:cs="Calibri" w:eastAsia="Calibri" w:hAnsi="Calibri"/>
          <w:sz w:val="22"/>
          <w:szCs w:val="22"/>
        </w:rPr>
        <w:t xml:space="preserve">Students’ access point for business and academic services at UNT is located at my.unt.edu. All official communication from the University will be delivered to a student’s Eagle Connect account. For more information, including how to forward email, visit eagleconnect.unt.edu.</w:t>
      </w:r>
    </w:p>
    <w:p>
      <w:pPr>
        <w:spacing w:after="120" w:before="220"/>
      </w:pPr>
      <w:r>
        <w:rPr>
          <w:rFonts w:ascii="Calibri" w:cs="Calibri" w:eastAsia="Calibri" w:hAnsi="Calibri"/>
          <w:b/>
          <w:bCs/>
          <w:sz w:val="23"/>
          <w:szCs w:val="23"/>
        </w:rPr>
        <w:t xml:space="preserve">Retention of Student Records</w:t>
      </w:r>
    </w:p>
    <w:p>
      <w:pPr>
        <w:spacing w:after="140" w:line="276"/>
      </w:pPr>
      <w:r>
        <w:rPr>
          <w:rFonts w:ascii="Calibri" w:cs="Calibri" w:eastAsia="Calibri" w:hAnsi="Calibri"/>
          <w:sz w:val="22"/>
          <w:szCs w:val="22"/>
        </w:rPr>
        <w:t xml:space="preserve">Student records pertaining to this course are maintained in a secure location by the instructor of record. Records including written assignments, examination blue books, review sheets, and lab worksheets are retained for at least one calendar year after course completion. Students have the right to view their individual record; information about a student’s record will not be disclosed to other individuals without proper written consent. Students are encouraged to review the Family Educational Rights and Privacy Act (FERPA) and UNT Policy 04.008, Records Management and Retention.</w:t>
      </w:r>
    </w:p>
    <w:p>
      <w:pPr>
        <w:spacing w:after="140" w:line="276"/>
      </w:pPr>
      <w:r>
        <w:rPr>
          <w:rFonts w:ascii="Calibri" w:cs="Calibri" w:eastAsia="Calibri" w:hAnsi="Calibri"/>
          <w:sz w:val="22"/>
          <w:szCs w:val="22"/>
        </w:rPr>
        <w:t xml:space="preserve">Because the examinations and several assignments are submitted in hard copy, students who wish to retain a copy of their own work should photograph or scan it before submission. Graded work is returned in class; work not collected by the end of the semester is retained for one calendar year and may be recovered during office hours.</w:t>
      </w:r>
    </w:p>
    <w:p>
      <w:pPr>
        <w:spacing w:after="120" w:before="220"/>
      </w:pPr>
      <w:r>
        <w:rPr>
          <w:rFonts w:ascii="Calibri" w:cs="Calibri" w:eastAsia="Calibri" w:hAnsi="Calibri"/>
          <w:b/>
          <w:bCs/>
          <w:sz w:val="23"/>
          <w:szCs w:val="23"/>
        </w:rPr>
        <w:t xml:space="preserve">Survivor Advocacy and Title IX</w:t>
      </w:r>
    </w:p>
    <w:p>
      <w:pPr>
        <w:spacing w:after="140" w:line="276"/>
      </w:pPr>
      <w:r>
        <w:rPr>
          <w:rFonts w:ascii="Calibri" w:cs="Calibri" w:eastAsia="Calibri" w:hAnsi="Calibri"/>
          <w:sz w:val="22"/>
          <w:szCs w:val="22"/>
        </w:rPr>
        <w:t xml:space="preserve">UNT is committed to providing a learning environment free of all forms of sexual misconduct, including sexual harassment, sexual assault, domestic violence, dating violence, and stalking. Federal law under Title IX and the Violence Against Women Act, and UNT policy, prohibit discrimination on the basis of sex and therefore prohibit sexual misconduct. Students who are experiencing or have experienced sexual harassment, relationship violence, stalking, or sexual assault, or who know someone who is, may contact UNT’s Survivor Advocates for support and assistance, including protective orders, crime victim’s compensation applications, faculty notification of absences related to an assault, and housing accommodation. Survivor Advocates can be reached at SurvivorAdvocate@unt.edu or through the Dean of Students Office at 940-565-2648. Alleged sexual misconduct may be reported non-confidentially to the Title IX Coordinator at oeo@unt.edu or 940-565-2759.</w:t>
      </w:r>
    </w:p>
    <w:p>
      <w:pPr>
        <w:spacing w:after="120" w:before="220"/>
      </w:pPr>
      <w:r>
        <w:rPr>
          <w:rFonts w:ascii="Calibri" w:cs="Calibri" w:eastAsia="Calibri" w:hAnsi="Calibri"/>
          <w:b/>
          <w:bCs/>
          <w:sz w:val="23"/>
          <w:szCs w:val="23"/>
        </w:rPr>
        <w:t xml:space="preserve">Preferred Name and Pronouns</w:t>
      </w:r>
    </w:p>
    <w:p>
      <w:pPr>
        <w:spacing w:after="140" w:line="276"/>
      </w:pPr>
      <w:r>
        <w:rPr>
          <w:rFonts w:ascii="Calibri" w:cs="Calibri" w:eastAsia="Calibri" w:hAnsi="Calibri"/>
          <w:sz w:val="22"/>
          <w:szCs w:val="22"/>
        </w:rPr>
        <w:t xml:space="preserve">I will use your preferred name and pronouns. If your preferred name or pronouns differ from what appears in official University records, please let me know at the beginning of the semester or at any point during the course, in person, by Canvas message, or by note, whichever is most comfortable.</w:t>
      </w:r>
    </w:p>
    <w:p>
      <w:pPr>
        <w:spacing w:after="120" w:before="220"/>
      </w:pPr>
      <w:r>
        <w:rPr>
          <w:rFonts w:ascii="Calibri" w:cs="Calibri" w:eastAsia="Calibri" w:hAnsi="Calibri"/>
          <w:b/>
          <w:bCs/>
          <w:sz w:val="23"/>
          <w:szCs w:val="23"/>
        </w:rPr>
        <w:t xml:space="preserve">Pregnancy and Parenting</w:t>
      </w:r>
    </w:p>
    <w:p>
      <w:pPr>
        <w:spacing w:after="140" w:line="276"/>
      </w:pPr>
      <w:r>
        <w:rPr>
          <w:rFonts w:ascii="Calibri" w:cs="Calibri" w:eastAsia="Calibri" w:hAnsi="Calibri"/>
          <w:sz w:val="22"/>
          <w:szCs w:val="22"/>
        </w:rPr>
        <w:t xml:space="preserve">UNT supports pregnant and parenting students in accordance with Title IX and UNT Policy 06.039. Students who are pregnant or parenting and need course modifications, including excused absences, extended deadlines, or access to instructional materials, should contact the Dean of Students Office to submit a pregnancy and parenting accommodation request. I will work with students to ensure they are not penalized for absences or circumstances related to pregnancy, childbirth, or resulting medical conditions.</w:t>
      </w:r>
    </w:p>
    <w:p>
      <w:pPr>
        <w:spacing w:after="120" w:before="220"/>
      </w:pPr>
      <w:r>
        <w:rPr>
          <w:rFonts w:ascii="Calibri" w:cs="Calibri" w:eastAsia="Calibri" w:hAnsi="Calibri"/>
          <w:b/>
          <w:bCs/>
          <w:sz w:val="23"/>
          <w:szCs w:val="23"/>
        </w:rPr>
        <w:t xml:space="preserve">The Writing Center</w:t>
      </w:r>
    </w:p>
    <w:p>
      <w:pPr>
        <w:spacing w:after="140" w:line="276"/>
      </w:pPr>
      <w:r>
        <w:rPr>
          <w:rFonts w:ascii="Calibri" w:cs="Calibri" w:eastAsia="Calibri" w:hAnsi="Calibri"/>
          <w:sz w:val="22"/>
          <w:szCs w:val="22"/>
        </w:rPr>
        <w:t xml:space="preserve">The UNT Writing Center offers free consultations on any aspect of academic writing, including argument development, structure, citation, and revision. Students are encouraged to use this resource throughout the semester, particularly when working on the Meditation and its Revision. For hours and appointments, visit writingcenter.unt.edu.</w:t>
      </w:r>
    </w:p>
    <w:p>
      <w:pPr>
        <w:spacing w:after="120" w:before="220"/>
      </w:pPr>
      <w:r>
        <w:rPr>
          <w:rFonts w:ascii="Calibri" w:cs="Calibri" w:eastAsia="Calibri" w:hAnsi="Calibri"/>
          <w:b/>
          <w:bCs/>
          <w:sz w:val="23"/>
          <w:szCs w:val="23"/>
        </w:rPr>
        <w:t xml:space="preserve">Syllabus Change Notice</w:t>
      </w:r>
    </w:p>
    <w:p>
      <w:pPr>
        <w:spacing w:after="140" w:line="276"/>
      </w:pPr>
      <w:r>
        <w:rPr>
          <w:rFonts w:ascii="Calibri" w:cs="Calibri" w:eastAsia="Calibri" w:hAnsi="Calibri"/>
          <w:sz w:val="22"/>
          <w:szCs w:val="22"/>
        </w:rPr>
        <w:t xml:space="preserve">This syllabus may be revised during the semester. Changes will be announced in class and the current version posted on Canvas.</w:t>
      </w:r>
    </w:p>
    <w:p>
      <w:pPr>
        <w:spacing w:after="140" w:before="300"/>
      </w:pPr>
      <w:r>
        <w:rPr>
          <w:rFonts w:ascii="Calibri" w:cs="Calibri" w:eastAsia="Calibri" w:hAnsi="Calibri"/>
          <w:b/>
          <w:bCs/>
          <w:sz w:val="26"/>
          <w:szCs w:val="26"/>
        </w:rPr>
        <w:t xml:space="preserve">Meeting Calendar</w:t>
      </w:r>
    </w:p>
    <w:p>
      <w:pPr>
        <w:spacing w:after="140" w:line="276"/>
      </w:pPr>
      <w:r>
        <w:rPr>
          <w:rFonts w:ascii="Calibri" w:cs="Calibri" w:eastAsia="Calibri" w:hAnsi="Calibri"/>
          <w:sz w:val="22"/>
          <w:szCs w:val="22"/>
        </w:rPr>
        <w:t xml:space="preserve">Everything above concerns how the course works and does not change. What follows is when things happen, and it can. Changes are announced in class and posted on Canvas, and the posted version is the current one.</w:t>
      </w:r>
    </w:p>
    <w:p>
      <w:pPr>
        <w:spacing w:after="140" w:line="276"/>
      </w:pPr>
      <w:r>
        <w:rPr>
          <w:rFonts w:ascii="Calibri" w:cs="Calibri" w:eastAsia="Calibri" w:hAnsi="Calibri"/>
          <w:sz w:val="22"/>
          <w:szCs w:val="22"/>
        </w:rPr>
        <w:t xml:space="preserve">No class September 7 (Labor Day), September 21 (Yom Kippur), November 23–29 (Thanksgiving), December 3–4 (Reading Days).</w:t>
      </w:r>
    </w:p>
    <w:p>
      <w:pPr>
        <w:sectPr>
          <w:pgSz w:w="12240" w:h="15840" w:orient="portrait"/>
          <w:pgMar w:top="1080" w:right="1080" w:bottom="1080" w:left="1080" w:header="708" w:footer="708" w:gutter="0"/>
          <w:pgNumType/>
          <w:docGrid w:linePitch="360"/>
        </w:sectPr>
      </w:pPr>
    </w:p>
    <w:p>
      <w:pPr>
        <w:spacing w:after="60"/>
      </w:pPr>
      <w:r>
        <w:rPr>
          <w:rFonts w:ascii="Calibri" w:cs="Calibri" w:eastAsia="Calibri" w:hAnsi="Calibri"/>
          <w:b/>
          <w:bCs/>
          <w:sz w:val="26"/>
          <w:szCs w:val="26"/>
        </w:rPr>
        <w:t xml:space="preserve">ARTH 4841 · Historic Interiors — Meeting Calendar, Fall 2026</w:t>
      </w:r>
    </w:p>
    <w:p>
      <w:pPr>
        <w:spacing w:after="60"/>
      </w:pPr>
      <w:r>
        <w:rPr>
          <w:rFonts w:ascii="Calibri" w:cs="Calibri" w:eastAsia="Calibri" w:hAnsi="Calibri"/>
          <w:color w:val="444444"/>
          <w:sz w:val="19"/>
          <w:szCs w:val="19"/>
        </w:rPr>
        <w:t xml:space="preserve">Full term: August 19 – December 11, 2026</w:t>
      </w:r>
    </w:p>
    <w:p>
      <w:pPr>
        <w:spacing w:after="200"/>
      </w:pPr>
      <w:r>
        <w:rPr>
          <w:rFonts w:ascii="Calibri" w:cs="Calibri" w:eastAsia="Calibri" w:hAnsi="Calibri"/>
          <w:i/>
          <w:iCs/>
          <w:color w:val="1F4E79"/>
          <w:sz w:val="18"/>
          <w:szCs w:val="18"/>
        </w:rPr>
        <w:t xml:space="preserve">Blue italic entries</w:t>
      </w:r>
      <w:r>
        <w:rPr>
          <w:rFonts w:ascii="Calibri" w:cs="Calibri" w:eastAsia="Calibri" w:hAnsi="Calibri"/>
          <w:color w:val="444444"/>
          <w:sz w:val="18"/>
          <w:szCs w:val="18"/>
        </w:rPr>
        <w:t xml:space="preserve"> mark the session at which an assignment or examination format is introduced. This calendar may be revised; changes are announced in class and the current version posted on Canvas.</w:t>
      </w:r>
    </w:p>
    <w:tbl>
      <w:tblPr>
        <w:tblW w:type="dxa" w:w="14400"/>
        <w:tblBorders>
          <w:top w:val="single" w:color="AAAAAA" w:sz="4"/>
          <w:left w:val="single" w:color="AAAAAA" w:sz="4"/>
          <w:bottom w:val="single" w:color="AAAAAA" w:sz="4"/>
          <w:right w:val="single" w:color="AAAAAA" w:sz="4"/>
          <w:insideH w:val="single" w:color="CCCCCC" w:sz="4"/>
          <w:insideV w:val="single" w:color="CCCCCC" w:sz="4"/>
        </w:tblBorders>
      </w:tblPr>
      <w:tblGrid>
        <w:gridCol w:w="1150"/>
        <w:gridCol w:w="780"/>
        <w:gridCol w:w="2420"/>
        <w:gridCol w:w="5600"/>
        <w:gridCol w:w="3050"/>
        <w:gridCol w:w="1400"/>
      </w:tblGrid>
      <w:tr>
        <w:trPr>
          <w:tblHeader/>
        </w:trPr>
        <w:tc>
          <w:tcPr>
            <w:tcW w:type="dxa" w:w="1150"/>
            <w:shd w:fill="E7EDF4" w:val="clear"/>
            <w:tcMar>
              <w:top w:type="dxa" w:w="80"/>
              <w:left w:type="dxa" w:w="90"/>
              <w:bottom w:type="dxa" w:w="80"/>
              <w:right w:type="dxa" w:w="90"/>
            </w:tcMar>
          </w:tcPr>
          <w:p>
            <w:pPr>
              <w:spacing w:after="40"/>
            </w:pPr>
            <w:r>
              <w:rPr>
                <w:rFonts w:ascii="Calibri" w:cs="Calibri" w:eastAsia="Calibri" w:hAnsi="Calibri"/>
                <w:b/>
                <w:bCs/>
                <w:sz w:val="18"/>
                <w:szCs w:val="18"/>
              </w:rPr>
              <w:t xml:space="preserve">Date</w:t>
            </w:r>
          </w:p>
        </w:tc>
        <w:tc>
          <w:tcPr>
            <w:tcW w:type="dxa" w:w="780"/>
            <w:shd w:fill="E7EDF4" w:val="clear"/>
            <w:tcMar>
              <w:top w:type="dxa" w:w="80"/>
              <w:left w:type="dxa" w:w="90"/>
              <w:bottom w:type="dxa" w:w="80"/>
              <w:right w:type="dxa" w:w="90"/>
            </w:tcMar>
          </w:tcPr>
          <w:p>
            <w:pPr>
              <w:spacing w:after="40"/>
            </w:pPr>
            <w:r>
              <w:rPr>
                <w:rFonts w:ascii="Calibri" w:cs="Calibri" w:eastAsia="Calibri" w:hAnsi="Calibri"/>
                <w:b/>
                <w:bCs/>
                <w:sz w:val="18"/>
                <w:szCs w:val="18"/>
              </w:rPr>
              <w:t xml:space="preserve">Module</w:t>
            </w:r>
          </w:p>
        </w:tc>
        <w:tc>
          <w:tcPr>
            <w:tcW w:type="dxa" w:w="2420"/>
            <w:shd w:fill="E7EDF4" w:val="clear"/>
            <w:tcMar>
              <w:top w:type="dxa" w:w="80"/>
              <w:left w:type="dxa" w:w="90"/>
              <w:bottom w:type="dxa" w:w="80"/>
              <w:right w:type="dxa" w:w="90"/>
            </w:tcMar>
          </w:tcPr>
          <w:p>
            <w:pPr>
              <w:spacing w:after="40"/>
            </w:pPr>
            <w:r>
              <w:rPr>
                <w:rFonts w:ascii="Calibri" w:cs="Calibri" w:eastAsia="Calibri" w:hAnsi="Calibri"/>
                <w:b/>
                <w:bCs/>
                <w:sz w:val="18"/>
                <w:szCs w:val="18"/>
              </w:rPr>
              <w:t xml:space="preserve">Topic</w:t>
            </w:r>
          </w:p>
        </w:tc>
        <w:tc>
          <w:tcPr>
            <w:tcW w:type="dxa" w:w="5600"/>
            <w:shd w:fill="E7EDF4" w:val="clear"/>
            <w:tcMar>
              <w:top w:type="dxa" w:w="80"/>
              <w:left w:type="dxa" w:w="90"/>
              <w:bottom w:type="dxa" w:w="80"/>
              <w:right w:type="dxa" w:w="90"/>
            </w:tcMar>
          </w:tcPr>
          <w:p>
            <w:pPr>
              <w:spacing w:after="40"/>
            </w:pPr>
            <w:r>
              <w:rPr>
                <w:rFonts w:ascii="Calibri" w:cs="Calibri" w:eastAsia="Calibri" w:hAnsi="Calibri"/>
                <w:b/>
                <w:bCs/>
                <w:sz w:val="18"/>
                <w:szCs w:val="18"/>
              </w:rPr>
              <w:t xml:space="preserve">Reading</w:t>
            </w:r>
          </w:p>
        </w:tc>
        <w:tc>
          <w:tcPr>
            <w:tcW w:type="dxa" w:w="3050"/>
            <w:shd w:fill="E7EDF4" w:val="clear"/>
            <w:tcMar>
              <w:top w:type="dxa" w:w="80"/>
              <w:left w:type="dxa" w:w="90"/>
              <w:bottom w:type="dxa" w:w="80"/>
              <w:right w:type="dxa" w:w="90"/>
            </w:tcMar>
          </w:tcPr>
          <w:p>
            <w:pPr>
              <w:spacing w:after="40"/>
            </w:pPr>
            <w:r>
              <w:rPr>
                <w:rFonts w:ascii="Calibri" w:cs="Calibri" w:eastAsia="Calibri" w:hAnsi="Calibri"/>
                <w:b/>
                <w:bCs/>
                <w:sz w:val="18"/>
                <w:szCs w:val="18"/>
              </w:rPr>
              <w:t xml:space="preserve">In Class</w:t>
            </w:r>
          </w:p>
        </w:tc>
        <w:tc>
          <w:tcPr>
            <w:tcW w:type="dxa" w:w="1400"/>
            <w:shd w:fill="E7EDF4" w:val="clear"/>
            <w:tcMar>
              <w:top w:type="dxa" w:w="80"/>
              <w:left w:type="dxa" w:w="90"/>
              <w:bottom w:type="dxa" w:w="80"/>
              <w:right w:type="dxa" w:w="90"/>
            </w:tcMar>
          </w:tcPr>
          <w:p>
            <w:pPr>
              <w:spacing w:after="40"/>
            </w:pPr>
            <w:r>
              <w:rPr>
                <w:rFonts w:ascii="Calibri" w:cs="Calibri" w:eastAsia="Calibri" w:hAnsi="Calibri"/>
                <w:b/>
                <w:bCs/>
                <w:sz w:val="18"/>
                <w:szCs w:val="18"/>
              </w:rPr>
              <w:t xml:space="preserve">Graded Work Due</w:t>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Wed, Aug 19</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M1</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What Is This Course? What Is an Interior?</w:t>
            </w:r>
          </w:p>
          <w:p>
            <w:pPr>
              <w:spacing w:after="40"/>
            </w:pPr>
            <w:r>
              <w:rPr>
                <w:rFonts w:ascii="Calibri" w:cs="Calibri" w:eastAsia="Calibri" w:hAnsi="Calibri"/>
                <w:sz w:val="17"/>
                <w:szCs w:val="17"/>
              </w:rPr>
              <w:t xml:space="preserve">Historic Interiors: Evidence and Interpretation</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Lupkin, Paula. “Historic Interiors.” Course reader. Unpublished manuscript, 2026. Introduction and Chapter 1.</w:t>
            </w:r>
          </w:p>
          <w:p>
            <w:pPr>
              <w:spacing w:after="40"/>
            </w:pPr>
            <w:r>
              <w:rPr>
                <w:rFonts w:ascii="Calibri" w:cs="Calibri" w:eastAsia="Calibri" w:hAnsi="Calibri"/>
                <w:sz w:val="17"/>
                <w:szCs w:val="17"/>
              </w:rPr>
              <w:t xml:space="preserve">Frearson, Amy. “Garden Flat in Lyon Photographed before and after a Party.” Dezeen, December 1, 2013. https://www.dezeen.com/2013/12/01/garden-flat-lyon-dank-architectes/.</w:t>
            </w:r>
          </w:p>
        </w:tc>
        <w:tc>
          <w:tcPr>
            <w:tcW w:type="dxa" w:w="3050"/>
            <w:tcMar>
              <w:top w:type="dxa" w:w="60"/>
              <w:left w:type="dxa" w:w="90"/>
              <w:bottom w:type="dxa" w:w="60"/>
              <w:right w:type="dxa" w:w="90"/>
            </w:tcMar>
          </w:tcPr>
          <w:p>
            <w:pPr>
              <w:spacing w:after="40"/>
            </w:pPr>
            <w:r>
              <w:rPr>
                <w:rFonts w:ascii="Calibri" w:cs="Calibri" w:eastAsia="Calibri" w:hAnsi="Calibri"/>
                <w:sz w:val="17"/>
                <w:szCs w:val="17"/>
              </w:rPr>
              <w:t xml:space="preserve">Lecture and discussion: </w:t>
            </w:r>
          </w:p>
          <w:p>
            <w:pPr>
              <w:spacing w:after="40"/>
            </w:pPr>
            <w:r>
              <w:rPr>
                <w:rFonts w:ascii="Calibri" w:cs="Calibri" w:eastAsia="Calibri" w:hAnsi="Calibri"/>
                <w:sz w:val="17"/>
                <w:szCs w:val="17"/>
              </w:rPr>
              <w:t xml:space="preserve">This Is Not a Chair video; the concept of “lived interiors” and the Lyon flat</w:t>
            </w:r>
          </w:p>
          <w:p>
            <w:pPr>
              <w:spacing w:after="40"/>
            </w:pPr>
            <w:r>
              <w:rPr>
                <w:rFonts w:ascii="Calibri" w:cs="Calibri" w:eastAsia="Calibri" w:hAnsi="Calibri"/>
                <w:i/>
                <w:iCs/>
                <w:color w:val="1F4E79"/>
                <w:sz w:val="17"/>
                <w:szCs w:val="17"/>
              </w:rPr>
              <w:t xml:space="preserve">Assignment 1 introduced. Lived Interiors exercise introduced.</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Mon, Aug 24</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M2</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Caves and Mountains</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Lupkin, Paula. “Historic Interiors.” Course reader. Unpublished manuscript, 2026. Chapter 2.</w:t>
            </w:r>
          </w:p>
          <w:p>
            <w:pPr>
              <w:spacing w:after="40"/>
            </w:pPr>
            <w:r>
              <w:rPr>
                <w:rFonts w:ascii="Calibri" w:cs="Calibri" w:eastAsia="Calibri" w:hAnsi="Calibri"/>
                <w:sz w:val="17"/>
                <w:szCs w:val="17"/>
              </w:rPr>
              <w:t xml:space="preserve">Pallasmaa, Juhani. The Eyes of the Skin: Architecture and the Senses. 3rd ed. Chichester: John Wiley &amp; Sons, 2012. Selected pages.</w:t>
            </w:r>
          </w:p>
        </w:tc>
        <w:tc>
          <w:tcPr>
            <w:tcW w:type="dxa" w:w="3050"/>
            <w:tcMar>
              <w:top w:type="dxa" w:w="60"/>
              <w:left w:type="dxa" w:w="90"/>
              <w:bottom w:type="dxa" w:w="60"/>
              <w:right w:type="dxa" w:w="90"/>
            </w:tcMar>
          </w:tcPr>
          <w:p>
            <w:pPr>
              <w:spacing w:after="40"/>
            </w:pPr>
            <w:r>
              <w:rPr>
                <w:rFonts w:ascii="Calibri" w:cs="Calibri" w:eastAsia="Calibri" w:hAnsi="Calibri"/>
                <w:sz w:val="17"/>
                <w:szCs w:val="17"/>
              </w:rPr>
              <w:t xml:space="preserve">Lecture and discussion: Chauvet Cave, Tarquinia Etruscan tombs, Chichén Itzá cenote</w:t>
            </w:r>
          </w:p>
          <w:p>
            <w:pPr>
              <w:spacing w:after="40"/>
            </w:pPr>
            <w:r>
              <w:rPr>
                <w:rFonts w:ascii="Calibri" w:cs="Calibri" w:eastAsia="Calibri" w:hAnsi="Calibri"/>
                <w:i/>
                <w:iCs/>
                <w:color w:val="1F4E79"/>
                <w:sz w:val="17"/>
                <w:szCs w:val="17"/>
              </w:rPr>
              <w:t xml:space="preserve">Examination format introduced: three handwritten blue-book exams; blue-book practice Sep 14. Assignment 2 introduced.</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Assignment 1: “This Is Not a Chair”</w:t>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Wed, Aug 26</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M2</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Werner Herzog and the Cave of Forgotten Dreams</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Herzog, Werner, dir. Cave of Forgotten Dreams. 2010; New York: IFC Films / Sundance Selects. View before class and draft Assignment 2.</w:t>
            </w:r>
          </w:p>
        </w:tc>
        <w:tc>
          <w:tcPr>
            <w:tcW w:type="dxa" w:w="3050"/>
            <w:tcMar>
              <w:top w:type="dxa" w:w="60"/>
              <w:left w:type="dxa" w:w="90"/>
              <w:bottom w:type="dxa" w:w="60"/>
              <w:right w:type="dxa" w:w="90"/>
            </w:tcMar>
          </w:tcPr>
          <w:p>
            <w:pPr>
              <w:spacing w:after="40"/>
            </w:pPr>
            <w:r>
              <w:rPr>
                <w:rFonts w:ascii="Calibri" w:cs="Calibri" w:eastAsia="Calibri" w:hAnsi="Calibri"/>
                <w:sz w:val="17"/>
                <w:szCs w:val="17"/>
              </w:rPr>
              <w:t xml:space="preserve">Lecture, discussion, and viewing: the evidence and methods Herzog uses to interpret Chauvet Cave</w:t>
            </w:r>
          </w:p>
          <w:p>
            <w:pPr>
              <w:spacing w:after="40"/>
            </w:pPr>
            <w:r>
              <w:rPr>
                <w:rFonts w:ascii="Calibri" w:cs="Calibri" w:eastAsia="Calibri" w:hAnsi="Calibri"/>
                <w:sz w:val="17"/>
                <w:szCs w:val="17"/>
              </w:rPr>
              <w:t xml:space="preserve">Assignment 2 completed in class</w:t>
            </w:r>
          </w:p>
          <w:p>
            <w:pPr>
              <w:spacing w:after="40"/>
            </w:pPr>
            <w:r>
              <w:rPr>
                <w:rFonts w:ascii="Calibri" w:cs="Calibri" w:eastAsia="Calibri" w:hAnsi="Calibri"/>
                <w:sz w:val="17"/>
                <w:szCs w:val="17"/>
              </w:rPr>
              <w:t xml:space="preserve">Lived Interiors exercise submitted (not graded)</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Assignment 2: Film Clip (completed in class)</w:t>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Mon, Aug 31</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M3</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Ancient Domes and Cosmic Symbolism</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Lupkin, Paula. “Historic Interiors.” Course reader. Unpublished manuscript, 2026. Chapter 3.</w:t>
            </w:r>
          </w:p>
        </w:tc>
        <w:tc>
          <w:tcPr>
            <w:tcW w:type="dxa" w:w="3050"/>
            <w:tcMar>
              <w:top w:type="dxa" w:w="60"/>
              <w:left w:type="dxa" w:w="90"/>
              <w:bottom w:type="dxa" w:w="60"/>
              <w:right w:type="dxa" w:w="90"/>
            </w:tcMar>
          </w:tcPr>
          <w:p>
            <w:pPr>
              <w:spacing w:after="40"/>
            </w:pPr>
            <w:r>
              <w:rPr>
                <w:rFonts w:ascii="Calibri" w:cs="Calibri" w:eastAsia="Calibri" w:hAnsi="Calibri"/>
                <w:sz w:val="17"/>
                <w:szCs w:val="17"/>
              </w:rPr>
              <w:t xml:space="preserve">Lecture and discussion</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Wed, Sep 2</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M3</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The Sensorium</w:t>
            </w:r>
          </w:p>
          <w:p>
            <w:pPr>
              <w:spacing w:after="40"/>
            </w:pPr>
            <w:r>
              <w:rPr>
                <w:rFonts w:ascii="Calibri" w:cs="Calibri" w:eastAsia="Calibri" w:hAnsi="Calibri"/>
                <w:sz w:val="17"/>
                <w:szCs w:val="17"/>
              </w:rPr>
              <w:t xml:space="preserve">Sound, Senses, and the Ancient Interior</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Lupkin, Paula. “Historic Interiors.” Course reader. Unpublished manuscript, 2026. Chapter 4.</w:t>
            </w:r>
          </w:p>
          <w:p>
            <w:pPr>
              <w:spacing w:after="40"/>
            </w:pPr>
            <w:r>
              <w:rPr>
                <w:rFonts w:ascii="Calibri" w:cs="Calibri" w:eastAsia="Calibri" w:hAnsi="Calibri"/>
                <w:sz w:val="17"/>
                <w:szCs w:val="17"/>
              </w:rPr>
              <w:t xml:space="preserve">Blesser, Barry, and Linda-Ruth Salter. “Auditory Spatial Awareness.” In Spaces Speak, Are You Listening? Experiencing Aural Architecture, 11–26. Cambridge, MA: MIT Press, 2007.</w:t>
            </w:r>
          </w:p>
          <w:p>
            <w:pPr>
              <w:spacing w:after="40"/>
            </w:pPr>
            <w:r>
              <w:rPr>
                <w:rFonts w:ascii="Calibri" w:cs="Calibri" w:eastAsia="Calibri" w:hAnsi="Calibri"/>
                <w:sz w:val="17"/>
                <w:szCs w:val="17"/>
              </w:rPr>
              <w:t xml:space="preserve">The Voice of Hagia Sophia. Directed by Duygu Eruçman; produced by Bissera V. Pentcheva. Stanford, CA: Icons of Sound, Stanford University, 2018. Vimeo. https://vimeo.com/357467398.</w:t>
            </w:r>
          </w:p>
        </w:tc>
        <w:tc>
          <w:tcPr>
            <w:tcW w:type="dxa" w:w="3050"/>
            <w:tcMar>
              <w:top w:type="dxa" w:w="60"/>
              <w:left w:type="dxa" w:w="90"/>
              <w:bottom w:type="dxa" w:w="60"/>
              <w:right w:type="dxa" w:w="90"/>
            </w:tcMar>
          </w:tcPr>
          <w:p>
            <w:pPr>
              <w:spacing w:after="40"/>
            </w:pPr>
            <w:r>
              <w:rPr>
                <w:rFonts w:ascii="Calibri" w:cs="Calibri" w:eastAsia="Calibri" w:hAnsi="Calibri"/>
                <w:b/>
                <w:bCs/>
                <w:sz w:val="17"/>
                <w:szCs w:val="17"/>
              </w:rPr>
              <w:t xml:space="preserve">Sensory Lab 1</w:t>
            </w:r>
          </w:p>
          <w:p>
            <w:pPr>
              <w:spacing w:after="40"/>
            </w:pPr>
            <w:r>
              <w:rPr>
                <w:rFonts w:ascii="Calibri" w:cs="Calibri" w:eastAsia="Calibri" w:hAnsi="Calibri"/>
                <w:sz w:val="17"/>
                <w:szCs w:val="17"/>
              </w:rPr>
              <w:t xml:space="preserve">Worksheet submitted at close; not graded for content</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
            </w:r>
          </w:p>
        </w:tc>
      </w:tr>
      <w:tr>
        <w:tc>
          <w:tcPr>
            <w:tcW w:type="dxa" w:w="14400"/>
            <w:gridSpan w:val="6"/>
            <w:shd w:fill="F2F2F2" w:val="clear"/>
            <w:tcMar>
              <w:top w:type="dxa" w:w="70"/>
              <w:left w:type="dxa" w:w="90"/>
              <w:bottom w:type="dxa" w:w="70"/>
              <w:right w:type="dxa" w:w="90"/>
            </w:tcMar>
          </w:tcPr>
          <w:p>
            <w:pPr>
              <w:spacing w:after="40"/>
              <w:jc w:val="center"/>
            </w:pPr>
            <w:r>
              <w:rPr>
                <w:rFonts w:ascii="Calibri" w:cs="Calibri" w:eastAsia="Calibri" w:hAnsi="Calibri"/>
                <w:b/>
                <w:bCs/>
                <w:sz w:val="17"/>
                <w:szCs w:val="17"/>
              </w:rPr>
              <w:t xml:space="preserve">Mon, Sep 7  ·  Labor Day — No Class</w:t>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Wed, Sep 9</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M4</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Navajo Hogan and Mongolian Yurt</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Lupkin, Paula. “Historic Interiors.” Course reader. Unpublished manuscript, 2026. Chapter 5.</w:t>
            </w:r>
          </w:p>
        </w:tc>
        <w:tc>
          <w:tcPr>
            <w:tcW w:type="dxa" w:w="3050"/>
            <w:tcMar>
              <w:top w:type="dxa" w:w="60"/>
              <w:left w:type="dxa" w:w="90"/>
              <w:bottom w:type="dxa" w:w="60"/>
              <w:right w:type="dxa" w:w="90"/>
            </w:tcMar>
          </w:tcPr>
          <w:p>
            <w:pPr>
              <w:spacing w:after="40"/>
            </w:pPr>
            <w:r>
              <w:rPr>
                <w:rFonts w:ascii="Calibri" w:cs="Calibri" w:eastAsia="Calibri" w:hAnsi="Calibri"/>
                <w:sz w:val="17"/>
                <w:szCs w:val="17"/>
              </w:rPr>
              <w:t xml:space="preserve">Lecture and discussion</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Mon, Sep 14</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M4</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Exam Review and Blue-Book Practice</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Exam handout, chapter questions, glossaries</w:t>
            </w:r>
          </w:p>
        </w:tc>
        <w:tc>
          <w:tcPr>
            <w:tcW w:type="dxa" w:w="3050"/>
            <w:tcMar>
              <w:top w:type="dxa" w:w="60"/>
              <w:left w:type="dxa" w:w="90"/>
              <w:bottom w:type="dxa" w:w="60"/>
              <w:right w:type="dxa" w:w="90"/>
            </w:tcMar>
          </w:tcPr>
          <w:p>
            <w:pPr>
              <w:spacing w:after="40"/>
            </w:pPr>
            <w:r>
              <w:rPr>
                <w:rFonts w:ascii="Calibri" w:cs="Calibri" w:eastAsia="Calibri" w:hAnsi="Calibri"/>
                <w:sz w:val="17"/>
                <w:szCs w:val="17"/>
              </w:rPr>
              <w:t xml:space="preserve">Exam 1 format walked through; blue-book practice</w:t>
            </w:r>
          </w:p>
          <w:p>
            <w:pPr>
              <w:spacing w:after="40"/>
            </w:pPr>
            <w:r>
              <w:rPr>
                <w:rFonts w:ascii="Calibri" w:cs="Calibri" w:eastAsia="Calibri" w:hAnsi="Calibri"/>
                <w:sz w:val="17"/>
                <w:szCs w:val="17"/>
              </w:rPr>
              <w:t xml:space="preserve">Handwritten review sheet drafted in class</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Handwritten review sheet (required, not graded; submitted with Exam 1)</w:t>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Wed, Sep 16</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M4</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Exam 1 (Modules 1–3)</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
            </w:r>
          </w:p>
        </w:tc>
        <w:tc>
          <w:tcPr>
            <w:tcW w:type="dxa" w:w="3050"/>
            <w:tcMar>
              <w:top w:type="dxa" w:w="60"/>
              <w:left w:type="dxa" w:w="90"/>
              <w:bottom w:type="dxa" w:w="60"/>
              <w:right w:type="dxa" w:w="90"/>
            </w:tcMar>
          </w:tcPr>
          <w:p>
            <w:pPr>
              <w:spacing w:after="40"/>
            </w:pPr>
            <w:r>
              <w:rPr>
                <w:rFonts w:ascii="Calibri" w:cs="Calibri" w:eastAsia="Calibri" w:hAnsi="Calibri"/>
                <w:sz w:val="17"/>
                <w:szCs w:val="17"/>
              </w:rPr>
              <w:t xml:space="preserve">In-class blue-book examination, 12:45–2:05</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Exam 1; review sheet submitted with the exam</w:t>
            </w:r>
          </w:p>
        </w:tc>
      </w:tr>
      <w:tr>
        <w:tc>
          <w:tcPr>
            <w:tcW w:type="dxa" w:w="14400"/>
            <w:gridSpan w:val="6"/>
            <w:shd w:fill="F2F2F2" w:val="clear"/>
            <w:tcMar>
              <w:top w:type="dxa" w:w="70"/>
              <w:left w:type="dxa" w:w="90"/>
              <w:bottom w:type="dxa" w:w="70"/>
              <w:right w:type="dxa" w:w="90"/>
            </w:tcMar>
          </w:tcPr>
          <w:p>
            <w:pPr>
              <w:spacing w:after="40"/>
              <w:jc w:val="center"/>
            </w:pPr>
            <w:r>
              <w:rPr>
                <w:rFonts w:ascii="Calibri" w:cs="Calibri" w:eastAsia="Calibri" w:hAnsi="Calibri"/>
                <w:b/>
                <w:bCs/>
                <w:sz w:val="17"/>
                <w:szCs w:val="17"/>
              </w:rPr>
              <w:t xml:space="preserve">Mon, Sep 21  ·  Yom Kippur — No Class</w:t>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Wed, Sep 23</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M5</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The Roman Domus and Its Decoration</w:t>
            </w:r>
          </w:p>
          <w:p>
            <w:pPr>
              <w:spacing w:after="40"/>
            </w:pPr>
            <w:r>
              <w:rPr>
                <w:rFonts w:ascii="Calibri" w:cs="Calibri" w:eastAsia="Calibri" w:hAnsi="Calibri"/>
                <w:sz w:val="17"/>
                <w:szCs w:val="17"/>
              </w:rPr>
              <w:t xml:space="preserve">The Social Life of the Pompeian Town House and Villa Rustica</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Lupkin, Paula. “Historic Interiors.” Course reader. Unpublished manuscript, 2026. Chapter 6.</w:t>
            </w:r>
          </w:p>
        </w:tc>
        <w:tc>
          <w:tcPr>
            <w:tcW w:type="dxa" w:w="3050"/>
            <w:tcMar>
              <w:top w:type="dxa" w:w="60"/>
              <w:left w:type="dxa" w:w="90"/>
              <w:bottom w:type="dxa" w:w="60"/>
              <w:right w:type="dxa" w:w="90"/>
            </w:tcMar>
          </w:tcPr>
          <w:p>
            <w:pPr>
              <w:spacing w:after="40"/>
            </w:pPr>
            <w:r>
              <w:rPr>
                <w:rFonts w:ascii="Calibri" w:cs="Calibri" w:eastAsia="Calibri" w:hAnsi="Calibri"/>
                <w:sz w:val="17"/>
                <w:szCs w:val="17"/>
              </w:rPr>
              <w:t xml:space="preserve">Lecture and discussion</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Mon, Sep 28</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M5</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The Domus in Ancient Texts: What Kind of Evidence?</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Vitruvius. The Ten Books on Architecture. Translated by Morris Hicky Morgan. Cambridge, MA: Harvard University Press, 1914. Books 5 and 6. https://www.gutenberg.org/ebooks/20239.</w:t>
            </w:r>
          </w:p>
          <w:p>
            <w:pPr>
              <w:spacing w:after="40"/>
            </w:pPr>
            <w:r>
              <w:rPr>
                <w:rFonts w:ascii="Calibri" w:cs="Calibri" w:eastAsia="Calibri" w:hAnsi="Calibri"/>
                <w:sz w:val="17"/>
                <w:szCs w:val="17"/>
              </w:rPr>
              <w:t xml:space="preserve">Pliny the Younger. Letters, Book 2, Letter 17 (the Laurentine villa), and Book 5, Letter 6 (the Tuscan villa). Translated by J. B. Firth. 1900. Attalus. https://www.attalus.org/info/pliny.html.</w:t>
            </w:r>
          </w:p>
          <w:p>
            <w:pPr>
              <w:spacing w:after="40"/>
            </w:pPr>
            <w:r>
              <w:rPr>
                <w:rFonts w:ascii="Calibri" w:cs="Calibri" w:eastAsia="Calibri" w:hAnsi="Calibri"/>
                <w:sz w:val="17"/>
                <w:szCs w:val="17"/>
              </w:rPr>
              <w:t xml:space="preserve">Juvenal. The Satires, Satire III. Translated by A. S. Kline. Poetry in Translation, 2001. https://www.poetryintranslation.com/PITBR/Latin/JuvenalSatires3.php.</w:t>
            </w:r>
          </w:p>
        </w:tc>
        <w:tc>
          <w:tcPr>
            <w:tcW w:type="dxa" w:w="3050"/>
            <w:tcMar>
              <w:top w:type="dxa" w:w="60"/>
              <w:left w:type="dxa" w:w="90"/>
              <w:bottom w:type="dxa" w:w="60"/>
              <w:right w:type="dxa" w:w="90"/>
            </w:tcMar>
          </w:tcPr>
          <w:p>
            <w:pPr>
              <w:spacing w:after="40"/>
            </w:pPr>
            <w:r>
              <w:rPr>
                <w:rFonts w:ascii="Calibri" w:cs="Calibri" w:eastAsia="Calibri" w:hAnsi="Calibri"/>
                <w:sz w:val="17"/>
                <w:szCs w:val="17"/>
              </w:rPr>
              <w:t xml:space="preserve">Assignment 3 completed in class, by hand, on distributed materials</w:t>
            </w:r>
          </w:p>
          <w:p>
            <w:pPr>
              <w:spacing w:after="40"/>
            </w:pPr>
            <w:r>
              <w:rPr>
                <w:rFonts w:ascii="Calibri" w:cs="Calibri" w:eastAsia="Calibri" w:hAnsi="Calibri"/>
                <w:i/>
                <w:iCs/>
                <w:color w:val="1F4E79"/>
                <w:sz w:val="17"/>
                <w:szCs w:val="17"/>
              </w:rPr>
              <w:t xml:space="preserve">Assignment 4 introduced; option list distributed.</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Assignment 3: Annotation of Vitruvius (completed in class)</w:t>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Wed, Sep 30</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M5</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Buffer Session</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
            </w:r>
          </w:p>
        </w:tc>
        <w:tc>
          <w:tcPr>
            <w:tcW w:type="dxa" w:w="3050"/>
            <w:tcMar>
              <w:top w:type="dxa" w:w="60"/>
              <w:left w:type="dxa" w:w="90"/>
              <w:bottom w:type="dxa" w:w="60"/>
              <w:right w:type="dxa" w:w="90"/>
            </w:tcMar>
          </w:tcPr>
          <w:p>
            <w:pPr>
              <w:spacing w:after="40"/>
            </w:pPr>
            <w:r>
              <w:rPr>
                <w:rFonts w:ascii="Calibri" w:cs="Calibri" w:eastAsia="Calibri" w:hAnsi="Calibri"/>
                <w:sz w:val="17"/>
                <w:szCs w:val="17"/>
              </w:rPr>
              <w:t xml:space="preserve">Lecture and discussion</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Mon, Oct 5</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M6</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Eating and Sleeping: The Medieval Household</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Lupkin, Paula. “Historic Interiors.” Course reader. Unpublished manuscript, 2026. Chapter 7.</w:t>
            </w:r>
          </w:p>
          <w:p>
            <w:pPr>
              <w:spacing w:after="40"/>
            </w:pPr>
            <w:r>
              <w:rPr>
                <w:rFonts w:ascii="Calibri" w:cs="Calibri" w:eastAsia="Calibri" w:hAnsi="Calibri"/>
                <w:sz w:val="17"/>
                <w:szCs w:val="17"/>
              </w:rPr>
              <w:t xml:space="preserve">Rybczynski, Witold. “Intimacy and Privacy.” Chap. 2 in Home: A Short History of an Idea. New York: Viking, 1986.</w:t>
            </w:r>
          </w:p>
          <w:p>
            <w:pPr>
              <w:spacing w:after="40"/>
            </w:pPr>
            <w:r>
              <w:rPr>
                <w:rFonts w:ascii="Calibri" w:cs="Calibri" w:eastAsia="Calibri" w:hAnsi="Calibri"/>
                <w:sz w:val="17"/>
                <w:szCs w:val="17"/>
              </w:rPr>
              <w:t xml:space="preserve">Corbin, Alain. “Domestic Atmospheres.” In The Foul and the Fragrant: Odor and the French Social Imagination, translated by Miriam L. Kochan, Roy Porter, and Christopher Prendergast, 161–75. Cambridge, MA: Harvard University Press, 1986.</w:t>
            </w:r>
          </w:p>
        </w:tc>
        <w:tc>
          <w:tcPr>
            <w:tcW w:type="dxa" w:w="3050"/>
            <w:tcMar>
              <w:top w:type="dxa" w:w="60"/>
              <w:left w:type="dxa" w:w="90"/>
              <w:bottom w:type="dxa" w:w="60"/>
              <w:right w:type="dxa" w:w="90"/>
            </w:tcMar>
          </w:tcPr>
          <w:p>
            <w:pPr>
              <w:spacing w:after="40"/>
            </w:pPr>
            <w:r>
              <w:rPr>
                <w:rFonts w:ascii="Calibri" w:cs="Calibri" w:eastAsia="Calibri" w:hAnsi="Calibri"/>
                <w:b/>
                <w:bCs/>
                <w:sz w:val="17"/>
                <w:szCs w:val="17"/>
              </w:rPr>
              <w:t xml:space="preserve">Sensory Lab 2</w:t>
            </w:r>
          </w:p>
          <w:p>
            <w:pPr>
              <w:spacing w:after="40"/>
            </w:pPr>
            <w:r>
              <w:rPr>
                <w:rFonts w:ascii="Calibri" w:cs="Calibri" w:eastAsia="Calibri" w:hAnsi="Calibri"/>
                <w:sz w:val="17"/>
                <w:szCs w:val="17"/>
              </w:rPr>
              <w:t xml:space="preserve">Worksheet submitted at close; not graded for content</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Wed, Oct 7</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M7</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Interiors in Medieval Illuminated Manuscripts</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Lupkin, Paula. “Historic Interiors.” Course reader. Unpublished manuscript, 2026. Chapter 8.</w:t>
            </w:r>
          </w:p>
        </w:tc>
        <w:tc>
          <w:tcPr>
            <w:tcW w:type="dxa" w:w="3050"/>
            <w:tcMar>
              <w:top w:type="dxa" w:w="60"/>
              <w:left w:type="dxa" w:w="90"/>
              <w:bottom w:type="dxa" w:w="60"/>
              <w:right w:type="dxa" w:w="90"/>
            </w:tcMar>
          </w:tcPr>
          <w:p>
            <w:pPr>
              <w:spacing w:after="40"/>
            </w:pPr>
            <w:r>
              <w:rPr>
                <w:rFonts w:ascii="Calibri" w:cs="Calibri" w:eastAsia="Calibri" w:hAnsi="Calibri"/>
                <w:sz w:val="17"/>
                <w:szCs w:val="17"/>
              </w:rPr>
              <w:t xml:space="preserve">Lecture and discussion</w:t>
            </w:r>
          </w:p>
          <w:p>
            <w:pPr>
              <w:spacing w:after="40"/>
            </w:pPr>
            <w:r>
              <w:rPr>
                <w:rFonts w:ascii="Calibri" w:cs="Calibri" w:eastAsia="Calibri" w:hAnsi="Calibri"/>
                <w:i/>
                <w:iCs/>
                <w:color w:val="1F4E79"/>
                <w:sz w:val="17"/>
                <w:szCs w:val="17"/>
              </w:rPr>
              <w:t xml:space="preserve">Assignment 4 discussed in class with Rybczynski and the illuminations.</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Mon, Oct 12</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M7</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The Ottoman House in Damascus: Courtyards and Cross-Cultural Exchange</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Lupkin, Paula. “Historic Interiors.” Course reader. Unpublished manuscript, 2026. Chapter 9.</w:t>
            </w:r>
          </w:p>
          <w:p>
            <w:pPr>
              <w:spacing w:after="40"/>
            </w:pPr>
            <w:r>
              <w:rPr>
                <w:rFonts w:ascii="Calibri" w:cs="Calibri" w:eastAsia="Calibri" w:hAnsi="Calibri"/>
                <w:sz w:val="17"/>
                <w:szCs w:val="17"/>
              </w:rPr>
              <w:t xml:space="preserve">Kenney, Ellen. “The Damascus Room.” In Heilbrunn Timeline of Art History. New York: Metropolitan Museum of Art, October 2011. https://www.metmuseum.org/essays/the-damascus-room.</w:t>
            </w:r>
          </w:p>
        </w:tc>
        <w:tc>
          <w:tcPr>
            <w:tcW w:type="dxa" w:w="3050"/>
            <w:tcMar>
              <w:top w:type="dxa" w:w="60"/>
              <w:left w:type="dxa" w:w="90"/>
              <w:bottom w:type="dxa" w:w="60"/>
              <w:right w:type="dxa" w:w="90"/>
            </w:tcMar>
          </w:tcPr>
          <w:p>
            <w:pPr>
              <w:spacing w:after="40"/>
            </w:pPr>
            <w:r>
              <w:rPr>
                <w:rFonts w:ascii="Calibri" w:cs="Calibri" w:eastAsia="Calibri" w:hAnsi="Calibri"/>
                <w:b/>
                <w:bCs/>
                <w:sz w:val="17"/>
                <w:szCs w:val="17"/>
              </w:rPr>
              <w:t xml:space="preserve">Sensory Lab 3</w:t>
            </w:r>
          </w:p>
          <w:p>
            <w:pPr>
              <w:spacing w:after="40"/>
            </w:pPr>
            <w:r>
              <w:rPr>
                <w:rFonts w:ascii="Calibri" w:cs="Calibri" w:eastAsia="Calibri" w:hAnsi="Calibri"/>
                <w:sz w:val="17"/>
                <w:szCs w:val="17"/>
              </w:rPr>
              <w:t xml:space="preserve">Worksheet submitted at close; not graded for content</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Wed, Oct 14</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M8</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The Qaʿa: Destruction, Conservation, and Interpretation</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
            </w:r>
          </w:p>
        </w:tc>
        <w:tc>
          <w:tcPr>
            <w:tcW w:type="dxa" w:w="3050"/>
            <w:tcMar>
              <w:top w:type="dxa" w:w="60"/>
              <w:left w:type="dxa" w:w="90"/>
              <w:bottom w:type="dxa" w:w="60"/>
              <w:right w:type="dxa" w:w="90"/>
            </w:tcMar>
          </w:tcPr>
          <w:p>
            <w:pPr>
              <w:spacing w:after="40"/>
            </w:pPr>
            <w:r>
              <w:rPr>
                <w:rFonts w:ascii="Calibri" w:cs="Calibri" w:eastAsia="Calibri" w:hAnsi="Calibri"/>
                <w:sz w:val="17"/>
                <w:szCs w:val="17"/>
              </w:rPr>
              <w:t xml:space="preserve">Lecture and discussion</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Assignment 4: Meditation on a Represented Interior, 11:59 p.m.</w:t>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Mon, Oct 19</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M8</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Ottoman, Persian, and Mughal Carpets</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Lupkin, Paula. “Historic Interiors.” Course reader. Unpublished manuscript, 2026. Chapter 10.</w:t>
            </w:r>
          </w:p>
          <w:p>
            <w:pPr>
              <w:spacing w:after="40"/>
            </w:pPr>
            <w:r>
              <w:rPr>
                <w:rFonts w:ascii="Calibri" w:cs="Calibri" w:eastAsia="Calibri" w:hAnsi="Calibri"/>
                <w:sz w:val="17"/>
                <w:szCs w:val="17"/>
              </w:rPr>
              <w:t xml:space="preserve">Lees-Maffei, Grace. “Hands at Home? Textures, Tactility and Touch in Interior Design.” In The Senses in Interior Design: Sensorial Expressions and Experiences, edited by John Potvin, Marie-Ève Marchand, and Benoit Beaulieu, chap. 9, 152–68. Manchester: Manchester University Press, 2023.</w:t>
            </w:r>
          </w:p>
        </w:tc>
        <w:tc>
          <w:tcPr>
            <w:tcW w:type="dxa" w:w="3050"/>
            <w:tcMar>
              <w:top w:type="dxa" w:w="60"/>
              <w:left w:type="dxa" w:w="90"/>
              <w:bottom w:type="dxa" w:w="60"/>
              <w:right w:type="dxa" w:w="90"/>
            </w:tcMar>
          </w:tcPr>
          <w:p>
            <w:pPr>
              <w:spacing w:after="40"/>
            </w:pPr>
            <w:r>
              <w:rPr>
                <w:rFonts w:ascii="Calibri" w:cs="Calibri" w:eastAsia="Calibri" w:hAnsi="Calibri"/>
                <w:b/>
                <w:bCs/>
                <w:sz w:val="17"/>
                <w:szCs w:val="17"/>
              </w:rPr>
              <w:t xml:space="preserve">Sensory Lab 4</w:t>
            </w:r>
          </w:p>
          <w:p>
            <w:pPr>
              <w:spacing w:after="40"/>
            </w:pPr>
            <w:r>
              <w:rPr>
                <w:rFonts w:ascii="Calibri" w:cs="Calibri" w:eastAsia="Calibri" w:hAnsi="Calibri"/>
                <w:sz w:val="17"/>
                <w:szCs w:val="17"/>
              </w:rPr>
              <w:t xml:space="preserve">Worksheet submitted at close; not graded for content</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Wed, Oct 21</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M9</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Persian and Mughal Court Interiors: Miniatures</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Lupkin, Paula. “Historic Interiors.” Course reader. Unpublished manuscript, 2026. Chapter 10, continued.</w:t>
            </w:r>
          </w:p>
        </w:tc>
        <w:tc>
          <w:tcPr>
            <w:tcW w:type="dxa" w:w="3050"/>
            <w:tcMar>
              <w:top w:type="dxa" w:w="60"/>
              <w:left w:type="dxa" w:w="90"/>
              <w:bottom w:type="dxa" w:w="60"/>
              <w:right w:type="dxa" w:w="90"/>
            </w:tcMar>
          </w:tcPr>
          <w:p>
            <w:pPr>
              <w:spacing w:after="40"/>
            </w:pPr>
            <w:r>
              <w:rPr>
                <w:rFonts w:ascii="Calibri" w:cs="Calibri" w:eastAsia="Calibri" w:hAnsi="Calibri"/>
                <w:sz w:val="17"/>
                <w:szCs w:val="17"/>
              </w:rPr>
              <w:t xml:space="preserve">Lecture and discussion</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Mon, Oct 26</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M9</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Exam 2 Review: Modules 5–8</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Review questions and chapter glossaries</w:t>
            </w:r>
          </w:p>
        </w:tc>
        <w:tc>
          <w:tcPr>
            <w:tcW w:type="dxa" w:w="3050"/>
            <w:tcMar>
              <w:top w:type="dxa" w:w="60"/>
              <w:left w:type="dxa" w:w="90"/>
              <w:bottom w:type="dxa" w:w="60"/>
              <w:right w:type="dxa" w:w="90"/>
            </w:tcMar>
          </w:tcPr>
          <w:p>
            <w:pPr>
              <w:spacing w:after="40"/>
            </w:pPr>
            <w:r>
              <w:rPr>
                <w:rFonts w:ascii="Calibri" w:cs="Calibri" w:eastAsia="Calibri" w:hAnsi="Calibri"/>
                <w:sz w:val="17"/>
                <w:szCs w:val="17"/>
              </w:rPr>
              <w:t xml:space="preserve">Exam 2 format walked through; review Q&amp;A and group activities</w:t>
            </w:r>
          </w:p>
          <w:p>
            <w:pPr>
              <w:spacing w:after="40"/>
            </w:pPr>
            <w:r>
              <w:rPr>
                <w:rFonts w:ascii="Calibri" w:cs="Calibri" w:eastAsia="Calibri" w:hAnsi="Calibri"/>
                <w:sz w:val="17"/>
                <w:szCs w:val="17"/>
              </w:rPr>
              <w:t xml:space="preserve">Handwritten review sheet drafted in class</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Handwritten review sheet (required, not graded; submitted with Exam 2)</w:t>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Wed, Oct 28</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M9</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Exam 2 (Modules 5–8)</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
            </w:r>
          </w:p>
        </w:tc>
        <w:tc>
          <w:tcPr>
            <w:tcW w:type="dxa" w:w="3050"/>
            <w:tcMar>
              <w:top w:type="dxa" w:w="60"/>
              <w:left w:type="dxa" w:w="90"/>
              <w:bottom w:type="dxa" w:w="60"/>
              <w:right w:type="dxa" w:w="90"/>
            </w:tcMar>
          </w:tcPr>
          <w:p>
            <w:pPr>
              <w:spacing w:after="40"/>
            </w:pPr>
            <w:r>
              <w:rPr>
                <w:rFonts w:ascii="Calibri" w:cs="Calibri" w:eastAsia="Calibri" w:hAnsi="Calibri"/>
                <w:sz w:val="17"/>
                <w:szCs w:val="17"/>
              </w:rPr>
              <w:t xml:space="preserve">In-class blue-book examination, 12:45–2:05</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Exam 2; review sheet submitted with the exam</w:t>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Mon, Nov 2</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M10</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Siheyuan Courtyard Houses</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Lupkin, Paula. “Historic Interiors.” Course reader. Unpublished manuscript, 2026. Chapter 11.</w:t>
            </w:r>
          </w:p>
          <w:p>
            <w:pPr>
              <w:spacing w:after="40"/>
            </w:pPr>
            <w:r>
              <w:rPr>
                <w:rFonts w:ascii="Calibri" w:cs="Calibri" w:eastAsia="Calibri" w:hAnsi="Calibri"/>
                <w:sz w:val="17"/>
                <w:szCs w:val="17"/>
              </w:rPr>
              <w:t xml:space="preserve">Berliner, Nancy. Yin Yu Tang: The Architecture and Daily Life of a Chinese House. Boston: Tuttle Publishing, 2003. Selected pages.</w:t>
            </w:r>
          </w:p>
        </w:tc>
        <w:tc>
          <w:tcPr>
            <w:tcW w:type="dxa" w:w="3050"/>
            <w:tcMar>
              <w:top w:type="dxa" w:w="60"/>
              <w:left w:type="dxa" w:w="90"/>
              <w:bottom w:type="dxa" w:w="60"/>
              <w:right w:type="dxa" w:w="90"/>
            </w:tcMar>
          </w:tcPr>
          <w:p>
            <w:pPr>
              <w:spacing w:after="40"/>
            </w:pPr>
            <w:r>
              <w:rPr>
                <w:rFonts w:ascii="Calibri" w:cs="Calibri" w:eastAsia="Calibri" w:hAnsi="Calibri"/>
                <w:sz w:val="17"/>
                <w:szCs w:val="17"/>
              </w:rPr>
              <w:t xml:space="preserve">Comparative discussion: siheyuan and domus</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Wed, Nov 4</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M11</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Ming Tomb Miniatures and Furniture</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Lupkin, Paula. “Historic Interiors.” Course reader. Unpublished manuscript, 2026. Chapter 12.</w:t>
            </w:r>
          </w:p>
          <w:p>
            <w:pPr>
              <w:spacing w:after="40"/>
            </w:pPr>
            <w:r>
              <w:rPr>
                <w:rFonts w:ascii="Calibri" w:cs="Calibri" w:eastAsia="Calibri" w:hAnsi="Calibri"/>
                <w:sz w:val="17"/>
                <w:szCs w:val="17"/>
              </w:rPr>
              <w:t xml:space="preserve">Harris, Beth, and Kristen Brennan. “Miniature Furniture and Figurines in a Ming Tomb.” Smarthistory, January 19, 2022. https://smarthistory.org/miniature-furniture-and-figurines-ming-tomb/.</w:t>
            </w:r>
          </w:p>
        </w:tc>
        <w:tc>
          <w:tcPr>
            <w:tcW w:type="dxa" w:w="3050"/>
            <w:tcMar>
              <w:top w:type="dxa" w:w="60"/>
              <w:left w:type="dxa" w:w="90"/>
              <w:bottom w:type="dxa" w:w="60"/>
              <w:right w:type="dxa" w:w="90"/>
            </w:tcMar>
          </w:tcPr>
          <w:p>
            <w:pPr>
              <w:spacing w:after="40"/>
            </w:pPr>
            <w:r>
              <w:rPr>
                <w:rFonts w:ascii="Calibri" w:cs="Calibri" w:eastAsia="Calibri" w:hAnsi="Calibri"/>
                <w:sz w:val="17"/>
                <w:szCs w:val="17"/>
              </w:rPr>
              <w:t xml:space="preserve">Feedback on Assignment 4 returned</w:t>
            </w:r>
          </w:p>
          <w:p>
            <w:pPr>
              <w:spacing w:after="40"/>
            </w:pPr>
            <w:r>
              <w:rPr>
                <w:rFonts w:ascii="Calibri" w:cs="Calibri" w:eastAsia="Calibri" w:hAnsi="Calibri"/>
                <w:i/>
                <w:iCs/>
                <w:color w:val="1F4E79"/>
                <w:sz w:val="17"/>
                <w:szCs w:val="17"/>
              </w:rPr>
              <w:t xml:space="preserve">Assignment 5 introduced. Required office visit window opens.</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Mon, Nov 9</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M11</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Shoin, Sukiya, and the Tea House</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Lupkin, Paula. “Historic Interiors.” Course reader. Unpublished manuscript, 2026. Chapter 13.</w:t>
            </w:r>
          </w:p>
        </w:tc>
        <w:tc>
          <w:tcPr>
            <w:tcW w:type="dxa" w:w="3050"/>
            <w:tcMar>
              <w:top w:type="dxa" w:w="60"/>
              <w:left w:type="dxa" w:w="90"/>
              <w:bottom w:type="dxa" w:w="60"/>
              <w:right w:type="dxa" w:w="90"/>
            </w:tcMar>
          </w:tcPr>
          <w:p>
            <w:pPr>
              <w:spacing w:after="40"/>
            </w:pPr>
            <w:r>
              <w:rPr>
                <w:rFonts w:ascii="Calibri" w:cs="Calibri" w:eastAsia="Calibri" w:hAnsi="Calibri"/>
                <w:b/>
                <w:bCs/>
                <w:sz w:val="17"/>
                <w:szCs w:val="17"/>
              </w:rPr>
              <w:t xml:space="preserve">Sensory Lab 5</w:t>
            </w:r>
          </w:p>
          <w:p>
            <w:pPr>
              <w:spacing w:after="40"/>
            </w:pPr>
            <w:r>
              <w:rPr>
                <w:rFonts w:ascii="Calibri" w:cs="Calibri" w:eastAsia="Calibri" w:hAnsi="Calibri"/>
                <w:sz w:val="17"/>
                <w:szCs w:val="17"/>
              </w:rPr>
              <w:t xml:space="preserve">Worksheet distributed and submitted in class; not graded for content</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Wed, Nov 11</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M11</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Ukiyo-e and the Pleasure Quarters</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Lupkin, Paula. “Historic Interiors.” Course reader. Unpublished manuscript, 2026. Chapter 14.</w:t>
            </w:r>
          </w:p>
        </w:tc>
        <w:tc>
          <w:tcPr>
            <w:tcW w:type="dxa" w:w="3050"/>
            <w:tcMar>
              <w:top w:type="dxa" w:w="60"/>
              <w:left w:type="dxa" w:w="90"/>
              <w:bottom w:type="dxa" w:w="60"/>
              <w:right w:type="dxa" w:w="90"/>
            </w:tcMar>
          </w:tcPr>
          <w:p>
            <w:pPr>
              <w:spacing w:after="40"/>
            </w:pPr>
            <w:r>
              <w:rPr>
                <w:rFonts w:ascii="Calibri" w:cs="Calibri" w:eastAsia="Calibri" w:hAnsi="Calibri"/>
                <w:sz w:val="17"/>
                <w:szCs w:val="17"/>
              </w:rPr>
              <w:t xml:space="preserve">Lecture and discussion</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Mon, Nov 16</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M12</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What Is an Interior in the Age of Enlightenment? Beauty and Cultural Aesthetics</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Lupkin, Paula. “Historic Interiors.” Course reader. Unpublished manuscript, 2026. Chapter 15.</w:t>
            </w:r>
          </w:p>
        </w:tc>
        <w:tc>
          <w:tcPr>
            <w:tcW w:type="dxa" w:w="3050"/>
            <w:tcMar>
              <w:top w:type="dxa" w:w="60"/>
              <w:left w:type="dxa" w:w="90"/>
              <w:bottom w:type="dxa" w:w="60"/>
              <w:right w:type="dxa" w:w="90"/>
            </w:tcMar>
          </w:tcPr>
          <w:p>
            <w:pPr>
              <w:spacing w:after="40"/>
            </w:pPr>
            <w:r>
              <w:rPr>
                <w:rFonts w:ascii="Calibri" w:cs="Calibri" w:eastAsia="Calibri" w:hAnsi="Calibri"/>
                <w:sz w:val="17"/>
                <w:szCs w:val="17"/>
              </w:rPr>
              <w:t xml:space="preserve">Revision workshop: Assignment 5 drafts</w:t>
            </w:r>
          </w:p>
          <w:p>
            <w:pPr>
              <w:spacing w:after="40"/>
            </w:pPr>
            <w:r>
              <w:rPr>
                <w:rFonts w:ascii="Calibri" w:cs="Calibri" w:eastAsia="Calibri" w:hAnsi="Calibri"/>
                <w:sz w:val="17"/>
                <w:szCs w:val="17"/>
              </w:rPr>
              <w:t xml:space="preserve">Required office visit completed by this date</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Wed, Nov 18</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M12</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The Modern Interiors Industry</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Lupkin, Paula. “Historic Interiors.” Course reader. Unpublished manuscript, 2026. Chapter 16.</w:t>
            </w:r>
          </w:p>
          <w:p>
            <w:pPr>
              <w:spacing w:after="40"/>
            </w:pPr>
            <w:r>
              <w:rPr>
                <w:rFonts w:ascii="Calibri" w:cs="Calibri" w:eastAsia="Calibri" w:hAnsi="Calibri"/>
                <w:sz w:val="17"/>
                <w:szCs w:val="17"/>
              </w:rPr>
              <w:t xml:space="preserve">Chippendale, Thomas. The Gentleman and Cabinet-Maker’s Director. London: Printed for the author, 1754.</w:t>
            </w:r>
          </w:p>
          <w:p>
            <w:pPr>
              <w:spacing w:after="40"/>
            </w:pPr>
            <w:r>
              <w:rPr>
                <w:rFonts w:ascii="Calibri" w:cs="Calibri" w:eastAsia="Calibri" w:hAnsi="Calibri"/>
                <w:sz w:val="17"/>
                <w:szCs w:val="17"/>
              </w:rPr>
              <w:t xml:space="preserve">Heckscher, Morrison H. “Chippendale’s Director: A Manifesto of Furniture Design.” The Metropolitan Museum of Art Bulletin 75, no. 4 (Spring 2018): 1–52. https://www.metmuseum.org/met-publications/chippendales-director-a-manifesto-of-furniture-design.</w:t>
            </w:r>
          </w:p>
        </w:tc>
        <w:tc>
          <w:tcPr>
            <w:tcW w:type="dxa" w:w="3050"/>
            <w:tcMar>
              <w:top w:type="dxa" w:w="60"/>
              <w:left w:type="dxa" w:w="90"/>
              <w:bottom w:type="dxa" w:w="60"/>
              <w:right w:type="dxa" w:w="90"/>
            </w:tcMar>
          </w:tcPr>
          <w:p>
            <w:pPr>
              <w:spacing w:after="40"/>
            </w:pPr>
            <w:r>
              <w:rPr>
                <w:rFonts w:ascii="Calibri" w:cs="Calibri" w:eastAsia="Calibri" w:hAnsi="Calibri"/>
                <w:sz w:val="17"/>
                <w:szCs w:val="17"/>
              </w:rPr>
              <w:t xml:space="preserve">Lecture and discussion</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Assignment 5: Revision and Extension of the Meditation, 11:59 p.m.</w:t>
            </w:r>
          </w:p>
        </w:tc>
      </w:tr>
      <w:tr>
        <w:tc>
          <w:tcPr>
            <w:tcW w:type="dxa" w:w="14400"/>
            <w:gridSpan w:val="6"/>
            <w:shd w:fill="F2F2F2" w:val="clear"/>
            <w:tcMar>
              <w:top w:type="dxa" w:w="70"/>
              <w:left w:type="dxa" w:w="90"/>
              <w:bottom w:type="dxa" w:w="70"/>
              <w:right w:type="dxa" w:w="90"/>
            </w:tcMar>
          </w:tcPr>
          <w:p>
            <w:pPr>
              <w:spacing w:after="40"/>
              <w:jc w:val="center"/>
            </w:pPr>
            <w:r>
              <w:rPr>
                <w:rFonts w:ascii="Calibri" w:cs="Calibri" w:eastAsia="Calibri" w:hAnsi="Calibri"/>
                <w:b/>
                <w:bCs/>
                <w:sz w:val="17"/>
                <w:szCs w:val="17"/>
              </w:rPr>
              <w:t xml:space="preserve">Nov 23–29  ·  Thanksgiving Break — No Classes</w:t>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Mon, Nov 30</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M12</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Mahogany, Orientalism, and Global Interiors</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Alayrac-Fielding, Vanessa. “Global Movements: Exoticism and Hybridity in the Globalized Interior.” In Interiors in the Age of Enlightenment: A Cultural History, edited by Stacey Sloboda, 80–104. London: Bloomsbury Visual Arts, 2023.</w:t>
            </w:r>
          </w:p>
        </w:tc>
        <w:tc>
          <w:tcPr>
            <w:tcW w:type="dxa" w:w="3050"/>
            <w:tcMar>
              <w:top w:type="dxa" w:w="60"/>
              <w:left w:type="dxa" w:w="90"/>
              <w:bottom w:type="dxa" w:w="60"/>
              <w:right w:type="dxa" w:w="90"/>
            </w:tcMar>
          </w:tcPr>
          <w:p>
            <w:pPr>
              <w:spacing w:after="40"/>
            </w:pPr>
            <w:r>
              <w:rPr>
                <w:rFonts w:ascii="Calibri" w:cs="Calibri" w:eastAsia="Calibri" w:hAnsi="Calibri"/>
                <w:sz w:val="17"/>
                <w:szCs w:val="17"/>
              </w:rPr>
              <w:t xml:space="preserve">Lecture and discussion</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Wed, Dec 2</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M13</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The Crystal Palace, 1851: Glass, Enclosure, and the Exhibited Interior</w:t>
            </w:r>
          </w:p>
          <w:p>
            <w:pPr>
              <w:spacing w:after="40"/>
            </w:pPr>
            <w:r>
              <w:rPr>
                <w:rFonts w:ascii="Calibri" w:cs="Calibri" w:eastAsia="Calibri" w:hAnsi="Calibri"/>
                <w:sz w:val="17"/>
                <w:szCs w:val="17"/>
              </w:rPr>
              <w:t xml:space="preserve">Last Regular Class Meeting</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Victoria and Albert Museum. “The Foundation of the V&amp;A’s Collections: The Great Exhibition of 1851.” V&amp;A. https://www.vam.ac.uk/articles/the-great-exhibition-of-1851.</w:t>
            </w:r>
          </w:p>
        </w:tc>
        <w:tc>
          <w:tcPr>
            <w:tcW w:type="dxa" w:w="3050"/>
            <w:tcMar>
              <w:top w:type="dxa" w:w="60"/>
              <w:left w:type="dxa" w:w="90"/>
              <w:bottom w:type="dxa" w:w="60"/>
              <w:right w:type="dxa" w:w="90"/>
            </w:tcMar>
          </w:tcPr>
          <w:p>
            <w:pPr>
              <w:spacing w:after="40"/>
            </w:pPr>
            <w:r>
              <w:rPr>
                <w:rFonts w:ascii="Calibri" w:cs="Calibri" w:eastAsia="Calibri" w:hAnsi="Calibri"/>
                <w:sz w:val="17"/>
                <w:szCs w:val="17"/>
              </w:rPr>
              <w:t xml:space="preserve">Lecture and discussion</w:t>
            </w:r>
          </w:p>
          <w:p>
            <w:pPr>
              <w:spacing w:after="40"/>
            </w:pPr>
            <w:r>
              <w:rPr>
                <w:rFonts w:ascii="Calibri" w:cs="Calibri" w:eastAsia="Calibri" w:hAnsi="Calibri"/>
                <w:sz w:val="17"/>
                <w:szCs w:val="17"/>
              </w:rPr>
              <w:t xml:space="preserve">Final examination format walked through; final review</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
            </w:r>
          </w:p>
        </w:tc>
      </w:tr>
      <w:tr>
        <w:tc>
          <w:tcPr>
            <w:tcW w:type="dxa" w:w="14400"/>
            <w:gridSpan w:val="6"/>
            <w:shd w:fill="F2F2F2" w:val="clear"/>
            <w:tcMar>
              <w:top w:type="dxa" w:w="70"/>
              <w:left w:type="dxa" w:w="90"/>
              <w:bottom w:type="dxa" w:w="70"/>
              <w:right w:type="dxa" w:w="90"/>
            </w:tcMar>
          </w:tcPr>
          <w:p>
            <w:pPr>
              <w:spacing w:after="40"/>
              <w:jc w:val="center"/>
            </w:pPr>
            <w:r>
              <w:rPr>
                <w:rFonts w:ascii="Calibri" w:cs="Calibri" w:eastAsia="Calibri" w:hAnsi="Calibri"/>
                <w:b/>
                <w:bCs/>
                <w:sz w:val="17"/>
                <w:szCs w:val="17"/>
              </w:rPr>
              <w:t xml:space="preserve">Dec 3–4  ·  Reading Days — No Classes</w:t>
            </w:r>
          </w:p>
        </w:tc>
      </w:tr>
      <w:tr>
        <w:tc>
          <w:tcPr>
            <w:tcW w:type="dxa" w:w="1150"/>
            <w:tcMar>
              <w:top w:type="dxa" w:w="60"/>
              <w:left w:type="dxa" w:w="90"/>
              <w:bottom w:type="dxa" w:w="60"/>
              <w:right w:type="dxa" w:w="90"/>
            </w:tcMar>
          </w:tcPr>
          <w:p>
            <w:pPr>
              <w:spacing w:after="40"/>
            </w:pPr>
            <w:r>
              <w:rPr>
                <w:rFonts w:ascii="Calibri" w:cs="Calibri" w:eastAsia="Calibri" w:hAnsi="Calibri"/>
                <w:b/>
                <w:bCs/>
                <w:sz w:val="17"/>
                <w:szCs w:val="17"/>
              </w:rPr>
              <w:t xml:space="preserve">Dec 7–11</w:t>
            </w:r>
          </w:p>
        </w:tc>
        <w:tc>
          <w:tcPr>
            <w:tcW w:type="dxa" w:w="780"/>
            <w:tcMar>
              <w:top w:type="dxa" w:w="60"/>
              <w:left w:type="dxa" w:w="90"/>
              <w:bottom w:type="dxa" w:w="60"/>
              <w:right w:type="dxa" w:w="90"/>
            </w:tcMar>
          </w:tcPr>
          <w:p>
            <w:pPr>
              <w:spacing w:after="40"/>
            </w:pPr>
            <w:r>
              <w:rPr>
                <w:rFonts w:ascii="Calibri" w:cs="Calibri" w:eastAsia="Calibri" w:hAnsi="Calibri"/>
                <w:b/>
                <w:bCs/>
                <w:sz w:val="17"/>
                <w:szCs w:val="17"/>
              </w:rPr>
              <w:t xml:space="preserve">—</w:t>
            </w:r>
          </w:p>
        </w:tc>
        <w:tc>
          <w:tcPr>
            <w:tcW w:type="dxa" w:w="2420"/>
            <w:tcMar>
              <w:top w:type="dxa" w:w="60"/>
              <w:left w:type="dxa" w:w="90"/>
              <w:bottom w:type="dxa" w:w="60"/>
              <w:right w:type="dxa" w:w="90"/>
            </w:tcMar>
          </w:tcPr>
          <w:p>
            <w:pPr>
              <w:spacing w:after="40"/>
            </w:pPr>
            <w:r>
              <w:rPr>
                <w:rFonts w:ascii="Calibri" w:cs="Calibri" w:eastAsia="Calibri" w:hAnsi="Calibri"/>
                <w:sz w:val="17"/>
                <w:szCs w:val="17"/>
              </w:rPr>
              <w:t xml:space="preserve">Final Examination (Modules 10–13), scheduled by the Registrar</w:t>
            </w:r>
          </w:p>
        </w:tc>
        <w:tc>
          <w:tcPr>
            <w:tcW w:type="dxa" w:w="5600"/>
            <w:tcMar>
              <w:top w:type="dxa" w:w="60"/>
              <w:left w:type="dxa" w:w="90"/>
              <w:bottom w:type="dxa" w:w="60"/>
              <w:right w:type="dxa" w:w="90"/>
            </w:tcMar>
          </w:tcPr>
          <w:p>
            <w:pPr>
              <w:spacing w:after="40"/>
            </w:pPr>
            <w:r>
              <w:rPr>
                <w:rFonts w:ascii="Calibri" w:cs="Calibri" w:eastAsia="Calibri" w:hAnsi="Calibri"/>
                <w:sz w:val="17"/>
                <w:szCs w:val="17"/>
              </w:rPr>
              <w:t xml:space="preserve"/>
            </w:r>
          </w:p>
        </w:tc>
        <w:tc>
          <w:tcPr>
            <w:tcW w:type="dxa" w:w="3050"/>
            <w:tcMar>
              <w:top w:type="dxa" w:w="60"/>
              <w:left w:type="dxa" w:w="90"/>
              <w:bottom w:type="dxa" w:w="60"/>
              <w:right w:type="dxa" w:w="90"/>
            </w:tcMar>
          </w:tcPr>
          <w:p>
            <w:pPr>
              <w:spacing w:after="40"/>
            </w:pPr>
            <w:r>
              <w:rPr>
                <w:rFonts w:ascii="Calibri" w:cs="Calibri" w:eastAsia="Calibri" w:hAnsi="Calibri"/>
                <w:sz w:val="17"/>
                <w:szCs w:val="17"/>
              </w:rPr>
              <w:t xml:space="preserve">In-class blue-book examination</w:t>
            </w:r>
          </w:p>
        </w:tc>
        <w:tc>
          <w:tcPr>
            <w:tcW w:type="dxa" w:w="1400"/>
            <w:tcMar>
              <w:top w:type="dxa" w:w="60"/>
              <w:left w:type="dxa" w:w="90"/>
              <w:bottom w:type="dxa" w:w="60"/>
              <w:right w:type="dxa" w:w="90"/>
            </w:tcMar>
          </w:tcPr>
          <w:p>
            <w:pPr>
              <w:spacing w:after="40"/>
            </w:pPr>
            <w:r>
              <w:rPr>
                <w:rFonts w:ascii="Calibri" w:cs="Calibri" w:eastAsia="Calibri" w:hAnsi="Calibri"/>
                <w:sz w:val="17"/>
                <w:szCs w:val="17"/>
              </w:rPr>
              <w:t xml:space="preserve">Final Examination</w:t>
            </w:r>
          </w:p>
        </w:tc>
      </w:tr>
    </w:tbl>
    <w:p>
      <w:pPr>
        <w:spacing w:before="240"/>
      </w:pPr>
      <w:r>
        <w:rPr>
          <w:sz w:val="18"/>
          <w:szCs w:val="18"/>
        </w:rPr>
        <w:t xml:space="preserve"/>
      </w:r>
    </w:p>
    <w:p>
      <w:pPr>
        <w:spacing w:after="80" w:before="200"/>
      </w:pPr>
      <w:r>
        <w:rPr>
          <w:rFonts w:ascii="Calibri" w:cs="Calibri" w:eastAsia="Calibri" w:hAnsi="Calibri"/>
          <w:b/>
          <w:bCs/>
          <w:sz w:val="20"/>
          <w:szCs w:val="20"/>
        </w:rPr>
        <w:t xml:space="preserve">Required but Not Graded</w:t>
      </w:r>
    </w:p>
    <w:p>
      <w:pPr>
        <w:spacing w:after="60"/>
      </w:pPr>
      <w:r>
        <w:rPr>
          <w:rFonts w:ascii="Calibri" w:cs="Calibri" w:eastAsia="Calibri" w:hAnsi="Calibri"/>
          <w:sz w:val="18"/>
          <w:szCs w:val="18"/>
        </w:rPr>
        <w:t xml:space="preserve">Sensory lab worksheets (Sep 2, Oct 5, Oct 12, Oct 19, Nov 9). Submitted at the close of each lab and counted toward participation. Assignments 4 and 5 must each draw on at least one lab session.</w:t>
      </w:r>
    </w:p>
    <w:p>
      <w:pPr>
        <w:spacing w:after="60"/>
      </w:pPr>
      <w:r>
        <w:rPr>
          <w:rFonts w:ascii="Calibri" w:cs="Calibri" w:eastAsia="Calibri" w:hAnsi="Calibri"/>
          <w:sz w:val="18"/>
          <w:szCs w:val="18"/>
        </w:rPr>
        <w:t xml:space="preserve">Handwritten review sheet (drafted Sep 14, submitted with Exam 1) and handwritten review sheet (drafted Oct 26, submitted with Exam 2).</w:t>
      </w:r>
    </w:p>
    <w:p>
      <w:pPr>
        <w:spacing w:after="60"/>
      </w:pPr>
      <w:r>
        <w:rPr>
          <w:rFonts w:ascii="Calibri" w:cs="Calibri" w:eastAsia="Calibri" w:hAnsi="Calibri"/>
          <w:sz w:val="18"/>
          <w:szCs w:val="18"/>
        </w:rPr>
        <w:t xml:space="preserve">Lived Interiors exercise (introduced Aug 19, submitted Aug 26).</w:t>
      </w:r>
    </w:p>
    <w:p>
      <w:pPr>
        <w:spacing w:after="60"/>
      </w:pPr>
      <w:r>
        <w:rPr>
          <w:rFonts w:ascii="Calibri" w:cs="Calibri" w:eastAsia="Calibri" w:hAnsi="Calibri"/>
          <w:sz w:val="18"/>
          <w:szCs w:val="18"/>
        </w:rPr>
        <w:t xml:space="preserve">Required office visit, between the return of feedback on Assignment 4 (Nov 4) and the Assignment 5 deadline (Nov 18).</w:t>
      </w:r>
    </w:p>
    <w:p>
      <w:pPr>
        <w:spacing w:before="160"/>
      </w:pPr>
      <w:r>
        <w:rPr>
          <w:rFonts w:ascii="Calibri" w:cs="Calibri" w:eastAsia="Calibri" w:hAnsi="Calibri"/>
          <w:i/>
          <w:iCs/>
          <w:color w:val="444444"/>
          <w:sz w:val="18"/>
          <w:szCs w:val="18"/>
        </w:rPr>
        <w:t xml:space="preserve">The grade breakdown and all assignment descriptions appear above and are the sole source for weights and requirements.</w:t>
      </w:r>
    </w:p>
    <w:sectPr>
      <w:pgSz w:w="15840" w:h="12240" w:orient="landscape"/>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ARTH 4841 · Historic Interiors — Syllabus, Fall 2026</dc:title>
  <dc:creator>Paula Lupkin</dc:creator>
  <cp:lastModifiedBy>Paula Lupkin</cp:lastModifiedBy>
  <cp:revision>1</cp:revision>
  <dcterms:created xsi:type="dcterms:W3CDTF">2026-08-24T03:00:34.045Z</dcterms:created>
  <dcterms:modified xsi:type="dcterms:W3CDTF">2026-08-24T03:00:34.046Z</dcterms:modified>
</cp:coreProperties>
</file>

<file path=docProps/custom.xml><?xml version="1.0" encoding="utf-8"?>
<Properties xmlns="http://schemas.openxmlformats.org/officeDocument/2006/custom-properties" xmlns:vt="http://schemas.openxmlformats.org/officeDocument/2006/docPropsVTypes"/>
</file>