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CC407E" w14:textId="0A766DB9" w:rsidR="00EE70E8" w:rsidRDefault="00EE70E8">
      <w:pPr>
        <w:rPr>
          <w:lang w:val="en-US"/>
        </w:rPr>
      </w:pPr>
      <w:r>
        <w:rPr>
          <w:lang w:val="en-US"/>
        </w:rPr>
        <w:t>Syllabus 1501</w:t>
      </w:r>
    </w:p>
    <w:p w14:paraId="5E0D4740" w14:textId="77777777" w:rsidR="00A607BF" w:rsidRPr="00A607BF" w:rsidRDefault="00A607BF" w:rsidP="00A607BF">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A607BF">
        <w:rPr>
          <w:rFonts w:ascii="Source Sans Pro" w:hAnsi="Source Sans Pro" w:cs="Times New Roman"/>
          <w:b/>
          <w:bCs/>
          <w:color w:val="333333"/>
          <w:kern w:val="0"/>
          <w:sz w:val="27"/>
          <w:szCs w:val="27"/>
          <w:u w:val="single"/>
          <w:bdr w:val="single" w:sz="2" w:space="0" w:color="E1E1E1" w:frame="1"/>
          <w14:ligatures w14:val="none"/>
        </w:rPr>
        <w:t>First Year (Freshman) Fall Semester</w:t>
      </w:r>
    </w:p>
    <w:p w14:paraId="3E7342D5" w14:textId="77777777" w:rsidR="00A607BF" w:rsidRPr="00A607BF" w:rsidRDefault="00A607BF" w:rsidP="00A607BF">
      <w:pPr>
        <w:numPr>
          <w:ilvl w:val="0"/>
          <w:numId w:val="1"/>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A607BF">
        <w:rPr>
          <w:rFonts w:ascii="Source Sans Pro" w:eastAsia="Times New Roman" w:hAnsi="Source Sans Pro" w:cs="Times New Roman"/>
          <w:color w:val="333333"/>
          <w:kern w:val="0"/>
          <w:sz w:val="27"/>
          <w:szCs w:val="27"/>
          <w14:ligatures w14:val="none"/>
        </w:rPr>
        <w:t> A Prelude and Fugue is assigned. Only the Prelude will be heard at the jury, but the Fugue must be prepared and heard in at least 3 lessons.  It WILL be heard at the spring jury.</w:t>
      </w:r>
    </w:p>
    <w:p w14:paraId="66D7C463" w14:textId="77777777" w:rsidR="00A607BF" w:rsidRPr="00A607BF" w:rsidRDefault="00A607BF" w:rsidP="00A607BF">
      <w:pPr>
        <w:numPr>
          <w:ilvl w:val="0"/>
          <w:numId w:val="1"/>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A607BF">
        <w:rPr>
          <w:rFonts w:ascii="Source Sans Pro" w:eastAsia="Times New Roman" w:hAnsi="Source Sans Pro" w:cs="Times New Roman"/>
          <w:color w:val="333333"/>
          <w:kern w:val="0"/>
          <w:sz w:val="27"/>
          <w:szCs w:val="27"/>
          <w14:ligatures w14:val="none"/>
        </w:rPr>
        <w:t> A Scarlatti sonata of medium or fast tempo, or Beethoven op. 49 #1 or #2.</w:t>
      </w:r>
    </w:p>
    <w:p w14:paraId="7E95F017" w14:textId="77777777" w:rsidR="00A607BF" w:rsidRPr="00A607BF" w:rsidRDefault="00A607BF" w:rsidP="00A607BF">
      <w:pPr>
        <w:numPr>
          <w:ilvl w:val="0"/>
          <w:numId w:val="1"/>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A607BF">
        <w:rPr>
          <w:rFonts w:ascii="Source Sans Pro" w:eastAsia="Times New Roman" w:hAnsi="Source Sans Pro" w:cs="Times New Roman"/>
          <w:color w:val="333333"/>
          <w:kern w:val="0"/>
          <w:sz w:val="27"/>
          <w:szCs w:val="27"/>
          <w14:ligatures w14:val="none"/>
        </w:rPr>
        <w:t> A short (4-6 pages) memorized piece. For Composition majors, a piece written after 1950.</w:t>
      </w:r>
    </w:p>
    <w:p w14:paraId="5928924C" w14:textId="77777777" w:rsidR="00A607BF" w:rsidRPr="00A607BF" w:rsidRDefault="00A607BF" w:rsidP="00A607BF">
      <w:pPr>
        <w:numPr>
          <w:ilvl w:val="0"/>
          <w:numId w:val="1"/>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A607BF">
        <w:rPr>
          <w:rFonts w:ascii="Source Sans Pro" w:eastAsia="Times New Roman" w:hAnsi="Source Sans Pro" w:cs="Times New Roman"/>
          <w:color w:val="333333"/>
          <w:kern w:val="0"/>
          <w:sz w:val="27"/>
          <w:szCs w:val="27"/>
          <w14:ligatures w14:val="none"/>
        </w:rPr>
        <w:t> Scales are part of the graded jury and will take the place of an exercise or etude (see Scale Routine below).</w:t>
      </w:r>
    </w:p>
    <w:p w14:paraId="4E039DA5"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b/>
          <w:bCs/>
          <w:color w:val="333333"/>
          <w:kern w:val="0"/>
          <w:sz w:val="27"/>
          <w:szCs w:val="27"/>
          <w:bdr w:val="single" w:sz="2" w:space="0" w:color="E1E1E1" w:frame="1"/>
          <w14:ligatures w14:val="none"/>
        </w:rPr>
        <w:t>Scale Routine</w:t>
      </w:r>
    </w:p>
    <w:p w14:paraId="7BC3989E"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t>All piano concentration students must play a scale routine as part of the regular jury each semester until the routine has been passed three ways.  </w:t>
      </w:r>
      <w:r w:rsidRPr="00C10884">
        <w:rPr>
          <w:rFonts w:ascii="Source Sans Pro" w:hAnsi="Source Sans Pro" w:cs="Times New Roman"/>
          <w:b/>
          <w:bCs/>
          <w:color w:val="333333"/>
          <w:kern w:val="0"/>
          <w:sz w:val="27"/>
          <w:szCs w:val="27"/>
          <w:u w:val="single"/>
          <w:bdr w:val="single" w:sz="2" w:space="0" w:color="E1E1E1" w:frame="1"/>
          <w14:ligatures w14:val="none"/>
        </w:rPr>
        <w:t>Failure to play a scale routine will result in lowering of the jury grade by one half letter</w:t>
      </w:r>
      <w:r w:rsidRPr="00C10884">
        <w:rPr>
          <w:rFonts w:ascii="Source Sans Pro" w:hAnsi="Source Sans Pro" w:cs="Times New Roman"/>
          <w:color w:val="333333"/>
          <w:kern w:val="0"/>
          <w:sz w:val="27"/>
          <w:szCs w:val="27"/>
          <w14:ligatures w14:val="none"/>
        </w:rPr>
        <w:t>.  The minimum tempo is 82 for two notes. Students may choose a faster tempo, but only if played smoothly and without hesitations or mistakes. Scales are graded pass/fail but the grade is not counted as part of the jury grade. If the student does not pass the scale routine there is no penalty, but all scales must be passed before graduation.</w:t>
      </w:r>
    </w:p>
    <w:p w14:paraId="19C2ED8C"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t>Each of the following ways must be passed:</w:t>
      </w:r>
    </w:p>
    <w:p w14:paraId="661FC8FB" w14:textId="77777777" w:rsidR="00C10884" w:rsidRPr="00C10884" w:rsidRDefault="00C10884" w:rsidP="00C10884">
      <w:pPr>
        <w:numPr>
          <w:ilvl w:val="0"/>
          <w:numId w:val="2"/>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one scale routine played at an interval of an octave</w:t>
      </w:r>
    </w:p>
    <w:p w14:paraId="6C6E3D11" w14:textId="77777777" w:rsidR="00C10884" w:rsidRPr="00C10884" w:rsidRDefault="00C10884" w:rsidP="00C10884">
      <w:pPr>
        <w:numPr>
          <w:ilvl w:val="0"/>
          <w:numId w:val="2"/>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one scale routine played at an interval other than octave</w:t>
      </w:r>
    </w:p>
    <w:p w14:paraId="5C29A6FE" w14:textId="77777777" w:rsidR="00C10884" w:rsidRPr="00C10884" w:rsidRDefault="00C10884" w:rsidP="00C10884">
      <w:pPr>
        <w:numPr>
          <w:ilvl w:val="0"/>
          <w:numId w:val="2"/>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one scale routine played in contrary motion</w:t>
      </w:r>
    </w:p>
    <w:p w14:paraId="44F834D1"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t>Scale routines consist of the following, in all keys (the actual key to be given at the time of the exam):</w:t>
      </w:r>
    </w:p>
    <w:p w14:paraId="010F07E7" w14:textId="77777777" w:rsidR="00C10884" w:rsidRPr="00C10884" w:rsidRDefault="00C10884" w:rsidP="00C10884">
      <w:pPr>
        <w:numPr>
          <w:ilvl w:val="0"/>
          <w:numId w:val="3"/>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Major and minor scale, 4 octaves</w:t>
      </w:r>
    </w:p>
    <w:p w14:paraId="38AED174" w14:textId="77777777" w:rsidR="00C10884" w:rsidRPr="00C10884" w:rsidRDefault="00C10884" w:rsidP="00C10884">
      <w:pPr>
        <w:numPr>
          <w:ilvl w:val="0"/>
          <w:numId w:val="3"/>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Major and minor arpeggio, 4 octaves</w:t>
      </w:r>
    </w:p>
    <w:p w14:paraId="25A6333F" w14:textId="77777777" w:rsidR="00C10884" w:rsidRPr="00C10884" w:rsidRDefault="00C10884" w:rsidP="00C10884">
      <w:pPr>
        <w:numPr>
          <w:ilvl w:val="0"/>
          <w:numId w:val="3"/>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Dominant seventh &amp; diminished seventh arpeggio, 4 octaves</w:t>
      </w:r>
    </w:p>
    <w:p w14:paraId="7408D099" w14:textId="77777777" w:rsidR="00C10884" w:rsidRPr="00C10884" w:rsidRDefault="00C10884" w:rsidP="00C10884">
      <w:pPr>
        <w:numPr>
          <w:ilvl w:val="0"/>
          <w:numId w:val="3"/>
        </w:num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eastAsia="Times New Roman" w:hAnsi="Source Sans Pro" w:cs="Times New Roman"/>
          <w:color w:val="333333"/>
          <w:kern w:val="0"/>
          <w:sz w:val="27"/>
          <w:szCs w:val="27"/>
          <w14:ligatures w14:val="none"/>
        </w:rPr>
      </w:pPr>
      <w:r w:rsidRPr="00C10884">
        <w:rPr>
          <w:rFonts w:ascii="Source Sans Pro" w:eastAsia="Times New Roman" w:hAnsi="Source Sans Pro" w:cs="Times New Roman"/>
          <w:color w:val="333333"/>
          <w:kern w:val="0"/>
          <w:sz w:val="27"/>
          <w:szCs w:val="27"/>
          <w14:ligatures w14:val="none"/>
        </w:rPr>
        <w:t>Major and minor broken chords, 2 octaves</w:t>
      </w:r>
    </w:p>
    <w:p w14:paraId="1137802F"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b/>
          <w:bCs/>
          <w:color w:val="333333"/>
          <w:kern w:val="0"/>
          <w:sz w:val="27"/>
          <w:szCs w:val="27"/>
          <w:bdr w:val="single" w:sz="2" w:space="0" w:color="E1E1E1" w:frame="1"/>
          <w14:ligatures w14:val="none"/>
        </w:rPr>
        <w:t>Jury Grading</w:t>
      </w:r>
    </w:p>
    <w:p w14:paraId="193D55A1"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lastRenderedPageBreak/>
        <w:t>Juries will be adjudicated by at least two faculty members (tenured or tenure-track, lecturers and/or adjunct), plus the student’s applied lesson teacher. Juries are graded on a 12-point scale, with 12 being the highest possible grade (A+). The semester grade is an average of two grades: the jury grade, and the applied lesson instructor’s studio grade based on lesson attendance and progress. </w:t>
      </w:r>
      <w:r w:rsidRPr="00C10884">
        <w:rPr>
          <w:rFonts w:ascii="Source Sans Pro" w:hAnsi="Source Sans Pro" w:cs="Times New Roman"/>
          <w:b/>
          <w:bCs/>
          <w:color w:val="333333"/>
          <w:kern w:val="0"/>
          <w:sz w:val="27"/>
          <w:szCs w:val="27"/>
          <w:bdr w:val="single" w:sz="2" w:space="0" w:color="E1E1E1" w:frame="1"/>
          <w14:ligatures w14:val="none"/>
        </w:rPr>
        <w:t>All faculty decisions concerning jury grades are final. </w:t>
      </w:r>
    </w:p>
    <w:p w14:paraId="610AD10F"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b/>
          <w:bCs/>
          <w:color w:val="333333"/>
          <w:kern w:val="0"/>
          <w:sz w:val="27"/>
          <w:szCs w:val="27"/>
          <w:bdr w:val="single" w:sz="2" w:space="0" w:color="E1E1E1" w:frame="1"/>
          <w14:ligatures w14:val="none"/>
        </w:rPr>
        <w:t> Weight assigned to each repertoire requirement</w:t>
      </w:r>
    </w:p>
    <w:p w14:paraId="770328E7"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t>If three pieces are required, each piece will be assessed at 33 1/3 %. Level of preparation as well as performance will be assessed. Failure to learn or to adequately prepare any one of the required pieces will result in an automatic deduction of 33 1/3 % from the grade. In the event a fourth piece is required, percentages drop to 25% per piece. </w:t>
      </w:r>
    </w:p>
    <w:p w14:paraId="4F451ACE"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b/>
          <w:bCs/>
          <w:color w:val="333333"/>
          <w:kern w:val="0"/>
          <w:sz w:val="27"/>
          <w:szCs w:val="27"/>
          <w:bdr w:val="single" w:sz="2" w:space="0" w:color="E1E1E1" w:frame="1"/>
          <w14:ligatures w14:val="none"/>
        </w:rPr>
        <w:t> Disqualifying</w:t>
      </w:r>
    </w:p>
    <w:p w14:paraId="29223877" w14:textId="77777777" w:rsidR="00C10884" w:rsidRPr="00C10884" w:rsidRDefault="00C10884" w:rsidP="00C10884">
      <w:pPr>
        <w:pBdr>
          <w:top w:val="single" w:sz="2" w:space="0" w:color="E1E1E1"/>
          <w:left w:val="single" w:sz="2" w:space="0" w:color="E1E1E1"/>
          <w:bottom w:val="single" w:sz="2" w:space="0" w:color="E1E1E1"/>
          <w:right w:val="single" w:sz="2" w:space="0" w:color="E1E1E1"/>
        </w:pBdr>
        <w:spacing w:before="100" w:beforeAutospacing="1" w:after="100" w:afterAutospacing="1" w:line="240" w:lineRule="auto"/>
        <w:rPr>
          <w:rFonts w:ascii="Source Sans Pro" w:hAnsi="Source Sans Pro" w:cs="Times New Roman"/>
          <w:color w:val="333333"/>
          <w:kern w:val="0"/>
          <w:sz w:val="27"/>
          <w:szCs w:val="27"/>
          <w14:ligatures w14:val="none"/>
        </w:rPr>
      </w:pPr>
      <w:r w:rsidRPr="00C10884">
        <w:rPr>
          <w:rFonts w:ascii="Source Sans Pro" w:hAnsi="Source Sans Pro" w:cs="Times New Roman"/>
          <w:color w:val="333333"/>
          <w:kern w:val="0"/>
          <w:sz w:val="27"/>
          <w:szCs w:val="27"/>
          <w14:ligatures w14:val="none"/>
        </w:rPr>
        <w:t>Piano Concentration (MUAC) students receiving a grade of D or F at the jury are disqualified and must enroll in MUAS for 2 credit hours until they re-qualify.</w:t>
      </w:r>
    </w:p>
    <w:p w14:paraId="6FCBEDD5" w14:textId="77777777" w:rsidR="00EE70E8" w:rsidRDefault="00EE70E8">
      <w:pPr>
        <w:rPr>
          <w:lang w:val="en-US"/>
        </w:rPr>
      </w:pPr>
    </w:p>
    <w:p w14:paraId="422212A4" w14:textId="068365D8" w:rsidR="00BE5D23" w:rsidRPr="00EE70E8" w:rsidRDefault="00BE5D23">
      <w:pPr>
        <w:rPr>
          <w:lang w:val="en-US"/>
        </w:rPr>
      </w:pPr>
      <w:r w:rsidRPr="00BE5D23">
        <w:rPr>
          <w:lang w:val="en-US"/>
        </w:rPr>
        <w:t>https://music.unt.edu/keyboard/piano/handbooks/piano-concentration.html</w:t>
      </w:r>
    </w:p>
    <w:sectPr w:rsidR="00BE5D23" w:rsidRPr="00EE70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3939E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16539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B146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6522628">
    <w:abstractNumId w:val="0"/>
  </w:num>
  <w:num w:numId="2" w16cid:durableId="1371108345">
    <w:abstractNumId w:val="1"/>
  </w:num>
  <w:num w:numId="3" w16cid:durableId="86713661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0E8"/>
    <w:rsid w:val="00787F44"/>
    <w:rsid w:val="00A607BF"/>
    <w:rsid w:val="00BE5D23"/>
    <w:rsid w:val="00C10884"/>
    <w:rsid w:val="00EE70E8"/>
  </w:rsids>
  <m:mathPr>
    <m:mathFont m:val="Cambria Math"/>
    <m:brkBin m:val="before"/>
    <m:brkBinSub m:val="--"/>
    <m:smallFrac m:val="0"/>
    <m:dispDef/>
    <m:lMargin m:val="0"/>
    <m:rMargin m:val="0"/>
    <m:defJc m:val="centerGroup"/>
    <m:wrapIndent m:val="1440"/>
    <m:intLim m:val="subSup"/>
    <m:naryLim m:val="undOvr"/>
  </m:mathPr>
  <w:themeFontLang w:val="en-TW"/>
  <w:clrSchemeMapping w:bg1="light1" w:t1="dark1" w:bg2="light2" w:t2="dark2" w:accent1="accent1" w:accent2="accent2" w:accent3="accent3" w:accent4="accent4" w:accent5="accent5" w:accent6="accent6" w:hyperlink="hyperlink" w:followedHyperlink="followedHyperlink"/>
  <w:decimalSymbol w:val="."/>
  <w:listSeparator w:val=","/>
  <w14:docId w14:val="2389971F"/>
  <w15:chartTrackingRefBased/>
  <w15:docId w15:val="{ABA666D2-4F6A-F44F-BDBD-408DF423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T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0E8"/>
    <w:rPr>
      <w:rFonts w:eastAsiaTheme="majorEastAsia" w:cstheme="majorBidi"/>
      <w:color w:val="272727" w:themeColor="text1" w:themeTint="D8"/>
    </w:rPr>
  </w:style>
  <w:style w:type="paragraph" w:styleId="Title">
    <w:name w:val="Title"/>
    <w:basedOn w:val="Normal"/>
    <w:next w:val="Normal"/>
    <w:link w:val="TitleChar"/>
    <w:uiPriority w:val="10"/>
    <w:qFormat/>
    <w:rsid w:val="00EE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0E8"/>
    <w:pPr>
      <w:spacing w:before="160"/>
      <w:jc w:val="center"/>
    </w:pPr>
    <w:rPr>
      <w:i/>
      <w:iCs/>
      <w:color w:val="404040" w:themeColor="text1" w:themeTint="BF"/>
    </w:rPr>
  </w:style>
  <w:style w:type="character" w:customStyle="1" w:styleId="QuoteChar">
    <w:name w:val="Quote Char"/>
    <w:basedOn w:val="DefaultParagraphFont"/>
    <w:link w:val="Quote"/>
    <w:uiPriority w:val="29"/>
    <w:rsid w:val="00EE70E8"/>
    <w:rPr>
      <w:i/>
      <w:iCs/>
      <w:color w:val="404040" w:themeColor="text1" w:themeTint="BF"/>
    </w:rPr>
  </w:style>
  <w:style w:type="paragraph" w:styleId="ListParagraph">
    <w:name w:val="List Paragraph"/>
    <w:basedOn w:val="Normal"/>
    <w:uiPriority w:val="34"/>
    <w:qFormat/>
    <w:rsid w:val="00EE70E8"/>
    <w:pPr>
      <w:ind w:left="720"/>
      <w:contextualSpacing/>
    </w:pPr>
  </w:style>
  <w:style w:type="character" w:styleId="IntenseEmphasis">
    <w:name w:val="Intense Emphasis"/>
    <w:basedOn w:val="DefaultParagraphFont"/>
    <w:uiPriority w:val="21"/>
    <w:qFormat/>
    <w:rsid w:val="00EE70E8"/>
    <w:rPr>
      <w:i/>
      <w:iCs/>
      <w:color w:val="0F4761" w:themeColor="accent1" w:themeShade="BF"/>
    </w:rPr>
  </w:style>
  <w:style w:type="paragraph" w:styleId="IntenseQuote">
    <w:name w:val="Intense Quote"/>
    <w:basedOn w:val="Normal"/>
    <w:next w:val="Normal"/>
    <w:link w:val="IntenseQuoteChar"/>
    <w:uiPriority w:val="30"/>
    <w:qFormat/>
    <w:rsid w:val="00EE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0E8"/>
    <w:rPr>
      <w:i/>
      <w:iCs/>
      <w:color w:val="0F4761" w:themeColor="accent1" w:themeShade="BF"/>
    </w:rPr>
  </w:style>
  <w:style w:type="character" w:styleId="IntenseReference">
    <w:name w:val="Intense Reference"/>
    <w:basedOn w:val="DefaultParagraphFont"/>
    <w:uiPriority w:val="32"/>
    <w:qFormat/>
    <w:rsid w:val="00EE70E8"/>
    <w:rPr>
      <w:b/>
      <w:bCs/>
      <w:smallCaps/>
      <w:color w:val="0F4761" w:themeColor="accent1" w:themeShade="BF"/>
      <w:spacing w:val="5"/>
    </w:rPr>
  </w:style>
  <w:style w:type="paragraph" w:styleId="NormalWeb">
    <w:name w:val="Normal (Web)"/>
    <w:basedOn w:val="Normal"/>
    <w:uiPriority w:val="99"/>
    <w:semiHidden/>
    <w:unhideWhenUsed/>
    <w:rsid w:val="00A607BF"/>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07BF"/>
    <w:rPr>
      <w:b/>
      <w:bCs/>
    </w:rPr>
  </w:style>
  <w:style w:type="character" w:customStyle="1" w:styleId="apple-converted-space">
    <w:name w:val="apple-converted-space"/>
    <w:basedOn w:val="DefaultParagraphFont"/>
    <w:rsid w:val="00C10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Pin-Hsuan</dc:creator>
  <cp:keywords/>
  <dc:description/>
  <cp:lastModifiedBy>Peng, Pin-Hsuan</cp:lastModifiedBy>
  <cp:revision>2</cp:revision>
  <dcterms:created xsi:type="dcterms:W3CDTF">2026-08-22T01:08:00Z</dcterms:created>
  <dcterms:modified xsi:type="dcterms:W3CDTF">2026-08-22T01:08:00Z</dcterms:modified>
</cp:coreProperties>
</file>