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5E688C">
      <w:pPr>
        <w:pStyle w:val="Heading1"/>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5E688C">
      <w:pPr>
        <w:pStyle w:val="Heading1"/>
        <w:rPr>
          <w:rFonts w:ascii="Arial" w:hAnsi="Arial" w:cs="Arial"/>
          <w:b/>
          <w:bCs/>
          <w:color w:val="auto"/>
        </w:rPr>
      </w:pPr>
      <w:r w:rsidRPr="005E688C">
        <w:rPr>
          <w:rFonts w:ascii="Arial" w:hAnsi="Arial" w:cs="Arial"/>
          <w:b/>
          <w:bCs/>
          <w:color w:val="auto"/>
        </w:rPr>
        <w:t>Department of Spanish</w:t>
      </w:r>
    </w:p>
    <w:p w14:paraId="32E4F0BA" w14:textId="7E49C198" w:rsidR="0062209C" w:rsidRPr="005E688C" w:rsidRDefault="0062209C" w:rsidP="005E688C">
      <w:pPr>
        <w:pStyle w:val="Heading1"/>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57DD97A0" w14:textId="018E3F20" w:rsidR="006E39DB" w:rsidRPr="00C64854" w:rsidRDefault="006E39DB" w:rsidP="0062209C">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w:t>
      </w:r>
      <w:proofErr w:type="gramStart"/>
      <w:r w:rsidRPr="004F77AA">
        <w:rPr>
          <w:rFonts w:ascii="Arial" w:hAnsi="Arial" w:cs="Arial"/>
          <w:color w:val="000000"/>
          <w:sz w:val="24"/>
          <w:szCs w:val="24"/>
        </w:rPr>
        <w:t>semester, and</w:t>
      </w:r>
      <w:proofErr w:type="gramEnd"/>
      <w:r w:rsidRPr="004F77AA">
        <w:rPr>
          <w:rFonts w:ascii="Arial" w:hAnsi="Arial" w:cs="Arial"/>
          <w:color w:val="000000"/>
          <w:sz w:val="24"/>
          <w:szCs w:val="24"/>
        </w:rPr>
        <w:t xml:space="preserve">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AD0FE5A" w14:textId="77777777" w:rsidR="00C64854" w:rsidRDefault="00C64854" w:rsidP="00C64854">
      <w:pPr>
        <w:pStyle w:val="Heading2"/>
        <w:spacing w:after="0" w:line="240" w:lineRule="auto"/>
        <w:rPr>
          <w:rFonts w:ascii="Arial" w:hAnsi="Arial" w:cs="Arial"/>
          <w:b/>
          <w:color w:val="auto"/>
          <w:sz w:val="24"/>
          <w:szCs w:val="24"/>
          <w:highlight w:val="yellow"/>
        </w:rPr>
      </w:pPr>
    </w:p>
    <w:p w14:paraId="58EBC105" w14:textId="3E129AFF" w:rsidR="00C64854" w:rsidRPr="00ED56B2" w:rsidRDefault="00C64854" w:rsidP="00C64854">
      <w:pPr>
        <w:pStyle w:val="Heading2"/>
        <w:spacing w:after="0" w:line="240" w:lineRule="auto"/>
        <w:rPr>
          <w:rFonts w:ascii="Arial" w:hAnsi="Arial" w:cs="Arial"/>
          <w:b/>
          <w:color w:val="auto"/>
          <w:sz w:val="24"/>
          <w:szCs w:val="24"/>
        </w:rPr>
      </w:pPr>
      <w:r w:rsidRPr="000C3E25">
        <w:rPr>
          <w:rFonts w:ascii="Arial" w:hAnsi="Arial" w:cs="Arial"/>
          <w:b/>
          <w:color w:val="auto"/>
          <w:sz w:val="24"/>
          <w:szCs w:val="24"/>
        </w:rPr>
        <w:t>COVID-19 Impact on Attendance</w:t>
      </w:r>
    </w:p>
    <w:p w14:paraId="6758C5F0" w14:textId="77777777" w:rsidR="00C64854" w:rsidRPr="008F459E" w:rsidRDefault="00C64854" w:rsidP="00C64854">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3AE8252" w14:textId="0DCA513A" w:rsidR="00C64854" w:rsidRPr="008F459E" w:rsidRDefault="00C64854" w:rsidP="00C64854">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68CA6079" w14:textId="77777777" w:rsidR="00C64854" w:rsidRDefault="00C64854" w:rsidP="00C64854">
      <w:pPr>
        <w:pStyle w:val="Heading2"/>
        <w:rPr>
          <w:rFonts w:ascii="Arial" w:eastAsia="Times New Roman" w:hAnsi="Arial" w:cs="Arial"/>
          <w:b/>
          <w:bCs/>
          <w:color w:val="auto"/>
          <w:sz w:val="24"/>
          <w:szCs w:val="24"/>
        </w:rPr>
      </w:pPr>
    </w:p>
    <w:p w14:paraId="36E3F63F"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626AA521" w14:textId="77777777" w:rsidR="00C64854" w:rsidRDefault="00C64854" w:rsidP="00C64854">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304DBF73" w14:textId="77777777" w:rsidR="00C64854" w:rsidRDefault="00C64854" w:rsidP="00C64854">
      <w:pPr>
        <w:pStyle w:val="Heading2"/>
        <w:spacing w:before="0" w:after="0" w:line="240" w:lineRule="auto"/>
        <w:rPr>
          <w:rFonts w:ascii="Arial" w:eastAsia="Times New Roman" w:hAnsi="Arial" w:cs="Arial"/>
          <w:b/>
          <w:bCs/>
          <w:color w:val="auto"/>
          <w:sz w:val="24"/>
          <w:szCs w:val="24"/>
        </w:rPr>
      </w:pPr>
    </w:p>
    <w:p w14:paraId="31B67E2A"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8CA9D17" w14:textId="3E2C67A1" w:rsidR="00C64854" w:rsidRDefault="00C64854" w:rsidP="00C64854">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p w14:paraId="489059B7" w14:textId="77777777" w:rsidR="00C64854" w:rsidRPr="00C64854" w:rsidRDefault="00C64854" w:rsidP="00C64854">
      <w:pPr>
        <w:spacing w:after="0" w:line="240" w:lineRule="auto"/>
        <w:rPr>
          <w:rFonts w:ascii="Arial" w:eastAsia="Times New Roman" w:hAnsi="Arial" w:cs="Arial"/>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w:t>
      </w:r>
      <w:proofErr w:type="gramStart"/>
      <w:r w:rsidRPr="009854F9">
        <w:rPr>
          <w:rFonts w:ascii="Arial" w:hAnsi="Arial" w:cs="Arial"/>
          <w:sz w:val="24"/>
          <w:szCs w:val="24"/>
        </w:rPr>
        <w:t>survey</w:t>
      </w:r>
      <w:proofErr w:type="gramEnd"/>
      <w:r w:rsidRPr="009854F9">
        <w:rPr>
          <w:rFonts w:ascii="Arial" w:hAnsi="Arial" w:cs="Arial"/>
          <w:sz w:val="24"/>
          <w:szCs w:val="24"/>
        </w:rPr>
        <w:t xml:space="preserve">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w:t>
      </w:r>
      <w:proofErr w:type="gramStart"/>
      <w:r w:rsidRPr="009854F9">
        <w:rPr>
          <w:rFonts w:ascii="Arial" w:hAnsi="Arial" w:cs="Arial"/>
          <w:sz w:val="24"/>
          <w:szCs w:val="24"/>
        </w:rPr>
        <w:t>on the basis of</w:t>
      </w:r>
      <w:proofErr w:type="gramEnd"/>
      <w:r w:rsidRPr="009854F9">
        <w:rPr>
          <w:rFonts w:ascii="Arial" w:hAnsi="Arial" w:cs="Arial"/>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w:t>
      </w:r>
      <w:proofErr w:type="gramStart"/>
      <w:r w:rsidRPr="009854F9">
        <w:rPr>
          <w:rFonts w:ascii="Arial" w:hAnsi="Arial" w:cs="Arial"/>
          <w:sz w:val="24"/>
          <w:szCs w:val="24"/>
        </w:rPr>
        <w:t>e.g.</w:t>
      </w:r>
      <w:proofErr w:type="gramEnd"/>
      <w:r w:rsidRPr="009854F9">
        <w:rPr>
          <w:rFonts w:ascii="Arial" w:hAnsi="Arial" w:cs="Arial"/>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 xml:space="preserve">If the use of the work does not meet </w:t>
      </w:r>
      <w:proofErr w:type="gramStart"/>
      <w:r w:rsidRPr="009854F9">
        <w:rPr>
          <w:rFonts w:ascii="Arial" w:hAnsi="Arial" w:cs="Arial"/>
          <w:sz w:val="24"/>
          <w:szCs w:val="24"/>
        </w:rPr>
        <w:t>all of</w:t>
      </w:r>
      <w:proofErr w:type="gramEnd"/>
      <w:r w:rsidRPr="009854F9">
        <w:rPr>
          <w:rFonts w:ascii="Arial" w:hAnsi="Arial" w:cs="Arial"/>
          <w:sz w:val="24"/>
          <w:szCs w:val="24"/>
        </w:rPr>
        <w:t xml:space="preserve"> the above criteria, then the University office or department using the work must obtain the student’s written permission.</w:t>
      </w:r>
    </w:p>
    <w:p w14:paraId="3D75FADE" w14:textId="77777777" w:rsidR="00E154E5" w:rsidRPr="007F1785" w:rsidRDefault="00E154E5" w:rsidP="006C192D">
      <w:pPr>
        <w:pStyle w:val="Heading1"/>
        <w:rPr>
          <w:rFonts w:ascii="Arial" w:hAnsi="Arial" w:cs="Arial"/>
          <w:b/>
          <w:color w:val="auto"/>
        </w:rPr>
      </w:pPr>
      <w:r w:rsidRPr="007F1785">
        <w:rPr>
          <w:rFonts w:ascii="Arial" w:hAnsi="Arial" w:cs="Arial"/>
          <w:b/>
          <w:color w:val="auto"/>
        </w:rPr>
        <w:t xml:space="preserve">Transmission and Recording of Student Images in </w:t>
      </w:r>
      <w:proofErr w:type="gramStart"/>
      <w:r w:rsidRPr="007F1785">
        <w:rPr>
          <w:rFonts w:ascii="Arial" w:hAnsi="Arial" w:cs="Arial"/>
          <w:b/>
          <w:color w:val="auto"/>
        </w:rPr>
        <w:t>Electronically-Delivered</w:t>
      </w:r>
      <w:proofErr w:type="gramEnd"/>
      <w:r w:rsidRPr="007F1785">
        <w:rPr>
          <w:rFonts w:ascii="Arial" w:hAnsi="Arial" w:cs="Arial"/>
          <w:b/>
          <w:color w:val="auto"/>
        </w:rPr>
        <w:t xml:space="preserve"> Courses</w:t>
      </w:r>
    </w:p>
    <w:p w14:paraId="31C49CE6"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 the event an</w:t>
      </w:r>
      <w:r w:rsidR="00CA2745" w:rsidRPr="007F1785">
        <w:rPr>
          <w:rFonts w:ascii="Arial" w:hAnsi="Arial" w:cs="Arial"/>
          <w:sz w:val="24"/>
          <w:szCs w:val="24"/>
        </w:rPr>
        <w:t xml:space="preserve"> </w:t>
      </w:r>
      <w:r w:rsidR="003829E2" w:rsidRPr="007F1785">
        <w:rPr>
          <w:rFonts w:ascii="Arial" w:hAnsi="Arial" w:cs="Arial"/>
          <w:sz w:val="24"/>
          <w:szCs w:val="24"/>
        </w:rPr>
        <w:t xml:space="preserve">instructor records student presentations, </w:t>
      </w:r>
      <w:r w:rsidRPr="007F1785">
        <w:rPr>
          <w:rFonts w:ascii="Arial" w:hAnsi="Arial" w:cs="Arial"/>
          <w:sz w:val="24"/>
          <w:szCs w:val="24"/>
        </w:rPr>
        <w:t xml:space="preserve">he or she must obtain permission from the student using a signed release </w:t>
      </w:r>
      <w:proofErr w:type="gramStart"/>
      <w:r w:rsidRPr="007F1785">
        <w:rPr>
          <w:rFonts w:ascii="Arial" w:hAnsi="Arial" w:cs="Arial"/>
          <w:sz w:val="24"/>
          <w:szCs w:val="24"/>
        </w:rPr>
        <w:t>in order to</w:t>
      </w:r>
      <w:proofErr w:type="gramEnd"/>
      <w:r w:rsidRPr="007F1785">
        <w:rPr>
          <w:rFonts w:ascii="Arial" w:hAnsi="Arial" w:cs="Arial"/>
          <w:sz w:val="24"/>
          <w:szCs w:val="24"/>
        </w:rPr>
        <w:t xml:space="preserve"> use the recording for future classes in accordance with the Use of Student-Created Work guidelines above.</w:t>
      </w:r>
    </w:p>
    <w:p w14:paraId="1C7E842A"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7F1785" w:rsidRDefault="00E154E5" w:rsidP="00E154E5">
      <w:pPr>
        <w:ind w:left="720"/>
        <w:rPr>
          <w:rFonts w:ascii="Arial" w:hAnsi="Arial" w:cs="Arial"/>
          <w:sz w:val="24"/>
          <w:szCs w:val="24"/>
        </w:rPr>
      </w:pPr>
      <w:r w:rsidRPr="007F178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7F178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B373A5"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B373A5"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B373A5"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B373A5"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B373A5"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B373A5"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B373A5"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B373A5"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B373A5"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B373A5"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B373A5"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B373A5"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B373A5"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B373A5"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B373A5"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B373A5"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B373A5"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B373A5"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B373A5"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B373A5"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B373A5"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B373A5"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B373A5"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B373A5"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B373A5"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B373A5"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74F7C6D2" w:rsidR="007F1785" w:rsidRDefault="007F1785" w:rsidP="00B47E5C">
      <w:pPr>
        <w:rPr>
          <w:rFonts w:ascii="Arial" w:hAnsi="Arial" w:cs="Arial"/>
          <w:sz w:val="24"/>
          <w:szCs w:val="24"/>
        </w:rPr>
      </w:pPr>
    </w:p>
    <w:p w14:paraId="60935ABA" w14:textId="100C75E7" w:rsidR="000C3E25" w:rsidRDefault="000C3E25" w:rsidP="00B47E5C">
      <w:pPr>
        <w:rPr>
          <w:rFonts w:ascii="Arial" w:hAnsi="Arial" w:cs="Arial"/>
          <w:sz w:val="24"/>
          <w:szCs w:val="24"/>
        </w:rPr>
      </w:pPr>
    </w:p>
    <w:p w14:paraId="4913DAB6" w14:textId="19BA5003" w:rsidR="000C3E25" w:rsidRDefault="000C3E25" w:rsidP="00B47E5C">
      <w:pPr>
        <w:rPr>
          <w:rFonts w:ascii="Arial" w:hAnsi="Arial" w:cs="Arial"/>
          <w:sz w:val="24"/>
          <w:szCs w:val="24"/>
        </w:rPr>
      </w:pPr>
    </w:p>
    <w:p w14:paraId="1B9C390A" w14:textId="53450614" w:rsidR="000C3E25" w:rsidRDefault="000C3E25" w:rsidP="00B47E5C">
      <w:pPr>
        <w:rPr>
          <w:rFonts w:ascii="Arial" w:hAnsi="Arial" w:cs="Arial"/>
          <w:sz w:val="24"/>
          <w:szCs w:val="24"/>
        </w:rPr>
      </w:pPr>
    </w:p>
    <w:p w14:paraId="1A07181E" w14:textId="1D34EB20" w:rsidR="000C3E25" w:rsidRDefault="000C3E25" w:rsidP="00B47E5C">
      <w:pPr>
        <w:rPr>
          <w:rFonts w:ascii="Arial" w:hAnsi="Arial" w:cs="Arial"/>
          <w:sz w:val="24"/>
          <w:szCs w:val="24"/>
        </w:rPr>
      </w:pPr>
    </w:p>
    <w:p w14:paraId="122CF542" w14:textId="61C99527" w:rsidR="000C3E25" w:rsidRDefault="000C3E25" w:rsidP="00B47E5C">
      <w:pPr>
        <w:rPr>
          <w:rFonts w:ascii="Arial" w:hAnsi="Arial" w:cs="Arial"/>
          <w:sz w:val="24"/>
          <w:szCs w:val="24"/>
        </w:rPr>
      </w:pPr>
    </w:p>
    <w:p w14:paraId="0D6BF182" w14:textId="011CB0C4" w:rsidR="000C3E25" w:rsidRDefault="000C3E25" w:rsidP="00B47E5C">
      <w:pPr>
        <w:rPr>
          <w:rFonts w:ascii="Arial" w:hAnsi="Arial" w:cs="Arial"/>
          <w:sz w:val="24"/>
          <w:szCs w:val="24"/>
        </w:rPr>
      </w:pPr>
    </w:p>
    <w:p w14:paraId="44B60CF2" w14:textId="77777777" w:rsidR="000C3E25" w:rsidRDefault="000C3E25" w:rsidP="00B47E5C">
      <w:pPr>
        <w:rPr>
          <w:rFonts w:ascii="Arial" w:hAnsi="Arial" w:cs="Arial"/>
          <w:sz w:val="24"/>
          <w:szCs w:val="24"/>
        </w:rPr>
      </w:pPr>
    </w:p>
    <w:p w14:paraId="0F500880" w14:textId="72A0F145" w:rsidR="00D40C61" w:rsidRDefault="00D40C61" w:rsidP="00D40C61">
      <w:pPr>
        <w:rPr>
          <w:rFonts w:ascii="Arial" w:hAnsi="Arial" w:cs="Arial"/>
          <w:sz w:val="24"/>
          <w:szCs w:val="24"/>
        </w:rPr>
      </w:pPr>
    </w:p>
    <w:p w14:paraId="2354D583" w14:textId="77777777" w:rsidR="00C64854" w:rsidRDefault="00C64854" w:rsidP="00D40C61">
      <w:pPr>
        <w:rPr>
          <w:rFonts w:ascii="Arial" w:hAnsi="Arial" w:cs="Arial"/>
          <w:sz w:val="24"/>
          <w:szCs w:val="24"/>
        </w:rPr>
      </w:pPr>
    </w:p>
    <w:p w14:paraId="1E082CB0" w14:textId="238FECC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 xml:space="preserve">SPANISH 2040     FALL 2021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1F0324D" w:rsidR="0053766E" w:rsidRPr="005F4E12" w:rsidRDefault="0053766E" w:rsidP="005F4E12">
            <w:pPr>
              <w:rPr>
                <w:rFonts w:eastAsia="Times New Roman" w:cs="Arial"/>
                <w:b/>
              </w:rPr>
            </w:pPr>
            <w:r w:rsidRPr="005F4E12">
              <w:rPr>
                <w:rFonts w:eastAsia="Times New Roman" w:cs="Arial"/>
              </w:rPr>
              <w:t>2</w:t>
            </w:r>
            <w:r w:rsidR="0061059D">
              <w:rPr>
                <w:rFonts w:eastAsia="Times New Roman" w:cs="Arial"/>
              </w:rPr>
              <w:t>4</w:t>
            </w:r>
            <w:r w:rsidRPr="005F4E12">
              <w:rPr>
                <w:rFonts w:eastAsia="Times New Roman" w:cs="Arial"/>
              </w:rPr>
              <w:t xml:space="preserve"> (</w:t>
            </w:r>
            <w:proofErr w:type="gramStart"/>
            <w:r w:rsidR="0061059D">
              <w:rPr>
                <w:rFonts w:eastAsia="Times New Roman" w:cs="Arial"/>
              </w:rPr>
              <w:t>T</w:t>
            </w:r>
            <w:r w:rsidRPr="005F4E12">
              <w:rPr>
                <w:rFonts w:eastAsia="Times New Roman" w:cs="Arial"/>
              </w:rPr>
              <w:t xml:space="preserve">)   </w:t>
            </w:r>
            <w:proofErr w:type="gramEnd"/>
            <w:r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E4BC77F" w:rsidR="0053766E" w:rsidRPr="005F4E12" w:rsidRDefault="0053766E" w:rsidP="005F4E12">
            <w:pPr>
              <w:rPr>
                <w:rFonts w:eastAsia="Times New Roman" w:cs="Arial"/>
              </w:rPr>
            </w:pPr>
            <w:r w:rsidRPr="005F4E12">
              <w:rPr>
                <w:rFonts w:eastAsia="Times New Roman" w:cs="Arial"/>
              </w:rPr>
              <w:t>2</w:t>
            </w:r>
            <w:r w:rsidR="0061059D">
              <w:rPr>
                <w:rFonts w:eastAsia="Times New Roman" w:cs="Arial"/>
              </w:rPr>
              <w:t>6</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9AEFF5C" w:rsidR="005F4E12" w:rsidRPr="005F4E12" w:rsidRDefault="005F4E12" w:rsidP="005F4E12">
            <w:pPr>
              <w:rPr>
                <w:rFonts w:eastAsia="Times New Roman" w:cs="Arial"/>
              </w:rPr>
            </w:pPr>
            <w:r w:rsidRPr="005F4E12">
              <w:rPr>
                <w:rFonts w:eastAsia="Times New Roman" w:cs="Arial"/>
              </w:rPr>
              <w:t>3</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62E84A60"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414ED76" w14:textId="48F7346B" w:rsidR="00225431"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B373A5"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14F1CE47"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23824EF0" w14:textId="77777777" w:rsidR="004428CD" w:rsidRPr="007F1785"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p>
          <w:p w14:paraId="591AFFEA" w14:textId="4EA2C07B" w:rsidR="004428CD" w:rsidRPr="007F1785" w:rsidRDefault="004428CD" w:rsidP="004428CD">
            <w:pPr>
              <w:rPr>
                <w:rFonts w:eastAsia="Times New Roman" w:cs="Arial"/>
                <w:lang w:val="es-ES"/>
              </w:rPr>
            </w:pP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B373A5"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77777777" w:rsidR="004428CD" w:rsidRPr="004428CD" w:rsidRDefault="004428CD" w:rsidP="004428CD">
            <w:pPr>
              <w:rPr>
                <w:rFonts w:eastAsia="Times New Roman" w:cs="Arial"/>
              </w:rPr>
            </w:pPr>
            <w:r w:rsidRPr="004428CD">
              <w:rPr>
                <w:rFonts w:eastAsia="Times New Roman" w:cs="Arial"/>
              </w:rPr>
              <w:t>7 (T)</w:t>
            </w:r>
          </w:p>
          <w:p w14:paraId="6888E246" w14:textId="77777777" w:rsidR="005F4E12" w:rsidRPr="005F4E12" w:rsidRDefault="005F4E12" w:rsidP="004301C9">
            <w:pPr>
              <w:rPr>
                <w:rFonts w:eastAsia="Times New Roman" w:cs="Arial"/>
              </w:rPr>
            </w:pPr>
          </w:p>
        </w:tc>
        <w:tc>
          <w:tcPr>
            <w:tcW w:w="5953" w:type="dxa"/>
          </w:tcPr>
          <w:p w14:paraId="165D3F06"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587681AA" w14:textId="54BF1483" w:rsidR="005C043E"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B373A5"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586A5FC"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44AA189C"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6F2EB2CF" w14:textId="4182B9A9"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77777777" w:rsidR="005F4E12" w:rsidRPr="005F4E12" w:rsidRDefault="005F4E12"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B373A5"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CAD419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3758934"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B64A8F8" w14:textId="4F195A97"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171B6D2B" w:rsidR="000C3E25" w:rsidRPr="00AF1ABF" w:rsidRDefault="000C3E25"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97F5631"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225C4262" w14:textId="77777777" w:rsidR="005C043E" w:rsidRPr="005F4E12"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247DFE8" w14:textId="1AB536AA" w:rsidR="005C043E" w:rsidRDefault="005C043E"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lastRenderedPageBreak/>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4B09A7C"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95963C6"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554FD1" w14:textId="34FEC923"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E9789C4"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D00FBB3"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9C4BAD3" w14:textId="2D771217" w:rsidR="00E205B3" w:rsidRPr="005F4E12"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3E2BD3A"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E43D315"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B05D17A" w14:textId="4BFDD60B"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9F5C08E"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2C005744" w14:textId="77777777" w:rsidR="00E205B3" w:rsidRPr="00814B37"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2420A2C6" w14:textId="64094E18" w:rsidR="00E205B3" w:rsidRPr="00162750" w:rsidRDefault="00E205B3" w:rsidP="00E205B3">
            <w:pPr>
              <w:rPr>
                <w:rFonts w:eastAsia="Times New Roman" w:cs="Arial"/>
              </w:rPr>
            </w:pP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77777777" w:rsidR="004301C9" w:rsidRPr="004301C9" w:rsidRDefault="004301C9" w:rsidP="005F4E12">
            <w:pPr>
              <w:rPr>
                <w:rFonts w:eastAsia="Times New Roman" w:cs="Arial"/>
                <w:b/>
                <w:bCs/>
              </w:rPr>
            </w:pPr>
            <w:r w:rsidRPr="004301C9">
              <w:rPr>
                <w:rFonts w:eastAsia="Times New Roman" w:cs="Arial"/>
                <w:b/>
                <w:bCs/>
              </w:rPr>
              <w:t xml:space="preserve">October: </w:t>
            </w:r>
          </w:p>
          <w:p w14:paraId="2230C2F8" w14:textId="5217E36F" w:rsidR="005F4E12" w:rsidRPr="005F4E12" w:rsidRDefault="004301C9" w:rsidP="005F4E12">
            <w:pPr>
              <w:rPr>
                <w:rFonts w:eastAsia="Times New Roman" w:cs="Arial"/>
              </w:rPr>
            </w:pPr>
            <w:r>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A430CDA" w14:textId="77777777" w:rsidR="005F4E12" w:rsidRPr="00814B37"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7950EFB8" w14:textId="5405D059"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9761D01" w:rsidR="005F4E12" w:rsidRPr="005F4E12" w:rsidRDefault="004301C9" w:rsidP="005F4E12">
            <w:pPr>
              <w:rPr>
                <w:rFonts w:eastAsia="Times New Roman" w:cs="Arial"/>
              </w:rPr>
            </w:pPr>
            <w:r>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7E16DA2B" w:rsidR="005F4E12" w:rsidRP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0D6A0CF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275206F2" w:rsidR="00E205B3" w:rsidRDefault="00E205B3" w:rsidP="00E205B3">
            <w:pPr>
              <w:rPr>
                <w:rFonts w:eastAsia="Times New Roman" w:cs="Arial"/>
                <w:b/>
              </w:rPr>
            </w:pPr>
            <w:r w:rsidRPr="00855191">
              <w:rPr>
                <w:rFonts w:eastAsia="Times New Roman" w:cs="Arial"/>
                <w:b/>
              </w:rPr>
              <w:t>(Chapters 11 and 12)</w:t>
            </w:r>
          </w:p>
          <w:p w14:paraId="5DC53D80" w14:textId="01F25EAE" w:rsidR="005F4E12" w:rsidRPr="005F4E12" w:rsidRDefault="005F4E12"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F19DAA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B2C4B1A" w14:textId="77777777" w:rsidR="00E205B3" w:rsidRPr="005F4E12" w:rsidRDefault="00E205B3" w:rsidP="00E205B3">
            <w:pPr>
              <w:rPr>
                <w:rFonts w:eastAsia="Times New Roman" w:cs="Arial"/>
                <w:b/>
                <w:lang w:val="es-ES"/>
              </w:rPr>
            </w:pPr>
            <w:r w:rsidRPr="005F4E12">
              <w:rPr>
                <w:rFonts w:eastAsia="Times New Roman" w:cs="Arial"/>
                <w:b/>
                <w:lang w:val="es-ES"/>
              </w:rPr>
              <w:t>Capítulo 13: El arte y la cultura</w:t>
            </w:r>
          </w:p>
          <w:p w14:paraId="0D49DEF8" w14:textId="4DBC9CC8"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t>Week 9</w:t>
            </w:r>
          </w:p>
          <w:p w14:paraId="431A0D6E" w14:textId="246130B0" w:rsidR="009F46D0" w:rsidRPr="005F4E12" w:rsidRDefault="009F46D0" w:rsidP="005F4E12">
            <w:pPr>
              <w:rPr>
                <w:rFonts w:eastAsia="Times New Roman" w:cs="Arial"/>
              </w:rPr>
            </w:pPr>
          </w:p>
        </w:tc>
        <w:tc>
          <w:tcPr>
            <w:tcW w:w="1897" w:type="dxa"/>
          </w:tcPr>
          <w:p w14:paraId="59821E02" w14:textId="057D0E7E"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341FBEFF" w14:textId="77777777" w:rsidR="00052241" w:rsidRPr="005F4E12" w:rsidRDefault="00052241" w:rsidP="00052241">
            <w:pPr>
              <w:rPr>
                <w:rFonts w:eastAsia="Times New Roman" w:cs="Arial"/>
                <w:b/>
                <w:lang w:val="es-ES"/>
              </w:rPr>
            </w:pPr>
            <w:r w:rsidRPr="005F4E12">
              <w:rPr>
                <w:rFonts w:eastAsia="Times New Roman" w:cs="Arial"/>
                <w:b/>
                <w:lang w:val="es-ES"/>
              </w:rPr>
              <w:t>Capítulo 13: El arte y la cultura</w:t>
            </w:r>
          </w:p>
          <w:p w14:paraId="40EF198C" w14:textId="57D7738E" w:rsidR="00052241" w:rsidRPr="007F1785" w:rsidRDefault="00052241" w:rsidP="00052241">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4876343"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7815EC9" w14:textId="77777777" w:rsidR="009F46D0" w:rsidRPr="005F4E12" w:rsidRDefault="009F46D0" w:rsidP="009F46D0">
            <w:pPr>
              <w:rPr>
                <w:rFonts w:eastAsia="Times New Roman" w:cs="Arial"/>
                <w:b/>
                <w:lang w:val="es-ES"/>
              </w:rPr>
            </w:pPr>
            <w:r w:rsidRPr="005F4E12">
              <w:rPr>
                <w:rFonts w:eastAsia="Times New Roman" w:cs="Arial"/>
                <w:b/>
                <w:lang w:val="es-ES"/>
              </w:rPr>
              <w:t>Capítulo 13: El arte y la cultura</w:t>
            </w:r>
          </w:p>
          <w:p w14:paraId="291E1BDD" w14:textId="7F78F2B0" w:rsidR="009F46D0" w:rsidRPr="00C913D5" w:rsidRDefault="009F46D0" w:rsidP="009F46D0">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6E3D52BF" w14:textId="0A09B050"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5E033D8D" w:rsidR="005F4E12" w:rsidRPr="00C913D5" w:rsidRDefault="005F4E12" w:rsidP="005F4E12">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7FA6FEF" w:rsidR="005F4E12" w:rsidRPr="005F4E12" w:rsidRDefault="005F4E12" w:rsidP="005F4E12">
            <w:pPr>
              <w:rPr>
                <w:rFonts w:eastAsia="Times New Roman" w:cs="Arial"/>
                <w:b/>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3B84947" w14:textId="77777777" w:rsidR="00AD79AB" w:rsidRPr="005F4E12" w:rsidRDefault="00AD79AB" w:rsidP="00AD79AB">
            <w:pPr>
              <w:rPr>
                <w:rFonts w:eastAsia="Times New Roman" w:cs="Arial"/>
                <w:b/>
                <w:lang w:val="es-ES"/>
              </w:rPr>
            </w:pPr>
            <w:r w:rsidRPr="005F4E12">
              <w:rPr>
                <w:rFonts w:eastAsia="Times New Roman" w:cs="Arial"/>
                <w:b/>
                <w:lang w:val="es-ES"/>
              </w:rPr>
              <w:t>Capítulo 13: El arte y la cultura</w:t>
            </w:r>
          </w:p>
          <w:p w14:paraId="02EDFA1E" w14:textId="3D5D2E8D" w:rsidR="005F4E12" w:rsidRPr="00C913D5" w:rsidRDefault="00AD79AB" w:rsidP="00AD79AB">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w:t>
            </w:r>
            <w:r w:rsidR="000162C9" w:rsidRPr="00C913D5">
              <w:rPr>
                <w:rFonts w:eastAsia="Times New Roman" w:cs="Arial"/>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C913D5"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t>Week 11</w:t>
            </w:r>
          </w:p>
          <w:p w14:paraId="3EC04881" w14:textId="6B0F4F6E" w:rsidR="00AD79AB" w:rsidRPr="00AD79AB" w:rsidRDefault="00AD79AB" w:rsidP="005F4E12">
            <w:pPr>
              <w:rPr>
                <w:rFonts w:eastAsia="Times New Roman" w:cs="Arial"/>
                <w:color w:val="FF0000"/>
              </w:rPr>
            </w:pPr>
          </w:p>
        </w:tc>
        <w:tc>
          <w:tcPr>
            <w:tcW w:w="1897"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3F5CB30A"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3ACFB96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223EA13" w:rsidR="005F4E12" w:rsidRPr="005F4E12" w:rsidRDefault="004301C9"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228E7D64" w14:textId="5A6E17C4" w:rsidR="000C3E25" w:rsidRPr="00905315" w:rsidRDefault="00905315" w:rsidP="005F4E12">
            <w:pPr>
              <w:rPr>
                <w:rFonts w:eastAsia="Times New Roman" w:cs="Arial"/>
                <w:bCs/>
                <w:lang w:val="es-ES"/>
              </w:rPr>
            </w:pPr>
            <w:r w:rsidRPr="00A35A32">
              <w:rPr>
                <w:rFonts w:eastAsia="Times New Roman" w:cs="Arial"/>
                <w:bCs/>
                <w:lang w:val="es-ES"/>
              </w:rPr>
              <w:t>Salu2 Segmento 1</w:t>
            </w: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lastRenderedPageBreak/>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89D9872"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AEDB37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5F4E12"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00020FFB"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2CA2E2BF"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25924507" w14:textId="77777777" w:rsidR="005F4E12" w:rsidRPr="007F1785" w:rsidRDefault="005F4E12" w:rsidP="005F4E12">
            <w:pPr>
              <w:rPr>
                <w:rFonts w:eastAsia="Times New Roman" w:cs="Arial"/>
              </w:rPr>
            </w:pPr>
          </w:p>
          <w:p w14:paraId="776ED25D" w14:textId="77777777" w:rsidR="005F4E12" w:rsidRPr="007F1785" w:rsidRDefault="005F4E12" w:rsidP="005F4E12">
            <w:pPr>
              <w:rPr>
                <w:rFonts w:eastAsia="Times New Roman" w:cs="Arial"/>
                <w:b/>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5F414E9F"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4FA37E2F" w:rsidR="005F4E12" w:rsidRPr="005F4E12" w:rsidRDefault="00E96F2B" w:rsidP="004301C9">
            <w:pPr>
              <w:rPr>
                <w:rFonts w:eastAsia="Times New Roman" w:cs="Arial"/>
                <w:b/>
              </w:rPr>
            </w:pPr>
            <w:r w:rsidRPr="005F4E12">
              <w:rPr>
                <w:rFonts w:eastAsia="Times New Roman" w:cs="Arial"/>
              </w:rPr>
              <w:t>2</w:t>
            </w:r>
            <w:r>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25FE4E81"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897" w:type="dxa"/>
          </w:tcPr>
          <w:p w14:paraId="429FA984" w14:textId="7D551951"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3873C603"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41A8F227" w14:textId="1B05487F"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E688C"/>
    <w:rsid w:val="005F4B91"/>
    <w:rsid w:val="005F4E12"/>
    <w:rsid w:val="00604E45"/>
    <w:rsid w:val="00607A22"/>
    <w:rsid w:val="0061059D"/>
    <w:rsid w:val="0062209C"/>
    <w:rsid w:val="00644E04"/>
    <w:rsid w:val="006710B2"/>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63531"/>
    <w:rsid w:val="00A64901"/>
    <w:rsid w:val="00A65EF1"/>
    <w:rsid w:val="00A771FB"/>
    <w:rsid w:val="00A8274C"/>
    <w:rsid w:val="00A907B2"/>
    <w:rsid w:val="00A9657A"/>
    <w:rsid w:val="00AA63E6"/>
    <w:rsid w:val="00AC2D75"/>
    <w:rsid w:val="00AD3096"/>
    <w:rsid w:val="00AD79AB"/>
    <w:rsid w:val="00AF1A5D"/>
    <w:rsid w:val="00AF1ABF"/>
    <w:rsid w:val="00B01E96"/>
    <w:rsid w:val="00B03DA9"/>
    <w:rsid w:val="00B07CB3"/>
    <w:rsid w:val="00B32B4A"/>
    <w:rsid w:val="00B36C32"/>
    <w:rsid w:val="00B373A5"/>
    <w:rsid w:val="00B400CC"/>
    <w:rsid w:val="00B43D9A"/>
    <w:rsid w:val="00B479BD"/>
    <w:rsid w:val="00B47E5C"/>
    <w:rsid w:val="00B50C17"/>
    <w:rsid w:val="00B5228A"/>
    <w:rsid w:val="00B552BF"/>
    <w:rsid w:val="00B71787"/>
    <w:rsid w:val="00B9294D"/>
    <w:rsid w:val="00B92D98"/>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26</cp:revision>
  <dcterms:created xsi:type="dcterms:W3CDTF">2021-07-10T21:34:00Z</dcterms:created>
  <dcterms:modified xsi:type="dcterms:W3CDTF">2021-08-16T21:57:00Z</dcterms:modified>
</cp:coreProperties>
</file>