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218BC" w14:textId="3C677F0E" w:rsidR="00460CED" w:rsidRPr="007D7F8F" w:rsidRDefault="00460CED" w:rsidP="007D7F8F">
      <w:pPr>
        <w:pStyle w:val="NoSpacing"/>
        <w:jc w:val="center"/>
        <w:rPr>
          <w:b/>
          <w:bCs/>
        </w:rPr>
      </w:pPr>
      <w:r w:rsidRPr="007D7F8F">
        <w:rPr>
          <w:b/>
          <w:bCs/>
        </w:rPr>
        <w:t>EDSP 4350: Strategies to Support Diverse Learners in General Education</w:t>
      </w:r>
    </w:p>
    <w:p w14:paraId="67680E38" w14:textId="5AAA1A16" w:rsidR="007D7F8F" w:rsidRPr="007D7F8F" w:rsidRDefault="007D7F8F" w:rsidP="007D7F8F">
      <w:pPr>
        <w:pStyle w:val="NoSpacing"/>
        <w:jc w:val="center"/>
        <w:rPr>
          <w:b/>
          <w:bCs/>
        </w:rPr>
      </w:pPr>
      <w:r>
        <w:rPr>
          <w:b/>
          <w:bCs/>
        </w:rPr>
        <w:t>Fall 2025</w:t>
      </w:r>
    </w:p>
    <w:p w14:paraId="791C60DA" w14:textId="1830586F" w:rsidR="007D7F8F" w:rsidRDefault="007D7F8F" w:rsidP="007D7F8F">
      <w:pPr>
        <w:pStyle w:val="NoSpacing"/>
        <w:jc w:val="center"/>
      </w:pPr>
      <w:r>
        <w:t>University of North Texas, College of Education</w:t>
      </w:r>
    </w:p>
    <w:p w14:paraId="27333994" w14:textId="2AE559F4" w:rsidR="007D7F8F" w:rsidRDefault="007D7F8F" w:rsidP="007D7F8F">
      <w:pPr>
        <w:pStyle w:val="NoSpacing"/>
        <w:jc w:val="center"/>
      </w:pPr>
      <w:proofErr w:type="gramStart"/>
      <w:r>
        <w:t>Mondays</w:t>
      </w:r>
      <w:proofErr w:type="gramEnd"/>
      <w:r>
        <w:t xml:space="preserve"> 1:00 PM to 3:50 PM</w:t>
      </w:r>
    </w:p>
    <w:p w14:paraId="361E6B51" w14:textId="0ACE0BDA" w:rsidR="007D7F8F" w:rsidRDefault="007D7F8F" w:rsidP="007D7F8F">
      <w:pPr>
        <w:pStyle w:val="NoSpacing"/>
        <w:jc w:val="center"/>
      </w:pPr>
      <w:r>
        <w:t>Matt 308</w:t>
      </w:r>
    </w:p>
    <w:p w14:paraId="47CFDE24" w14:textId="77777777" w:rsidR="007D7F8F" w:rsidRDefault="007D7F8F" w:rsidP="007D7F8F">
      <w:pPr>
        <w:pStyle w:val="NoSpacing"/>
      </w:pPr>
    </w:p>
    <w:p w14:paraId="236482EC" w14:textId="093BD98B" w:rsidR="007D7F8F" w:rsidRDefault="007D7F8F" w:rsidP="007D7F8F">
      <w:pPr>
        <w:pStyle w:val="NoSpacing"/>
      </w:pPr>
      <w:r>
        <w:rPr>
          <w:b/>
          <w:bCs/>
        </w:rPr>
        <w:t>Instructor:</w:t>
      </w:r>
      <w:r>
        <w:tab/>
        <w:t>Melissa Stalega, PhD</w:t>
      </w:r>
    </w:p>
    <w:p w14:paraId="4777044D" w14:textId="706A12F2" w:rsidR="007D7F8F" w:rsidRDefault="007D7F8F" w:rsidP="007D7F8F">
      <w:pPr>
        <w:pStyle w:val="NoSpacing"/>
      </w:pPr>
      <w:r>
        <w:rPr>
          <w:b/>
          <w:bCs/>
        </w:rPr>
        <w:t>Office</w:t>
      </w:r>
      <w:proofErr w:type="gramStart"/>
      <w:r>
        <w:rPr>
          <w:b/>
          <w:bCs/>
        </w:rPr>
        <w:t>:</w:t>
      </w:r>
      <w:r>
        <w:tab/>
      </w:r>
      <w:r>
        <w:tab/>
        <w:t>Matt</w:t>
      </w:r>
      <w:proofErr w:type="gramEnd"/>
      <w:r>
        <w:t xml:space="preserve"> 322FA</w:t>
      </w:r>
    </w:p>
    <w:p w14:paraId="49AA48C9" w14:textId="7D5C4B6D" w:rsidR="007D7F8F" w:rsidRDefault="007D7F8F" w:rsidP="007D7F8F">
      <w:pPr>
        <w:pStyle w:val="NoSpacing"/>
      </w:pPr>
      <w:r>
        <w:rPr>
          <w:b/>
          <w:bCs/>
        </w:rPr>
        <w:t xml:space="preserve">Office Hours: </w:t>
      </w:r>
      <w:r>
        <w:t>Mondays and Thursdays, 9:00 AM – 12:00 PM</w:t>
      </w:r>
    </w:p>
    <w:p w14:paraId="001672C9" w14:textId="6EB899B8" w:rsidR="00701C6E" w:rsidRDefault="00701C6E" w:rsidP="007D7F8F">
      <w:pPr>
        <w:pStyle w:val="NoSpacing"/>
      </w:pPr>
      <w:r>
        <w:rPr>
          <w:b/>
          <w:bCs/>
        </w:rPr>
        <w:t>Contact:</w:t>
      </w:r>
      <w:r>
        <w:rPr>
          <w:b/>
          <w:bCs/>
        </w:rPr>
        <w:tab/>
      </w:r>
      <w:hyperlink r:id="rId7" w:history="1">
        <w:r w:rsidRPr="006B6034">
          <w:rPr>
            <w:rStyle w:val="Hyperlink"/>
          </w:rPr>
          <w:t>Melissa.Stalega@uconn.edu</w:t>
        </w:r>
      </w:hyperlink>
      <w:r>
        <w:t xml:space="preserve"> (see Communication Policy)</w:t>
      </w:r>
    </w:p>
    <w:p w14:paraId="5AEE03DA" w14:textId="77777777" w:rsidR="00701C6E" w:rsidRDefault="00701C6E" w:rsidP="007D7F8F">
      <w:pPr>
        <w:pStyle w:val="NoSpacing"/>
      </w:pPr>
    </w:p>
    <w:p w14:paraId="15B7BF18" w14:textId="4B4EDBAD" w:rsidR="00701C6E" w:rsidRDefault="00701C6E" w:rsidP="00701C6E">
      <w:pPr>
        <w:pStyle w:val="NoSpacing"/>
        <w:jc w:val="center"/>
        <w:rPr>
          <w:b/>
          <w:bCs/>
        </w:rPr>
      </w:pPr>
      <w:r>
        <w:rPr>
          <w:b/>
          <w:bCs/>
        </w:rPr>
        <w:t>Course Description</w:t>
      </w:r>
    </w:p>
    <w:p w14:paraId="76347E60" w14:textId="77777777" w:rsidR="00701C6E" w:rsidRDefault="00701C6E" w:rsidP="00701C6E">
      <w:pPr>
        <w:pStyle w:val="NoSpacing"/>
        <w:rPr>
          <w:b/>
          <w:bCs/>
        </w:rPr>
      </w:pPr>
    </w:p>
    <w:p w14:paraId="1595E5BD" w14:textId="0018D1F8" w:rsidR="00701C6E" w:rsidRDefault="00701C6E" w:rsidP="00701C6E">
      <w:pPr>
        <w:pStyle w:val="NoSpacing"/>
      </w:pPr>
      <w:r w:rsidRPr="00701C6E">
        <w:t>In this course we will examine the roles of various professionals in the successful inclusion of students with disabilities in the general education classroom. The focus will be on consultation models, practices and principles with an emphasis on collaboration, cooperative learning, and inclusion.</w:t>
      </w:r>
    </w:p>
    <w:p w14:paraId="36CBC0BE" w14:textId="77777777" w:rsidR="00701C6E" w:rsidRDefault="00701C6E" w:rsidP="00701C6E">
      <w:pPr>
        <w:pStyle w:val="NoSpacing"/>
      </w:pPr>
    </w:p>
    <w:p w14:paraId="4A42460F" w14:textId="6E8F8747" w:rsidR="00701C6E" w:rsidRDefault="00701C6E" w:rsidP="00701C6E">
      <w:pPr>
        <w:pStyle w:val="NoSpacing"/>
        <w:jc w:val="center"/>
        <w:rPr>
          <w:b/>
          <w:bCs/>
        </w:rPr>
      </w:pPr>
      <w:r>
        <w:rPr>
          <w:b/>
          <w:bCs/>
        </w:rPr>
        <w:t>Prerequisite(s)</w:t>
      </w:r>
    </w:p>
    <w:p w14:paraId="73E42F0C" w14:textId="77777777" w:rsidR="00701C6E" w:rsidRDefault="00701C6E" w:rsidP="00701C6E">
      <w:pPr>
        <w:pStyle w:val="NoSpacing"/>
        <w:rPr>
          <w:b/>
          <w:bCs/>
        </w:rPr>
      </w:pPr>
    </w:p>
    <w:p w14:paraId="25C09EFE" w14:textId="4522D977" w:rsidR="00701C6E" w:rsidRDefault="00701C6E" w:rsidP="00701C6E">
      <w:pPr>
        <w:pStyle w:val="NoSpacing"/>
      </w:pPr>
      <w:r w:rsidRPr="00701C6E">
        <w:t>EDSP 3210 or equivalent; Admission to teacher education; Concurrent coursework for teacher prep including student teaching; Required for those seeking core subjects EC–6 certification only. See Student Teaching Program for details.</w:t>
      </w:r>
    </w:p>
    <w:p w14:paraId="6ADD8DEF" w14:textId="77777777" w:rsidR="00701C6E" w:rsidRDefault="00701C6E" w:rsidP="00701C6E">
      <w:pPr>
        <w:pStyle w:val="NoSpacing"/>
      </w:pPr>
    </w:p>
    <w:p w14:paraId="67103DF6" w14:textId="4B1E10C0" w:rsidR="00701C6E" w:rsidRDefault="00701C6E" w:rsidP="00701C6E">
      <w:pPr>
        <w:pStyle w:val="NoSpacing"/>
        <w:jc w:val="center"/>
        <w:rPr>
          <w:b/>
          <w:bCs/>
        </w:rPr>
      </w:pPr>
      <w:r>
        <w:rPr>
          <w:b/>
          <w:bCs/>
        </w:rPr>
        <w:t>Course Standards</w:t>
      </w:r>
    </w:p>
    <w:p w14:paraId="444F39A1" w14:textId="77777777" w:rsidR="00701C6E" w:rsidRDefault="00701C6E" w:rsidP="00701C6E">
      <w:pPr>
        <w:pStyle w:val="NoSpacing"/>
        <w:rPr>
          <w:b/>
          <w:bCs/>
        </w:rPr>
      </w:pPr>
    </w:p>
    <w:p w14:paraId="1B883435" w14:textId="73EA4F69" w:rsidR="00701C6E" w:rsidRDefault="00F54C13" w:rsidP="00701C6E">
      <w:pPr>
        <w:pStyle w:val="NoSpacing"/>
        <w:rPr>
          <w:i/>
          <w:iCs/>
        </w:rPr>
      </w:pPr>
      <w:r w:rsidRPr="00F54C13">
        <w:rPr>
          <w:b/>
          <w:bCs/>
        </w:rPr>
        <w:t>Texas Education Administration — Special Education Specialist (EC–12 #186) Standards Met</w:t>
      </w:r>
      <w:r w:rsidRPr="00F54C13">
        <w:br/>
      </w:r>
      <w:r w:rsidRPr="00F54C13">
        <w:rPr>
          <w:i/>
          <w:iCs/>
        </w:rPr>
        <w:t>An EC–12 special education teacher must:</w:t>
      </w:r>
    </w:p>
    <w:p w14:paraId="585D3F39" w14:textId="77777777" w:rsidR="00F54C13" w:rsidRDefault="00F54C13" w:rsidP="00701C6E">
      <w:pPr>
        <w:pStyle w:val="NoSpacing"/>
        <w:rPr>
          <w:i/>
          <w:iCs/>
        </w:rPr>
      </w:pPr>
    </w:p>
    <w:p w14:paraId="7E01D899" w14:textId="77777777" w:rsidR="00F54C13" w:rsidRDefault="00F54C13" w:rsidP="00F54C13">
      <w:pPr>
        <w:pStyle w:val="ListParagraph"/>
        <w:numPr>
          <w:ilvl w:val="0"/>
          <w:numId w:val="1"/>
        </w:numPr>
      </w:pPr>
      <w:r>
        <w:t xml:space="preserve">demonstrate knowledge of all required components of an Individualized Education Program (IEP) as outlined in federal and state </w:t>
      </w:r>
      <w:proofErr w:type="gramStart"/>
      <w:r>
        <w:t>law;</w:t>
      </w:r>
      <w:proofErr w:type="gramEnd"/>
    </w:p>
    <w:p w14:paraId="27DF51C8" w14:textId="5492E1BB" w:rsidR="00F54C13" w:rsidRDefault="00F54C13" w:rsidP="00F54C13">
      <w:pPr>
        <w:pStyle w:val="ListParagraph"/>
        <w:numPr>
          <w:ilvl w:val="0"/>
          <w:numId w:val="1"/>
        </w:numPr>
      </w:pPr>
      <w:r>
        <w:t xml:space="preserve">use a variety of assessment data to write annual measurable goals and present levels of academic achievement and functional performance and identify appropriate accommodations (academic, behavior, state, and district testing) and modifications based on individual student needs, and contribute to drafting the </w:t>
      </w:r>
      <w:proofErr w:type="gramStart"/>
      <w:r>
        <w:t>IEP;</w:t>
      </w:r>
      <w:proofErr w:type="gramEnd"/>
    </w:p>
    <w:p w14:paraId="3D512439" w14:textId="21EAA611" w:rsidR="00F54C13" w:rsidRDefault="00F54C13" w:rsidP="00F54C13">
      <w:pPr>
        <w:pStyle w:val="ListParagraph"/>
        <w:numPr>
          <w:ilvl w:val="0"/>
          <w:numId w:val="1"/>
        </w:numPr>
      </w:pPr>
      <w:r>
        <w:t xml:space="preserve">demonstrate knowledge of the role and responsibilities of the special education teacher in preparing for an Admission, Review, Dismissal (ARD) committee meeting, including collecting required data, interpreting the results of progress monitoring and classroom assessment data, and visually representing and interpreting data to show student </w:t>
      </w:r>
      <w:proofErr w:type="gramStart"/>
      <w:r>
        <w:t>progress;</w:t>
      </w:r>
      <w:proofErr w:type="gramEnd"/>
    </w:p>
    <w:p w14:paraId="6CE76BE1" w14:textId="41F19991" w:rsidR="00F54C13" w:rsidRDefault="00F54C13" w:rsidP="00F54C13">
      <w:pPr>
        <w:pStyle w:val="ListParagraph"/>
        <w:numPr>
          <w:ilvl w:val="0"/>
          <w:numId w:val="1"/>
        </w:numPr>
      </w:pPr>
      <w:r>
        <w:t xml:space="preserve">prepare and support students in leading ARD committee discussion regarding progress on IEP goals, mastery of grade level TEKS, appropriate accommodations (academic, behavior, state and district assessment), transition needs and goals, and other supplements as </w:t>
      </w:r>
      <w:proofErr w:type="gramStart"/>
      <w:r>
        <w:t>needed;</w:t>
      </w:r>
      <w:proofErr w:type="gramEnd"/>
    </w:p>
    <w:p w14:paraId="05229A64" w14:textId="6C9D1CC6" w:rsidR="00F54C13" w:rsidRDefault="00F54C13" w:rsidP="00F54C13">
      <w:pPr>
        <w:pStyle w:val="ListParagraph"/>
        <w:numPr>
          <w:ilvl w:val="0"/>
          <w:numId w:val="1"/>
        </w:numPr>
      </w:pPr>
      <w:r>
        <w:lastRenderedPageBreak/>
        <w:t>demonstrate understanding that students served through special education may also have other special populations identifiers (i.e., gifted and talented, English learner, highly mobile and at risk, and dyslexia</w:t>
      </w:r>
      <w:proofErr w:type="gramStart"/>
      <w:r>
        <w:t>);</w:t>
      </w:r>
      <w:proofErr w:type="gramEnd"/>
    </w:p>
    <w:p w14:paraId="1B89A75A" w14:textId="6265D49C" w:rsidR="00F54C13" w:rsidRDefault="00F54C13" w:rsidP="00F54C13">
      <w:pPr>
        <w:pStyle w:val="ListParagraph"/>
        <w:numPr>
          <w:ilvl w:val="0"/>
          <w:numId w:val="1"/>
        </w:numPr>
      </w:pPr>
      <w:r>
        <w:t xml:space="preserve">advocate for high academic and behavioral expectations for students with </w:t>
      </w:r>
      <w:proofErr w:type="gramStart"/>
      <w:r>
        <w:t>disabilities;</w:t>
      </w:r>
      <w:proofErr w:type="gramEnd"/>
      <w:r>
        <w:t xml:space="preserve"> </w:t>
      </w:r>
    </w:p>
    <w:p w14:paraId="0AE5E3F1" w14:textId="779A4819" w:rsidR="00F54C13" w:rsidRDefault="00F54C13" w:rsidP="00F54C13">
      <w:pPr>
        <w:pStyle w:val="ListParagraph"/>
        <w:numPr>
          <w:ilvl w:val="0"/>
          <w:numId w:val="1"/>
        </w:numPr>
      </w:pPr>
      <w:r>
        <w:t xml:space="preserve">demonstrate understanding that students with all support needs may also come from a different cultural background, may speak other languages than those of the dominant culture, or may come from a unique racial or ethnic </w:t>
      </w:r>
      <w:proofErr w:type="gramStart"/>
      <w:r>
        <w:t>group;</w:t>
      </w:r>
      <w:proofErr w:type="gramEnd"/>
    </w:p>
    <w:p w14:paraId="30664987" w14:textId="74CCE8B5" w:rsidR="00F54C13" w:rsidRDefault="00F54C13" w:rsidP="00F54C13">
      <w:pPr>
        <w:pStyle w:val="ListParagraph"/>
        <w:numPr>
          <w:ilvl w:val="0"/>
          <w:numId w:val="1"/>
        </w:numPr>
      </w:pPr>
      <w:r>
        <w:t>demonstrate understanding that individuals with high support needs deserve to be challenged with high expectations and provided with meaningful and inclusive participation opportunities to develop the highest possible learning outcomes.</w:t>
      </w:r>
    </w:p>
    <w:p w14:paraId="5F1F83A0" w14:textId="74084AE2" w:rsidR="00F54C13" w:rsidRDefault="00F54C13" w:rsidP="00F54C13">
      <w:pPr>
        <w:pStyle w:val="ListParagraph"/>
        <w:numPr>
          <w:ilvl w:val="0"/>
          <w:numId w:val="1"/>
        </w:numPr>
      </w:pPr>
      <w:r>
        <w:t xml:space="preserve">demonstrate knowledge of strategies to support students' development and independence given relevant grade level expectations for academic and behavior from birth through </w:t>
      </w:r>
      <w:proofErr w:type="gramStart"/>
      <w:r>
        <w:t>adolescence;</w:t>
      </w:r>
      <w:proofErr w:type="gramEnd"/>
    </w:p>
    <w:p w14:paraId="57098B2F" w14:textId="7D2DA5ED" w:rsidR="00F54C13" w:rsidRDefault="00F54C13" w:rsidP="00F54C13">
      <w:pPr>
        <w:pStyle w:val="ListParagraph"/>
        <w:numPr>
          <w:ilvl w:val="0"/>
          <w:numId w:val="1"/>
        </w:numPr>
      </w:pPr>
      <w:r>
        <w:t xml:space="preserve">apply a variety of evidence-based, age-appropriate classroom routines and procedures that support individual developmental and learning </w:t>
      </w:r>
      <w:proofErr w:type="gramStart"/>
      <w:r>
        <w:t>needs;</w:t>
      </w:r>
      <w:proofErr w:type="gramEnd"/>
    </w:p>
    <w:p w14:paraId="242D5FCB" w14:textId="5B436F9B" w:rsidR="00F54C13" w:rsidRDefault="00F54C13" w:rsidP="00F54C13">
      <w:pPr>
        <w:pStyle w:val="ListParagraph"/>
        <w:numPr>
          <w:ilvl w:val="0"/>
          <w:numId w:val="1"/>
        </w:numPr>
      </w:pPr>
      <w:r>
        <w:t xml:space="preserve">apply knowledge of evidence-based practices to identify and intervene when students are not making progress in functional, academic, or behavioral </w:t>
      </w:r>
      <w:proofErr w:type="gramStart"/>
      <w:r>
        <w:t>goals;</w:t>
      </w:r>
      <w:proofErr w:type="gramEnd"/>
    </w:p>
    <w:p w14:paraId="7BC0C0CA" w14:textId="13F3EF84" w:rsidR="00F54C13" w:rsidRDefault="00F54C13" w:rsidP="00F54C13">
      <w:pPr>
        <w:pStyle w:val="ListParagraph"/>
        <w:numPr>
          <w:ilvl w:val="0"/>
          <w:numId w:val="1"/>
        </w:numPr>
      </w:pPr>
      <w:r>
        <w:t>demonstrate the knowledge and ability to adapt instruction when students with high support needs do not meet milestones.</w:t>
      </w:r>
    </w:p>
    <w:p w14:paraId="2CB1019E" w14:textId="10384896" w:rsidR="00F54C13" w:rsidRDefault="00F54C13" w:rsidP="00F54C13">
      <w:pPr>
        <w:pStyle w:val="ListParagraph"/>
        <w:numPr>
          <w:ilvl w:val="0"/>
          <w:numId w:val="1"/>
        </w:numPr>
      </w:pPr>
      <w:r>
        <w:t xml:space="preserve">design appropriate learning and performance accommodations and modifications for students with exceptional learning needs in academic subject matter content of the general </w:t>
      </w:r>
      <w:proofErr w:type="gramStart"/>
      <w:r>
        <w:t>curriculum;</w:t>
      </w:r>
      <w:proofErr w:type="gramEnd"/>
    </w:p>
    <w:p w14:paraId="1D97C42C" w14:textId="5A456DB8" w:rsidR="00F54C13" w:rsidRDefault="00F54C13" w:rsidP="00F54C13">
      <w:pPr>
        <w:pStyle w:val="ListParagraph"/>
        <w:numPr>
          <w:ilvl w:val="0"/>
          <w:numId w:val="1"/>
        </w:numPr>
      </w:pPr>
      <w:r>
        <w:t xml:space="preserve">apply understanding of the subject matter TEKS, the Texas Prekindergarten Guidelines, and specialized curricula to inform programmatic and instructional decisions for students with high support </w:t>
      </w:r>
      <w:proofErr w:type="gramStart"/>
      <w:r>
        <w:t>needs;</w:t>
      </w:r>
      <w:proofErr w:type="gramEnd"/>
    </w:p>
    <w:p w14:paraId="624D812F" w14:textId="348F13C5" w:rsidR="00F54C13" w:rsidRDefault="00F54C13" w:rsidP="00F54C13">
      <w:pPr>
        <w:pStyle w:val="ListParagraph"/>
        <w:numPr>
          <w:ilvl w:val="0"/>
          <w:numId w:val="1"/>
        </w:numPr>
      </w:pPr>
      <w:r>
        <w:t xml:space="preserve">apply content-specific knowledge to modify and differentiate instruction as well as provide access to instructional materials for a wide range of student performance </w:t>
      </w:r>
      <w:proofErr w:type="gramStart"/>
      <w:r>
        <w:t>levels;</w:t>
      </w:r>
      <w:proofErr w:type="gramEnd"/>
    </w:p>
    <w:p w14:paraId="5261C090" w14:textId="5598F9B8" w:rsidR="00F54C13" w:rsidRDefault="00F54C13" w:rsidP="00F54C13">
      <w:pPr>
        <w:pStyle w:val="ListParagraph"/>
        <w:numPr>
          <w:ilvl w:val="0"/>
          <w:numId w:val="1"/>
        </w:numPr>
      </w:pPr>
      <w:r>
        <w:t xml:space="preserve">demonstrate </w:t>
      </w:r>
      <w:proofErr w:type="gramStart"/>
      <w:r>
        <w:t>a content</w:t>
      </w:r>
      <w:proofErr w:type="gramEnd"/>
      <w:r>
        <w:t xml:space="preserve">-specific knowledge at a level necessary for students with exceptionalities to progress in their individualized programs toward completion of appropriate graduation </w:t>
      </w:r>
      <w:proofErr w:type="gramStart"/>
      <w:r>
        <w:t>requirements;</w:t>
      </w:r>
      <w:proofErr w:type="gramEnd"/>
    </w:p>
    <w:p w14:paraId="0B254203" w14:textId="68B0F636" w:rsidR="00F54C13" w:rsidRDefault="00F54C13" w:rsidP="00F54C13">
      <w:pPr>
        <w:pStyle w:val="ListParagraph"/>
        <w:numPr>
          <w:ilvl w:val="0"/>
          <w:numId w:val="1"/>
        </w:numPr>
      </w:pPr>
      <w:r>
        <w:t xml:space="preserve">apply content-specific knowledge to routinely collaborate, co-teach, modify, and adapt curriculum with general education </w:t>
      </w:r>
      <w:proofErr w:type="gramStart"/>
      <w:r>
        <w:t>teachers;</w:t>
      </w:r>
      <w:proofErr w:type="gramEnd"/>
    </w:p>
    <w:p w14:paraId="2F621D92" w14:textId="73424851" w:rsidR="00F54C13" w:rsidRDefault="00F54C13" w:rsidP="00F54C13">
      <w:pPr>
        <w:pStyle w:val="ListParagraph"/>
        <w:numPr>
          <w:ilvl w:val="0"/>
          <w:numId w:val="1"/>
        </w:numPr>
      </w:pPr>
      <w:r>
        <w:t xml:space="preserve">apply knowledge of individual learner characteristics and specialized curricula knowledge to accommodate, modify, and/or adapt the curricula across </w:t>
      </w:r>
      <w:proofErr w:type="gramStart"/>
      <w:r>
        <w:t>contexts;</w:t>
      </w:r>
      <w:proofErr w:type="gramEnd"/>
    </w:p>
    <w:p w14:paraId="62153185" w14:textId="50DD3393" w:rsidR="00F54C13" w:rsidRDefault="00F54C13" w:rsidP="00F54C13">
      <w:pPr>
        <w:pStyle w:val="ListParagraph"/>
        <w:numPr>
          <w:ilvl w:val="0"/>
          <w:numId w:val="1"/>
        </w:numPr>
      </w:pPr>
      <w:r>
        <w:t>demonstrate knowledge of specialized curricula that may include curriculum for social skills, life skills, transition, orientation and mobility, independence curricula, and self-</w:t>
      </w:r>
      <w:proofErr w:type="gramStart"/>
      <w:r>
        <w:t>advocacy;</w:t>
      </w:r>
      <w:proofErr w:type="gramEnd"/>
    </w:p>
    <w:p w14:paraId="6219A018" w14:textId="0044C420" w:rsidR="00F54C13" w:rsidRDefault="00F54C13" w:rsidP="00F54C13">
      <w:pPr>
        <w:pStyle w:val="ListParagraph"/>
        <w:numPr>
          <w:ilvl w:val="0"/>
          <w:numId w:val="1"/>
        </w:numPr>
      </w:pPr>
      <w:r>
        <w:t xml:space="preserve">demonstrate knowledge of families, culture, and community when involving paraprofessionals, general educators, and specialists, to make content and instruction accessible and challenging for students at all levels of support </w:t>
      </w:r>
      <w:proofErr w:type="gramStart"/>
      <w:r>
        <w:t>needs;</w:t>
      </w:r>
      <w:proofErr w:type="gramEnd"/>
    </w:p>
    <w:p w14:paraId="0C1F9E53" w14:textId="6924C070" w:rsidR="00F54C13" w:rsidRDefault="00F54C13" w:rsidP="00F54C13">
      <w:pPr>
        <w:pStyle w:val="ListParagraph"/>
        <w:numPr>
          <w:ilvl w:val="0"/>
          <w:numId w:val="1"/>
        </w:numPr>
      </w:pPr>
      <w:r>
        <w:lastRenderedPageBreak/>
        <w:t xml:space="preserve">demonstrate knowledge of how to provide modified access to subject-specific instructional materials to address individual learner needs in different contexts such as center-based, home-based, and school-based classrooms, including specialized and general </w:t>
      </w:r>
      <w:proofErr w:type="gramStart"/>
      <w:r>
        <w:t>classrooms;</w:t>
      </w:r>
      <w:proofErr w:type="gramEnd"/>
    </w:p>
    <w:p w14:paraId="34099551" w14:textId="41F76719" w:rsidR="00F54C13" w:rsidRDefault="00F54C13" w:rsidP="00F54C13">
      <w:pPr>
        <w:pStyle w:val="ListParagraph"/>
        <w:numPr>
          <w:ilvl w:val="0"/>
          <w:numId w:val="1"/>
        </w:numPr>
      </w:pPr>
      <w:r>
        <w:t>recognize barriers to accessibility and acceptance of individuals with high support needs and plan for ways to address those barriers through the implementation of specialized curricula.</w:t>
      </w:r>
    </w:p>
    <w:p w14:paraId="6EB222FC" w14:textId="4B3B0D36" w:rsidR="00F54C13" w:rsidRDefault="00F54C13" w:rsidP="00F54C13">
      <w:pPr>
        <w:pStyle w:val="ListParagraph"/>
        <w:numPr>
          <w:ilvl w:val="0"/>
          <w:numId w:val="1"/>
        </w:numPr>
      </w:pPr>
      <w:r>
        <w:t xml:space="preserve">use assessment results to design, adjust, plan, and inform instruction or </w:t>
      </w:r>
      <w:proofErr w:type="gramStart"/>
      <w:r>
        <w:t>intervention;</w:t>
      </w:r>
      <w:proofErr w:type="gramEnd"/>
    </w:p>
    <w:p w14:paraId="42F5003A" w14:textId="6C3F279C" w:rsidR="00F54C13" w:rsidRDefault="00F54C13" w:rsidP="00F54C13">
      <w:pPr>
        <w:pStyle w:val="ListParagraph"/>
        <w:numPr>
          <w:ilvl w:val="0"/>
          <w:numId w:val="1"/>
        </w:numPr>
      </w:pPr>
      <w:r>
        <w:t xml:space="preserve">identify, recommend, and implement appropriate accommodations and/or modifications for classroom, behavior, state, and district testing or other assessments as determined by the ARD </w:t>
      </w:r>
      <w:proofErr w:type="gramStart"/>
      <w:r>
        <w:t>committee;</w:t>
      </w:r>
      <w:proofErr w:type="gramEnd"/>
    </w:p>
    <w:p w14:paraId="4C169373" w14:textId="4DDF885A" w:rsidR="00F54C13" w:rsidRDefault="00F54C13" w:rsidP="00F54C13">
      <w:pPr>
        <w:pStyle w:val="ListParagraph"/>
        <w:numPr>
          <w:ilvl w:val="0"/>
          <w:numId w:val="1"/>
        </w:numPr>
      </w:pPr>
      <w:r>
        <w:t>support students in understanding their own assessment data and using those results to self-monitor and self-</w:t>
      </w:r>
      <w:proofErr w:type="gramStart"/>
      <w:r>
        <w:t>regulate;</w:t>
      </w:r>
      <w:proofErr w:type="gramEnd"/>
    </w:p>
    <w:p w14:paraId="19238F93" w14:textId="137EC821" w:rsidR="00F54C13" w:rsidRDefault="00F54C13" w:rsidP="00F54C13">
      <w:pPr>
        <w:pStyle w:val="ListParagraph"/>
        <w:numPr>
          <w:ilvl w:val="0"/>
          <w:numId w:val="1"/>
        </w:numPr>
      </w:pPr>
      <w:r>
        <w:t xml:space="preserve">demonstrate knowledge of how to plan instruction according to the requirements of an IEP, including use of supplements, technology, assistive technology, and related </w:t>
      </w:r>
      <w:proofErr w:type="gramStart"/>
      <w:r>
        <w:t>services;</w:t>
      </w:r>
      <w:proofErr w:type="gramEnd"/>
    </w:p>
    <w:p w14:paraId="0447CA5B" w14:textId="01D04EE4" w:rsidR="00F54C13" w:rsidRDefault="00F54C13" w:rsidP="00F54C13">
      <w:pPr>
        <w:pStyle w:val="ListParagraph"/>
        <w:numPr>
          <w:ilvl w:val="0"/>
          <w:numId w:val="1"/>
        </w:numPr>
      </w:pPr>
      <w:r>
        <w:t xml:space="preserve">design instruction to meet the individual needs of a diverse group of students based on information from various types of formative and summative </w:t>
      </w:r>
      <w:proofErr w:type="gramStart"/>
      <w:r>
        <w:t>assessments;</w:t>
      </w:r>
      <w:proofErr w:type="gramEnd"/>
    </w:p>
    <w:p w14:paraId="512AB144" w14:textId="2F6F3D72" w:rsidR="00F54C13" w:rsidRDefault="00F54C13" w:rsidP="00F54C13">
      <w:pPr>
        <w:pStyle w:val="ListParagraph"/>
        <w:numPr>
          <w:ilvl w:val="0"/>
          <w:numId w:val="1"/>
        </w:numPr>
      </w:pPr>
      <w:r>
        <w:t xml:space="preserve">use knowledge of the learning processes of adolescents and teenagers to select, adapt, and apply instructional strategies that meet the needs of individual students and support transition </w:t>
      </w:r>
      <w:proofErr w:type="gramStart"/>
      <w:r>
        <w:t>goals;</w:t>
      </w:r>
      <w:proofErr w:type="gramEnd"/>
    </w:p>
    <w:p w14:paraId="6DDF5DFC" w14:textId="5995163B" w:rsidR="00F54C13" w:rsidRDefault="00F54C13" w:rsidP="00F54C13">
      <w:pPr>
        <w:pStyle w:val="ListParagraph"/>
        <w:numPr>
          <w:ilvl w:val="0"/>
          <w:numId w:val="1"/>
        </w:numPr>
      </w:pPr>
      <w:r>
        <w:t xml:space="preserve">use explicit, scaffolded, systematic instruction to teach content, strategies, and </w:t>
      </w:r>
      <w:proofErr w:type="gramStart"/>
      <w:r>
        <w:t>skills;</w:t>
      </w:r>
      <w:proofErr w:type="gramEnd"/>
    </w:p>
    <w:p w14:paraId="2D25760C" w14:textId="4782C1C8" w:rsidR="00F54C13" w:rsidRDefault="00F54C13" w:rsidP="00F54C13">
      <w:pPr>
        <w:pStyle w:val="ListParagraph"/>
        <w:numPr>
          <w:ilvl w:val="0"/>
          <w:numId w:val="1"/>
        </w:numPr>
      </w:pPr>
      <w:r>
        <w:t xml:space="preserve">design individualized instruction that adapts instructional intensity and/or intervention to build on students' strengths and accommodate students' </w:t>
      </w:r>
      <w:proofErr w:type="gramStart"/>
      <w:r>
        <w:t>needs;</w:t>
      </w:r>
      <w:proofErr w:type="gramEnd"/>
    </w:p>
    <w:p w14:paraId="112E7A9C" w14:textId="7E50E228" w:rsidR="00F54C13" w:rsidRDefault="00F54C13" w:rsidP="00F54C13">
      <w:pPr>
        <w:pStyle w:val="ListParagraph"/>
        <w:numPr>
          <w:ilvl w:val="0"/>
          <w:numId w:val="1"/>
        </w:numPr>
      </w:pPr>
      <w:r>
        <w:t xml:space="preserve">create opportunities for students to demonstrate their knowledge and skill using different modalities and allow every individual to advance as they demonstrate their </w:t>
      </w:r>
      <w:proofErr w:type="gramStart"/>
      <w:r>
        <w:t>understanding;</w:t>
      </w:r>
      <w:proofErr w:type="gramEnd"/>
    </w:p>
    <w:p w14:paraId="3F227AC1" w14:textId="000103D5" w:rsidR="00F54C13" w:rsidRDefault="00F54C13" w:rsidP="00F54C13">
      <w:pPr>
        <w:pStyle w:val="ListParagraph"/>
        <w:numPr>
          <w:ilvl w:val="0"/>
          <w:numId w:val="1"/>
        </w:numPr>
      </w:pPr>
      <w:r>
        <w:t xml:space="preserve">apply knowledge of developmentally appropriate instructional strategies to engage, motivate, and promote learning specific to the needs of adolescents and teenagers with </w:t>
      </w:r>
      <w:proofErr w:type="gramStart"/>
      <w:r>
        <w:t>exceptionalities;</w:t>
      </w:r>
      <w:proofErr w:type="gramEnd"/>
    </w:p>
    <w:p w14:paraId="28CC0DEA" w14:textId="41FCBA0D" w:rsidR="00F54C13" w:rsidRDefault="00F54C13" w:rsidP="00F54C13">
      <w:pPr>
        <w:pStyle w:val="ListParagraph"/>
        <w:numPr>
          <w:ilvl w:val="0"/>
          <w:numId w:val="1"/>
        </w:numPr>
      </w:pPr>
      <w:r>
        <w:t xml:space="preserve">apply knowledge of the learning processes of adolescents and teenagers to select and use a variety of grouping strategies (e.g., whole group, small group, individual) to meet the learning needs of each </w:t>
      </w:r>
      <w:proofErr w:type="gramStart"/>
      <w:r>
        <w:t>student;</w:t>
      </w:r>
      <w:proofErr w:type="gramEnd"/>
    </w:p>
    <w:p w14:paraId="373E8EA5" w14:textId="177A5CFE" w:rsidR="00F54C13" w:rsidRDefault="00F54C13" w:rsidP="00F54C13">
      <w:pPr>
        <w:pStyle w:val="ListParagraph"/>
        <w:numPr>
          <w:ilvl w:val="0"/>
          <w:numId w:val="1"/>
        </w:numPr>
      </w:pPr>
      <w:r>
        <w:t xml:space="preserve">promote the generalization of concepts and skills across content areas and educational </w:t>
      </w:r>
      <w:proofErr w:type="gramStart"/>
      <w:r>
        <w:t>settings;</w:t>
      </w:r>
      <w:proofErr w:type="gramEnd"/>
    </w:p>
    <w:p w14:paraId="75F3121A" w14:textId="4C4E3C90" w:rsidR="00F54C13" w:rsidRDefault="00F54C13" w:rsidP="00F54C13">
      <w:pPr>
        <w:pStyle w:val="ListParagraph"/>
        <w:numPr>
          <w:ilvl w:val="0"/>
          <w:numId w:val="1"/>
        </w:numPr>
      </w:pPr>
      <w:r>
        <w:t xml:space="preserve">design visual supports to promote student mastery of curriculum, executive functioning, and classroom </w:t>
      </w:r>
      <w:proofErr w:type="gramStart"/>
      <w:r>
        <w:t>procedures;</w:t>
      </w:r>
      <w:proofErr w:type="gramEnd"/>
    </w:p>
    <w:p w14:paraId="090A5833" w14:textId="7076344E" w:rsidR="00F54C13" w:rsidRDefault="00F54C13" w:rsidP="00F54C13">
      <w:pPr>
        <w:pStyle w:val="ListParagraph"/>
        <w:numPr>
          <w:ilvl w:val="0"/>
          <w:numId w:val="1"/>
        </w:numPr>
      </w:pPr>
      <w:r>
        <w:t xml:space="preserve">adapt instruction and make regular changes based on data from </w:t>
      </w:r>
      <w:proofErr w:type="gramStart"/>
      <w:r>
        <w:t>assessments;</w:t>
      </w:r>
      <w:proofErr w:type="gramEnd"/>
    </w:p>
    <w:p w14:paraId="6CE64D9A" w14:textId="01C185EE" w:rsidR="00F54C13" w:rsidRDefault="00F54C13" w:rsidP="00F54C13">
      <w:pPr>
        <w:pStyle w:val="ListParagraph"/>
        <w:numPr>
          <w:ilvl w:val="0"/>
          <w:numId w:val="1"/>
        </w:numPr>
      </w:pPr>
      <w:r>
        <w:t xml:space="preserve">plan, adapt, and deliver learning experiences for individuals with high support needs in an inclusive manner that reflects an understanding of the continuum of instructional </w:t>
      </w:r>
      <w:r>
        <w:lastRenderedPageBreak/>
        <w:t xml:space="preserve">settings and an understanding of how to engage individuals with high support needs in inclusive, meaningful learning activities across instructional </w:t>
      </w:r>
      <w:proofErr w:type="gramStart"/>
      <w:r>
        <w:t>settings;</w:t>
      </w:r>
      <w:proofErr w:type="gramEnd"/>
    </w:p>
    <w:p w14:paraId="5A3C0C2C" w14:textId="26CF668D" w:rsidR="00F54C13" w:rsidRDefault="00F54C13" w:rsidP="00F54C13">
      <w:pPr>
        <w:pStyle w:val="ListParagraph"/>
        <w:numPr>
          <w:ilvl w:val="0"/>
          <w:numId w:val="1"/>
        </w:numPr>
      </w:pPr>
      <w:r>
        <w:t xml:space="preserve">apply knowledge of students, content, and pedagogy to develop, implement, evaluate, and revise instruction and interventions as </w:t>
      </w:r>
      <w:proofErr w:type="gramStart"/>
      <w:r>
        <w:t>needed;</w:t>
      </w:r>
      <w:proofErr w:type="gramEnd"/>
    </w:p>
    <w:p w14:paraId="4CABDE4F" w14:textId="7D9DF1D5" w:rsidR="00F54C13" w:rsidRDefault="00F54C13" w:rsidP="00F54C13">
      <w:pPr>
        <w:pStyle w:val="ListParagraph"/>
        <w:numPr>
          <w:ilvl w:val="0"/>
          <w:numId w:val="1"/>
        </w:numPr>
      </w:pPr>
      <w:r>
        <w:t xml:space="preserve">use strategies to promote active student </w:t>
      </w:r>
      <w:proofErr w:type="gramStart"/>
      <w:r>
        <w:t>engagement;</w:t>
      </w:r>
      <w:proofErr w:type="gramEnd"/>
    </w:p>
    <w:p w14:paraId="787C4CDF" w14:textId="2F536494" w:rsidR="00F54C13" w:rsidRDefault="00F54C13" w:rsidP="00F54C13">
      <w:pPr>
        <w:pStyle w:val="ListParagraph"/>
        <w:numPr>
          <w:ilvl w:val="0"/>
          <w:numId w:val="1"/>
        </w:numPr>
      </w:pPr>
      <w:r>
        <w:t xml:space="preserve">design effective and universally accessible environments and learning experiences appropriate for students in Prekindergarten- Grades </w:t>
      </w:r>
      <w:proofErr w:type="gramStart"/>
      <w:r>
        <w:t>6-12;</w:t>
      </w:r>
      <w:proofErr w:type="gramEnd"/>
    </w:p>
    <w:p w14:paraId="539DEE7D" w14:textId="2D464055" w:rsidR="00F54C13" w:rsidRDefault="00F54C13" w:rsidP="00F54C13">
      <w:pPr>
        <w:pStyle w:val="ListParagraph"/>
        <w:numPr>
          <w:ilvl w:val="0"/>
          <w:numId w:val="1"/>
        </w:numPr>
      </w:pPr>
      <w:r>
        <w:t xml:space="preserve">create an environment in which expectations are clear and predictable and instructional routines and classroom procedures are used to support and actively engage </w:t>
      </w:r>
      <w:proofErr w:type="gramStart"/>
      <w:r>
        <w:t>students;</w:t>
      </w:r>
      <w:proofErr w:type="gramEnd"/>
    </w:p>
    <w:p w14:paraId="6CD30567" w14:textId="7B1ECA0D" w:rsidR="00F54C13" w:rsidRDefault="00F54C13" w:rsidP="00F54C13">
      <w:pPr>
        <w:pStyle w:val="ListParagraph"/>
        <w:numPr>
          <w:ilvl w:val="0"/>
          <w:numId w:val="1"/>
        </w:numPr>
      </w:pPr>
      <w:r>
        <w:t xml:space="preserve">build positive relationships with students based on understanding of individual strengths and needs, high expectations, and mutual respect and </w:t>
      </w:r>
      <w:proofErr w:type="gramStart"/>
      <w:r>
        <w:t>rapport;</w:t>
      </w:r>
      <w:proofErr w:type="gramEnd"/>
    </w:p>
    <w:p w14:paraId="76833202" w14:textId="673A585F" w:rsidR="00F54C13" w:rsidRDefault="00F54C13" w:rsidP="00F54C13">
      <w:pPr>
        <w:pStyle w:val="ListParagraph"/>
        <w:numPr>
          <w:ilvl w:val="0"/>
          <w:numId w:val="1"/>
        </w:numPr>
      </w:pPr>
      <w:r>
        <w:t xml:space="preserve">demonstrate knowledge of the roles and responsibilities of the special education teacher and of other professionals who deliver special education services including related and instructional service </w:t>
      </w:r>
      <w:proofErr w:type="gramStart"/>
      <w:r>
        <w:t>providers;</w:t>
      </w:r>
      <w:proofErr w:type="gramEnd"/>
    </w:p>
    <w:p w14:paraId="22225EA7" w14:textId="445D13E5" w:rsidR="00F54C13" w:rsidRDefault="00F54C13" w:rsidP="00F54C13">
      <w:pPr>
        <w:pStyle w:val="ListParagraph"/>
        <w:numPr>
          <w:ilvl w:val="0"/>
          <w:numId w:val="1"/>
        </w:numPr>
      </w:pPr>
      <w:r>
        <w:t xml:space="preserve">effectively collaborate with general education teachers to deliver, adapt, and differentiate instruction to meet the instructional, emotional, behavioral, and social needs of </w:t>
      </w:r>
      <w:proofErr w:type="gramStart"/>
      <w:r>
        <w:t>students;</w:t>
      </w:r>
      <w:proofErr w:type="gramEnd"/>
    </w:p>
    <w:p w14:paraId="1B96041D" w14:textId="41D11ACC" w:rsidR="00F54C13" w:rsidRDefault="00F54C13" w:rsidP="00F54C13">
      <w:pPr>
        <w:pStyle w:val="ListParagraph"/>
        <w:numPr>
          <w:ilvl w:val="0"/>
          <w:numId w:val="1"/>
        </w:numPr>
      </w:pPr>
      <w:r>
        <w:t xml:space="preserve">understand the strengths and limitations of various co-teaching models based on setting and the individual needs of </w:t>
      </w:r>
      <w:proofErr w:type="gramStart"/>
      <w:r>
        <w:t>students;</w:t>
      </w:r>
      <w:proofErr w:type="gramEnd"/>
    </w:p>
    <w:p w14:paraId="65287F09" w14:textId="0DFDDF73" w:rsidR="00F54C13" w:rsidRDefault="00F54C13" w:rsidP="00F54C13">
      <w:pPr>
        <w:pStyle w:val="ListParagraph"/>
        <w:numPr>
          <w:ilvl w:val="0"/>
          <w:numId w:val="1"/>
        </w:numPr>
      </w:pPr>
      <w:r>
        <w:t xml:space="preserve">effectively implement co-teaching models to deliver, adapt, and differentiate instruction to meet students' instructional, emotional, behavioral, and social </w:t>
      </w:r>
      <w:proofErr w:type="gramStart"/>
      <w:r>
        <w:t>needs;</w:t>
      </w:r>
      <w:proofErr w:type="gramEnd"/>
    </w:p>
    <w:p w14:paraId="5D9E6671" w14:textId="5F72025C" w:rsidR="00F54C13" w:rsidRDefault="00F54C13" w:rsidP="00F54C13">
      <w:pPr>
        <w:pStyle w:val="ListParagraph"/>
        <w:numPr>
          <w:ilvl w:val="0"/>
          <w:numId w:val="1"/>
        </w:numPr>
      </w:pPr>
      <w:r>
        <w:t xml:space="preserve">understand the reciprocal relationship with general education teachers for effective and inclusive </w:t>
      </w:r>
      <w:proofErr w:type="gramStart"/>
      <w:r>
        <w:t>practices;</w:t>
      </w:r>
      <w:proofErr w:type="gramEnd"/>
    </w:p>
    <w:p w14:paraId="20CCE5A7" w14:textId="33D17D7B" w:rsidR="00F54C13" w:rsidRDefault="00F54C13" w:rsidP="00F54C13">
      <w:pPr>
        <w:pStyle w:val="ListParagraph"/>
        <w:numPr>
          <w:ilvl w:val="0"/>
          <w:numId w:val="1"/>
        </w:numPr>
      </w:pPr>
      <w:r>
        <w:t xml:space="preserve">coordinate with instructional and related service providers and community agencies to identify and access services, resources, and </w:t>
      </w:r>
      <w:proofErr w:type="gramStart"/>
      <w:r>
        <w:t>supports</w:t>
      </w:r>
      <w:proofErr w:type="gramEnd"/>
      <w:r>
        <w:t xml:space="preserve"> to meet the needs of individuals with </w:t>
      </w:r>
      <w:proofErr w:type="gramStart"/>
      <w:r>
        <w:t>exceptionalities;</w:t>
      </w:r>
      <w:proofErr w:type="gramEnd"/>
    </w:p>
    <w:p w14:paraId="6F930105" w14:textId="06C7AD68" w:rsidR="00F54C13" w:rsidRDefault="00F54C13" w:rsidP="00F54C13">
      <w:pPr>
        <w:pStyle w:val="ListParagraph"/>
        <w:numPr>
          <w:ilvl w:val="0"/>
          <w:numId w:val="1"/>
        </w:numPr>
      </w:pPr>
      <w:r>
        <w:t xml:space="preserve">engage in ongoing self-reflection to design and implement professional learning activities and advocate for improved outcomes for students with high support needs and their families, while considering the social, cultural, and linguistic diversity of </w:t>
      </w:r>
      <w:proofErr w:type="gramStart"/>
      <w:r>
        <w:t>students;</w:t>
      </w:r>
      <w:proofErr w:type="gramEnd"/>
    </w:p>
    <w:p w14:paraId="759B1659" w14:textId="35541A77" w:rsidR="00F54C13" w:rsidRDefault="00F54C13" w:rsidP="00F54C13">
      <w:pPr>
        <w:pStyle w:val="ListParagraph"/>
        <w:numPr>
          <w:ilvl w:val="0"/>
          <w:numId w:val="1"/>
        </w:numPr>
      </w:pPr>
      <w:r>
        <w:t xml:space="preserve">set short-term and long-term professional goals based on ongoing analysis of student learning, self-reflection, and professional </w:t>
      </w:r>
      <w:proofErr w:type="gramStart"/>
      <w:r>
        <w:t>standards;</w:t>
      </w:r>
      <w:proofErr w:type="gramEnd"/>
    </w:p>
    <w:p w14:paraId="0658B734" w14:textId="02B1396F" w:rsidR="007D7F8F" w:rsidRDefault="00F54C13" w:rsidP="00F54C13">
      <w:pPr>
        <w:pStyle w:val="ListParagraph"/>
        <w:numPr>
          <w:ilvl w:val="0"/>
          <w:numId w:val="1"/>
        </w:numPr>
      </w:pPr>
      <w:r>
        <w:t xml:space="preserve">demonstrate understanding of the barriers that exist for students with high support needs within educational settings and work with decision makers to design environments and select curriculum resources that include </w:t>
      </w:r>
      <w:proofErr w:type="gramStart"/>
      <w:r>
        <w:t>supports</w:t>
      </w:r>
      <w:proofErr w:type="gramEnd"/>
      <w:r>
        <w:t xml:space="preserve"> that address a range of student </w:t>
      </w:r>
      <w:proofErr w:type="gramStart"/>
      <w:r>
        <w:t>needs;</w:t>
      </w:r>
      <w:proofErr w:type="gramEnd"/>
    </w:p>
    <w:p w14:paraId="4C6C97F9" w14:textId="77777777" w:rsidR="00F54C13" w:rsidRDefault="00F54C13" w:rsidP="00F54C13">
      <w:pPr>
        <w:pStyle w:val="NoSpacing"/>
      </w:pPr>
    </w:p>
    <w:p w14:paraId="4B9E9FFA" w14:textId="03DAC782" w:rsidR="00F54C13" w:rsidRDefault="00F54C13" w:rsidP="00F54C13">
      <w:pPr>
        <w:pStyle w:val="NoSpacing"/>
        <w:jc w:val="center"/>
        <w:rPr>
          <w:b/>
          <w:bCs/>
        </w:rPr>
      </w:pPr>
      <w:r>
        <w:rPr>
          <w:b/>
          <w:bCs/>
        </w:rPr>
        <w:t>Course Readings</w:t>
      </w:r>
    </w:p>
    <w:p w14:paraId="42C7EFC4" w14:textId="77777777" w:rsidR="00F54C13" w:rsidRDefault="00F54C13" w:rsidP="00F54C13">
      <w:pPr>
        <w:pStyle w:val="NoSpacing"/>
        <w:rPr>
          <w:b/>
          <w:bCs/>
        </w:rPr>
      </w:pPr>
    </w:p>
    <w:p w14:paraId="1BE3B5AB" w14:textId="427D5ADF" w:rsidR="00F54C13" w:rsidRDefault="00F54C13" w:rsidP="00F54C13">
      <w:pPr>
        <w:pStyle w:val="NoSpacing"/>
        <w:rPr>
          <w:b/>
          <w:bCs/>
        </w:rPr>
      </w:pPr>
      <w:r>
        <w:rPr>
          <w:b/>
          <w:bCs/>
        </w:rPr>
        <w:t>Required Textbook</w:t>
      </w:r>
    </w:p>
    <w:p w14:paraId="4111226D" w14:textId="77777777" w:rsidR="00F54C13" w:rsidRDefault="00F54C13" w:rsidP="00F54C13">
      <w:pPr>
        <w:pStyle w:val="NoSpacing"/>
        <w:rPr>
          <w:b/>
          <w:bCs/>
        </w:rPr>
      </w:pPr>
    </w:p>
    <w:p w14:paraId="6270942E" w14:textId="07AFCAF0" w:rsidR="00F54C13" w:rsidRDefault="00F54C13" w:rsidP="00F54C13">
      <w:pPr>
        <w:pStyle w:val="NoSpacing"/>
        <w:rPr>
          <w:lang w:val="en"/>
        </w:rPr>
      </w:pPr>
      <w:r w:rsidRPr="00F54C13">
        <w:rPr>
          <w:lang w:val="en"/>
        </w:rPr>
        <w:t xml:space="preserve">Bryant, D. P., Smith, D. D., &amp; Bryant, B. R. (2023). </w:t>
      </w:r>
      <w:r w:rsidRPr="00F54C13">
        <w:rPr>
          <w:i/>
          <w:iCs/>
          <w:lang w:val="en"/>
        </w:rPr>
        <w:t>Teaching in inclusive classrooms</w:t>
      </w:r>
      <w:r w:rsidRPr="00F54C13">
        <w:rPr>
          <w:lang w:val="en"/>
        </w:rPr>
        <w:t xml:space="preserve"> (3rd ed.). SAGE Publications.</w:t>
      </w:r>
    </w:p>
    <w:p w14:paraId="002DAEEB" w14:textId="77777777" w:rsidR="00F54C13" w:rsidRDefault="00F54C13" w:rsidP="00F54C13">
      <w:pPr>
        <w:pStyle w:val="NoSpacing"/>
        <w:rPr>
          <w:lang w:val="en"/>
        </w:rPr>
      </w:pPr>
    </w:p>
    <w:p w14:paraId="2D549C0D" w14:textId="41BF799B" w:rsidR="006F14D8" w:rsidRDefault="00F54C13" w:rsidP="00F54C13">
      <w:pPr>
        <w:pStyle w:val="NoSpacing"/>
      </w:pPr>
      <w:r w:rsidRPr="000577F0">
        <w:rPr>
          <w:i/>
          <w:iCs/>
          <w:highlight w:val="yellow"/>
        </w:rPr>
        <w:lastRenderedPageBreak/>
        <w:t xml:space="preserve">Note. </w:t>
      </w:r>
      <w:r w:rsidRPr="000577F0">
        <w:rPr>
          <w:highlight w:val="yellow"/>
        </w:rPr>
        <w:t>The Sage Vantage Learning Platform version of Teaching in Inclusive Classrooms is required. Many assignments and points are tied to it, and without it, you’ll miss essential resources and lose points.</w:t>
      </w:r>
    </w:p>
    <w:p w14:paraId="0F94270F" w14:textId="77777777" w:rsidR="00F54C13" w:rsidRDefault="00F54C13" w:rsidP="00F54C13">
      <w:pPr>
        <w:pStyle w:val="NoSpacing"/>
      </w:pPr>
    </w:p>
    <w:p w14:paraId="5E17CE37" w14:textId="52AC599F" w:rsidR="00F54C13" w:rsidRPr="00F54C13" w:rsidRDefault="00F54C13" w:rsidP="00F54C13">
      <w:pPr>
        <w:pStyle w:val="NoSpacing"/>
        <w:jc w:val="center"/>
        <w:rPr>
          <w:b/>
          <w:bCs/>
        </w:rPr>
      </w:pPr>
      <w:r w:rsidRPr="00F54C13">
        <w:rPr>
          <w:b/>
          <w:bCs/>
        </w:rPr>
        <w:t>Course Assignments</w:t>
      </w:r>
    </w:p>
    <w:p w14:paraId="2E286E95" w14:textId="393CD858" w:rsidR="00F54C13" w:rsidRDefault="007A6001" w:rsidP="00F54C13">
      <w:pPr>
        <w:pStyle w:val="NoSpacing"/>
        <w:jc w:val="center"/>
        <w:rPr>
          <w:b/>
          <w:bCs/>
        </w:rPr>
      </w:pPr>
      <w:r>
        <w:rPr>
          <w:b/>
          <w:bCs/>
        </w:rPr>
        <w:t>1000</w:t>
      </w:r>
      <w:r w:rsidR="00F54C13" w:rsidRPr="00F54C13">
        <w:rPr>
          <w:b/>
          <w:bCs/>
        </w:rPr>
        <w:t xml:space="preserve"> points</w:t>
      </w:r>
    </w:p>
    <w:p w14:paraId="053EB584" w14:textId="77777777" w:rsidR="00F54C13" w:rsidRDefault="00F54C13" w:rsidP="00F54C13">
      <w:pPr>
        <w:pStyle w:val="NoSpacing"/>
        <w:rPr>
          <w:b/>
          <w:bCs/>
        </w:rPr>
      </w:pPr>
    </w:p>
    <w:tbl>
      <w:tblPr>
        <w:tblStyle w:val="TableGrid"/>
        <w:tblW w:w="0" w:type="auto"/>
        <w:tblLook w:val="04A0" w:firstRow="1" w:lastRow="0" w:firstColumn="1" w:lastColumn="0" w:noHBand="0" w:noVBand="1"/>
      </w:tblPr>
      <w:tblGrid>
        <w:gridCol w:w="5125"/>
        <w:gridCol w:w="2430"/>
        <w:gridCol w:w="1795"/>
      </w:tblGrid>
      <w:tr w:rsidR="00F54C13" w14:paraId="3AABBE5E" w14:textId="77777777" w:rsidTr="00F54C13">
        <w:tc>
          <w:tcPr>
            <w:tcW w:w="5125" w:type="dxa"/>
            <w:shd w:val="clear" w:color="auto" w:fill="F2F2F2" w:themeFill="background1" w:themeFillShade="F2"/>
          </w:tcPr>
          <w:p w14:paraId="0E700E24" w14:textId="336AE0EA" w:rsidR="00F54C13" w:rsidRPr="00F54C13" w:rsidRDefault="00F54C13" w:rsidP="00F54C13">
            <w:pPr>
              <w:pStyle w:val="NoSpacing"/>
              <w:rPr>
                <w:b/>
                <w:bCs/>
              </w:rPr>
            </w:pPr>
            <w:r>
              <w:rPr>
                <w:b/>
                <w:bCs/>
              </w:rPr>
              <w:t>Reading-Related Assignments</w:t>
            </w:r>
          </w:p>
        </w:tc>
        <w:tc>
          <w:tcPr>
            <w:tcW w:w="2430" w:type="dxa"/>
            <w:shd w:val="clear" w:color="auto" w:fill="F2F2F2" w:themeFill="background1" w:themeFillShade="F2"/>
          </w:tcPr>
          <w:p w14:paraId="7BDB3991" w14:textId="44B51634" w:rsidR="00F54C13" w:rsidRPr="00F54C13" w:rsidRDefault="00F54C13" w:rsidP="00F54C13">
            <w:pPr>
              <w:pStyle w:val="NoSpacing"/>
              <w:jc w:val="center"/>
              <w:rPr>
                <w:b/>
                <w:bCs/>
              </w:rPr>
            </w:pPr>
            <w:r>
              <w:rPr>
                <w:b/>
                <w:bCs/>
              </w:rPr>
              <w:t>Due Date</w:t>
            </w:r>
          </w:p>
        </w:tc>
        <w:tc>
          <w:tcPr>
            <w:tcW w:w="1795" w:type="dxa"/>
            <w:shd w:val="clear" w:color="auto" w:fill="F2F2F2" w:themeFill="background1" w:themeFillShade="F2"/>
          </w:tcPr>
          <w:p w14:paraId="243C5C40" w14:textId="6ECC855F" w:rsidR="00F54C13" w:rsidRPr="00F54C13" w:rsidRDefault="00F54C13" w:rsidP="00F54C13">
            <w:pPr>
              <w:pStyle w:val="NoSpacing"/>
              <w:jc w:val="center"/>
              <w:rPr>
                <w:b/>
                <w:bCs/>
              </w:rPr>
            </w:pPr>
            <w:r>
              <w:rPr>
                <w:b/>
                <w:bCs/>
              </w:rPr>
              <w:t>Points</w:t>
            </w:r>
          </w:p>
        </w:tc>
      </w:tr>
      <w:tr w:rsidR="00F54C13" w14:paraId="655F222F" w14:textId="77777777" w:rsidTr="00F54C13">
        <w:tc>
          <w:tcPr>
            <w:tcW w:w="5125" w:type="dxa"/>
          </w:tcPr>
          <w:p w14:paraId="69B3020C" w14:textId="79218DBE" w:rsidR="00F54C13" w:rsidRDefault="00F54C13" w:rsidP="00F54C13">
            <w:pPr>
              <w:pStyle w:val="NoSpacing"/>
            </w:pPr>
            <w:r>
              <w:t>Reading Activities</w:t>
            </w:r>
          </w:p>
        </w:tc>
        <w:tc>
          <w:tcPr>
            <w:tcW w:w="2430" w:type="dxa"/>
          </w:tcPr>
          <w:p w14:paraId="136287C3" w14:textId="01E214C0" w:rsidR="00F54C13" w:rsidRDefault="00F54C13" w:rsidP="00F54C13">
            <w:pPr>
              <w:pStyle w:val="NoSpacing"/>
              <w:jc w:val="center"/>
            </w:pPr>
            <w:r>
              <w:t>Various</w:t>
            </w:r>
          </w:p>
        </w:tc>
        <w:tc>
          <w:tcPr>
            <w:tcW w:w="1795" w:type="dxa"/>
          </w:tcPr>
          <w:p w14:paraId="45FF11EA" w14:textId="1F2B0D31" w:rsidR="00F54C13" w:rsidRDefault="007F5266" w:rsidP="00F54C13">
            <w:pPr>
              <w:pStyle w:val="NoSpacing"/>
              <w:jc w:val="center"/>
            </w:pPr>
            <w:r>
              <w:t>35 (5pt each)</w:t>
            </w:r>
          </w:p>
        </w:tc>
      </w:tr>
      <w:tr w:rsidR="00F54C13" w14:paraId="77E32EC7" w14:textId="77777777" w:rsidTr="00F54C13">
        <w:tc>
          <w:tcPr>
            <w:tcW w:w="5125" w:type="dxa"/>
          </w:tcPr>
          <w:p w14:paraId="0DAF5FA9" w14:textId="4B508D99" w:rsidR="00F54C13" w:rsidRDefault="00F54C13" w:rsidP="00F54C13">
            <w:pPr>
              <w:pStyle w:val="NoSpacing"/>
            </w:pPr>
            <w:r>
              <w:t>Video Activities</w:t>
            </w:r>
          </w:p>
        </w:tc>
        <w:tc>
          <w:tcPr>
            <w:tcW w:w="2430" w:type="dxa"/>
          </w:tcPr>
          <w:p w14:paraId="1BF5902B" w14:textId="22A15A84" w:rsidR="00F54C13" w:rsidRDefault="00F54C13" w:rsidP="00F54C13">
            <w:pPr>
              <w:pStyle w:val="NoSpacing"/>
              <w:jc w:val="center"/>
            </w:pPr>
            <w:r>
              <w:t>Various</w:t>
            </w:r>
          </w:p>
        </w:tc>
        <w:tc>
          <w:tcPr>
            <w:tcW w:w="1795" w:type="dxa"/>
          </w:tcPr>
          <w:p w14:paraId="36A876D2" w14:textId="0947B024" w:rsidR="00F54C13" w:rsidRDefault="00AF5239" w:rsidP="00F54C13">
            <w:pPr>
              <w:pStyle w:val="NoSpacing"/>
              <w:jc w:val="center"/>
            </w:pPr>
            <w:r>
              <w:t>70</w:t>
            </w:r>
            <w:r w:rsidR="007F5266">
              <w:t xml:space="preserve"> (5pt each)</w:t>
            </w:r>
          </w:p>
        </w:tc>
      </w:tr>
      <w:tr w:rsidR="00F54C13" w14:paraId="3EE83FFD" w14:textId="77777777" w:rsidTr="00F54C13">
        <w:tc>
          <w:tcPr>
            <w:tcW w:w="5125" w:type="dxa"/>
          </w:tcPr>
          <w:p w14:paraId="3FAB1C0E" w14:textId="2931F67F" w:rsidR="00F54C13" w:rsidRDefault="00F54C13" w:rsidP="00F54C13">
            <w:pPr>
              <w:pStyle w:val="NoSpacing"/>
            </w:pPr>
            <w:r>
              <w:t>Chapter Quizzes</w:t>
            </w:r>
          </w:p>
        </w:tc>
        <w:tc>
          <w:tcPr>
            <w:tcW w:w="2430" w:type="dxa"/>
          </w:tcPr>
          <w:p w14:paraId="22602047" w14:textId="164C3B5B" w:rsidR="00F54C13" w:rsidRDefault="00F54C13" w:rsidP="00F54C13">
            <w:pPr>
              <w:pStyle w:val="NoSpacing"/>
              <w:jc w:val="center"/>
            </w:pPr>
            <w:r>
              <w:t>Various</w:t>
            </w:r>
          </w:p>
        </w:tc>
        <w:tc>
          <w:tcPr>
            <w:tcW w:w="1795" w:type="dxa"/>
          </w:tcPr>
          <w:p w14:paraId="5CC2F971" w14:textId="46FB4C49" w:rsidR="00F54C13" w:rsidRDefault="007B20E3" w:rsidP="009B0C90">
            <w:pPr>
              <w:pStyle w:val="NoSpacing"/>
              <w:jc w:val="center"/>
            </w:pPr>
            <w:r>
              <w:t>120</w:t>
            </w:r>
            <w:r w:rsidR="00437CC1">
              <w:t>*</w:t>
            </w:r>
            <w:r w:rsidR="007F5266">
              <w:t xml:space="preserve"> (10pt each)</w:t>
            </w:r>
          </w:p>
        </w:tc>
      </w:tr>
      <w:tr w:rsidR="00F54C13" w14:paraId="5591BAC0" w14:textId="77777777" w:rsidTr="00766087">
        <w:tc>
          <w:tcPr>
            <w:tcW w:w="5125" w:type="dxa"/>
            <w:shd w:val="clear" w:color="auto" w:fill="F2F2F2" w:themeFill="background1" w:themeFillShade="F2"/>
          </w:tcPr>
          <w:p w14:paraId="2E19C200" w14:textId="636FE0EC" w:rsidR="00F54C13" w:rsidRPr="00766087" w:rsidRDefault="00766087" w:rsidP="00F54C13">
            <w:pPr>
              <w:pStyle w:val="NoSpacing"/>
              <w:rPr>
                <w:b/>
                <w:bCs/>
              </w:rPr>
            </w:pPr>
            <w:r>
              <w:rPr>
                <w:b/>
                <w:bCs/>
              </w:rPr>
              <w:t>Out-of-Class Assignments</w:t>
            </w:r>
          </w:p>
        </w:tc>
        <w:tc>
          <w:tcPr>
            <w:tcW w:w="2430" w:type="dxa"/>
            <w:shd w:val="clear" w:color="auto" w:fill="F2F2F2" w:themeFill="background1" w:themeFillShade="F2"/>
          </w:tcPr>
          <w:p w14:paraId="2D345078" w14:textId="05FF787B" w:rsidR="00F54C13" w:rsidRPr="00766087" w:rsidRDefault="00766087" w:rsidP="00F54C13">
            <w:pPr>
              <w:pStyle w:val="NoSpacing"/>
              <w:jc w:val="center"/>
              <w:rPr>
                <w:b/>
                <w:bCs/>
              </w:rPr>
            </w:pPr>
            <w:r>
              <w:rPr>
                <w:b/>
                <w:bCs/>
              </w:rPr>
              <w:t>Due Date</w:t>
            </w:r>
          </w:p>
        </w:tc>
        <w:tc>
          <w:tcPr>
            <w:tcW w:w="1795" w:type="dxa"/>
            <w:shd w:val="clear" w:color="auto" w:fill="F2F2F2" w:themeFill="background1" w:themeFillShade="F2"/>
          </w:tcPr>
          <w:p w14:paraId="4AFFE219" w14:textId="3E136B58" w:rsidR="00F54C13" w:rsidRPr="00766087" w:rsidRDefault="00766087" w:rsidP="00F54C13">
            <w:pPr>
              <w:pStyle w:val="NoSpacing"/>
              <w:jc w:val="center"/>
              <w:rPr>
                <w:b/>
                <w:bCs/>
              </w:rPr>
            </w:pPr>
            <w:r>
              <w:rPr>
                <w:b/>
                <w:bCs/>
              </w:rPr>
              <w:t>Points</w:t>
            </w:r>
          </w:p>
        </w:tc>
      </w:tr>
      <w:tr w:rsidR="00F54C13" w14:paraId="3D767C28" w14:textId="77777777" w:rsidTr="00F54C13">
        <w:tc>
          <w:tcPr>
            <w:tcW w:w="5125" w:type="dxa"/>
          </w:tcPr>
          <w:p w14:paraId="01C61755" w14:textId="2E528E8C" w:rsidR="00F54C13" w:rsidRDefault="00766087" w:rsidP="00F54C13">
            <w:pPr>
              <w:pStyle w:val="NoSpacing"/>
            </w:pPr>
            <w:r>
              <w:t>PLAAFPs &amp; SMART Goals</w:t>
            </w:r>
          </w:p>
        </w:tc>
        <w:tc>
          <w:tcPr>
            <w:tcW w:w="2430" w:type="dxa"/>
          </w:tcPr>
          <w:p w14:paraId="2779CD88" w14:textId="5649EDF8" w:rsidR="00F54C13" w:rsidRDefault="00576125" w:rsidP="00F54C13">
            <w:pPr>
              <w:pStyle w:val="NoSpacing"/>
              <w:jc w:val="center"/>
            </w:pPr>
            <w:r>
              <w:t>9/29</w:t>
            </w:r>
          </w:p>
        </w:tc>
        <w:tc>
          <w:tcPr>
            <w:tcW w:w="1795" w:type="dxa"/>
          </w:tcPr>
          <w:p w14:paraId="06CE8FFC" w14:textId="24D3FCBC" w:rsidR="00F54C13" w:rsidRDefault="00766087" w:rsidP="00F54C13">
            <w:pPr>
              <w:pStyle w:val="NoSpacing"/>
              <w:jc w:val="center"/>
            </w:pPr>
            <w:r>
              <w:t>100</w:t>
            </w:r>
          </w:p>
        </w:tc>
      </w:tr>
      <w:tr w:rsidR="00766087" w14:paraId="765DD042" w14:textId="77777777" w:rsidTr="00F54C13">
        <w:tc>
          <w:tcPr>
            <w:tcW w:w="5125" w:type="dxa"/>
          </w:tcPr>
          <w:p w14:paraId="4ACEDD39" w14:textId="77777777" w:rsidR="00766087" w:rsidRDefault="00766087" w:rsidP="00F54C13">
            <w:pPr>
              <w:pStyle w:val="NoSpacing"/>
            </w:pPr>
            <w:r>
              <w:t>MOCK IEP</w:t>
            </w:r>
          </w:p>
          <w:p w14:paraId="21AB03F1" w14:textId="77777777" w:rsidR="00766087" w:rsidRDefault="00766087" w:rsidP="00766087">
            <w:pPr>
              <w:pStyle w:val="NoSpacing"/>
              <w:ind w:left="720"/>
              <w:rPr>
                <w:sz w:val="20"/>
                <w:szCs w:val="20"/>
              </w:rPr>
            </w:pPr>
            <w:r>
              <w:rPr>
                <w:sz w:val="20"/>
                <w:szCs w:val="20"/>
              </w:rPr>
              <w:t>In-Class Demo</w:t>
            </w:r>
          </w:p>
          <w:p w14:paraId="3AC2CBB4" w14:textId="51C96BFF" w:rsidR="00766087" w:rsidRPr="00766087" w:rsidRDefault="00766087" w:rsidP="00766087">
            <w:pPr>
              <w:pStyle w:val="NoSpacing"/>
              <w:ind w:left="720"/>
              <w:rPr>
                <w:sz w:val="20"/>
                <w:szCs w:val="20"/>
              </w:rPr>
            </w:pPr>
            <w:r>
              <w:rPr>
                <w:sz w:val="20"/>
                <w:szCs w:val="20"/>
              </w:rPr>
              <w:t>Reflection</w:t>
            </w:r>
          </w:p>
        </w:tc>
        <w:tc>
          <w:tcPr>
            <w:tcW w:w="2430" w:type="dxa"/>
          </w:tcPr>
          <w:p w14:paraId="5E0D94ED" w14:textId="16B8716F" w:rsidR="00766087" w:rsidRDefault="00576125" w:rsidP="00F54C13">
            <w:pPr>
              <w:pStyle w:val="NoSpacing"/>
              <w:jc w:val="center"/>
            </w:pPr>
            <w:r>
              <w:t>10/6</w:t>
            </w:r>
          </w:p>
        </w:tc>
        <w:tc>
          <w:tcPr>
            <w:tcW w:w="1795" w:type="dxa"/>
          </w:tcPr>
          <w:p w14:paraId="4A172E73" w14:textId="40A28E69" w:rsidR="00766087" w:rsidRDefault="00766087" w:rsidP="00F54C13">
            <w:pPr>
              <w:pStyle w:val="NoSpacing"/>
              <w:jc w:val="center"/>
            </w:pPr>
            <w:r>
              <w:t>200</w:t>
            </w:r>
          </w:p>
        </w:tc>
      </w:tr>
      <w:tr w:rsidR="00766087" w14:paraId="1211CD37" w14:textId="77777777" w:rsidTr="00F54C13">
        <w:tc>
          <w:tcPr>
            <w:tcW w:w="5125" w:type="dxa"/>
          </w:tcPr>
          <w:p w14:paraId="7FA37ECD" w14:textId="505CD1A2" w:rsidR="00766087" w:rsidRDefault="00766087" w:rsidP="00F54C13">
            <w:pPr>
              <w:pStyle w:val="NoSpacing"/>
            </w:pPr>
            <w:r>
              <w:t>Case Study Analysis (A)</w:t>
            </w:r>
          </w:p>
        </w:tc>
        <w:tc>
          <w:tcPr>
            <w:tcW w:w="2430" w:type="dxa"/>
          </w:tcPr>
          <w:p w14:paraId="3E446E91" w14:textId="556CE07E" w:rsidR="00766087" w:rsidRDefault="00576125" w:rsidP="00F54C13">
            <w:pPr>
              <w:pStyle w:val="NoSpacing"/>
              <w:jc w:val="center"/>
            </w:pPr>
            <w:r>
              <w:t>10/20</w:t>
            </w:r>
          </w:p>
        </w:tc>
        <w:tc>
          <w:tcPr>
            <w:tcW w:w="1795" w:type="dxa"/>
          </w:tcPr>
          <w:p w14:paraId="62528053" w14:textId="07E498BC" w:rsidR="00766087" w:rsidRDefault="00766087" w:rsidP="00F54C13">
            <w:pPr>
              <w:pStyle w:val="NoSpacing"/>
              <w:jc w:val="center"/>
            </w:pPr>
            <w:r>
              <w:t>80</w:t>
            </w:r>
          </w:p>
        </w:tc>
      </w:tr>
      <w:tr w:rsidR="00766087" w14:paraId="02732D14" w14:textId="77777777" w:rsidTr="00F54C13">
        <w:tc>
          <w:tcPr>
            <w:tcW w:w="5125" w:type="dxa"/>
          </w:tcPr>
          <w:p w14:paraId="4BF3EF8E" w14:textId="7671DBF4" w:rsidR="00766087" w:rsidRDefault="00766087" w:rsidP="00F54C13">
            <w:pPr>
              <w:pStyle w:val="NoSpacing"/>
            </w:pPr>
            <w:r>
              <w:t>Case Study Analysis (B)</w:t>
            </w:r>
          </w:p>
        </w:tc>
        <w:tc>
          <w:tcPr>
            <w:tcW w:w="2430" w:type="dxa"/>
          </w:tcPr>
          <w:p w14:paraId="683A0522" w14:textId="6C09C89E" w:rsidR="00766087" w:rsidRDefault="00576125" w:rsidP="00F54C13">
            <w:pPr>
              <w:pStyle w:val="NoSpacing"/>
              <w:jc w:val="center"/>
            </w:pPr>
            <w:r>
              <w:t>10/27</w:t>
            </w:r>
          </w:p>
        </w:tc>
        <w:tc>
          <w:tcPr>
            <w:tcW w:w="1795" w:type="dxa"/>
          </w:tcPr>
          <w:p w14:paraId="14E3CE6F" w14:textId="79756218" w:rsidR="00766087" w:rsidRDefault="00766087" w:rsidP="00766087">
            <w:pPr>
              <w:pStyle w:val="NoSpacing"/>
              <w:jc w:val="center"/>
            </w:pPr>
            <w:r>
              <w:t>80</w:t>
            </w:r>
          </w:p>
        </w:tc>
      </w:tr>
      <w:tr w:rsidR="00766087" w14:paraId="5071DFBF" w14:textId="77777777" w:rsidTr="00F54C13">
        <w:tc>
          <w:tcPr>
            <w:tcW w:w="5125" w:type="dxa"/>
          </w:tcPr>
          <w:p w14:paraId="76AC143F" w14:textId="2D172C2F" w:rsidR="00766087" w:rsidRDefault="00766087" w:rsidP="00F54C13">
            <w:pPr>
              <w:pStyle w:val="NoSpacing"/>
            </w:pPr>
            <w:r>
              <w:t>Poster Presentations</w:t>
            </w:r>
          </w:p>
        </w:tc>
        <w:tc>
          <w:tcPr>
            <w:tcW w:w="2430" w:type="dxa"/>
          </w:tcPr>
          <w:p w14:paraId="42919A7D" w14:textId="7FEAFF2A" w:rsidR="00766087" w:rsidRDefault="00576125" w:rsidP="00F54C13">
            <w:pPr>
              <w:pStyle w:val="NoSpacing"/>
              <w:jc w:val="center"/>
            </w:pPr>
            <w:r>
              <w:t>12/1</w:t>
            </w:r>
          </w:p>
        </w:tc>
        <w:tc>
          <w:tcPr>
            <w:tcW w:w="1795" w:type="dxa"/>
          </w:tcPr>
          <w:p w14:paraId="66E092F0" w14:textId="507584D0" w:rsidR="00766087" w:rsidRDefault="00766087" w:rsidP="00766087">
            <w:pPr>
              <w:pStyle w:val="NoSpacing"/>
              <w:jc w:val="center"/>
            </w:pPr>
            <w:r>
              <w:t>150</w:t>
            </w:r>
          </w:p>
        </w:tc>
      </w:tr>
      <w:tr w:rsidR="00AA6066" w14:paraId="1902E00F" w14:textId="77777777" w:rsidTr="00AA6066">
        <w:tc>
          <w:tcPr>
            <w:tcW w:w="5125" w:type="dxa"/>
            <w:shd w:val="clear" w:color="auto" w:fill="F2F2F2" w:themeFill="background1" w:themeFillShade="F2"/>
          </w:tcPr>
          <w:p w14:paraId="43E95D02" w14:textId="2F056132" w:rsidR="00AA6066" w:rsidRPr="00AA6066" w:rsidRDefault="00AA6066" w:rsidP="00F54C13">
            <w:pPr>
              <w:pStyle w:val="NoSpacing"/>
              <w:rPr>
                <w:b/>
                <w:bCs/>
              </w:rPr>
            </w:pPr>
            <w:r>
              <w:rPr>
                <w:b/>
                <w:bCs/>
              </w:rPr>
              <w:t>In-Class Assignments</w:t>
            </w:r>
          </w:p>
        </w:tc>
        <w:tc>
          <w:tcPr>
            <w:tcW w:w="2430" w:type="dxa"/>
            <w:shd w:val="clear" w:color="auto" w:fill="F2F2F2" w:themeFill="background1" w:themeFillShade="F2"/>
          </w:tcPr>
          <w:p w14:paraId="6AA1FDBA" w14:textId="562C68B0" w:rsidR="00AA6066" w:rsidRPr="00AA6066" w:rsidRDefault="00AA6066" w:rsidP="00F54C13">
            <w:pPr>
              <w:pStyle w:val="NoSpacing"/>
              <w:jc w:val="center"/>
              <w:rPr>
                <w:b/>
                <w:bCs/>
              </w:rPr>
            </w:pPr>
            <w:r w:rsidRPr="00AA6066">
              <w:rPr>
                <w:b/>
                <w:bCs/>
              </w:rPr>
              <w:t>Due Date</w:t>
            </w:r>
          </w:p>
        </w:tc>
        <w:tc>
          <w:tcPr>
            <w:tcW w:w="1795" w:type="dxa"/>
            <w:shd w:val="clear" w:color="auto" w:fill="F2F2F2" w:themeFill="background1" w:themeFillShade="F2"/>
          </w:tcPr>
          <w:p w14:paraId="638FA6E7" w14:textId="2508C45E" w:rsidR="00AA6066" w:rsidRPr="00AA6066" w:rsidRDefault="00AA6066" w:rsidP="00766087">
            <w:pPr>
              <w:pStyle w:val="NoSpacing"/>
              <w:jc w:val="center"/>
              <w:rPr>
                <w:b/>
                <w:bCs/>
              </w:rPr>
            </w:pPr>
            <w:r>
              <w:rPr>
                <w:b/>
                <w:bCs/>
              </w:rPr>
              <w:t>Points</w:t>
            </w:r>
          </w:p>
        </w:tc>
      </w:tr>
      <w:tr w:rsidR="00AA6066" w14:paraId="1FAF5C55" w14:textId="77777777" w:rsidTr="00F54C13">
        <w:tc>
          <w:tcPr>
            <w:tcW w:w="5125" w:type="dxa"/>
          </w:tcPr>
          <w:p w14:paraId="7C7C6272" w14:textId="77777777" w:rsidR="00AA6066" w:rsidRDefault="00AA6066" w:rsidP="00F54C13">
            <w:pPr>
              <w:pStyle w:val="NoSpacing"/>
            </w:pPr>
            <w:r>
              <w:t>Participation and Professionalism</w:t>
            </w:r>
          </w:p>
          <w:p w14:paraId="08F01A9A" w14:textId="7F912349" w:rsidR="00AA6066" w:rsidRPr="00AA6066" w:rsidRDefault="00AA6066" w:rsidP="00AA6066">
            <w:pPr>
              <w:pStyle w:val="NoSpacing"/>
              <w:ind w:left="720"/>
              <w:rPr>
                <w:sz w:val="20"/>
                <w:szCs w:val="20"/>
              </w:rPr>
            </w:pPr>
            <w:r>
              <w:rPr>
                <w:sz w:val="20"/>
                <w:szCs w:val="20"/>
              </w:rPr>
              <w:t>This is an overall grade you will receive at the end of the semester. See requirements outlined in the Course Policies section.</w:t>
            </w:r>
          </w:p>
        </w:tc>
        <w:tc>
          <w:tcPr>
            <w:tcW w:w="2430" w:type="dxa"/>
          </w:tcPr>
          <w:p w14:paraId="7E393DC3" w14:textId="4AB06616" w:rsidR="00AA6066" w:rsidRDefault="00AA6066" w:rsidP="00F54C13">
            <w:pPr>
              <w:pStyle w:val="NoSpacing"/>
              <w:jc w:val="center"/>
            </w:pPr>
            <w:r>
              <w:t>end of the semester</w:t>
            </w:r>
          </w:p>
        </w:tc>
        <w:tc>
          <w:tcPr>
            <w:tcW w:w="1795" w:type="dxa"/>
          </w:tcPr>
          <w:p w14:paraId="75036E67" w14:textId="79544AE3" w:rsidR="00AA6066" w:rsidRDefault="009946D2" w:rsidP="00766087">
            <w:pPr>
              <w:pStyle w:val="NoSpacing"/>
              <w:jc w:val="center"/>
            </w:pPr>
            <w:r>
              <w:t>185</w:t>
            </w:r>
          </w:p>
        </w:tc>
      </w:tr>
    </w:tbl>
    <w:p w14:paraId="71032AA5" w14:textId="7DA81D08" w:rsidR="00437CC1" w:rsidRDefault="00437CC1" w:rsidP="00F54C13">
      <w:pPr>
        <w:pStyle w:val="NoSpacing"/>
      </w:pPr>
      <w:r>
        <w:t xml:space="preserve">*2 lowest scores </w:t>
      </w:r>
      <w:r w:rsidR="00C70193">
        <w:t>will be</w:t>
      </w:r>
      <w:r>
        <w:t xml:space="preserve"> dropped</w:t>
      </w:r>
    </w:p>
    <w:p w14:paraId="3D8D53AF" w14:textId="31AA6576" w:rsidR="00F54C13" w:rsidRDefault="0099492D" w:rsidP="00F54C13">
      <w:pPr>
        <w:pStyle w:val="NoSpacing"/>
      </w:pPr>
      <w:r>
        <w:t>For the course grade: A is 93 or above, A- is 90-92, B+ is 87-89, B is 83-86, B- is 80-82, etc.</w:t>
      </w:r>
    </w:p>
    <w:p w14:paraId="78FA0D3B" w14:textId="77777777" w:rsidR="0099492D" w:rsidRDefault="0099492D" w:rsidP="00F54C13">
      <w:pPr>
        <w:pStyle w:val="NoSpacing"/>
      </w:pPr>
    </w:p>
    <w:p w14:paraId="6D5FD849" w14:textId="5865AFE3" w:rsidR="00766087" w:rsidRDefault="00766087" w:rsidP="00766087">
      <w:pPr>
        <w:pStyle w:val="NoSpacing"/>
        <w:jc w:val="center"/>
        <w:rPr>
          <w:b/>
          <w:bCs/>
        </w:rPr>
      </w:pPr>
      <w:r>
        <w:rPr>
          <w:b/>
          <w:bCs/>
        </w:rPr>
        <w:t>Calendar</w:t>
      </w:r>
    </w:p>
    <w:p w14:paraId="7B366DD7" w14:textId="77777777" w:rsidR="00766087" w:rsidRDefault="00766087" w:rsidP="00766087">
      <w:pPr>
        <w:pStyle w:val="NoSpacing"/>
      </w:pPr>
    </w:p>
    <w:tbl>
      <w:tblPr>
        <w:tblStyle w:val="TableGrid"/>
        <w:tblW w:w="0" w:type="auto"/>
        <w:tblLook w:val="04A0" w:firstRow="1" w:lastRow="0" w:firstColumn="1" w:lastColumn="0" w:noHBand="0" w:noVBand="1"/>
      </w:tblPr>
      <w:tblGrid>
        <w:gridCol w:w="985"/>
        <w:gridCol w:w="990"/>
        <w:gridCol w:w="2250"/>
        <w:gridCol w:w="2250"/>
        <w:gridCol w:w="2875"/>
      </w:tblGrid>
      <w:tr w:rsidR="00766087" w:rsidRPr="00766087" w14:paraId="60E47E5A" w14:textId="77777777" w:rsidTr="00766087">
        <w:tc>
          <w:tcPr>
            <w:tcW w:w="985" w:type="dxa"/>
            <w:shd w:val="clear" w:color="auto" w:fill="F2F2F2" w:themeFill="background1" w:themeFillShade="F2"/>
          </w:tcPr>
          <w:p w14:paraId="116A3EEB" w14:textId="46824958" w:rsidR="00766087" w:rsidRPr="00766087" w:rsidRDefault="00766087" w:rsidP="00766087">
            <w:pPr>
              <w:pStyle w:val="NoSpacing"/>
              <w:jc w:val="center"/>
              <w:rPr>
                <w:b/>
                <w:bCs/>
                <w:sz w:val="20"/>
                <w:szCs w:val="20"/>
              </w:rPr>
            </w:pPr>
            <w:r>
              <w:rPr>
                <w:b/>
                <w:bCs/>
                <w:sz w:val="20"/>
                <w:szCs w:val="20"/>
              </w:rPr>
              <w:t>Week</w:t>
            </w:r>
          </w:p>
        </w:tc>
        <w:tc>
          <w:tcPr>
            <w:tcW w:w="990" w:type="dxa"/>
            <w:shd w:val="clear" w:color="auto" w:fill="F2F2F2" w:themeFill="background1" w:themeFillShade="F2"/>
          </w:tcPr>
          <w:p w14:paraId="33FC6C21" w14:textId="29251DCD" w:rsidR="00766087" w:rsidRPr="00766087" w:rsidRDefault="00766087" w:rsidP="00766087">
            <w:pPr>
              <w:pStyle w:val="NoSpacing"/>
              <w:jc w:val="center"/>
              <w:rPr>
                <w:b/>
                <w:bCs/>
                <w:sz w:val="20"/>
                <w:szCs w:val="20"/>
              </w:rPr>
            </w:pPr>
            <w:r>
              <w:rPr>
                <w:b/>
                <w:bCs/>
                <w:sz w:val="20"/>
                <w:szCs w:val="20"/>
              </w:rPr>
              <w:t>Date</w:t>
            </w:r>
          </w:p>
        </w:tc>
        <w:tc>
          <w:tcPr>
            <w:tcW w:w="2250" w:type="dxa"/>
            <w:shd w:val="clear" w:color="auto" w:fill="F2F2F2" w:themeFill="background1" w:themeFillShade="F2"/>
          </w:tcPr>
          <w:p w14:paraId="75CCEEA6" w14:textId="7ED4D63B" w:rsidR="00766087" w:rsidRPr="00766087" w:rsidRDefault="00766087" w:rsidP="00766087">
            <w:pPr>
              <w:pStyle w:val="NoSpacing"/>
              <w:rPr>
                <w:b/>
                <w:bCs/>
                <w:sz w:val="20"/>
                <w:szCs w:val="20"/>
              </w:rPr>
            </w:pPr>
            <w:r>
              <w:rPr>
                <w:b/>
                <w:bCs/>
                <w:sz w:val="20"/>
                <w:szCs w:val="20"/>
              </w:rPr>
              <w:t>Topic(s)</w:t>
            </w:r>
          </w:p>
        </w:tc>
        <w:tc>
          <w:tcPr>
            <w:tcW w:w="2250" w:type="dxa"/>
            <w:shd w:val="clear" w:color="auto" w:fill="F2F2F2" w:themeFill="background1" w:themeFillShade="F2"/>
          </w:tcPr>
          <w:p w14:paraId="51EC4D24" w14:textId="6FE0366E" w:rsidR="00766087" w:rsidRPr="00766087" w:rsidRDefault="00766087" w:rsidP="00766087">
            <w:pPr>
              <w:pStyle w:val="NoSpacing"/>
              <w:rPr>
                <w:b/>
                <w:bCs/>
                <w:sz w:val="20"/>
                <w:szCs w:val="20"/>
              </w:rPr>
            </w:pPr>
            <w:r>
              <w:rPr>
                <w:b/>
                <w:bCs/>
                <w:sz w:val="20"/>
                <w:szCs w:val="20"/>
              </w:rPr>
              <w:t>Reading(s)</w:t>
            </w:r>
          </w:p>
        </w:tc>
        <w:tc>
          <w:tcPr>
            <w:tcW w:w="2875" w:type="dxa"/>
            <w:shd w:val="clear" w:color="auto" w:fill="F2F2F2" w:themeFill="background1" w:themeFillShade="F2"/>
          </w:tcPr>
          <w:p w14:paraId="71583B36" w14:textId="36A17AB1" w:rsidR="00766087" w:rsidRPr="00766087" w:rsidRDefault="00766087" w:rsidP="00766087">
            <w:pPr>
              <w:pStyle w:val="NoSpacing"/>
              <w:rPr>
                <w:b/>
                <w:bCs/>
                <w:sz w:val="20"/>
                <w:szCs w:val="20"/>
              </w:rPr>
            </w:pPr>
            <w:r>
              <w:rPr>
                <w:b/>
                <w:bCs/>
                <w:sz w:val="20"/>
                <w:szCs w:val="20"/>
              </w:rPr>
              <w:t>Out of Class Assignments</w:t>
            </w:r>
          </w:p>
        </w:tc>
      </w:tr>
      <w:tr w:rsidR="00766087" w:rsidRPr="00766087" w14:paraId="6F6C871C" w14:textId="77777777" w:rsidTr="00766087">
        <w:tc>
          <w:tcPr>
            <w:tcW w:w="985" w:type="dxa"/>
          </w:tcPr>
          <w:p w14:paraId="38D026BA" w14:textId="6BEC9A16" w:rsidR="00766087" w:rsidRPr="00766087" w:rsidRDefault="00766087" w:rsidP="00766087">
            <w:pPr>
              <w:pStyle w:val="NoSpacing"/>
              <w:jc w:val="center"/>
              <w:rPr>
                <w:sz w:val="20"/>
                <w:szCs w:val="20"/>
              </w:rPr>
            </w:pPr>
            <w:r>
              <w:rPr>
                <w:sz w:val="20"/>
                <w:szCs w:val="20"/>
              </w:rPr>
              <w:t>1</w:t>
            </w:r>
          </w:p>
        </w:tc>
        <w:tc>
          <w:tcPr>
            <w:tcW w:w="990" w:type="dxa"/>
          </w:tcPr>
          <w:p w14:paraId="246A73DB" w14:textId="4D597667" w:rsidR="00766087" w:rsidRPr="00766087" w:rsidRDefault="00766087" w:rsidP="00766087">
            <w:pPr>
              <w:pStyle w:val="NoSpacing"/>
              <w:jc w:val="center"/>
              <w:rPr>
                <w:sz w:val="20"/>
                <w:szCs w:val="20"/>
              </w:rPr>
            </w:pPr>
            <w:r>
              <w:rPr>
                <w:sz w:val="20"/>
                <w:szCs w:val="20"/>
              </w:rPr>
              <w:t>8/18</w:t>
            </w:r>
          </w:p>
        </w:tc>
        <w:tc>
          <w:tcPr>
            <w:tcW w:w="2250" w:type="dxa"/>
          </w:tcPr>
          <w:p w14:paraId="324F010B" w14:textId="77777777" w:rsidR="00766087" w:rsidRDefault="00766087" w:rsidP="00766087">
            <w:pPr>
              <w:pStyle w:val="NoSpacing"/>
              <w:numPr>
                <w:ilvl w:val="0"/>
                <w:numId w:val="3"/>
              </w:numPr>
              <w:rPr>
                <w:sz w:val="20"/>
                <w:szCs w:val="20"/>
              </w:rPr>
            </w:pPr>
            <w:proofErr w:type="gramStart"/>
            <w:r>
              <w:rPr>
                <w:sz w:val="20"/>
                <w:szCs w:val="20"/>
              </w:rPr>
              <w:t>Introductions</w:t>
            </w:r>
            <w:proofErr w:type="gramEnd"/>
          </w:p>
          <w:p w14:paraId="0FA2E714" w14:textId="77777777" w:rsidR="00766087" w:rsidRDefault="00766087" w:rsidP="00766087">
            <w:pPr>
              <w:pStyle w:val="NoSpacing"/>
              <w:numPr>
                <w:ilvl w:val="0"/>
                <w:numId w:val="3"/>
              </w:numPr>
              <w:rPr>
                <w:sz w:val="20"/>
                <w:szCs w:val="20"/>
              </w:rPr>
            </w:pPr>
            <w:r>
              <w:rPr>
                <w:sz w:val="20"/>
                <w:szCs w:val="20"/>
              </w:rPr>
              <w:t>Syllabus/Canvas</w:t>
            </w:r>
          </w:p>
          <w:p w14:paraId="22EB5A93" w14:textId="4695DE19" w:rsidR="00766087" w:rsidRPr="00766087" w:rsidRDefault="001F4460" w:rsidP="00766087">
            <w:pPr>
              <w:pStyle w:val="NoSpacing"/>
              <w:numPr>
                <w:ilvl w:val="0"/>
                <w:numId w:val="3"/>
              </w:numPr>
              <w:rPr>
                <w:sz w:val="20"/>
                <w:szCs w:val="20"/>
              </w:rPr>
            </w:pPr>
            <w:r w:rsidRPr="001F4460">
              <w:rPr>
                <w:sz w:val="20"/>
                <w:szCs w:val="20"/>
              </w:rPr>
              <w:t xml:space="preserve">Introduction and </w:t>
            </w:r>
            <w:r>
              <w:rPr>
                <w:sz w:val="20"/>
                <w:szCs w:val="20"/>
              </w:rPr>
              <w:t>o</w:t>
            </w:r>
            <w:r w:rsidRPr="001F4460">
              <w:rPr>
                <w:sz w:val="20"/>
                <w:szCs w:val="20"/>
              </w:rPr>
              <w:t xml:space="preserve">verview of </w:t>
            </w:r>
            <w:r>
              <w:rPr>
                <w:sz w:val="20"/>
                <w:szCs w:val="20"/>
              </w:rPr>
              <w:t>e</w:t>
            </w:r>
            <w:r w:rsidRPr="001F4460">
              <w:rPr>
                <w:sz w:val="20"/>
                <w:szCs w:val="20"/>
              </w:rPr>
              <w:t xml:space="preserve">ducational </w:t>
            </w:r>
            <w:r>
              <w:rPr>
                <w:sz w:val="20"/>
                <w:szCs w:val="20"/>
              </w:rPr>
              <w:t>c</w:t>
            </w:r>
            <w:r w:rsidRPr="001F4460">
              <w:rPr>
                <w:sz w:val="20"/>
                <w:szCs w:val="20"/>
              </w:rPr>
              <w:t xml:space="preserve">onsiderations for </w:t>
            </w:r>
            <w:r>
              <w:rPr>
                <w:sz w:val="20"/>
                <w:szCs w:val="20"/>
              </w:rPr>
              <w:t>e</w:t>
            </w:r>
            <w:r w:rsidRPr="001F4460">
              <w:rPr>
                <w:sz w:val="20"/>
                <w:szCs w:val="20"/>
              </w:rPr>
              <w:t xml:space="preserve">xceptional </w:t>
            </w:r>
            <w:r>
              <w:rPr>
                <w:sz w:val="20"/>
                <w:szCs w:val="20"/>
              </w:rPr>
              <w:t>l</w:t>
            </w:r>
            <w:r w:rsidRPr="001F4460">
              <w:rPr>
                <w:sz w:val="20"/>
                <w:szCs w:val="20"/>
              </w:rPr>
              <w:t>earners</w:t>
            </w:r>
          </w:p>
        </w:tc>
        <w:tc>
          <w:tcPr>
            <w:tcW w:w="2250" w:type="dxa"/>
          </w:tcPr>
          <w:p w14:paraId="39FE6DDA" w14:textId="159D5A7A" w:rsidR="00766087" w:rsidRPr="00766087" w:rsidRDefault="00766087" w:rsidP="00766087">
            <w:pPr>
              <w:pStyle w:val="NoSpacing"/>
              <w:rPr>
                <w:sz w:val="20"/>
                <w:szCs w:val="20"/>
              </w:rPr>
            </w:pPr>
          </w:p>
        </w:tc>
        <w:tc>
          <w:tcPr>
            <w:tcW w:w="2875" w:type="dxa"/>
          </w:tcPr>
          <w:p w14:paraId="70C923BA" w14:textId="45C2464D" w:rsidR="00766087" w:rsidRPr="00766087" w:rsidRDefault="00766087" w:rsidP="00766087">
            <w:pPr>
              <w:pStyle w:val="NoSpacing"/>
              <w:rPr>
                <w:sz w:val="20"/>
                <w:szCs w:val="20"/>
              </w:rPr>
            </w:pPr>
          </w:p>
        </w:tc>
      </w:tr>
      <w:tr w:rsidR="004D1F64" w:rsidRPr="00766087" w14:paraId="1729C5A3" w14:textId="77777777" w:rsidTr="00766087">
        <w:tc>
          <w:tcPr>
            <w:tcW w:w="985" w:type="dxa"/>
          </w:tcPr>
          <w:p w14:paraId="6F9DFBC6" w14:textId="388FB523" w:rsidR="004D1F64" w:rsidRDefault="004D1F64" w:rsidP="00766087">
            <w:pPr>
              <w:pStyle w:val="NoSpacing"/>
              <w:jc w:val="center"/>
              <w:rPr>
                <w:sz w:val="20"/>
                <w:szCs w:val="20"/>
              </w:rPr>
            </w:pPr>
            <w:r>
              <w:rPr>
                <w:sz w:val="20"/>
                <w:szCs w:val="20"/>
              </w:rPr>
              <w:t>2</w:t>
            </w:r>
          </w:p>
        </w:tc>
        <w:tc>
          <w:tcPr>
            <w:tcW w:w="990" w:type="dxa"/>
          </w:tcPr>
          <w:p w14:paraId="1AD0BF56" w14:textId="75AC2A0B" w:rsidR="004D1F64" w:rsidRDefault="004D1F64" w:rsidP="00766087">
            <w:pPr>
              <w:pStyle w:val="NoSpacing"/>
              <w:jc w:val="center"/>
              <w:rPr>
                <w:sz w:val="20"/>
                <w:szCs w:val="20"/>
              </w:rPr>
            </w:pPr>
            <w:r>
              <w:rPr>
                <w:sz w:val="20"/>
                <w:szCs w:val="20"/>
              </w:rPr>
              <w:t>8/25</w:t>
            </w:r>
          </w:p>
        </w:tc>
        <w:tc>
          <w:tcPr>
            <w:tcW w:w="2250" w:type="dxa"/>
          </w:tcPr>
          <w:p w14:paraId="55490901" w14:textId="20710004" w:rsidR="004D1F64" w:rsidRDefault="004D1F64" w:rsidP="00766087">
            <w:pPr>
              <w:pStyle w:val="NoSpacing"/>
              <w:numPr>
                <w:ilvl w:val="0"/>
                <w:numId w:val="3"/>
              </w:numPr>
              <w:rPr>
                <w:sz w:val="20"/>
                <w:szCs w:val="20"/>
              </w:rPr>
            </w:pPr>
            <w:r>
              <w:rPr>
                <w:sz w:val="20"/>
                <w:szCs w:val="20"/>
              </w:rPr>
              <w:t xml:space="preserve">Low and </w:t>
            </w:r>
            <w:r w:rsidR="000577F0">
              <w:rPr>
                <w:sz w:val="20"/>
                <w:szCs w:val="20"/>
              </w:rPr>
              <w:t>high incidence disabilities</w:t>
            </w:r>
          </w:p>
        </w:tc>
        <w:tc>
          <w:tcPr>
            <w:tcW w:w="2250" w:type="dxa"/>
          </w:tcPr>
          <w:p w14:paraId="6DEB3F21" w14:textId="7EF54442" w:rsidR="004D1F64" w:rsidRPr="00766087" w:rsidRDefault="000577F0" w:rsidP="000577F0">
            <w:pPr>
              <w:pStyle w:val="NoSpacing"/>
              <w:numPr>
                <w:ilvl w:val="0"/>
                <w:numId w:val="3"/>
              </w:numPr>
              <w:rPr>
                <w:sz w:val="20"/>
                <w:szCs w:val="20"/>
              </w:rPr>
            </w:pPr>
            <w:r>
              <w:rPr>
                <w:sz w:val="20"/>
                <w:szCs w:val="20"/>
              </w:rPr>
              <w:t>Bryant Chapters 5, 6 and 8</w:t>
            </w:r>
          </w:p>
        </w:tc>
        <w:tc>
          <w:tcPr>
            <w:tcW w:w="2875" w:type="dxa"/>
          </w:tcPr>
          <w:p w14:paraId="74E1D809" w14:textId="4E9B70B2" w:rsidR="004D1F64" w:rsidRPr="00766087" w:rsidRDefault="000577F0" w:rsidP="000577F0">
            <w:pPr>
              <w:pStyle w:val="NoSpacing"/>
              <w:numPr>
                <w:ilvl w:val="0"/>
                <w:numId w:val="3"/>
              </w:numPr>
              <w:rPr>
                <w:sz w:val="20"/>
                <w:szCs w:val="20"/>
              </w:rPr>
            </w:pPr>
            <w:r>
              <w:rPr>
                <w:sz w:val="20"/>
                <w:szCs w:val="20"/>
              </w:rPr>
              <w:t xml:space="preserve">Chapter quizzes </w:t>
            </w:r>
          </w:p>
        </w:tc>
      </w:tr>
      <w:tr w:rsidR="000577F0" w:rsidRPr="00766087" w14:paraId="2D6B6F93" w14:textId="77777777" w:rsidTr="000577F0">
        <w:tc>
          <w:tcPr>
            <w:tcW w:w="9350" w:type="dxa"/>
            <w:gridSpan w:val="5"/>
            <w:shd w:val="clear" w:color="auto" w:fill="F2F2F2" w:themeFill="background1" w:themeFillShade="F2"/>
          </w:tcPr>
          <w:p w14:paraId="22B24E1D" w14:textId="6B707B48" w:rsidR="000577F0" w:rsidRPr="000577F0" w:rsidRDefault="000577F0" w:rsidP="000577F0">
            <w:pPr>
              <w:pStyle w:val="NoSpacing"/>
              <w:jc w:val="center"/>
              <w:rPr>
                <w:b/>
                <w:bCs/>
                <w:sz w:val="20"/>
                <w:szCs w:val="20"/>
              </w:rPr>
            </w:pPr>
            <w:r w:rsidRPr="000577F0">
              <w:rPr>
                <w:b/>
                <w:bCs/>
                <w:sz w:val="20"/>
                <w:szCs w:val="20"/>
              </w:rPr>
              <w:t xml:space="preserve">---- </w:t>
            </w:r>
            <w:r w:rsidR="00EB7520">
              <w:rPr>
                <w:b/>
                <w:bCs/>
                <w:sz w:val="20"/>
                <w:szCs w:val="20"/>
              </w:rPr>
              <w:t>NO CLASS</w:t>
            </w:r>
            <w:r w:rsidRPr="000577F0">
              <w:rPr>
                <w:b/>
                <w:bCs/>
                <w:sz w:val="20"/>
                <w:szCs w:val="20"/>
              </w:rPr>
              <w:t xml:space="preserve"> 9/1 </w:t>
            </w:r>
            <w:r w:rsidR="00EB7520">
              <w:rPr>
                <w:b/>
                <w:bCs/>
                <w:sz w:val="20"/>
                <w:szCs w:val="20"/>
              </w:rPr>
              <w:t xml:space="preserve">/ LABOR DAY </w:t>
            </w:r>
            <w:r w:rsidRPr="000577F0">
              <w:rPr>
                <w:b/>
                <w:bCs/>
                <w:sz w:val="20"/>
                <w:szCs w:val="20"/>
              </w:rPr>
              <w:t xml:space="preserve">---- </w:t>
            </w:r>
          </w:p>
        </w:tc>
      </w:tr>
      <w:tr w:rsidR="000577F0" w:rsidRPr="00766087" w14:paraId="6BB61D14" w14:textId="77777777" w:rsidTr="00766087">
        <w:tc>
          <w:tcPr>
            <w:tcW w:w="985" w:type="dxa"/>
          </w:tcPr>
          <w:p w14:paraId="1DF37223" w14:textId="7D9FDC93" w:rsidR="000577F0" w:rsidRDefault="000577F0" w:rsidP="00766087">
            <w:pPr>
              <w:pStyle w:val="NoSpacing"/>
              <w:jc w:val="center"/>
              <w:rPr>
                <w:sz w:val="20"/>
                <w:szCs w:val="20"/>
              </w:rPr>
            </w:pPr>
            <w:r>
              <w:rPr>
                <w:sz w:val="20"/>
                <w:szCs w:val="20"/>
              </w:rPr>
              <w:t>3</w:t>
            </w:r>
          </w:p>
        </w:tc>
        <w:tc>
          <w:tcPr>
            <w:tcW w:w="990" w:type="dxa"/>
          </w:tcPr>
          <w:p w14:paraId="1F6E5DB1" w14:textId="780B42B0" w:rsidR="000577F0" w:rsidRDefault="000577F0" w:rsidP="00766087">
            <w:pPr>
              <w:pStyle w:val="NoSpacing"/>
              <w:jc w:val="center"/>
              <w:rPr>
                <w:sz w:val="20"/>
                <w:szCs w:val="20"/>
              </w:rPr>
            </w:pPr>
            <w:r>
              <w:rPr>
                <w:sz w:val="20"/>
                <w:szCs w:val="20"/>
              </w:rPr>
              <w:t>9/8</w:t>
            </w:r>
          </w:p>
        </w:tc>
        <w:tc>
          <w:tcPr>
            <w:tcW w:w="2250" w:type="dxa"/>
          </w:tcPr>
          <w:p w14:paraId="680D12E2" w14:textId="6C0776ED" w:rsidR="000577F0" w:rsidRDefault="000577F0" w:rsidP="00766087">
            <w:pPr>
              <w:pStyle w:val="NoSpacing"/>
              <w:numPr>
                <w:ilvl w:val="0"/>
                <w:numId w:val="3"/>
              </w:numPr>
              <w:rPr>
                <w:sz w:val="20"/>
                <w:szCs w:val="20"/>
              </w:rPr>
            </w:pPr>
            <w:r>
              <w:rPr>
                <w:sz w:val="20"/>
                <w:szCs w:val="20"/>
              </w:rPr>
              <w:t xml:space="preserve">Assessment and </w:t>
            </w:r>
            <w:proofErr w:type="gramStart"/>
            <w:r>
              <w:rPr>
                <w:sz w:val="20"/>
                <w:szCs w:val="20"/>
              </w:rPr>
              <w:t>data based</w:t>
            </w:r>
            <w:proofErr w:type="gramEnd"/>
            <w:r>
              <w:rPr>
                <w:sz w:val="20"/>
                <w:szCs w:val="20"/>
              </w:rPr>
              <w:t xml:space="preserve"> decision making</w:t>
            </w:r>
          </w:p>
        </w:tc>
        <w:tc>
          <w:tcPr>
            <w:tcW w:w="2250" w:type="dxa"/>
          </w:tcPr>
          <w:p w14:paraId="589A6229" w14:textId="1E960ED4" w:rsidR="000577F0" w:rsidRDefault="000577F0" w:rsidP="000577F0">
            <w:pPr>
              <w:pStyle w:val="NoSpacing"/>
              <w:numPr>
                <w:ilvl w:val="0"/>
                <w:numId w:val="3"/>
              </w:numPr>
              <w:rPr>
                <w:sz w:val="20"/>
                <w:szCs w:val="20"/>
              </w:rPr>
            </w:pPr>
            <w:r>
              <w:rPr>
                <w:sz w:val="20"/>
                <w:szCs w:val="20"/>
              </w:rPr>
              <w:t>Bryant Chapter 9</w:t>
            </w:r>
          </w:p>
        </w:tc>
        <w:tc>
          <w:tcPr>
            <w:tcW w:w="2875" w:type="dxa"/>
          </w:tcPr>
          <w:p w14:paraId="18C797B7" w14:textId="7B59F486" w:rsidR="000577F0" w:rsidRDefault="000577F0" w:rsidP="000577F0">
            <w:pPr>
              <w:pStyle w:val="NoSpacing"/>
              <w:numPr>
                <w:ilvl w:val="0"/>
                <w:numId w:val="3"/>
              </w:numPr>
              <w:rPr>
                <w:sz w:val="20"/>
                <w:szCs w:val="20"/>
              </w:rPr>
            </w:pPr>
            <w:r>
              <w:rPr>
                <w:sz w:val="20"/>
                <w:szCs w:val="20"/>
              </w:rPr>
              <w:t>Reading activities</w:t>
            </w:r>
          </w:p>
          <w:p w14:paraId="6C2BC28B" w14:textId="2F14BAA9" w:rsidR="000577F0" w:rsidRDefault="000577F0" w:rsidP="000577F0">
            <w:pPr>
              <w:pStyle w:val="NoSpacing"/>
              <w:numPr>
                <w:ilvl w:val="0"/>
                <w:numId w:val="3"/>
              </w:numPr>
              <w:rPr>
                <w:sz w:val="20"/>
                <w:szCs w:val="20"/>
              </w:rPr>
            </w:pPr>
            <w:r>
              <w:rPr>
                <w:sz w:val="20"/>
                <w:szCs w:val="20"/>
              </w:rPr>
              <w:t>Video activities</w:t>
            </w:r>
          </w:p>
          <w:p w14:paraId="35B4949D" w14:textId="6EE62B75" w:rsidR="000577F0" w:rsidRDefault="000577F0" w:rsidP="000577F0">
            <w:pPr>
              <w:pStyle w:val="NoSpacing"/>
              <w:numPr>
                <w:ilvl w:val="0"/>
                <w:numId w:val="3"/>
              </w:numPr>
              <w:rPr>
                <w:sz w:val="20"/>
                <w:szCs w:val="20"/>
              </w:rPr>
            </w:pPr>
            <w:r>
              <w:rPr>
                <w:sz w:val="20"/>
                <w:szCs w:val="20"/>
              </w:rPr>
              <w:t>Chapter quiz</w:t>
            </w:r>
          </w:p>
        </w:tc>
      </w:tr>
      <w:tr w:rsidR="000577F0" w:rsidRPr="00766087" w14:paraId="0D22A9A1" w14:textId="77777777" w:rsidTr="00766087">
        <w:tc>
          <w:tcPr>
            <w:tcW w:w="985" w:type="dxa"/>
          </w:tcPr>
          <w:p w14:paraId="1C135BE7" w14:textId="05D231ED" w:rsidR="000577F0" w:rsidRDefault="000577F0" w:rsidP="00766087">
            <w:pPr>
              <w:pStyle w:val="NoSpacing"/>
              <w:jc w:val="center"/>
              <w:rPr>
                <w:sz w:val="20"/>
                <w:szCs w:val="20"/>
              </w:rPr>
            </w:pPr>
            <w:r>
              <w:rPr>
                <w:sz w:val="20"/>
                <w:szCs w:val="20"/>
              </w:rPr>
              <w:t>4</w:t>
            </w:r>
          </w:p>
        </w:tc>
        <w:tc>
          <w:tcPr>
            <w:tcW w:w="990" w:type="dxa"/>
          </w:tcPr>
          <w:p w14:paraId="2DB97B4B" w14:textId="4933FC9C" w:rsidR="000577F0" w:rsidRDefault="000577F0" w:rsidP="00766087">
            <w:pPr>
              <w:pStyle w:val="NoSpacing"/>
              <w:jc w:val="center"/>
              <w:rPr>
                <w:sz w:val="20"/>
                <w:szCs w:val="20"/>
              </w:rPr>
            </w:pPr>
            <w:r>
              <w:rPr>
                <w:sz w:val="20"/>
                <w:szCs w:val="20"/>
              </w:rPr>
              <w:t>9/15</w:t>
            </w:r>
          </w:p>
        </w:tc>
        <w:tc>
          <w:tcPr>
            <w:tcW w:w="2250" w:type="dxa"/>
          </w:tcPr>
          <w:p w14:paraId="7ADA2600" w14:textId="77777777" w:rsidR="000577F0" w:rsidRDefault="000577F0" w:rsidP="00766087">
            <w:pPr>
              <w:pStyle w:val="NoSpacing"/>
              <w:numPr>
                <w:ilvl w:val="0"/>
                <w:numId w:val="3"/>
              </w:numPr>
              <w:rPr>
                <w:sz w:val="20"/>
                <w:szCs w:val="20"/>
              </w:rPr>
            </w:pPr>
            <w:r>
              <w:rPr>
                <w:sz w:val="20"/>
                <w:szCs w:val="20"/>
              </w:rPr>
              <w:t>Promoting positive behavior and facilitating social skills</w:t>
            </w:r>
          </w:p>
          <w:p w14:paraId="3FBBC5F0" w14:textId="0ADBB78A" w:rsidR="000577F0" w:rsidRDefault="000577F0" w:rsidP="00766087">
            <w:pPr>
              <w:pStyle w:val="NoSpacing"/>
              <w:numPr>
                <w:ilvl w:val="0"/>
                <w:numId w:val="3"/>
              </w:numPr>
              <w:rPr>
                <w:sz w:val="20"/>
                <w:szCs w:val="20"/>
              </w:rPr>
            </w:pPr>
            <w:r>
              <w:rPr>
                <w:sz w:val="20"/>
                <w:szCs w:val="20"/>
              </w:rPr>
              <w:lastRenderedPageBreak/>
              <w:t xml:space="preserve">Visual </w:t>
            </w:r>
            <w:proofErr w:type="gramStart"/>
            <w:r>
              <w:rPr>
                <w:sz w:val="20"/>
                <w:szCs w:val="20"/>
              </w:rPr>
              <w:t>supports</w:t>
            </w:r>
            <w:proofErr w:type="gramEnd"/>
            <w:r>
              <w:rPr>
                <w:sz w:val="20"/>
                <w:szCs w:val="20"/>
              </w:rPr>
              <w:t xml:space="preserve"> for executive function &amp; classroom routines</w:t>
            </w:r>
          </w:p>
        </w:tc>
        <w:tc>
          <w:tcPr>
            <w:tcW w:w="2250" w:type="dxa"/>
          </w:tcPr>
          <w:p w14:paraId="21A54BED" w14:textId="65CE75F1" w:rsidR="000577F0" w:rsidRDefault="000577F0" w:rsidP="000577F0">
            <w:pPr>
              <w:pStyle w:val="NoSpacing"/>
              <w:numPr>
                <w:ilvl w:val="0"/>
                <w:numId w:val="3"/>
              </w:numPr>
              <w:rPr>
                <w:sz w:val="20"/>
                <w:szCs w:val="20"/>
              </w:rPr>
            </w:pPr>
            <w:r>
              <w:rPr>
                <w:sz w:val="20"/>
                <w:szCs w:val="20"/>
              </w:rPr>
              <w:lastRenderedPageBreak/>
              <w:t>Bryant Chapter 10</w:t>
            </w:r>
          </w:p>
        </w:tc>
        <w:tc>
          <w:tcPr>
            <w:tcW w:w="2875" w:type="dxa"/>
          </w:tcPr>
          <w:p w14:paraId="1F56960F" w14:textId="77777777" w:rsidR="000577F0" w:rsidRDefault="000577F0" w:rsidP="000577F0">
            <w:pPr>
              <w:pStyle w:val="NoSpacing"/>
              <w:numPr>
                <w:ilvl w:val="0"/>
                <w:numId w:val="3"/>
              </w:numPr>
              <w:rPr>
                <w:sz w:val="20"/>
                <w:szCs w:val="20"/>
              </w:rPr>
            </w:pPr>
            <w:r>
              <w:rPr>
                <w:sz w:val="20"/>
                <w:szCs w:val="20"/>
              </w:rPr>
              <w:t>Reading activities</w:t>
            </w:r>
          </w:p>
          <w:p w14:paraId="5CC70675" w14:textId="77777777" w:rsidR="000577F0" w:rsidRDefault="000577F0" w:rsidP="000577F0">
            <w:pPr>
              <w:pStyle w:val="NoSpacing"/>
              <w:numPr>
                <w:ilvl w:val="0"/>
                <w:numId w:val="3"/>
              </w:numPr>
              <w:rPr>
                <w:sz w:val="20"/>
                <w:szCs w:val="20"/>
              </w:rPr>
            </w:pPr>
            <w:r>
              <w:rPr>
                <w:sz w:val="20"/>
                <w:szCs w:val="20"/>
              </w:rPr>
              <w:t>Video activities</w:t>
            </w:r>
          </w:p>
          <w:p w14:paraId="5D5E7E5D" w14:textId="2F6BDAAC" w:rsidR="000577F0" w:rsidRDefault="000577F0" w:rsidP="000577F0">
            <w:pPr>
              <w:pStyle w:val="NoSpacing"/>
              <w:numPr>
                <w:ilvl w:val="0"/>
                <w:numId w:val="3"/>
              </w:numPr>
              <w:rPr>
                <w:sz w:val="20"/>
                <w:szCs w:val="20"/>
              </w:rPr>
            </w:pPr>
            <w:r>
              <w:rPr>
                <w:sz w:val="20"/>
                <w:szCs w:val="20"/>
              </w:rPr>
              <w:t>Chapter quiz</w:t>
            </w:r>
          </w:p>
        </w:tc>
      </w:tr>
      <w:tr w:rsidR="000577F0" w:rsidRPr="00766087" w14:paraId="1DF630B7" w14:textId="77777777" w:rsidTr="00766087">
        <w:tc>
          <w:tcPr>
            <w:tcW w:w="985" w:type="dxa"/>
          </w:tcPr>
          <w:p w14:paraId="298E659E" w14:textId="08B7B054" w:rsidR="000577F0" w:rsidRDefault="000577F0" w:rsidP="00766087">
            <w:pPr>
              <w:pStyle w:val="NoSpacing"/>
              <w:jc w:val="center"/>
              <w:rPr>
                <w:sz w:val="20"/>
                <w:szCs w:val="20"/>
              </w:rPr>
            </w:pPr>
            <w:r>
              <w:rPr>
                <w:sz w:val="20"/>
                <w:szCs w:val="20"/>
              </w:rPr>
              <w:t>5</w:t>
            </w:r>
          </w:p>
        </w:tc>
        <w:tc>
          <w:tcPr>
            <w:tcW w:w="990" w:type="dxa"/>
          </w:tcPr>
          <w:p w14:paraId="56DD2774" w14:textId="0254643D" w:rsidR="000577F0" w:rsidRDefault="000577F0" w:rsidP="00766087">
            <w:pPr>
              <w:pStyle w:val="NoSpacing"/>
              <w:jc w:val="center"/>
              <w:rPr>
                <w:sz w:val="20"/>
                <w:szCs w:val="20"/>
              </w:rPr>
            </w:pPr>
            <w:r>
              <w:rPr>
                <w:sz w:val="20"/>
                <w:szCs w:val="20"/>
              </w:rPr>
              <w:t>9/22</w:t>
            </w:r>
          </w:p>
        </w:tc>
        <w:tc>
          <w:tcPr>
            <w:tcW w:w="2250" w:type="dxa"/>
          </w:tcPr>
          <w:p w14:paraId="7D3F6ACC" w14:textId="6C3C28B6" w:rsidR="000577F0" w:rsidRDefault="000577F0" w:rsidP="00766087">
            <w:pPr>
              <w:pStyle w:val="NoSpacing"/>
              <w:numPr>
                <w:ilvl w:val="0"/>
                <w:numId w:val="3"/>
              </w:numPr>
              <w:rPr>
                <w:sz w:val="20"/>
                <w:szCs w:val="20"/>
              </w:rPr>
            </w:pPr>
            <w:r>
              <w:rPr>
                <w:sz w:val="20"/>
                <w:szCs w:val="20"/>
              </w:rPr>
              <w:t>RTI &amp; MTSS in the classroom</w:t>
            </w:r>
          </w:p>
        </w:tc>
        <w:tc>
          <w:tcPr>
            <w:tcW w:w="2250" w:type="dxa"/>
          </w:tcPr>
          <w:p w14:paraId="04F11644" w14:textId="6C97DAC8" w:rsidR="000577F0" w:rsidRDefault="000577F0" w:rsidP="000577F0">
            <w:pPr>
              <w:pStyle w:val="NoSpacing"/>
              <w:numPr>
                <w:ilvl w:val="0"/>
                <w:numId w:val="3"/>
              </w:numPr>
              <w:rPr>
                <w:sz w:val="20"/>
                <w:szCs w:val="20"/>
              </w:rPr>
            </w:pPr>
            <w:r>
              <w:rPr>
                <w:sz w:val="20"/>
                <w:szCs w:val="20"/>
              </w:rPr>
              <w:t>Bryant Chapter 2</w:t>
            </w:r>
          </w:p>
        </w:tc>
        <w:tc>
          <w:tcPr>
            <w:tcW w:w="2875" w:type="dxa"/>
          </w:tcPr>
          <w:p w14:paraId="2FEFCF73" w14:textId="3C3F3022" w:rsidR="000577F0" w:rsidRDefault="000577F0" w:rsidP="000577F0">
            <w:pPr>
              <w:pStyle w:val="NoSpacing"/>
              <w:numPr>
                <w:ilvl w:val="0"/>
                <w:numId w:val="3"/>
              </w:numPr>
              <w:rPr>
                <w:sz w:val="20"/>
                <w:szCs w:val="20"/>
              </w:rPr>
            </w:pPr>
            <w:r>
              <w:rPr>
                <w:sz w:val="20"/>
                <w:szCs w:val="20"/>
              </w:rPr>
              <w:t xml:space="preserve">Chapter quiz </w:t>
            </w:r>
          </w:p>
        </w:tc>
      </w:tr>
      <w:tr w:rsidR="000577F0" w:rsidRPr="00766087" w14:paraId="22372173" w14:textId="77777777" w:rsidTr="00766087">
        <w:tc>
          <w:tcPr>
            <w:tcW w:w="985" w:type="dxa"/>
          </w:tcPr>
          <w:p w14:paraId="274E41BD" w14:textId="380B06C7" w:rsidR="000577F0" w:rsidRDefault="000577F0" w:rsidP="00766087">
            <w:pPr>
              <w:pStyle w:val="NoSpacing"/>
              <w:jc w:val="center"/>
              <w:rPr>
                <w:sz w:val="20"/>
                <w:szCs w:val="20"/>
              </w:rPr>
            </w:pPr>
            <w:r>
              <w:rPr>
                <w:sz w:val="20"/>
                <w:szCs w:val="20"/>
              </w:rPr>
              <w:t>6</w:t>
            </w:r>
          </w:p>
        </w:tc>
        <w:tc>
          <w:tcPr>
            <w:tcW w:w="990" w:type="dxa"/>
          </w:tcPr>
          <w:p w14:paraId="003CAADC" w14:textId="2E4E11D5" w:rsidR="000577F0" w:rsidRDefault="000577F0" w:rsidP="00766087">
            <w:pPr>
              <w:pStyle w:val="NoSpacing"/>
              <w:jc w:val="center"/>
              <w:rPr>
                <w:sz w:val="20"/>
                <w:szCs w:val="20"/>
              </w:rPr>
            </w:pPr>
            <w:r>
              <w:rPr>
                <w:sz w:val="20"/>
                <w:szCs w:val="20"/>
              </w:rPr>
              <w:t>9/29</w:t>
            </w:r>
          </w:p>
        </w:tc>
        <w:tc>
          <w:tcPr>
            <w:tcW w:w="2250" w:type="dxa"/>
          </w:tcPr>
          <w:p w14:paraId="32735A11" w14:textId="6382FC6A" w:rsidR="000577F0" w:rsidRDefault="000577F0" w:rsidP="00766087">
            <w:pPr>
              <w:pStyle w:val="NoSpacing"/>
              <w:numPr>
                <w:ilvl w:val="0"/>
                <w:numId w:val="3"/>
              </w:numPr>
              <w:rPr>
                <w:sz w:val="20"/>
                <w:szCs w:val="20"/>
              </w:rPr>
            </w:pPr>
            <w:r>
              <w:rPr>
                <w:sz w:val="20"/>
                <w:szCs w:val="20"/>
              </w:rPr>
              <w:t>IEP Review: PLAFFS &amp; SMART Goals</w:t>
            </w:r>
          </w:p>
        </w:tc>
        <w:tc>
          <w:tcPr>
            <w:tcW w:w="2250" w:type="dxa"/>
          </w:tcPr>
          <w:p w14:paraId="0E531519" w14:textId="0EDFDC1F" w:rsidR="000577F0" w:rsidRDefault="000577F0" w:rsidP="000577F0">
            <w:pPr>
              <w:pStyle w:val="NoSpacing"/>
              <w:numPr>
                <w:ilvl w:val="0"/>
                <w:numId w:val="3"/>
              </w:numPr>
              <w:rPr>
                <w:sz w:val="20"/>
                <w:szCs w:val="20"/>
              </w:rPr>
            </w:pPr>
            <w:r>
              <w:rPr>
                <w:sz w:val="20"/>
                <w:szCs w:val="20"/>
              </w:rPr>
              <w:t>Bryant Chapter 1</w:t>
            </w:r>
          </w:p>
        </w:tc>
        <w:tc>
          <w:tcPr>
            <w:tcW w:w="2875" w:type="dxa"/>
          </w:tcPr>
          <w:p w14:paraId="046DBBA9" w14:textId="5F266F87" w:rsidR="000577F0" w:rsidRDefault="000577F0" w:rsidP="000577F0">
            <w:pPr>
              <w:pStyle w:val="NoSpacing"/>
              <w:numPr>
                <w:ilvl w:val="0"/>
                <w:numId w:val="3"/>
              </w:numPr>
              <w:rPr>
                <w:sz w:val="20"/>
                <w:szCs w:val="20"/>
              </w:rPr>
            </w:pPr>
            <w:r>
              <w:rPr>
                <w:sz w:val="20"/>
                <w:szCs w:val="20"/>
              </w:rPr>
              <w:t xml:space="preserve">Chapter quiz </w:t>
            </w:r>
          </w:p>
          <w:p w14:paraId="245D168F" w14:textId="66E6C8F8" w:rsidR="008E4764" w:rsidRDefault="008E4764" w:rsidP="000577F0">
            <w:pPr>
              <w:pStyle w:val="NoSpacing"/>
              <w:numPr>
                <w:ilvl w:val="0"/>
                <w:numId w:val="3"/>
              </w:numPr>
              <w:rPr>
                <w:sz w:val="20"/>
                <w:szCs w:val="20"/>
              </w:rPr>
            </w:pPr>
            <w:r>
              <w:rPr>
                <w:b/>
                <w:bCs/>
                <w:sz w:val="20"/>
                <w:szCs w:val="20"/>
              </w:rPr>
              <w:t>PLAFFS &amp; SMART Goals</w:t>
            </w:r>
          </w:p>
        </w:tc>
      </w:tr>
      <w:tr w:rsidR="000577F0" w:rsidRPr="00766087" w14:paraId="25BEB6A3" w14:textId="77777777" w:rsidTr="00864227">
        <w:tc>
          <w:tcPr>
            <w:tcW w:w="985" w:type="dxa"/>
          </w:tcPr>
          <w:p w14:paraId="034E9021" w14:textId="3EA9D36D" w:rsidR="000577F0" w:rsidRDefault="000577F0" w:rsidP="00766087">
            <w:pPr>
              <w:pStyle w:val="NoSpacing"/>
              <w:jc w:val="center"/>
              <w:rPr>
                <w:sz w:val="20"/>
                <w:szCs w:val="20"/>
              </w:rPr>
            </w:pPr>
            <w:r>
              <w:rPr>
                <w:sz w:val="20"/>
                <w:szCs w:val="20"/>
              </w:rPr>
              <w:t>7</w:t>
            </w:r>
          </w:p>
        </w:tc>
        <w:tc>
          <w:tcPr>
            <w:tcW w:w="990" w:type="dxa"/>
          </w:tcPr>
          <w:p w14:paraId="77FBEC9F" w14:textId="37D4B98A" w:rsidR="000577F0" w:rsidRDefault="000577F0" w:rsidP="00766087">
            <w:pPr>
              <w:pStyle w:val="NoSpacing"/>
              <w:jc w:val="center"/>
              <w:rPr>
                <w:sz w:val="20"/>
                <w:szCs w:val="20"/>
              </w:rPr>
            </w:pPr>
            <w:r>
              <w:rPr>
                <w:sz w:val="20"/>
                <w:szCs w:val="20"/>
              </w:rPr>
              <w:t>10/6</w:t>
            </w:r>
          </w:p>
        </w:tc>
        <w:tc>
          <w:tcPr>
            <w:tcW w:w="4500" w:type="dxa"/>
            <w:gridSpan w:val="2"/>
          </w:tcPr>
          <w:p w14:paraId="31356A4A" w14:textId="4D97915B" w:rsidR="000577F0" w:rsidRDefault="000577F0" w:rsidP="000577F0">
            <w:pPr>
              <w:pStyle w:val="NoSpacing"/>
              <w:jc w:val="center"/>
              <w:rPr>
                <w:sz w:val="20"/>
                <w:szCs w:val="20"/>
              </w:rPr>
            </w:pPr>
            <w:r>
              <w:rPr>
                <w:sz w:val="20"/>
                <w:szCs w:val="20"/>
              </w:rPr>
              <w:t>--- In-Class Mock IEP ---</w:t>
            </w:r>
          </w:p>
        </w:tc>
        <w:tc>
          <w:tcPr>
            <w:tcW w:w="2875" w:type="dxa"/>
          </w:tcPr>
          <w:p w14:paraId="693B5F2A" w14:textId="0E374806" w:rsidR="000577F0" w:rsidRPr="000577F0" w:rsidRDefault="000577F0" w:rsidP="000577F0">
            <w:pPr>
              <w:pStyle w:val="NoSpacing"/>
              <w:numPr>
                <w:ilvl w:val="0"/>
                <w:numId w:val="3"/>
              </w:numPr>
              <w:rPr>
                <w:b/>
                <w:bCs/>
                <w:sz w:val="20"/>
                <w:szCs w:val="20"/>
              </w:rPr>
            </w:pPr>
            <w:r w:rsidRPr="000577F0">
              <w:rPr>
                <w:b/>
                <w:bCs/>
                <w:sz w:val="20"/>
                <w:szCs w:val="20"/>
              </w:rPr>
              <w:t>Mock IEP &amp; Reflection</w:t>
            </w:r>
          </w:p>
        </w:tc>
      </w:tr>
      <w:tr w:rsidR="000577F0" w:rsidRPr="00766087" w14:paraId="0139CC54" w14:textId="77777777" w:rsidTr="00766087">
        <w:tc>
          <w:tcPr>
            <w:tcW w:w="985" w:type="dxa"/>
          </w:tcPr>
          <w:p w14:paraId="418BA6EF" w14:textId="77FBEC34" w:rsidR="000577F0" w:rsidRDefault="000577F0" w:rsidP="00766087">
            <w:pPr>
              <w:pStyle w:val="NoSpacing"/>
              <w:jc w:val="center"/>
              <w:rPr>
                <w:sz w:val="20"/>
                <w:szCs w:val="20"/>
              </w:rPr>
            </w:pPr>
            <w:r>
              <w:rPr>
                <w:sz w:val="20"/>
                <w:szCs w:val="20"/>
              </w:rPr>
              <w:t>8</w:t>
            </w:r>
          </w:p>
        </w:tc>
        <w:tc>
          <w:tcPr>
            <w:tcW w:w="990" w:type="dxa"/>
          </w:tcPr>
          <w:p w14:paraId="258FFFB5" w14:textId="38EAA1EA" w:rsidR="000577F0" w:rsidRDefault="000577F0" w:rsidP="00766087">
            <w:pPr>
              <w:pStyle w:val="NoSpacing"/>
              <w:jc w:val="center"/>
              <w:rPr>
                <w:sz w:val="20"/>
                <w:szCs w:val="20"/>
              </w:rPr>
            </w:pPr>
            <w:r>
              <w:rPr>
                <w:sz w:val="20"/>
                <w:szCs w:val="20"/>
              </w:rPr>
              <w:t>10/</w:t>
            </w:r>
            <w:r w:rsidR="0069109E">
              <w:rPr>
                <w:sz w:val="20"/>
                <w:szCs w:val="20"/>
              </w:rPr>
              <w:t>13</w:t>
            </w:r>
          </w:p>
        </w:tc>
        <w:tc>
          <w:tcPr>
            <w:tcW w:w="2250" w:type="dxa"/>
          </w:tcPr>
          <w:p w14:paraId="20519746" w14:textId="34EB0D64" w:rsidR="000577F0" w:rsidRDefault="000577F0" w:rsidP="000577F0">
            <w:pPr>
              <w:pStyle w:val="NoSpacing"/>
              <w:numPr>
                <w:ilvl w:val="0"/>
                <w:numId w:val="3"/>
              </w:numPr>
              <w:rPr>
                <w:sz w:val="20"/>
                <w:szCs w:val="20"/>
              </w:rPr>
            </w:pPr>
            <w:r>
              <w:rPr>
                <w:sz w:val="20"/>
                <w:szCs w:val="20"/>
              </w:rPr>
              <w:t>Teaching reading IMRA Texas curriculum</w:t>
            </w:r>
          </w:p>
        </w:tc>
        <w:tc>
          <w:tcPr>
            <w:tcW w:w="2250" w:type="dxa"/>
          </w:tcPr>
          <w:p w14:paraId="75252E12" w14:textId="5C14F9FE" w:rsidR="000577F0" w:rsidRDefault="000577F0" w:rsidP="000577F0">
            <w:pPr>
              <w:pStyle w:val="NoSpacing"/>
              <w:numPr>
                <w:ilvl w:val="0"/>
                <w:numId w:val="3"/>
              </w:numPr>
              <w:rPr>
                <w:sz w:val="20"/>
                <w:szCs w:val="20"/>
              </w:rPr>
            </w:pPr>
            <w:r>
              <w:rPr>
                <w:sz w:val="20"/>
                <w:szCs w:val="20"/>
              </w:rPr>
              <w:t>Bryant Chapter 11</w:t>
            </w:r>
          </w:p>
        </w:tc>
        <w:tc>
          <w:tcPr>
            <w:tcW w:w="2875" w:type="dxa"/>
          </w:tcPr>
          <w:p w14:paraId="5A0F07E8" w14:textId="77777777" w:rsidR="000577F0" w:rsidRDefault="000577F0" w:rsidP="000577F0">
            <w:pPr>
              <w:pStyle w:val="NoSpacing"/>
              <w:numPr>
                <w:ilvl w:val="0"/>
                <w:numId w:val="3"/>
              </w:numPr>
              <w:rPr>
                <w:sz w:val="20"/>
                <w:szCs w:val="20"/>
              </w:rPr>
            </w:pPr>
            <w:r>
              <w:rPr>
                <w:sz w:val="20"/>
                <w:szCs w:val="20"/>
              </w:rPr>
              <w:t>Reading activities</w:t>
            </w:r>
          </w:p>
          <w:p w14:paraId="0AB6A9D6" w14:textId="77777777" w:rsidR="000577F0" w:rsidRDefault="000577F0" w:rsidP="000577F0">
            <w:pPr>
              <w:pStyle w:val="NoSpacing"/>
              <w:numPr>
                <w:ilvl w:val="0"/>
                <w:numId w:val="3"/>
              </w:numPr>
              <w:rPr>
                <w:sz w:val="20"/>
                <w:szCs w:val="20"/>
              </w:rPr>
            </w:pPr>
            <w:r>
              <w:rPr>
                <w:sz w:val="20"/>
                <w:szCs w:val="20"/>
              </w:rPr>
              <w:t>Video activities</w:t>
            </w:r>
          </w:p>
          <w:p w14:paraId="2E6559FB" w14:textId="69DF10E0" w:rsidR="000577F0" w:rsidRDefault="000577F0" w:rsidP="000577F0">
            <w:pPr>
              <w:pStyle w:val="NoSpacing"/>
              <w:numPr>
                <w:ilvl w:val="0"/>
                <w:numId w:val="3"/>
              </w:numPr>
              <w:rPr>
                <w:sz w:val="20"/>
                <w:szCs w:val="20"/>
              </w:rPr>
            </w:pPr>
            <w:r>
              <w:rPr>
                <w:sz w:val="20"/>
                <w:szCs w:val="20"/>
              </w:rPr>
              <w:t>Chapter quiz</w:t>
            </w:r>
          </w:p>
        </w:tc>
      </w:tr>
      <w:tr w:rsidR="000577F0" w:rsidRPr="00766087" w14:paraId="7D1E568D" w14:textId="77777777" w:rsidTr="00766087">
        <w:tc>
          <w:tcPr>
            <w:tcW w:w="985" w:type="dxa"/>
          </w:tcPr>
          <w:p w14:paraId="768CF053" w14:textId="0FEB6C2B" w:rsidR="000577F0" w:rsidRDefault="000577F0" w:rsidP="00766087">
            <w:pPr>
              <w:pStyle w:val="NoSpacing"/>
              <w:jc w:val="center"/>
              <w:rPr>
                <w:sz w:val="20"/>
                <w:szCs w:val="20"/>
              </w:rPr>
            </w:pPr>
            <w:r>
              <w:rPr>
                <w:sz w:val="20"/>
                <w:szCs w:val="20"/>
              </w:rPr>
              <w:t>9</w:t>
            </w:r>
          </w:p>
        </w:tc>
        <w:tc>
          <w:tcPr>
            <w:tcW w:w="990" w:type="dxa"/>
          </w:tcPr>
          <w:p w14:paraId="17EC98B7" w14:textId="207240FD" w:rsidR="000577F0" w:rsidRDefault="000577F0" w:rsidP="00766087">
            <w:pPr>
              <w:pStyle w:val="NoSpacing"/>
              <w:jc w:val="center"/>
              <w:rPr>
                <w:sz w:val="20"/>
                <w:szCs w:val="20"/>
              </w:rPr>
            </w:pPr>
            <w:r>
              <w:rPr>
                <w:sz w:val="20"/>
                <w:szCs w:val="20"/>
              </w:rPr>
              <w:t>10/2</w:t>
            </w:r>
            <w:r w:rsidR="0069109E">
              <w:rPr>
                <w:sz w:val="20"/>
                <w:szCs w:val="20"/>
              </w:rPr>
              <w:t>0</w:t>
            </w:r>
          </w:p>
        </w:tc>
        <w:tc>
          <w:tcPr>
            <w:tcW w:w="2250" w:type="dxa"/>
          </w:tcPr>
          <w:p w14:paraId="6AAB61FF" w14:textId="2F5D8F2F" w:rsidR="000577F0" w:rsidRDefault="000577F0" w:rsidP="000577F0">
            <w:pPr>
              <w:pStyle w:val="NoSpacing"/>
              <w:numPr>
                <w:ilvl w:val="0"/>
                <w:numId w:val="3"/>
              </w:numPr>
              <w:rPr>
                <w:sz w:val="20"/>
                <w:szCs w:val="20"/>
              </w:rPr>
            </w:pPr>
            <w:r>
              <w:rPr>
                <w:sz w:val="20"/>
                <w:szCs w:val="20"/>
              </w:rPr>
              <w:t>Teaching writing IMRA Texas curriculum</w:t>
            </w:r>
          </w:p>
        </w:tc>
        <w:tc>
          <w:tcPr>
            <w:tcW w:w="2250" w:type="dxa"/>
          </w:tcPr>
          <w:p w14:paraId="4BDB5258" w14:textId="583A7507" w:rsidR="000577F0" w:rsidRDefault="000577F0" w:rsidP="000577F0">
            <w:pPr>
              <w:pStyle w:val="NoSpacing"/>
              <w:numPr>
                <w:ilvl w:val="0"/>
                <w:numId w:val="3"/>
              </w:numPr>
              <w:rPr>
                <w:sz w:val="20"/>
                <w:szCs w:val="20"/>
              </w:rPr>
            </w:pPr>
            <w:r>
              <w:rPr>
                <w:sz w:val="20"/>
                <w:szCs w:val="20"/>
              </w:rPr>
              <w:t>Bryant Chapter 12</w:t>
            </w:r>
          </w:p>
        </w:tc>
        <w:tc>
          <w:tcPr>
            <w:tcW w:w="2875" w:type="dxa"/>
          </w:tcPr>
          <w:p w14:paraId="3D6295EF" w14:textId="77777777" w:rsidR="000577F0" w:rsidRDefault="000577F0" w:rsidP="000577F0">
            <w:pPr>
              <w:pStyle w:val="NoSpacing"/>
              <w:numPr>
                <w:ilvl w:val="0"/>
                <w:numId w:val="3"/>
              </w:numPr>
              <w:rPr>
                <w:sz w:val="20"/>
                <w:szCs w:val="20"/>
              </w:rPr>
            </w:pPr>
            <w:r>
              <w:rPr>
                <w:sz w:val="20"/>
                <w:szCs w:val="20"/>
              </w:rPr>
              <w:t>Reading activities</w:t>
            </w:r>
          </w:p>
          <w:p w14:paraId="6A832080" w14:textId="77777777" w:rsidR="000577F0" w:rsidRDefault="000577F0" w:rsidP="000577F0">
            <w:pPr>
              <w:pStyle w:val="NoSpacing"/>
              <w:numPr>
                <w:ilvl w:val="0"/>
                <w:numId w:val="3"/>
              </w:numPr>
              <w:rPr>
                <w:sz w:val="20"/>
                <w:szCs w:val="20"/>
              </w:rPr>
            </w:pPr>
            <w:r>
              <w:rPr>
                <w:sz w:val="20"/>
                <w:szCs w:val="20"/>
              </w:rPr>
              <w:t>Video activities</w:t>
            </w:r>
          </w:p>
          <w:p w14:paraId="7E09E5E5" w14:textId="77777777" w:rsidR="000577F0" w:rsidRDefault="000577F0" w:rsidP="000577F0">
            <w:pPr>
              <w:pStyle w:val="NoSpacing"/>
              <w:numPr>
                <w:ilvl w:val="0"/>
                <w:numId w:val="3"/>
              </w:numPr>
              <w:rPr>
                <w:sz w:val="20"/>
                <w:szCs w:val="20"/>
              </w:rPr>
            </w:pPr>
            <w:r>
              <w:rPr>
                <w:sz w:val="20"/>
                <w:szCs w:val="20"/>
              </w:rPr>
              <w:t>Chapter quiz</w:t>
            </w:r>
          </w:p>
          <w:p w14:paraId="37F2EA96" w14:textId="53DF834C" w:rsidR="000577F0" w:rsidRDefault="000577F0" w:rsidP="000577F0">
            <w:pPr>
              <w:pStyle w:val="NoSpacing"/>
              <w:numPr>
                <w:ilvl w:val="0"/>
                <w:numId w:val="3"/>
              </w:numPr>
              <w:rPr>
                <w:sz w:val="20"/>
                <w:szCs w:val="20"/>
              </w:rPr>
            </w:pPr>
            <w:r>
              <w:rPr>
                <w:b/>
                <w:bCs/>
                <w:sz w:val="20"/>
                <w:szCs w:val="20"/>
              </w:rPr>
              <w:t>Case Study A</w:t>
            </w:r>
          </w:p>
        </w:tc>
      </w:tr>
      <w:tr w:rsidR="000577F0" w:rsidRPr="00766087" w14:paraId="06BE7F17" w14:textId="77777777" w:rsidTr="00766087">
        <w:tc>
          <w:tcPr>
            <w:tcW w:w="985" w:type="dxa"/>
          </w:tcPr>
          <w:p w14:paraId="0E16A95A" w14:textId="0755741D" w:rsidR="000577F0" w:rsidRDefault="000577F0" w:rsidP="00766087">
            <w:pPr>
              <w:pStyle w:val="NoSpacing"/>
              <w:jc w:val="center"/>
              <w:rPr>
                <w:sz w:val="20"/>
                <w:szCs w:val="20"/>
              </w:rPr>
            </w:pPr>
            <w:r>
              <w:rPr>
                <w:sz w:val="20"/>
                <w:szCs w:val="20"/>
              </w:rPr>
              <w:t>10</w:t>
            </w:r>
          </w:p>
        </w:tc>
        <w:tc>
          <w:tcPr>
            <w:tcW w:w="990" w:type="dxa"/>
          </w:tcPr>
          <w:p w14:paraId="166BA210" w14:textId="0861C318" w:rsidR="000577F0" w:rsidRDefault="000577F0" w:rsidP="00766087">
            <w:pPr>
              <w:pStyle w:val="NoSpacing"/>
              <w:jc w:val="center"/>
              <w:rPr>
                <w:sz w:val="20"/>
                <w:szCs w:val="20"/>
              </w:rPr>
            </w:pPr>
            <w:r>
              <w:rPr>
                <w:sz w:val="20"/>
                <w:szCs w:val="20"/>
              </w:rPr>
              <w:t>1</w:t>
            </w:r>
            <w:r w:rsidR="0069109E">
              <w:rPr>
                <w:sz w:val="20"/>
                <w:szCs w:val="20"/>
              </w:rPr>
              <w:t>0/27</w:t>
            </w:r>
          </w:p>
        </w:tc>
        <w:tc>
          <w:tcPr>
            <w:tcW w:w="2250" w:type="dxa"/>
          </w:tcPr>
          <w:p w14:paraId="3A34F46A" w14:textId="43F113BB" w:rsidR="000577F0" w:rsidRDefault="000577F0" w:rsidP="000577F0">
            <w:pPr>
              <w:pStyle w:val="NoSpacing"/>
              <w:numPr>
                <w:ilvl w:val="0"/>
                <w:numId w:val="3"/>
              </w:numPr>
              <w:rPr>
                <w:sz w:val="20"/>
                <w:szCs w:val="20"/>
              </w:rPr>
            </w:pPr>
            <w:r>
              <w:rPr>
                <w:sz w:val="20"/>
                <w:szCs w:val="20"/>
              </w:rPr>
              <w:t>Teaching math</w:t>
            </w:r>
            <w:r w:rsidR="00EB7520">
              <w:rPr>
                <w:sz w:val="20"/>
                <w:szCs w:val="20"/>
              </w:rPr>
              <w:t xml:space="preserve"> IMRA Texas curriculum</w:t>
            </w:r>
          </w:p>
        </w:tc>
        <w:tc>
          <w:tcPr>
            <w:tcW w:w="2250" w:type="dxa"/>
          </w:tcPr>
          <w:p w14:paraId="1C914D9E" w14:textId="69BA7794" w:rsidR="000577F0" w:rsidRDefault="00EB7520" w:rsidP="000577F0">
            <w:pPr>
              <w:pStyle w:val="NoSpacing"/>
              <w:numPr>
                <w:ilvl w:val="0"/>
                <w:numId w:val="3"/>
              </w:numPr>
              <w:rPr>
                <w:sz w:val="20"/>
                <w:szCs w:val="20"/>
              </w:rPr>
            </w:pPr>
            <w:r>
              <w:rPr>
                <w:sz w:val="20"/>
                <w:szCs w:val="20"/>
              </w:rPr>
              <w:t>Bryant Chapter 13</w:t>
            </w:r>
          </w:p>
        </w:tc>
        <w:tc>
          <w:tcPr>
            <w:tcW w:w="2875" w:type="dxa"/>
          </w:tcPr>
          <w:p w14:paraId="26072B74" w14:textId="77777777" w:rsidR="000577F0" w:rsidRDefault="00EB7520" w:rsidP="000577F0">
            <w:pPr>
              <w:pStyle w:val="NoSpacing"/>
              <w:numPr>
                <w:ilvl w:val="0"/>
                <w:numId w:val="3"/>
              </w:numPr>
              <w:rPr>
                <w:sz w:val="20"/>
                <w:szCs w:val="20"/>
              </w:rPr>
            </w:pPr>
            <w:r>
              <w:rPr>
                <w:sz w:val="20"/>
                <w:szCs w:val="20"/>
              </w:rPr>
              <w:t>Reading activities</w:t>
            </w:r>
          </w:p>
          <w:p w14:paraId="113D51B3" w14:textId="77777777" w:rsidR="00EB7520" w:rsidRDefault="00EB7520" w:rsidP="000577F0">
            <w:pPr>
              <w:pStyle w:val="NoSpacing"/>
              <w:numPr>
                <w:ilvl w:val="0"/>
                <w:numId w:val="3"/>
              </w:numPr>
              <w:rPr>
                <w:sz w:val="20"/>
                <w:szCs w:val="20"/>
              </w:rPr>
            </w:pPr>
            <w:r>
              <w:rPr>
                <w:sz w:val="20"/>
                <w:szCs w:val="20"/>
              </w:rPr>
              <w:t>Video activities</w:t>
            </w:r>
          </w:p>
          <w:p w14:paraId="001E75CE" w14:textId="77777777" w:rsidR="00EB7520" w:rsidRDefault="00EB7520" w:rsidP="000577F0">
            <w:pPr>
              <w:pStyle w:val="NoSpacing"/>
              <w:numPr>
                <w:ilvl w:val="0"/>
                <w:numId w:val="3"/>
              </w:numPr>
              <w:rPr>
                <w:sz w:val="20"/>
                <w:szCs w:val="20"/>
              </w:rPr>
            </w:pPr>
            <w:r>
              <w:rPr>
                <w:sz w:val="20"/>
                <w:szCs w:val="20"/>
              </w:rPr>
              <w:t>Chapter quiz</w:t>
            </w:r>
          </w:p>
          <w:p w14:paraId="0D5B6857" w14:textId="67CD797C" w:rsidR="00EB7520" w:rsidRDefault="00EB7520" w:rsidP="000577F0">
            <w:pPr>
              <w:pStyle w:val="NoSpacing"/>
              <w:numPr>
                <w:ilvl w:val="0"/>
                <w:numId w:val="3"/>
              </w:numPr>
              <w:rPr>
                <w:sz w:val="20"/>
                <w:szCs w:val="20"/>
              </w:rPr>
            </w:pPr>
            <w:r>
              <w:rPr>
                <w:b/>
                <w:bCs/>
                <w:sz w:val="20"/>
                <w:szCs w:val="20"/>
              </w:rPr>
              <w:t>Case Study B</w:t>
            </w:r>
          </w:p>
        </w:tc>
      </w:tr>
      <w:tr w:rsidR="00EB7520" w:rsidRPr="00766087" w14:paraId="0AD408C7" w14:textId="77777777" w:rsidTr="00766087">
        <w:tc>
          <w:tcPr>
            <w:tcW w:w="985" w:type="dxa"/>
          </w:tcPr>
          <w:p w14:paraId="77B58A87" w14:textId="495E6B87" w:rsidR="00EB7520" w:rsidRDefault="00EB7520" w:rsidP="00766087">
            <w:pPr>
              <w:pStyle w:val="NoSpacing"/>
              <w:jc w:val="center"/>
              <w:rPr>
                <w:sz w:val="20"/>
                <w:szCs w:val="20"/>
              </w:rPr>
            </w:pPr>
            <w:r>
              <w:rPr>
                <w:sz w:val="20"/>
                <w:szCs w:val="20"/>
              </w:rPr>
              <w:t>11</w:t>
            </w:r>
          </w:p>
        </w:tc>
        <w:tc>
          <w:tcPr>
            <w:tcW w:w="990" w:type="dxa"/>
          </w:tcPr>
          <w:p w14:paraId="0A9054A2" w14:textId="1B3A0FE0" w:rsidR="00EB7520" w:rsidRDefault="00EB7520" w:rsidP="00766087">
            <w:pPr>
              <w:pStyle w:val="NoSpacing"/>
              <w:jc w:val="center"/>
              <w:rPr>
                <w:sz w:val="20"/>
                <w:szCs w:val="20"/>
              </w:rPr>
            </w:pPr>
            <w:r>
              <w:rPr>
                <w:sz w:val="20"/>
                <w:szCs w:val="20"/>
              </w:rPr>
              <w:t>11/</w:t>
            </w:r>
            <w:r w:rsidR="0069109E">
              <w:rPr>
                <w:sz w:val="20"/>
                <w:szCs w:val="20"/>
              </w:rPr>
              <w:t>3</w:t>
            </w:r>
          </w:p>
        </w:tc>
        <w:tc>
          <w:tcPr>
            <w:tcW w:w="2250" w:type="dxa"/>
          </w:tcPr>
          <w:p w14:paraId="5E0B7A6E" w14:textId="6A20DA70" w:rsidR="00EB7520" w:rsidRDefault="00EB7520" w:rsidP="000577F0">
            <w:pPr>
              <w:pStyle w:val="NoSpacing"/>
              <w:numPr>
                <w:ilvl w:val="0"/>
                <w:numId w:val="3"/>
              </w:numPr>
              <w:rPr>
                <w:sz w:val="20"/>
                <w:szCs w:val="20"/>
              </w:rPr>
            </w:pPr>
            <w:r>
              <w:rPr>
                <w:sz w:val="20"/>
                <w:szCs w:val="20"/>
              </w:rPr>
              <w:t>Facilitating content-area instruction and study skills</w:t>
            </w:r>
          </w:p>
        </w:tc>
        <w:tc>
          <w:tcPr>
            <w:tcW w:w="2250" w:type="dxa"/>
          </w:tcPr>
          <w:p w14:paraId="7964B4E9" w14:textId="068A083C" w:rsidR="00EB7520" w:rsidRDefault="00EB7520" w:rsidP="000577F0">
            <w:pPr>
              <w:pStyle w:val="NoSpacing"/>
              <w:numPr>
                <w:ilvl w:val="0"/>
                <w:numId w:val="3"/>
              </w:numPr>
              <w:rPr>
                <w:sz w:val="20"/>
                <w:szCs w:val="20"/>
              </w:rPr>
            </w:pPr>
            <w:r>
              <w:rPr>
                <w:sz w:val="20"/>
                <w:szCs w:val="20"/>
              </w:rPr>
              <w:t>Bryant Chapter 14</w:t>
            </w:r>
          </w:p>
        </w:tc>
        <w:tc>
          <w:tcPr>
            <w:tcW w:w="2875" w:type="dxa"/>
          </w:tcPr>
          <w:p w14:paraId="434DE5DA" w14:textId="77777777" w:rsidR="00EB7520" w:rsidRDefault="00EB7520" w:rsidP="000577F0">
            <w:pPr>
              <w:pStyle w:val="NoSpacing"/>
              <w:numPr>
                <w:ilvl w:val="0"/>
                <w:numId w:val="3"/>
              </w:numPr>
              <w:rPr>
                <w:sz w:val="20"/>
                <w:szCs w:val="20"/>
              </w:rPr>
            </w:pPr>
            <w:r>
              <w:rPr>
                <w:sz w:val="20"/>
                <w:szCs w:val="20"/>
              </w:rPr>
              <w:t>Reading activities</w:t>
            </w:r>
          </w:p>
          <w:p w14:paraId="5E42AF17" w14:textId="77777777" w:rsidR="00EB7520" w:rsidRDefault="00EB7520" w:rsidP="000577F0">
            <w:pPr>
              <w:pStyle w:val="NoSpacing"/>
              <w:numPr>
                <w:ilvl w:val="0"/>
                <w:numId w:val="3"/>
              </w:numPr>
              <w:rPr>
                <w:sz w:val="20"/>
                <w:szCs w:val="20"/>
              </w:rPr>
            </w:pPr>
            <w:r>
              <w:rPr>
                <w:sz w:val="20"/>
                <w:szCs w:val="20"/>
              </w:rPr>
              <w:t>Video activities</w:t>
            </w:r>
          </w:p>
          <w:p w14:paraId="277D3E84" w14:textId="2736ED69" w:rsidR="00EB7520" w:rsidRDefault="00EB7520" w:rsidP="000577F0">
            <w:pPr>
              <w:pStyle w:val="NoSpacing"/>
              <w:numPr>
                <w:ilvl w:val="0"/>
                <w:numId w:val="3"/>
              </w:numPr>
              <w:rPr>
                <w:sz w:val="20"/>
                <w:szCs w:val="20"/>
              </w:rPr>
            </w:pPr>
            <w:r>
              <w:rPr>
                <w:sz w:val="20"/>
                <w:szCs w:val="20"/>
              </w:rPr>
              <w:t>Chapter quiz</w:t>
            </w:r>
          </w:p>
        </w:tc>
      </w:tr>
      <w:tr w:rsidR="00EB7520" w:rsidRPr="00766087" w14:paraId="4EB572C4" w14:textId="77777777" w:rsidTr="00766087">
        <w:tc>
          <w:tcPr>
            <w:tcW w:w="985" w:type="dxa"/>
          </w:tcPr>
          <w:p w14:paraId="086BE5A5" w14:textId="0EC91FAB" w:rsidR="00EB7520" w:rsidRDefault="00EB7520" w:rsidP="00766087">
            <w:pPr>
              <w:pStyle w:val="NoSpacing"/>
              <w:jc w:val="center"/>
              <w:rPr>
                <w:sz w:val="20"/>
                <w:szCs w:val="20"/>
              </w:rPr>
            </w:pPr>
            <w:r>
              <w:rPr>
                <w:sz w:val="20"/>
                <w:szCs w:val="20"/>
              </w:rPr>
              <w:t>12</w:t>
            </w:r>
          </w:p>
        </w:tc>
        <w:tc>
          <w:tcPr>
            <w:tcW w:w="990" w:type="dxa"/>
          </w:tcPr>
          <w:p w14:paraId="2E55AB0B" w14:textId="56A2F800" w:rsidR="00EB7520" w:rsidRDefault="00EB7520" w:rsidP="00766087">
            <w:pPr>
              <w:pStyle w:val="NoSpacing"/>
              <w:jc w:val="center"/>
              <w:rPr>
                <w:sz w:val="20"/>
                <w:szCs w:val="20"/>
              </w:rPr>
            </w:pPr>
            <w:r>
              <w:rPr>
                <w:sz w:val="20"/>
                <w:szCs w:val="20"/>
              </w:rPr>
              <w:t>11/</w:t>
            </w:r>
            <w:r w:rsidR="0069109E">
              <w:rPr>
                <w:sz w:val="20"/>
                <w:szCs w:val="20"/>
              </w:rPr>
              <w:t>10</w:t>
            </w:r>
          </w:p>
        </w:tc>
        <w:tc>
          <w:tcPr>
            <w:tcW w:w="2250" w:type="dxa"/>
          </w:tcPr>
          <w:p w14:paraId="767A292A" w14:textId="77777777" w:rsidR="00EB7520" w:rsidRDefault="00EB7520" w:rsidP="000577F0">
            <w:pPr>
              <w:pStyle w:val="NoSpacing"/>
              <w:numPr>
                <w:ilvl w:val="0"/>
                <w:numId w:val="3"/>
              </w:numPr>
              <w:rPr>
                <w:sz w:val="20"/>
                <w:szCs w:val="20"/>
              </w:rPr>
            </w:pPr>
            <w:r>
              <w:rPr>
                <w:sz w:val="20"/>
                <w:szCs w:val="20"/>
              </w:rPr>
              <w:t>Differentiating instruction</w:t>
            </w:r>
          </w:p>
          <w:p w14:paraId="278F9AC1" w14:textId="39EF6E5F" w:rsidR="00EB7520" w:rsidRDefault="00EB7520" w:rsidP="000577F0">
            <w:pPr>
              <w:pStyle w:val="NoSpacing"/>
              <w:numPr>
                <w:ilvl w:val="0"/>
                <w:numId w:val="3"/>
              </w:numPr>
              <w:rPr>
                <w:sz w:val="20"/>
                <w:szCs w:val="20"/>
              </w:rPr>
            </w:pPr>
            <w:r>
              <w:rPr>
                <w:sz w:val="20"/>
                <w:szCs w:val="20"/>
              </w:rPr>
              <w:t>ADAPT framework</w:t>
            </w:r>
          </w:p>
        </w:tc>
        <w:tc>
          <w:tcPr>
            <w:tcW w:w="2250" w:type="dxa"/>
          </w:tcPr>
          <w:p w14:paraId="4B30A076" w14:textId="081DAAE4" w:rsidR="00EB7520" w:rsidRDefault="00EB7520" w:rsidP="000577F0">
            <w:pPr>
              <w:pStyle w:val="NoSpacing"/>
              <w:numPr>
                <w:ilvl w:val="0"/>
                <w:numId w:val="3"/>
              </w:numPr>
              <w:rPr>
                <w:sz w:val="20"/>
                <w:szCs w:val="20"/>
              </w:rPr>
            </w:pPr>
            <w:r>
              <w:rPr>
                <w:sz w:val="20"/>
                <w:szCs w:val="20"/>
              </w:rPr>
              <w:t>Bryant Chapter 7</w:t>
            </w:r>
          </w:p>
        </w:tc>
        <w:tc>
          <w:tcPr>
            <w:tcW w:w="2875" w:type="dxa"/>
          </w:tcPr>
          <w:p w14:paraId="63F2EFBC" w14:textId="77777777" w:rsidR="00EB7520" w:rsidRDefault="00EB7520" w:rsidP="000577F0">
            <w:pPr>
              <w:pStyle w:val="NoSpacing"/>
              <w:numPr>
                <w:ilvl w:val="0"/>
                <w:numId w:val="3"/>
              </w:numPr>
              <w:rPr>
                <w:sz w:val="20"/>
                <w:szCs w:val="20"/>
              </w:rPr>
            </w:pPr>
            <w:r>
              <w:rPr>
                <w:sz w:val="20"/>
                <w:szCs w:val="20"/>
              </w:rPr>
              <w:t>Reading activities</w:t>
            </w:r>
          </w:p>
          <w:p w14:paraId="19C70EF6" w14:textId="77777777" w:rsidR="00EB7520" w:rsidRDefault="00EB7520" w:rsidP="000577F0">
            <w:pPr>
              <w:pStyle w:val="NoSpacing"/>
              <w:numPr>
                <w:ilvl w:val="0"/>
                <w:numId w:val="3"/>
              </w:numPr>
              <w:rPr>
                <w:sz w:val="20"/>
                <w:szCs w:val="20"/>
              </w:rPr>
            </w:pPr>
            <w:r>
              <w:rPr>
                <w:sz w:val="20"/>
                <w:szCs w:val="20"/>
              </w:rPr>
              <w:t>Video activities</w:t>
            </w:r>
          </w:p>
          <w:p w14:paraId="2388B5DC" w14:textId="4BBA154A" w:rsidR="00EB7520" w:rsidRDefault="00EB7520" w:rsidP="000577F0">
            <w:pPr>
              <w:pStyle w:val="NoSpacing"/>
              <w:numPr>
                <w:ilvl w:val="0"/>
                <w:numId w:val="3"/>
              </w:numPr>
              <w:rPr>
                <w:sz w:val="20"/>
                <w:szCs w:val="20"/>
              </w:rPr>
            </w:pPr>
            <w:r>
              <w:rPr>
                <w:sz w:val="20"/>
                <w:szCs w:val="20"/>
              </w:rPr>
              <w:t>Chapter quiz</w:t>
            </w:r>
          </w:p>
        </w:tc>
      </w:tr>
      <w:tr w:rsidR="0069109E" w:rsidRPr="00766087" w14:paraId="22330FA6" w14:textId="77777777" w:rsidTr="00766087">
        <w:tc>
          <w:tcPr>
            <w:tcW w:w="985" w:type="dxa"/>
          </w:tcPr>
          <w:p w14:paraId="2EC1A9FB" w14:textId="2ED93D25" w:rsidR="0069109E" w:rsidRDefault="0069109E" w:rsidP="0069109E">
            <w:pPr>
              <w:pStyle w:val="NoSpacing"/>
              <w:jc w:val="center"/>
              <w:rPr>
                <w:sz w:val="20"/>
                <w:szCs w:val="20"/>
              </w:rPr>
            </w:pPr>
            <w:r>
              <w:rPr>
                <w:sz w:val="20"/>
                <w:szCs w:val="20"/>
              </w:rPr>
              <w:t>13</w:t>
            </w:r>
          </w:p>
        </w:tc>
        <w:tc>
          <w:tcPr>
            <w:tcW w:w="990" w:type="dxa"/>
          </w:tcPr>
          <w:p w14:paraId="56A2CB2A" w14:textId="5F0B909A" w:rsidR="0069109E" w:rsidRDefault="0069109E" w:rsidP="0069109E">
            <w:pPr>
              <w:pStyle w:val="NoSpacing"/>
              <w:jc w:val="center"/>
              <w:rPr>
                <w:sz w:val="20"/>
                <w:szCs w:val="20"/>
              </w:rPr>
            </w:pPr>
            <w:r>
              <w:rPr>
                <w:sz w:val="20"/>
                <w:szCs w:val="20"/>
              </w:rPr>
              <w:t>11/17</w:t>
            </w:r>
          </w:p>
        </w:tc>
        <w:tc>
          <w:tcPr>
            <w:tcW w:w="2250" w:type="dxa"/>
          </w:tcPr>
          <w:p w14:paraId="3E58E0F3" w14:textId="5C3D745C" w:rsidR="0069109E" w:rsidRDefault="0069109E" w:rsidP="0069109E">
            <w:pPr>
              <w:pStyle w:val="NoSpacing"/>
              <w:numPr>
                <w:ilvl w:val="0"/>
                <w:numId w:val="4"/>
              </w:numPr>
              <w:rPr>
                <w:sz w:val="20"/>
                <w:szCs w:val="20"/>
              </w:rPr>
            </w:pPr>
            <w:r>
              <w:rPr>
                <w:sz w:val="20"/>
                <w:szCs w:val="20"/>
              </w:rPr>
              <w:t>Unwrapping the standards &amp; TEKS</w:t>
            </w:r>
          </w:p>
        </w:tc>
        <w:tc>
          <w:tcPr>
            <w:tcW w:w="2250" w:type="dxa"/>
          </w:tcPr>
          <w:p w14:paraId="72BAAA2F" w14:textId="6183BD40" w:rsidR="0069109E" w:rsidRDefault="0069109E" w:rsidP="0069109E">
            <w:pPr>
              <w:pStyle w:val="NoSpacing"/>
              <w:rPr>
                <w:sz w:val="20"/>
                <w:szCs w:val="20"/>
              </w:rPr>
            </w:pPr>
          </w:p>
        </w:tc>
        <w:tc>
          <w:tcPr>
            <w:tcW w:w="2875" w:type="dxa"/>
          </w:tcPr>
          <w:p w14:paraId="7E1FBA17" w14:textId="77777777" w:rsidR="0069109E" w:rsidRDefault="0069109E" w:rsidP="0069109E">
            <w:pPr>
              <w:pStyle w:val="NoSpacing"/>
              <w:rPr>
                <w:sz w:val="20"/>
                <w:szCs w:val="20"/>
              </w:rPr>
            </w:pPr>
          </w:p>
        </w:tc>
      </w:tr>
      <w:tr w:rsidR="0069109E" w:rsidRPr="00766087" w14:paraId="2FCE5F57" w14:textId="77777777" w:rsidTr="00EB7520">
        <w:tc>
          <w:tcPr>
            <w:tcW w:w="9350" w:type="dxa"/>
            <w:gridSpan w:val="5"/>
            <w:shd w:val="clear" w:color="auto" w:fill="F2F2F2" w:themeFill="background1" w:themeFillShade="F2"/>
          </w:tcPr>
          <w:p w14:paraId="2125522D" w14:textId="18E131F5" w:rsidR="0069109E" w:rsidRDefault="0069109E" w:rsidP="0069109E">
            <w:pPr>
              <w:pStyle w:val="NoSpacing"/>
              <w:jc w:val="center"/>
              <w:rPr>
                <w:sz w:val="20"/>
                <w:szCs w:val="20"/>
              </w:rPr>
            </w:pPr>
            <w:r w:rsidRPr="000577F0">
              <w:rPr>
                <w:b/>
                <w:bCs/>
                <w:sz w:val="20"/>
                <w:szCs w:val="20"/>
              </w:rPr>
              <w:t xml:space="preserve">---- NO CLASS </w:t>
            </w:r>
            <w:r>
              <w:rPr>
                <w:b/>
                <w:bCs/>
                <w:sz w:val="20"/>
                <w:szCs w:val="20"/>
              </w:rPr>
              <w:t>11</w:t>
            </w:r>
            <w:r w:rsidRPr="000577F0">
              <w:rPr>
                <w:b/>
                <w:bCs/>
                <w:sz w:val="20"/>
                <w:szCs w:val="20"/>
              </w:rPr>
              <w:t>/</w:t>
            </w:r>
            <w:r>
              <w:rPr>
                <w:b/>
                <w:bCs/>
                <w:sz w:val="20"/>
                <w:szCs w:val="20"/>
              </w:rPr>
              <w:t>24 / THANKSGIVING BREAK</w:t>
            </w:r>
            <w:r w:rsidRPr="000577F0">
              <w:rPr>
                <w:b/>
                <w:bCs/>
                <w:sz w:val="20"/>
                <w:szCs w:val="20"/>
              </w:rPr>
              <w:t xml:space="preserve"> ----</w:t>
            </w:r>
          </w:p>
        </w:tc>
      </w:tr>
      <w:tr w:rsidR="0069109E" w:rsidRPr="00766087" w14:paraId="6FF2023B" w14:textId="77777777" w:rsidTr="00290EDF">
        <w:tc>
          <w:tcPr>
            <w:tcW w:w="985" w:type="dxa"/>
          </w:tcPr>
          <w:p w14:paraId="049D1911" w14:textId="0F75384C" w:rsidR="0069109E" w:rsidRDefault="0069109E" w:rsidP="0069109E">
            <w:pPr>
              <w:pStyle w:val="NoSpacing"/>
              <w:jc w:val="center"/>
              <w:rPr>
                <w:sz w:val="20"/>
                <w:szCs w:val="20"/>
              </w:rPr>
            </w:pPr>
            <w:r>
              <w:rPr>
                <w:sz w:val="20"/>
                <w:szCs w:val="20"/>
              </w:rPr>
              <w:t>14</w:t>
            </w:r>
          </w:p>
        </w:tc>
        <w:tc>
          <w:tcPr>
            <w:tcW w:w="990" w:type="dxa"/>
          </w:tcPr>
          <w:p w14:paraId="19D76045" w14:textId="7F3286E1" w:rsidR="0069109E" w:rsidRDefault="0069109E" w:rsidP="0069109E">
            <w:pPr>
              <w:pStyle w:val="NoSpacing"/>
              <w:jc w:val="center"/>
              <w:rPr>
                <w:sz w:val="20"/>
                <w:szCs w:val="20"/>
              </w:rPr>
            </w:pPr>
            <w:r>
              <w:rPr>
                <w:sz w:val="20"/>
                <w:szCs w:val="20"/>
              </w:rPr>
              <w:t>12/1</w:t>
            </w:r>
          </w:p>
        </w:tc>
        <w:tc>
          <w:tcPr>
            <w:tcW w:w="4500" w:type="dxa"/>
            <w:gridSpan w:val="2"/>
          </w:tcPr>
          <w:p w14:paraId="49A06C0C" w14:textId="0DBBE289" w:rsidR="0069109E" w:rsidRDefault="0069109E" w:rsidP="0069109E">
            <w:pPr>
              <w:pStyle w:val="NoSpacing"/>
              <w:jc w:val="center"/>
              <w:rPr>
                <w:sz w:val="20"/>
                <w:szCs w:val="20"/>
              </w:rPr>
            </w:pPr>
            <w:r>
              <w:rPr>
                <w:sz w:val="20"/>
                <w:szCs w:val="20"/>
              </w:rPr>
              <w:t>---- In-Class Poster Presentations ----</w:t>
            </w:r>
          </w:p>
        </w:tc>
        <w:tc>
          <w:tcPr>
            <w:tcW w:w="2875" w:type="dxa"/>
          </w:tcPr>
          <w:p w14:paraId="2A5DEA4B" w14:textId="43916FE0" w:rsidR="0069109E" w:rsidRDefault="0069109E" w:rsidP="0069109E">
            <w:pPr>
              <w:pStyle w:val="NoSpacing"/>
              <w:numPr>
                <w:ilvl w:val="0"/>
                <w:numId w:val="3"/>
              </w:numPr>
              <w:rPr>
                <w:sz w:val="20"/>
                <w:szCs w:val="20"/>
              </w:rPr>
            </w:pPr>
            <w:r>
              <w:rPr>
                <w:sz w:val="20"/>
                <w:szCs w:val="20"/>
              </w:rPr>
              <w:t>Differentiation poster presentation</w:t>
            </w:r>
          </w:p>
        </w:tc>
      </w:tr>
    </w:tbl>
    <w:p w14:paraId="702A3419" w14:textId="77777777" w:rsidR="00766087" w:rsidRDefault="00766087" w:rsidP="00766087">
      <w:pPr>
        <w:pStyle w:val="NoSpacing"/>
      </w:pPr>
    </w:p>
    <w:p w14:paraId="2718B05A" w14:textId="1E81F6E6" w:rsidR="00EB7520" w:rsidRDefault="00EB7520" w:rsidP="00EB7520">
      <w:pPr>
        <w:pStyle w:val="NoSpacing"/>
        <w:jc w:val="center"/>
        <w:rPr>
          <w:b/>
          <w:bCs/>
        </w:rPr>
      </w:pPr>
      <w:r>
        <w:rPr>
          <w:b/>
          <w:bCs/>
        </w:rPr>
        <w:t>Course Policies</w:t>
      </w:r>
    </w:p>
    <w:p w14:paraId="6FCFC052" w14:textId="77777777" w:rsidR="00EB7520" w:rsidRDefault="00EB7520" w:rsidP="00EB7520">
      <w:pPr>
        <w:pStyle w:val="NoSpacing"/>
        <w:rPr>
          <w:b/>
          <w:bCs/>
        </w:rPr>
      </w:pPr>
    </w:p>
    <w:p w14:paraId="1D7DF963" w14:textId="4F75639D" w:rsidR="00EB7520" w:rsidRDefault="00EB7520" w:rsidP="00EB7520">
      <w:pPr>
        <w:pStyle w:val="NoSpacing"/>
        <w:rPr>
          <w:b/>
          <w:bCs/>
        </w:rPr>
      </w:pPr>
      <w:r>
        <w:rPr>
          <w:b/>
          <w:bCs/>
        </w:rPr>
        <w:t>Communication</w:t>
      </w:r>
    </w:p>
    <w:p w14:paraId="460F9342" w14:textId="77777777" w:rsidR="00EB7520" w:rsidRDefault="00EB7520" w:rsidP="00EB7520">
      <w:pPr>
        <w:pStyle w:val="NoSpacing"/>
        <w:rPr>
          <w:b/>
          <w:bCs/>
        </w:rPr>
      </w:pPr>
    </w:p>
    <w:p w14:paraId="7EF991B8" w14:textId="7674DD06" w:rsidR="00EB7520" w:rsidRDefault="00EB7520" w:rsidP="00EB7520">
      <w:pPr>
        <w:pStyle w:val="NoSpacing"/>
      </w:pPr>
      <w:r>
        <w:t xml:space="preserve">I will use office hours and Canvas, </w:t>
      </w:r>
      <w:r>
        <w:rPr>
          <w:u w:val="single"/>
        </w:rPr>
        <w:t>instead of email</w:t>
      </w:r>
      <w:r>
        <w:t xml:space="preserve">, for all non-personal communication. </w:t>
      </w:r>
      <w:r w:rsidR="00045F71">
        <w:t xml:space="preserve">For </w:t>
      </w:r>
      <w:r w:rsidR="00045F71" w:rsidRPr="00F44317">
        <w:rPr>
          <w:u w:val="single"/>
        </w:rPr>
        <w:t>content-related questions</w:t>
      </w:r>
      <w:r w:rsidR="00045F71">
        <w:t>, please post your question to CONTENT QUESTIONS</w:t>
      </w:r>
      <w:r w:rsidR="00F44317">
        <w:t xml:space="preserve"> forum</w:t>
      </w:r>
      <w:r w:rsidR="00045F71">
        <w:t>.</w:t>
      </w:r>
      <w:r w:rsidR="00F44317">
        <w:t xml:space="preserve"> For </w:t>
      </w:r>
      <w:r w:rsidR="00F44317">
        <w:rPr>
          <w:u w:val="single"/>
        </w:rPr>
        <w:t>non-content questions</w:t>
      </w:r>
      <w:r w:rsidR="00F44317">
        <w:t xml:space="preserve">, such as questions related to policies, due dates, assignments, class times, etc., please use ADMIN QUESTIONS forum. If a question has not already been answered by another student, I will try to respond to questions within one business day (24 hours, except on weekends). </w:t>
      </w:r>
      <w:r w:rsidR="00F44317">
        <w:rPr>
          <w:u w:val="single"/>
        </w:rPr>
        <w:t>Please use e-mail only for questions of a personal nature</w:t>
      </w:r>
      <w:r w:rsidR="00F44317">
        <w:t xml:space="preserve">. If you email me a non-personal question, I will redirect your question to the appropriate forum. Office hours are held in-person in my office (Matt 322FA) on Mondays and </w:t>
      </w:r>
      <w:proofErr w:type="gramStart"/>
      <w:r w:rsidR="00F44317">
        <w:t>Thursdays</w:t>
      </w:r>
      <w:proofErr w:type="gramEnd"/>
      <w:r w:rsidR="00F44317">
        <w:t xml:space="preserve"> 9:00AM to 12:00PM. </w:t>
      </w:r>
      <w:r w:rsidR="008E4F3F">
        <w:t xml:space="preserve">For other appointments, please email me at least 24 hours prior to the requested date and time. </w:t>
      </w:r>
    </w:p>
    <w:p w14:paraId="43311577" w14:textId="77777777" w:rsidR="00376C34" w:rsidRDefault="00376C34" w:rsidP="00EB7520">
      <w:pPr>
        <w:pStyle w:val="NoSpacing"/>
      </w:pPr>
    </w:p>
    <w:p w14:paraId="2E199E9D" w14:textId="2D37178A" w:rsidR="00376C34" w:rsidRDefault="00376C34" w:rsidP="00EB7520">
      <w:pPr>
        <w:pStyle w:val="NoSpacing"/>
      </w:pPr>
      <w:r>
        <w:t xml:space="preserve">My general philosophy is, if you keep an open line of communication, I am willing to work with you to ensure that you are successful </w:t>
      </w:r>
      <w:proofErr w:type="gramStart"/>
      <w:r>
        <w:t>in</w:t>
      </w:r>
      <w:proofErr w:type="gramEnd"/>
      <w:r>
        <w:t xml:space="preserve"> this course. If you anticipate not being able to make a </w:t>
      </w:r>
      <w:r>
        <w:lastRenderedPageBreak/>
        <w:t>class or due date, please email me beforehand. Requests for an extension the night before an assignment is due will not be considered, however.</w:t>
      </w:r>
    </w:p>
    <w:p w14:paraId="0DCFCE22" w14:textId="77777777" w:rsidR="007D0F3B" w:rsidRDefault="007D0F3B" w:rsidP="00EB7520">
      <w:pPr>
        <w:pStyle w:val="NoSpacing"/>
      </w:pPr>
    </w:p>
    <w:p w14:paraId="0BCA4AC2" w14:textId="63FAE7F4" w:rsidR="007D0F3B" w:rsidRDefault="007D0F3B" w:rsidP="00EB7520">
      <w:pPr>
        <w:pStyle w:val="NoSpacing"/>
        <w:rPr>
          <w:b/>
          <w:bCs/>
        </w:rPr>
      </w:pPr>
      <w:r>
        <w:rPr>
          <w:b/>
          <w:bCs/>
        </w:rPr>
        <w:t>Attendance</w:t>
      </w:r>
    </w:p>
    <w:p w14:paraId="6989A822" w14:textId="77777777" w:rsidR="007D0F3B" w:rsidRDefault="007D0F3B" w:rsidP="00EB7520">
      <w:pPr>
        <w:pStyle w:val="NoSpacing"/>
        <w:rPr>
          <w:b/>
          <w:bCs/>
        </w:rPr>
      </w:pPr>
    </w:p>
    <w:p w14:paraId="769E168A" w14:textId="1BDFAD2C" w:rsidR="007D0F3B" w:rsidRDefault="007D0F3B" w:rsidP="00EB7520">
      <w:pPr>
        <w:pStyle w:val="NoSpacing"/>
      </w:pPr>
      <w:r>
        <w:t xml:space="preserve">Attendance to all in-person classes is required. Please contact me as soon as possible if there are extenuating circumstances for missing more than one class. Information about the University of North Texas’ Attendance Policy may be found at: </w:t>
      </w:r>
      <w:hyperlink r:id="rId8">
        <w:r w:rsidR="00EE3736">
          <w:rPr>
            <w:color w:val="1155CC"/>
            <w:u w:val="single"/>
          </w:rPr>
          <w:t>http://policy.unt.edu/policy/15-2-5</w:t>
        </w:r>
      </w:hyperlink>
      <w:r w:rsidR="00EE3736">
        <w:t>.</w:t>
      </w:r>
    </w:p>
    <w:p w14:paraId="6749ECA6" w14:textId="77777777" w:rsidR="00EE3736" w:rsidRDefault="00EE3736" w:rsidP="00EB7520">
      <w:pPr>
        <w:pStyle w:val="NoSpacing"/>
      </w:pPr>
    </w:p>
    <w:p w14:paraId="542D1E25" w14:textId="65983FBD" w:rsidR="00EE3736" w:rsidRDefault="00A01951" w:rsidP="00EB7520">
      <w:pPr>
        <w:pStyle w:val="NoSpacing"/>
      </w:pPr>
      <w:r w:rsidRPr="00A01951">
        <w:t xml:space="preserve">Students are expected to attend </w:t>
      </w:r>
      <w:proofErr w:type="gramStart"/>
      <w:r w:rsidRPr="00A01951">
        <w:t>face to face</w:t>
      </w:r>
      <w:proofErr w:type="gramEnd"/>
      <w:r w:rsidRPr="00A01951">
        <w:t xml:space="preserve">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We have in class group work that may include assigned participation points on a weekly basis. </w:t>
      </w:r>
      <w:r w:rsidRPr="00A01951">
        <w:rPr>
          <w:u w:val="single"/>
        </w:rPr>
        <w:t>If you miss more than two classes</w:t>
      </w:r>
      <w:r w:rsidRPr="00A01951">
        <w:t xml:space="preserve"> (which is equivalent to almost 6 instructional hours), you will receive a failing grade unless </w:t>
      </w:r>
      <w:proofErr w:type="gramStart"/>
      <w:r w:rsidRPr="00A01951">
        <w:t>agreed upon circumstances</w:t>
      </w:r>
      <w:proofErr w:type="gramEnd"/>
      <w:r w:rsidRPr="00A01951">
        <w:t xml:space="preserve"> between you and the university allow it (allowed absences are described in the link above). Students who miss more than a half-hour of class will be considered absent from that class meeting. Chronic tardiness or early departure (arriving more than 15 minutes late or leaving more than 15 minutes early) will result in the lowering of a final grade at my discretion. Please </w:t>
      </w:r>
      <w:proofErr w:type="gramStart"/>
      <w:r w:rsidRPr="00A01951">
        <w:t>note:</w:t>
      </w:r>
      <w:proofErr w:type="gramEnd"/>
      <w:r w:rsidRPr="00A01951">
        <w:t xml:space="preserve"> it is your responsibility to drop this course, if necessary.</w:t>
      </w:r>
    </w:p>
    <w:p w14:paraId="01E7D341" w14:textId="77777777" w:rsidR="005B4E91" w:rsidRDefault="005B4E91" w:rsidP="00EB7520">
      <w:pPr>
        <w:pStyle w:val="NoSpacing"/>
      </w:pPr>
    </w:p>
    <w:p w14:paraId="59A0BDD7" w14:textId="62B80562" w:rsidR="005B4E91" w:rsidRDefault="005B4E91" w:rsidP="00EB7520">
      <w:pPr>
        <w:pStyle w:val="NoSpacing"/>
        <w:rPr>
          <w:b/>
          <w:bCs/>
        </w:rPr>
      </w:pPr>
      <w:r>
        <w:rPr>
          <w:b/>
          <w:bCs/>
        </w:rPr>
        <w:t>Assignments</w:t>
      </w:r>
    </w:p>
    <w:p w14:paraId="23E66F9F" w14:textId="77777777" w:rsidR="005B4E91" w:rsidRDefault="005B4E91" w:rsidP="00EB7520">
      <w:pPr>
        <w:pStyle w:val="NoSpacing"/>
        <w:rPr>
          <w:b/>
          <w:bCs/>
        </w:rPr>
      </w:pPr>
    </w:p>
    <w:p w14:paraId="06A0CCAD" w14:textId="06B22A17" w:rsidR="005B4E91" w:rsidRDefault="00082126" w:rsidP="00EB7520">
      <w:pPr>
        <w:pStyle w:val="NoSpacing"/>
      </w:pPr>
      <w:r w:rsidRPr="00082126">
        <w:t>For all assignments: Remember it is KEY to keep confidentiality in place (e.g., do not include or discuss the student’s name, etc.) with your instructor, classmates, family members, etc. All assignments must be submitted electronically using Canvas as a WORD document. Most assignments are due on Sundays at 11:59 p.m. unless otherwise noted.</w:t>
      </w:r>
    </w:p>
    <w:p w14:paraId="2ADD3F68" w14:textId="77777777" w:rsidR="00E821AC" w:rsidRDefault="00E821AC" w:rsidP="00EB7520">
      <w:pPr>
        <w:pStyle w:val="NoSpacing"/>
      </w:pPr>
    </w:p>
    <w:p w14:paraId="2B498529" w14:textId="455FA59A" w:rsidR="00E821AC" w:rsidRDefault="00E821AC" w:rsidP="00EB7520">
      <w:pPr>
        <w:pStyle w:val="NoSpacing"/>
        <w:rPr>
          <w:i/>
          <w:iCs/>
        </w:rPr>
      </w:pPr>
      <w:r>
        <w:rPr>
          <w:i/>
          <w:iCs/>
        </w:rPr>
        <w:t>Late Assignments</w:t>
      </w:r>
    </w:p>
    <w:p w14:paraId="7ED93976" w14:textId="77777777" w:rsidR="00E821AC" w:rsidRDefault="00E821AC" w:rsidP="00EB7520">
      <w:pPr>
        <w:pStyle w:val="NoSpacing"/>
        <w:rPr>
          <w:i/>
          <w:iCs/>
        </w:rPr>
      </w:pPr>
    </w:p>
    <w:p w14:paraId="002876F8" w14:textId="0B34E7A9" w:rsidR="00E821AC" w:rsidRDefault="00537D54" w:rsidP="00EB7520">
      <w:pPr>
        <w:pStyle w:val="NoSpacing"/>
      </w:pPr>
      <w:r w:rsidRPr="00537D54">
        <w:t xml:space="preserve">Assignments should be submitted through Canvas by 11:59PM CST on the day they are due, unless other directions are provided by the instructor. Assignments turned in after the date due will be considered late. Five-to-twenty percentage points will be deducted for assignments turned in late (5% for 1-2 days; 10% for 3-4 days; 15% for 5-6 days; 20% for 7 days). Unless previous written discussion and agreement occurs between the instructor and student, assignments submitted more than one week </w:t>
      </w:r>
      <w:proofErr w:type="gramStart"/>
      <w:r w:rsidRPr="00537D54">
        <w:t>late</w:t>
      </w:r>
      <w:proofErr w:type="gramEnd"/>
      <w:r w:rsidRPr="00537D54">
        <w:t xml:space="preserve"> will receive zero points. </w:t>
      </w:r>
      <w:r w:rsidRPr="00537D54">
        <w:rPr>
          <w:i/>
          <w:iCs/>
        </w:rPr>
        <w:t xml:space="preserve">Please note that quizzes do not receive any points if </w:t>
      </w:r>
      <w:proofErr w:type="gramStart"/>
      <w:r w:rsidRPr="00537D54">
        <w:rPr>
          <w:i/>
          <w:iCs/>
        </w:rPr>
        <w:t>late</w:t>
      </w:r>
      <w:proofErr w:type="gramEnd"/>
      <w:r w:rsidRPr="00537D54">
        <w:rPr>
          <w:i/>
          <w:iCs/>
        </w:rPr>
        <w:t>.</w:t>
      </w:r>
      <w:r w:rsidRPr="00537D54">
        <w:t xml:space="preserve"> The date that assignments are received by the instructor in Canvas will be considered the date submitted. </w:t>
      </w:r>
      <w:r w:rsidRPr="00537D54">
        <w:rPr>
          <w:u w:val="single"/>
        </w:rPr>
        <w:t>The final assignment is exempt from the late assignment allowances (so please turn it in on time!)</w:t>
      </w:r>
      <w:r w:rsidRPr="00537D54">
        <w:t xml:space="preserve"> because final grades must be submitted to the University.</w:t>
      </w:r>
    </w:p>
    <w:p w14:paraId="7C72A11C" w14:textId="77777777" w:rsidR="0099492D" w:rsidRDefault="0099492D" w:rsidP="00EB7520">
      <w:pPr>
        <w:pStyle w:val="NoSpacing"/>
      </w:pPr>
    </w:p>
    <w:p w14:paraId="70E0A76F" w14:textId="0405121B" w:rsidR="0099492D" w:rsidRDefault="0099492D" w:rsidP="00EB7520">
      <w:pPr>
        <w:pStyle w:val="NoSpacing"/>
        <w:rPr>
          <w:i/>
          <w:iCs/>
        </w:rPr>
      </w:pPr>
      <w:r>
        <w:rPr>
          <w:i/>
          <w:iCs/>
        </w:rPr>
        <w:t>Grading</w:t>
      </w:r>
    </w:p>
    <w:p w14:paraId="433C0B21" w14:textId="77777777" w:rsidR="0099492D" w:rsidRDefault="0099492D" w:rsidP="00EB7520">
      <w:pPr>
        <w:pStyle w:val="NoSpacing"/>
        <w:rPr>
          <w:i/>
          <w:iCs/>
        </w:rPr>
      </w:pPr>
    </w:p>
    <w:p w14:paraId="46CD9BE9" w14:textId="77777777" w:rsidR="0099492D" w:rsidRDefault="0099492D" w:rsidP="0099492D">
      <w:pPr>
        <w:pStyle w:val="NoSpacing"/>
      </w:pPr>
      <w:r>
        <w:lastRenderedPageBreak/>
        <w:t>Unless I have made a calculation error, I do not engage in conversations regarding changing grades. If you believe I have made a calculation error, you may email me within one week of receiving a grade to discuss. If you are concerned about your performance and want to work to improve your grade on future assignments, I am happy to speak with you during office hours.</w:t>
      </w:r>
    </w:p>
    <w:p w14:paraId="181EC2F8" w14:textId="77777777" w:rsidR="0099492D" w:rsidRDefault="0099492D" w:rsidP="00EB7520">
      <w:pPr>
        <w:pStyle w:val="NoSpacing"/>
        <w:rPr>
          <w:b/>
          <w:bCs/>
        </w:rPr>
      </w:pPr>
    </w:p>
    <w:p w14:paraId="295F27CF" w14:textId="77777777" w:rsidR="00EE74D2" w:rsidRPr="00F16DF8" w:rsidRDefault="00EE74D2" w:rsidP="00EE74D2">
      <w:pPr>
        <w:rPr>
          <w:b/>
          <w:bCs/>
        </w:rPr>
      </w:pPr>
      <w:r>
        <w:rPr>
          <w:b/>
          <w:bCs/>
        </w:rPr>
        <w:t xml:space="preserve">Artificial Intelligence (AI) </w:t>
      </w:r>
    </w:p>
    <w:p w14:paraId="32787F5A" w14:textId="77777777" w:rsidR="00EE74D2" w:rsidRDefault="00EE74D2" w:rsidP="00EB7520">
      <w:pPr>
        <w:pStyle w:val="NoSpacing"/>
        <w:rPr>
          <w:b/>
          <w:bCs/>
        </w:rPr>
      </w:pPr>
    </w:p>
    <w:p w14:paraId="5BFB21E6" w14:textId="77777777" w:rsidR="00474135" w:rsidRDefault="00474135" w:rsidP="00474135">
      <w:r>
        <w:t xml:space="preserve">Your credibility as a writer and student relies on both generating your own ideas in your own words and giving attribution (credit) to sources. Al is increasingly available and will undoubtedly be part of your career. Therefore, understanding its uses without depending on it, is an essential skill. That distinction, and strong writing itself, relies on critical thinking and employing strategies to develop ideas and assess arguments. So, while some assignments may invite the use of online tools to get things started, or to review grammar, etc., the core expectation for our class is that the work you submit is your own original writing. Using the work of someone else including Al, and without citing it, is a form of cheating/plagiarism. </w:t>
      </w:r>
    </w:p>
    <w:p w14:paraId="78897C7B" w14:textId="77777777" w:rsidR="00474135" w:rsidRDefault="00474135" w:rsidP="00474135"/>
    <w:p w14:paraId="4C504C12" w14:textId="543E63DA" w:rsidR="00474135" w:rsidRDefault="00474135" w:rsidP="00474135">
      <w:r>
        <w:t xml:space="preserve">Again, you may use AI </w:t>
      </w:r>
      <w:proofErr w:type="gramStart"/>
      <w:r>
        <w:t>to:</w:t>
      </w:r>
      <w:proofErr w:type="gramEnd"/>
      <w:r>
        <w:t xml:space="preserve"> help you start an outline, start a sentence, start a paragraph, or check grammar (</w:t>
      </w:r>
      <w:proofErr w:type="spellStart"/>
      <w:r>
        <w:t>grammarly</w:t>
      </w:r>
      <w:proofErr w:type="spellEnd"/>
      <w:r>
        <w:t xml:space="preserve">), but outside of that, you need to be doing your own writing. I will reach out to you if your AI use is over a certain percentage! </w:t>
      </w:r>
    </w:p>
    <w:p w14:paraId="19B0728C" w14:textId="77777777" w:rsidR="00EE74D2" w:rsidRDefault="00EE74D2" w:rsidP="00EB7520">
      <w:pPr>
        <w:pStyle w:val="NoSpacing"/>
        <w:rPr>
          <w:b/>
          <w:bCs/>
        </w:rPr>
      </w:pPr>
    </w:p>
    <w:p w14:paraId="6D09B95D" w14:textId="53BA6826" w:rsidR="00537D54" w:rsidRDefault="00537D54" w:rsidP="00EB7520">
      <w:pPr>
        <w:pStyle w:val="NoSpacing"/>
        <w:rPr>
          <w:b/>
          <w:bCs/>
        </w:rPr>
      </w:pPr>
      <w:r>
        <w:rPr>
          <w:b/>
          <w:bCs/>
        </w:rPr>
        <w:t>APA Guidelines</w:t>
      </w:r>
    </w:p>
    <w:p w14:paraId="5EA0653D" w14:textId="77777777" w:rsidR="00537D54" w:rsidRDefault="00537D54" w:rsidP="00EB7520">
      <w:pPr>
        <w:pStyle w:val="NoSpacing"/>
        <w:rPr>
          <w:b/>
          <w:bCs/>
        </w:rPr>
      </w:pPr>
    </w:p>
    <w:p w14:paraId="4A4961A0" w14:textId="7FBE3714" w:rsidR="00537D54" w:rsidRDefault="004701C6" w:rsidP="00EB7520">
      <w:pPr>
        <w:pStyle w:val="NoSpacing"/>
      </w:pPr>
      <w:r w:rsidRPr="004701C6">
        <w:t>As a professional disposition for teachers, educational researchers, and other educators, our field follows the American Psychological Association (APA) guidelines for writing and publishing in the social and behavioral sciences. Therefore, it is a requirement in this class for you to use APA style when writing for any assignment. The APA guidelines can be found in the APA manual 7th edition (http://www.apastyle.org). All assignments will be graded with these guidelines in mind.</w:t>
      </w:r>
    </w:p>
    <w:p w14:paraId="4DD53D38" w14:textId="77777777" w:rsidR="004701C6" w:rsidRDefault="004701C6" w:rsidP="00EB7520">
      <w:pPr>
        <w:pStyle w:val="NoSpacing"/>
      </w:pPr>
    </w:p>
    <w:p w14:paraId="266F8802" w14:textId="60221502" w:rsidR="004701C6" w:rsidRDefault="00EF653E" w:rsidP="00EB7520">
      <w:pPr>
        <w:pStyle w:val="NoSpacing"/>
        <w:rPr>
          <w:b/>
          <w:bCs/>
        </w:rPr>
      </w:pPr>
      <w:r>
        <w:rPr>
          <w:b/>
          <w:bCs/>
        </w:rPr>
        <w:t>Self-Care During Class</w:t>
      </w:r>
    </w:p>
    <w:p w14:paraId="33CAC096" w14:textId="77777777" w:rsidR="00EF653E" w:rsidRDefault="00EF653E" w:rsidP="00EB7520">
      <w:pPr>
        <w:pStyle w:val="NoSpacing"/>
        <w:rPr>
          <w:b/>
          <w:bCs/>
        </w:rPr>
      </w:pPr>
    </w:p>
    <w:p w14:paraId="4FD08D1E" w14:textId="5B9602B0" w:rsidR="00EF653E" w:rsidRDefault="006F35D5" w:rsidP="00EB7520">
      <w:pPr>
        <w:pStyle w:val="NoSpacing"/>
        <w:rPr>
          <w:lang w:val="en"/>
        </w:rPr>
      </w:pPr>
      <w:r w:rsidRPr="006F35D5">
        <w:rPr>
          <w:lang w:val="en"/>
        </w:rPr>
        <w:t>You should always feel free to take care of yourself, as needed in class. This includes snacks, drinks, bathroom breaks, and just standing and stretching. You can also ask for a class short class stretch break at any time.</w:t>
      </w:r>
    </w:p>
    <w:p w14:paraId="31CF4A53" w14:textId="77777777" w:rsidR="006F35D5" w:rsidRDefault="006F35D5" w:rsidP="00EB7520">
      <w:pPr>
        <w:pStyle w:val="NoSpacing"/>
        <w:rPr>
          <w:lang w:val="en"/>
        </w:rPr>
      </w:pPr>
    </w:p>
    <w:p w14:paraId="0D653A6D" w14:textId="28F0D46D" w:rsidR="006F35D5" w:rsidRDefault="006F35D5" w:rsidP="00EB7520">
      <w:pPr>
        <w:pStyle w:val="NoSpacing"/>
        <w:rPr>
          <w:b/>
          <w:bCs/>
          <w:lang w:val="en"/>
        </w:rPr>
      </w:pPr>
      <w:proofErr w:type="gramStart"/>
      <w:r>
        <w:rPr>
          <w:b/>
          <w:bCs/>
          <w:lang w:val="en"/>
        </w:rPr>
        <w:t>Accommodations</w:t>
      </w:r>
      <w:proofErr w:type="gramEnd"/>
      <w:r>
        <w:rPr>
          <w:b/>
          <w:bCs/>
          <w:lang w:val="en"/>
        </w:rPr>
        <w:t xml:space="preserve"> for Students with Disabilities</w:t>
      </w:r>
    </w:p>
    <w:p w14:paraId="65E4D186" w14:textId="77777777" w:rsidR="006F35D5" w:rsidRDefault="006F35D5" w:rsidP="00EB7520">
      <w:pPr>
        <w:pStyle w:val="NoSpacing"/>
        <w:rPr>
          <w:b/>
          <w:bCs/>
          <w:lang w:val="en"/>
        </w:rPr>
      </w:pPr>
    </w:p>
    <w:p w14:paraId="39C49371" w14:textId="6B299585" w:rsidR="006F35D5" w:rsidRDefault="006F35D5" w:rsidP="00EB7520">
      <w:pPr>
        <w:pStyle w:val="NoSpacing"/>
      </w:pPr>
      <w:r w:rsidRPr="006F35D5">
        <w:rPr>
          <w:lang w:val="en"/>
        </w:rPr>
        <w:t xml:space="preserve">Please see me individually within the first two weeks of class if you have any special needs or require any special </w:t>
      </w:r>
      <w:proofErr w:type="gramStart"/>
      <w:r w:rsidRPr="006F35D5">
        <w:rPr>
          <w:lang w:val="en"/>
        </w:rPr>
        <w:t>accommodations</w:t>
      </w:r>
      <w:proofErr w:type="gramEnd"/>
      <w:r w:rsidRPr="006F35D5">
        <w:rPr>
          <w:lang w:val="en"/>
        </w:rPr>
        <w:t xml:space="preserve"> as the result of a documented disability.</w:t>
      </w:r>
      <w:r w:rsidR="0049619E">
        <w:rPr>
          <w:lang w:val="en"/>
        </w:rPr>
        <w:t xml:space="preserve"> </w:t>
      </w:r>
      <w:r w:rsidR="0049619E" w:rsidRPr="0049619E">
        <w:rPr>
          <w:lang w:val="en"/>
        </w:rPr>
        <w:t xml:space="preserve">The </w:t>
      </w:r>
      <w:r w:rsidR="00DB495B">
        <w:rPr>
          <w:lang w:val="en"/>
        </w:rPr>
        <w:t>Office of Disability Access (ODA)</w:t>
      </w:r>
      <w:r w:rsidR="0049619E" w:rsidRPr="0049619E">
        <w:rPr>
          <w:lang w:val="en"/>
        </w:rPr>
        <w:t xml:space="preserve"> can help you document your disability </w:t>
      </w:r>
      <w:r w:rsidR="00E507A0">
        <w:rPr>
          <w:lang w:val="en"/>
        </w:rPr>
        <w:t>(</w:t>
      </w:r>
      <w:hyperlink r:id="rId9" w:history="1">
        <w:r w:rsidR="00E507A0" w:rsidRPr="005B5DD4">
          <w:rPr>
            <w:rStyle w:val="Hyperlink"/>
          </w:rPr>
          <w:t>http://www.unt.edu/oda</w:t>
        </w:r>
      </w:hyperlink>
      <w:r w:rsidR="00E507A0">
        <w:t xml:space="preserve">). </w:t>
      </w:r>
    </w:p>
    <w:p w14:paraId="2353A710" w14:textId="77777777" w:rsidR="00E507A0" w:rsidRDefault="00E507A0" w:rsidP="00EB7520">
      <w:pPr>
        <w:pStyle w:val="NoSpacing"/>
      </w:pPr>
    </w:p>
    <w:p w14:paraId="4A05E5B8" w14:textId="65A25DA8" w:rsidR="00E507A0" w:rsidRDefault="00E507A0" w:rsidP="00E507A0">
      <w:pPr>
        <w:pStyle w:val="NoSpacing"/>
        <w:jc w:val="center"/>
        <w:rPr>
          <w:b/>
          <w:bCs/>
        </w:rPr>
      </w:pPr>
      <w:r>
        <w:rPr>
          <w:b/>
          <w:bCs/>
        </w:rPr>
        <w:t>University Policies</w:t>
      </w:r>
    </w:p>
    <w:p w14:paraId="2E116CA3" w14:textId="77777777" w:rsidR="00E507A0" w:rsidRDefault="00E507A0" w:rsidP="00E507A0">
      <w:pPr>
        <w:pStyle w:val="NoSpacing"/>
        <w:rPr>
          <w:b/>
          <w:bCs/>
        </w:rPr>
      </w:pPr>
    </w:p>
    <w:p w14:paraId="3DD13163" w14:textId="5DCF3236" w:rsidR="007C2AE5" w:rsidRPr="007C2AE5" w:rsidRDefault="007C2AE5" w:rsidP="007C2AE5">
      <w:pPr>
        <w:rPr>
          <w:b/>
          <w:bCs/>
        </w:rPr>
      </w:pPr>
      <w:r w:rsidRPr="007C2AE5">
        <w:rPr>
          <w:b/>
          <w:bCs/>
        </w:rPr>
        <w:t xml:space="preserve">Succeed At </w:t>
      </w:r>
      <w:r>
        <w:rPr>
          <w:b/>
          <w:bCs/>
        </w:rPr>
        <w:t>UNT</w:t>
      </w:r>
    </w:p>
    <w:p w14:paraId="49CBC208" w14:textId="77777777" w:rsidR="007C2AE5" w:rsidRDefault="007C2AE5" w:rsidP="007C2AE5"/>
    <w:p w14:paraId="1D607C95" w14:textId="5F8FF4EA" w:rsidR="007C2AE5" w:rsidRDefault="007C2AE5" w:rsidP="007C2AE5">
      <w:r>
        <w:lastRenderedPageBreak/>
        <w:t xml:space="preserve">UNT endeavors to offer you a high‐quality education and to provide a supportive environment to help you learn and </w:t>
      </w:r>
      <w:proofErr w:type="gramStart"/>
      <w:r>
        <w:t>grown</w:t>
      </w:r>
      <w:proofErr w:type="gramEnd"/>
      <w:r>
        <w:t>.</w:t>
      </w:r>
      <w:r w:rsidR="004A5841">
        <w:t xml:space="preserve"> </w:t>
      </w:r>
      <w:proofErr w:type="gramStart"/>
      <w:r>
        <w:t>And</w:t>
      </w:r>
      <w:proofErr w:type="gramEnd"/>
      <w:r>
        <w:t xml:space="preserve">, as a faculty member, I am committed to helping you be successful as a student. Here’s how to succeed at UNT: Show up. </w:t>
      </w:r>
      <w:proofErr w:type="gramStart"/>
      <w:r>
        <w:t>Find</w:t>
      </w:r>
      <w:proofErr w:type="gramEnd"/>
      <w:r>
        <w:t xml:space="preserve"> Support. Get </w:t>
      </w:r>
      <w:proofErr w:type="gramStart"/>
      <w:r>
        <w:t>advised</w:t>
      </w:r>
      <w:proofErr w:type="gramEnd"/>
      <w:r>
        <w:t xml:space="preserve">. Be prepared. Get involved. Stay focused. To learn more about campus resources and information on how you can achieve success, go </w:t>
      </w:r>
      <w:hyperlink r:id="rId10" w:history="1">
        <w:r w:rsidRPr="005B5DD4">
          <w:rPr>
            <w:rStyle w:val="Hyperlink"/>
          </w:rPr>
          <w:t>http://success.unt.edu/</w:t>
        </w:r>
      </w:hyperlink>
      <w:r>
        <w:t>.</w:t>
      </w:r>
    </w:p>
    <w:p w14:paraId="73D373D1" w14:textId="77777777" w:rsidR="007C2AE5" w:rsidRDefault="007C2AE5" w:rsidP="007C2AE5"/>
    <w:p w14:paraId="486826B5" w14:textId="705CE2EE" w:rsidR="007C2AE5" w:rsidRDefault="007C2AE5" w:rsidP="007C2AE5">
      <w:pPr>
        <w:rPr>
          <w:b/>
          <w:bCs/>
        </w:rPr>
      </w:pPr>
      <w:r>
        <w:rPr>
          <w:b/>
          <w:bCs/>
        </w:rPr>
        <w:t>Academic Dishonesty</w:t>
      </w:r>
    </w:p>
    <w:p w14:paraId="1B0BEB38" w14:textId="77777777" w:rsidR="007C2AE5" w:rsidRDefault="007C2AE5" w:rsidP="007C2AE5">
      <w:pPr>
        <w:rPr>
          <w:b/>
          <w:bCs/>
        </w:rPr>
      </w:pPr>
    </w:p>
    <w:p w14:paraId="2C96433A" w14:textId="77777777" w:rsidR="00F16DF8" w:rsidRDefault="00F16DF8" w:rsidP="00F16DF8">
      <w:r>
        <w:t xml:space="preserve">Students caught cheating or plagiarizing will receive a "0" for that </w:t>
      </w:r>
      <w:proofErr w:type="gramStart"/>
      <w:r>
        <w:t>particular assignment</w:t>
      </w:r>
      <w:proofErr w:type="gramEnd"/>
      <w:r>
        <w:t xml:space="preserve"> or exam and an Admissions, Retention, &amp; Review form will be completed and submitted to the College of Education. Additionally, the incident will be reported to the Dean of Students, who May impose further penalties.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w:t>
      </w:r>
      <w:proofErr w:type="gramStart"/>
      <w:r>
        <w:t>includes, but</w:t>
      </w:r>
      <w:proofErr w:type="gramEnd"/>
      <w:r>
        <w:t xml:space="preserve"> is not limited </w:t>
      </w:r>
      <w:proofErr w:type="gramStart"/>
      <w:r>
        <w:t>to:</w:t>
      </w:r>
      <w:proofErr w:type="gramEnd"/>
      <w:r>
        <w:t xml:space="preserve">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w:t>
      </w:r>
    </w:p>
    <w:p w14:paraId="73DA6846" w14:textId="77777777" w:rsidR="007C2AE5" w:rsidRDefault="007C2AE5" w:rsidP="007C2AE5"/>
    <w:p w14:paraId="1BD869E8" w14:textId="0426187A" w:rsidR="00E507A0" w:rsidRDefault="00474135" w:rsidP="00E507A0">
      <w:pPr>
        <w:pStyle w:val="NoSpacing"/>
        <w:rPr>
          <w:b/>
          <w:bCs/>
        </w:rPr>
      </w:pPr>
      <w:r>
        <w:rPr>
          <w:b/>
          <w:bCs/>
        </w:rPr>
        <w:t>Acceptable Student Behavior</w:t>
      </w:r>
    </w:p>
    <w:p w14:paraId="56C87C5E" w14:textId="77777777" w:rsidR="00474135" w:rsidRDefault="00474135" w:rsidP="00E507A0">
      <w:pPr>
        <w:pStyle w:val="NoSpacing"/>
        <w:rPr>
          <w:b/>
          <w:bCs/>
        </w:rPr>
      </w:pPr>
    </w:p>
    <w:p w14:paraId="21DA8303" w14:textId="098DCB7D" w:rsidR="00474135" w:rsidRDefault="00CE1605" w:rsidP="00E507A0">
      <w:pPr>
        <w:pStyle w:val="NoSpacing"/>
      </w:pPr>
      <w:r w:rsidRPr="00CE1605">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w:t>
      </w:r>
      <w:proofErr w:type="gramStart"/>
      <w:r w:rsidRPr="00CE1605">
        <w:t>student conduct</w:t>
      </w:r>
      <w:proofErr w:type="gramEnd"/>
      <w:r w:rsidRPr="00CE1605">
        <w:t xml:space="preserve"> apply to all instructional forums, including university and electronic classroom, labs, discussion groups, field trips, etc. The Code of Student Conduct can be found at  </w:t>
      </w:r>
      <w:hyperlink r:id="rId11" w:history="1">
        <w:r w:rsidRPr="005B5DD4">
          <w:rPr>
            <w:rStyle w:val="Hyperlink"/>
          </w:rPr>
          <w:t>http://deanofstudents.unt.edu</w:t>
        </w:r>
      </w:hyperlink>
      <w:r w:rsidRPr="00CE1605">
        <w:t>.</w:t>
      </w:r>
    </w:p>
    <w:p w14:paraId="74ED05C6" w14:textId="77777777" w:rsidR="00CE1605" w:rsidRDefault="00CE1605" w:rsidP="00E507A0">
      <w:pPr>
        <w:pStyle w:val="NoSpacing"/>
      </w:pPr>
    </w:p>
    <w:p w14:paraId="4FE7C768" w14:textId="5CE2CFAE" w:rsidR="00CE1605" w:rsidRDefault="00CE1605" w:rsidP="00E507A0">
      <w:pPr>
        <w:pStyle w:val="NoSpacing"/>
        <w:rPr>
          <w:b/>
          <w:bCs/>
        </w:rPr>
      </w:pPr>
      <w:r>
        <w:rPr>
          <w:b/>
          <w:bCs/>
        </w:rPr>
        <w:t>Access to Information – Eagle Connect</w:t>
      </w:r>
    </w:p>
    <w:p w14:paraId="10CFA9D4" w14:textId="77777777" w:rsidR="00CE1605" w:rsidRDefault="00CE1605" w:rsidP="00E507A0">
      <w:pPr>
        <w:pStyle w:val="NoSpacing"/>
        <w:rPr>
          <w:b/>
          <w:bCs/>
        </w:rPr>
      </w:pPr>
    </w:p>
    <w:p w14:paraId="30C7DB57" w14:textId="0E423E69" w:rsidR="00CE1605" w:rsidRDefault="00F7096E" w:rsidP="00E507A0">
      <w:pPr>
        <w:pStyle w:val="NoSpacing"/>
      </w:pPr>
      <w:r w:rsidRPr="00F7096E">
        <w:t xml:space="preserve">Your access point for business and academic services at UNT occurs at http://www.my.unt.edu. All official communication from the university will be delivered to your Eagle Connect account. For more information, please visit the website that explains Eagle Connect and how to forward your e‐mail: </w:t>
      </w:r>
      <w:hyperlink r:id="rId12" w:history="1">
        <w:r w:rsidRPr="00F7096E">
          <w:rPr>
            <w:rStyle w:val="Hyperlink"/>
          </w:rPr>
          <w:t>http://eagleconnect.unt.edu/</w:t>
        </w:r>
      </w:hyperlink>
      <w:r w:rsidRPr="00F7096E">
        <w:t>.</w:t>
      </w:r>
    </w:p>
    <w:p w14:paraId="697665C6" w14:textId="77777777" w:rsidR="00F7096E" w:rsidRDefault="00F7096E" w:rsidP="00E507A0">
      <w:pPr>
        <w:pStyle w:val="NoSpacing"/>
      </w:pPr>
    </w:p>
    <w:p w14:paraId="5F368351" w14:textId="01967E1A" w:rsidR="00F7096E" w:rsidRDefault="00F7096E" w:rsidP="00E507A0">
      <w:pPr>
        <w:pStyle w:val="NoSpacing"/>
        <w:rPr>
          <w:b/>
          <w:bCs/>
        </w:rPr>
      </w:pPr>
      <w:r>
        <w:rPr>
          <w:b/>
          <w:bCs/>
        </w:rPr>
        <w:t>ADA Statement</w:t>
      </w:r>
    </w:p>
    <w:p w14:paraId="40361518" w14:textId="77777777" w:rsidR="00F7096E" w:rsidRDefault="00F7096E" w:rsidP="00E507A0">
      <w:pPr>
        <w:pStyle w:val="NoSpacing"/>
        <w:rPr>
          <w:b/>
          <w:bCs/>
        </w:rPr>
      </w:pPr>
    </w:p>
    <w:p w14:paraId="46824CCD" w14:textId="77777777" w:rsidR="009F0F8A" w:rsidRDefault="009F0F8A" w:rsidP="009F0F8A">
      <w:r>
        <w:t xml:space="preserve">The University of North Texas makes reasonable academic accommodation for students with disabilities. Students seeking accommodation must first register with the Office of Disability Access (ODA) to verify their eligibility. If a disability is verified, the ODA will provide you with an accommodation letter to be delivered to </w:t>
      </w:r>
      <w:proofErr w:type="gramStart"/>
      <w:r>
        <w:t>faculty</w:t>
      </w:r>
      <w:proofErr w:type="gramEnd"/>
      <w:r>
        <w:t xml:space="preserve"> to begin a private discussion regarding your specific needs in a course. You May request accommodations at any </w:t>
      </w:r>
      <w:proofErr w:type="gramStart"/>
      <w:r>
        <w:t>time,</w:t>
      </w:r>
      <w:proofErr w:type="gramEnd"/>
      <w: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(http://www.unt.edu/oda). You may also contact ODA by phone at (940) 565-4323.</w:t>
      </w:r>
    </w:p>
    <w:p w14:paraId="554F0B2F" w14:textId="77777777" w:rsidR="009F0F8A" w:rsidRDefault="009F0F8A" w:rsidP="009F0F8A"/>
    <w:p w14:paraId="70C975AB" w14:textId="2237B3EC" w:rsidR="009F0F8A" w:rsidRDefault="009F0F8A" w:rsidP="009F0F8A">
      <w:pPr>
        <w:rPr>
          <w:b/>
          <w:bCs/>
        </w:rPr>
      </w:pPr>
      <w:r>
        <w:rPr>
          <w:b/>
          <w:bCs/>
        </w:rPr>
        <w:t>Emergency Notification &amp; Procedures</w:t>
      </w:r>
    </w:p>
    <w:p w14:paraId="2BED3382" w14:textId="77777777" w:rsidR="009F0F8A" w:rsidRDefault="009F0F8A" w:rsidP="009F0F8A">
      <w:pPr>
        <w:rPr>
          <w:b/>
          <w:bCs/>
        </w:rPr>
      </w:pPr>
    </w:p>
    <w:p w14:paraId="6B16CC6F" w14:textId="540CD13B" w:rsidR="009F0F8A" w:rsidRDefault="001912EF" w:rsidP="009F0F8A">
      <w:r w:rsidRPr="001912EF">
        <w:t>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http://www.my.unt.edu. Some helpful emergency preparedness actions include: 1) know the evacuation routes and severe weather shelter areas in the buildings where your classes are held, 2) determine how you will contact family and friends if phones are temporarily unavailable, and 3) identify where you will go if you need to evacuate the Denton area suddenly. In the event of a university closure, please refer to Canvas for contingency plans for covering course materials.</w:t>
      </w:r>
    </w:p>
    <w:p w14:paraId="0D063BD4" w14:textId="77777777" w:rsidR="001912EF" w:rsidRDefault="001912EF" w:rsidP="009F0F8A"/>
    <w:p w14:paraId="6FD7B86C" w14:textId="47181FFF" w:rsidR="001912EF" w:rsidRDefault="001912EF" w:rsidP="009F0F8A">
      <w:pPr>
        <w:rPr>
          <w:b/>
          <w:bCs/>
        </w:rPr>
      </w:pPr>
      <w:r>
        <w:rPr>
          <w:b/>
          <w:bCs/>
        </w:rPr>
        <w:t>Retention of Student Records</w:t>
      </w:r>
    </w:p>
    <w:p w14:paraId="542CB1FD" w14:textId="77777777" w:rsidR="001912EF" w:rsidRDefault="001912EF" w:rsidP="009F0F8A">
      <w:pPr>
        <w:rPr>
          <w:b/>
          <w:bCs/>
        </w:rPr>
      </w:pPr>
    </w:p>
    <w:p w14:paraId="2D588481" w14:textId="1D39E068" w:rsidR="001912EF" w:rsidRDefault="00535F6A" w:rsidP="009F0F8A">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w:t>
      </w:r>
      <w:proofErr w:type="gramStart"/>
      <w:r>
        <w:t>to</w:t>
      </w:r>
      <w:proofErr w:type="gramEnd"/>
      <w:r>
        <w:t xml:space="preserve"> other individuals without the proper written consent. You are encouraged to review the Public Information Policy and the Family Educational Rights and Privacy Act (FERPA) laws and the university’s policy in accordance with those mandates at the following link:  </w:t>
      </w:r>
      <w:hyperlink r:id="rId13" w:history="1">
        <w:r w:rsidRPr="005B5DD4">
          <w:rPr>
            <w:rStyle w:val="Hyperlink"/>
          </w:rPr>
          <w:t>http://essc.unt.edu/registrar/ferpa.html</w:t>
        </w:r>
      </w:hyperlink>
      <w:r>
        <w:t>.</w:t>
      </w:r>
    </w:p>
    <w:p w14:paraId="50D43C1A" w14:textId="77777777" w:rsidR="00535F6A" w:rsidRDefault="00535F6A" w:rsidP="009F0F8A"/>
    <w:p w14:paraId="6EA66431" w14:textId="0141FDC0" w:rsidR="00535F6A" w:rsidRDefault="00535F6A" w:rsidP="009F0F8A">
      <w:pPr>
        <w:rPr>
          <w:b/>
          <w:bCs/>
        </w:rPr>
      </w:pPr>
      <w:r>
        <w:rPr>
          <w:b/>
          <w:bCs/>
        </w:rPr>
        <w:lastRenderedPageBreak/>
        <w:t>Student Evaluation of Teaching</w:t>
      </w:r>
    </w:p>
    <w:p w14:paraId="16F4C7EB" w14:textId="77777777" w:rsidR="00535F6A" w:rsidRDefault="00535F6A" w:rsidP="009F0F8A">
      <w:pPr>
        <w:rPr>
          <w:b/>
          <w:bCs/>
        </w:rPr>
      </w:pPr>
    </w:p>
    <w:p w14:paraId="6D0A02EF" w14:textId="77777777" w:rsidR="00813286" w:rsidRDefault="00813286" w:rsidP="00813286">
      <w:r>
        <w:t>Student Perceptions of Teaching (SPOT) is the student evaluation system for UNT and allows students the ability to confidentially provide constructive feedback to their instructor and department to improve the quality of student experiences in the course. This short survey will be made available toward the end of the semester to provide you with an opportunity to evaluate how this course is taught.</w:t>
      </w:r>
    </w:p>
    <w:p w14:paraId="4E7DD6BA" w14:textId="77777777" w:rsidR="00535F6A" w:rsidRDefault="00535F6A" w:rsidP="009F0F8A"/>
    <w:p w14:paraId="2FE6486E" w14:textId="25C3B86B" w:rsidR="00813286" w:rsidRDefault="00813286" w:rsidP="009F0F8A">
      <w:pPr>
        <w:rPr>
          <w:b/>
          <w:bCs/>
        </w:rPr>
      </w:pPr>
      <w:r>
        <w:rPr>
          <w:b/>
          <w:bCs/>
        </w:rPr>
        <w:t>Other Resources</w:t>
      </w:r>
    </w:p>
    <w:p w14:paraId="282F1266" w14:textId="77777777" w:rsidR="00813286" w:rsidRDefault="00813286" w:rsidP="009F0F8A">
      <w:pPr>
        <w:rPr>
          <w:b/>
          <w:bCs/>
        </w:rPr>
      </w:pPr>
    </w:p>
    <w:p w14:paraId="0379B637" w14:textId="77777777" w:rsidR="001972C7" w:rsidRPr="001972C7" w:rsidRDefault="001972C7" w:rsidP="001972C7">
      <w:pPr>
        <w:rPr>
          <w:b/>
          <w:bCs/>
        </w:rPr>
      </w:pPr>
      <w:r w:rsidRPr="001972C7">
        <w:rPr>
          <w:b/>
          <w:bCs/>
        </w:rPr>
        <w:t>As part of the support system at UNT, here are some additional resources that are mostly FREE of charge. If you have any questions, feel free to reach out to me at any time. Thank you.</w:t>
      </w:r>
    </w:p>
    <w:p w14:paraId="6F501F43" w14:textId="77777777" w:rsidR="001972C7" w:rsidRPr="001972C7" w:rsidRDefault="001972C7" w:rsidP="001972C7">
      <w:pPr>
        <w:rPr>
          <w:b/>
          <w:bCs/>
        </w:rPr>
      </w:pPr>
    </w:p>
    <w:p w14:paraId="6FCC51E3" w14:textId="2440B07B" w:rsidR="001972C7" w:rsidRDefault="001972C7" w:rsidP="001972C7">
      <w:r w:rsidRPr="001972C7">
        <w:t xml:space="preserve">Counseling Center: </w:t>
      </w:r>
      <w:hyperlink r:id="rId14" w:history="1">
        <w:r w:rsidRPr="005B5DD4">
          <w:rPr>
            <w:rStyle w:val="Hyperlink"/>
          </w:rPr>
          <w:t>https://studentaffairs.unt.edu/student-counseling</w:t>
        </w:r>
      </w:hyperlink>
      <w:r w:rsidRPr="001972C7">
        <w:t xml:space="preserve"> </w:t>
      </w:r>
    </w:p>
    <w:p w14:paraId="47C1FE3B" w14:textId="7808E18C" w:rsidR="001972C7" w:rsidRDefault="001972C7" w:rsidP="001972C7">
      <w:r w:rsidRPr="001972C7">
        <w:t xml:space="preserve">UNT Well: </w:t>
      </w:r>
      <w:hyperlink r:id="rId15" w:history="1">
        <w:r w:rsidRPr="005B5DD4">
          <w:rPr>
            <w:rStyle w:val="Hyperlink"/>
          </w:rPr>
          <w:t>https://hps.unt.edu/rhs/untwell</w:t>
        </w:r>
      </w:hyperlink>
    </w:p>
    <w:p w14:paraId="37EE06C4" w14:textId="0BA6602D" w:rsidR="001972C7" w:rsidRDefault="001972C7" w:rsidP="001972C7">
      <w:r w:rsidRPr="001972C7">
        <w:t xml:space="preserve">Food Pantry: </w:t>
      </w:r>
      <w:hyperlink r:id="rId16" w:history="1">
        <w:r w:rsidRPr="005B5DD4">
          <w:rPr>
            <w:rStyle w:val="Hyperlink"/>
          </w:rPr>
          <w:t>https://studentaffairs.unt.edu/food-pantry</w:t>
        </w:r>
      </w:hyperlink>
    </w:p>
    <w:p w14:paraId="7A08F634" w14:textId="04002780" w:rsidR="001972C7" w:rsidRDefault="001972C7" w:rsidP="001972C7">
      <w:r w:rsidRPr="001972C7">
        <w:t xml:space="preserve">Substance Abuse Center: </w:t>
      </w:r>
      <w:hyperlink r:id="rId17" w:history="1">
        <w:r w:rsidRPr="005B5DD4">
          <w:rPr>
            <w:rStyle w:val="Hyperlink"/>
          </w:rPr>
          <w:t>https://studentaffairs.unt.edu/rise/programs/sure-program</w:t>
        </w:r>
      </w:hyperlink>
    </w:p>
    <w:p w14:paraId="2029E965" w14:textId="5617B77C" w:rsidR="001972C7" w:rsidRDefault="001972C7" w:rsidP="001972C7">
      <w:r w:rsidRPr="001972C7">
        <w:t xml:space="preserve">Student Health and Wellness Center: </w:t>
      </w:r>
      <w:hyperlink r:id="rId18" w:history="1">
        <w:r w:rsidRPr="005B5DD4">
          <w:rPr>
            <w:rStyle w:val="Hyperlink"/>
          </w:rPr>
          <w:t>https://studentaffairs.unt.edu/student-health-and-wellness-center</w:t>
        </w:r>
      </w:hyperlink>
    </w:p>
    <w:p w14:paraId="09A2FE83" w14:textId="02A62A28" w:rsidR="001972C7" w:rsidRDefault="001972C7" w:rsidP="001972C7">
      <w:r w:rsidRPr="001972C7">
        <w:t xml:space="preserve">COVID-19 Information: </w:t>
      </w:r>
      <w:hyperlink r:id="rId19" w:history="1">
        <w:r w:rsidRPr="005B5DD4">
          <w:rPr>
            <w:rStyle w:val="Hyperlink"/>
          </w:rPr>
          <w:t>https://healthalerts.unt.edu/</w:t>
        </w:r>
      </w:hyperlink>
    </w:p>
    <w:p w14:paraId="0E27141D" w14:textId="426189C2" w:rsidR="001972C7" w:rsidRDefault="001972C7" w:rsidP="001972C7">
      <w:r w:rsidRPr="001972C7">
        <w:t xml:space="preserve">Money Management Center: </w:t>
      </w:r>
      <w:hyperlink r:id="rId20" w:history="1">
        <w:r w:rsidRPr="005B5DD4">
          <w:rPr>
            <w:rStyle w:val="Hyperlink"/>
          </w:rPr>
          <w:t>https://studentaffairs.unt.edu/student-money-management-center</w:t>
        </w:r>
      </w:hyperlink>
    </w:p>
    <w:p w14:paraId="3B5A77E8" w14:textId="291CC81C" w:rsidR="001972C7" w:rsidRDefault="001972C7" w:rsidP="001972C7">
      <w:r w:rsidRPr="001972C7">
        <w:t xml:space="preserve">Legal Services: </w:t>
      </w:r>
      <w:hyperlink r:id="rId21" w:history="1">
        <w:r w:rsidRPr="005B5DD4">
          <w:rPr>
            <w:rStyle w:val="Hyperlink"/>
          </w:rPr>
          <w:t>https://studentaffairs.unt.edu/student-legal-services</w:t>
        </w:r>
      </w:hyperlink>
    </w:p>
    <w:p w14:paraId="22D51D5C" w14:textId="5F5C0688" w:rsidR="001972C7" w:rsidRDefault="001972C7" w:rsidP="001972C7">
      <w:r w:rsidRPr="001972C7">
        <w:t xml:space="preserve">Career Center: </w:t>
      </w:r>
      <w:hyperlink r:id="rId22" w:history="1">
        <w:r w:rsidRPr="005B5DD4">
          <w:rPr>
            <w:rStyle w:val="Hyperlink"/>
          </w:rPr>
          <w:t>https://careercenter.unt.edu/</w:t>
        </w:r>
      </w:hyperlink>
    </w:p>
    <w:p w14:paraId="68C0E435" w14:textId="77777777" w:rsidR="001972C7" w:rsidRDefault="001972C7" w:rsidP="001972C7"/>
    <w:p w14:paraId="6B2B0C12" w14:textId="723A4281" w:rsidR="001972C7" w:rsidRDefault="001972C7" w:rsidP="001972C7">
      <w:pPr>
        <w:rPr>
          <w:b/>
          <w:bCs/>
        </w:rPr>
      </w:pPr>
      <w:r>
        <w:rPr>
          <w:b/>
          <w:bCs/>
        </w:rPr>
        <w:t>UNT IT/Canvas Support</w:t>
      </w:r>
    </w:p>
    <w:p w14:paraId="2FC214EE" w14:textId="77777777" w:rsidR="001972C7" w:rsidRDefault="001972C7" w:rsidP="001972C7">
      <w:pPr>
        <w:rPr>
          <w:b/>
          <w:bCs/>
        </w:rPr>
      </w:pPr>
    </w:p>
    <w:p w14:paraId="0FAFB423" w14:textId="77777777" w:rsidR="00F4108F" w:rsidRDefault="00F4108F" w:rsidP="00F4108F">
      <w:r>
        <w:t xml:space="preserve">Please contact CLEAR support if you have any difficulties. Note that there is support contact information on your Canvas login screen. This also extends to </w:t>
      </w:r>
      <w:proofErr w:type="gramStart"/>
      <w:r>
        <w:t>technology</w:t>
      </w:r>
      <w:proofErr w:type="gramEnd"/>
      <w:r>
        <w:t xml:space="preserve"> difficulties during the course.</w:t>
      </w:r>
    </w:p>
    <w:p w14:paraId="629E494D" w14:textId="05906F30" w:rsidR="00F4108F" w:rsidRDefault="00F4108F" w:rsidP="00F4108F">
      <w:r>
        <w:t xml:space="preserve">Email: </w:t>
      </w:r>
      <w:hyperlink r:id="rId23" w:history="1">
        <w:r w:rsidRPr="005B5DD4">
          <w:rPr>
            <w:rStyle w:val="Hyperlink"/>
          </w:rPr>
          <w:t>helpdesk@unt.edu</w:t>
        </w:r>
      </w:hyperlink>
    </w:p>
    <w:p w14:paraId="1DCC16F9" w14:textId="6426CF59" w:rsidR="00F4108F" w:rsidRDefault="00F4108F" w:rsidP="00F4108F">
      <w:r>
        <w:t xml:space="preserve">Live Chat: </w:t>
      </w:r>
      <w:hyperlink r:id="rId24" w:history="1">
        <w:r w:rsidRPr="005B5DD4">
          <w:rPr>
            <w:rStyle w:val="Hyperlink"/>
          </w:rPr>
          <w:t>https://it.unt.edu/helpdesk/chatsupport</w:t>
        </w:r>
      </w:hyperlink>
    </w:p>
    <w:p w14:paraId="56084127" w14:textId="77777777" w:rsidR="00F4108F" w:rsidRDefault="00F4108F" w:rsidP="00F4108F">
      <w:r>
        <w:t>Phone: 940-565-2324</w:t>
      </w:r>
    </w:p>
    <w:p w14:paraId="15B84FC2" w14:textId="77777777" w:rsidR="00F4108F" w:rsidRDefault="00F4108F" w:rsidP="00F4108F">
      <w:r>
        <w:t>In Person: Sage Hall, Room 330</w:t>
      </w:r>
    </w:p>
    <w:p w14:paraId="6339A65C" w14:textId="5AD8901B" w:rsidR="001972C7" w:rsidRPr="001972C7" w:rsidRDefault="00F4108F" w:rsidP="00F4108F">
      <w:r>
        <w:t>For additional support, visit Canvas Technical Help</w:t>
      </w:r>
    </w:p>
    <w:p w14:paraId="5B14B17C" w14:textId="77777777" w:rsidR="00813286" w:rsidRPr="00813286" w:rsidRDefault="00813286" w:rsidP="009F0F8A"/>
    <w:p w14:paraId="61BBC2B6" w14:textId="77777777" w:rsidR="00F7096E" w:rsidRPr="00F7096E" w:rsidRDefault="00F7096E" w:rsidP="00E507A0">
      <w:pPr>
        <w:pStyle w:val="NoSpacing"/>
      </w:pPr>
    </w:p>
    <w:p w14:paraId="099FB3BF" w14:textId="77777777" w:rsidR="00F7096E" w:rsidRPr="00CE1605" w:rsidRDefault="00F7096E" w:rsidP="00E507A0">
      <w:pPr>
        <w:pStyle w:val="NoSpacing"/>
        <w:rPr>
          <w:b/>
          <w:bCs/>
        </w:rPr>
      </w:pPr>
    </w:p>
    <w:p w14:paraId="026A881B" w14:textId="77777777" w:rsidR="004701C6" w:rsidRDefault="004701C6" w:rsidP="00EB7520">
      <w:pPr>
        <w:pStyle w:val="NoSpacing"/>
        <w:rPr>
          <w:b/>
          <w:bCs/>
        </w:rPr>
      </w:pPr>
    </w:p>
    <w:p w14:paraId="7A9F6D74" w14:textId="77777777" w:rsidR="00EA2D63" w:rsidRDefault="00EA2D63" w:rsidP="00EA2D63">
      <w:pPr>
        <w:pStyle w:val="NoSpacing"/>
      </w:pPr>
    </w:p>
    <w:p w14:paraId="46802344" w14:textId="77777777" w:rsidR="00EA2D63" w:rsidRPr="004701C6" w:rsidRDefault="00EA2D63" w:rsidP="00EA2D63">
      <w:pPr>
        <w:pStyle w:val="NoSpacing"/>
      </w:pPr>
    </w:p>
    <w:sectPr w:rsidR="00EA2D63" w:rsidRPr="004701C6" w:rsidSect="007D7F8F">
      <w:headerReference w:type="default" r:id="rId25"/>
      <w:footerReference w:type="defaul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0B0D2" w14:textId="77777777" w:rsidR="001A2F12" w:rsidRDefault="001A2F12" w:rsidP="00460CED">
      <w:pPr>
        <w:spacing w:line="240" w:lineRule="auto"/>
      </w:pPr>
      <w:r>
        <w:separator/>
      </w:r>
    </w:p>
  </w:endnote>
  <w:endnote w:type="continuationSeparator" w:id="0">
    <w:p w14:paraId="77EBC3C0" w14:textId="77777777" w:rsidR="001A2F12" w:rsidRDefault="001A2F12" w:rsidP="00460C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6166584"/>
      <w:docPartObj>
        <w:docPartGallery w:val="Page Numbers (Bottom of Page)"/>
        <w:docPartUnique/>
      </w:docPartObj>
    </w:sdtPr>
    <w:sdtEndPr>
      <w:rPr>
        <w:noProof/>
      </w:rPr>
    </w:sdtEndPr>
    <w:sdtContent>
      <w:p w14:paraId="542AE639" w14:textId="3A488184" w:rsidR="00F4108F" w:rsidRDefault="00F410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C5F5A5" w14:textId="77777777" w:rsidR="00F4108F" w:rsidRDefault="00F41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BABE7" w14:textId="77777777" w:rsidR="001A2F12" w:rsidRDefault="001A2F12" w:rsidP="00460CED">
      <w:pPr>
        <w:spacing w:line="240" w:lineRule="auto"/>
      </w:pPr>
      <w:r>
        <w:separator/>
      </w:r>
    </w:p>
  </w:footnote>
  <w:footnote w:type="continuationSeparator" w:id="0">
    <w:p w14:paraId="4C453BA4" w14:textId="77777777" w:rsidR="001A2F12" w:rsidRDefault="001A2F12" w:rsidP="00460C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E38C2" w14:textId="556A1605" w:rsidR="00F4108F" w:rsidRDefault="00F4108F">
    <w:pPr>
      <w:pStyle w:val="Header"/>
    </w:pPr>
    <w:r>
      <w:t>EDSP 4350</w:t>
    </w:r>
    <w:r>
      <w:tab/>
      <w:t>Syllabus</w:t>
    </w:r>
    <w:r>
      <w:tab/>
      <w:t>Fall 2025</w:t>
    </w:r>
  </w:p>
  <w:p w14:paraId="7D06DB9F" w14:textId="77777777" w:rsidR="00F4108F" w:rsidRDefault="00F41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4137D"/>
    <w:multiLevelType w:val="hybridMultilevel"/>
    <w:tmpl w:val="8918B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F7088A"/>
    <w:multiLevelType w:val="hybridMultilevel"/>
    <w:tmpl w:val="B1A23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C135A5"/>
    <w:multiLevelType w:val="hybridMultilevel"/>
    <w:tmpl w:val="90D6F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47D21C8"/>
    <w:multiLevelType w:val="hybridMultilevel"/>
    <w:tmpl w:val="42A2C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86557568">
    <w:abstractNumId w:val="1"/>
  </w:num>
  <w:num w:numId="2" w16cid:durableId="1923179720">
    <w:abstractNumId w:val="0"/>
  </w:num>
  <w:num w:numId="3" w16cid:durableId="1561985049">
    <w:abstractNumId w:val="2"/>
  </w:num>
  <w:num w:numId="4" w16cid:durableId="462503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CED"/>
    <w:rsid w:val="00045F71"/>
    <w:rsid w:val="000577F0"/>
    <w:rsid w:val="00082126"/>
    <w:rsid w:val="000A30CC"/>
    <w:rsid w:val="00155A21"/>
    <w:rsid w:val="001912EF"/>
    <w:rsid w:val="001972C7"/>
    <w:rsid w:val="001A2F12"/>
    <w:rsid w:val="001F4460"/>
    <w:rsid w:val="002019CC"/>
    <w:rsid w:val="00376C34"/>
    <w:rsid w:val="00437CC1"/>
    <w:rsid w:val="00460CED"/>
    <w:rsid w:val="004701C6"/>
    <w:rsid w:val="00474135"/>
    <w:rsid w:val="00494353"/>
    <w:rsid w:val="0049619E"/>
    <w:rsid w:val="004A5841"/>
    <w:rsid w:val="004D1F64"/>
    <w:rsid w:val="0050025F"/>
    <w:rsid w:val="00535F6A"/>
    <w:rsid w:val="00537D54"/>
    <w:rsid w:val="00576125"/>
    <w:rsid w:val="005B4E91"/>
    <w:rsid w:val="00603D38"/>
    <w:rsid w:val="0069109E"/>
    <w:rsid w:val="006F14D8"/>
    <w:rsid w:val="006F35D5"/>
    <w:rsid w:val="00701C6E"/>
    <w:rsid w:val="007221BB"/>
    <w:rsid w:val="00766087"/>
    <w:rsid w:val="007A6001"/>
    <w:rsid w:val="007A7D8B"/>
    <w:rsid w:val="007B20E3"/>
    <w:rsid w:val="007C2AE5"/>
    <w:rsid w:val="007D0F3B"/>
    <w:rsid w:val="007D7F8F"/>
    <w:rsid w:val="007E6AA1"/>
    <w:rsid w:val="007F5266"/>
    <w:rsid w:val="0081309B"/>
    <w:rsid w:val="00813286"/>
    <w:rsid w:val="008171DD"/>
    <w:rsid w:val="00856732"/>
    <w:rsid w:val="00881DF6"/>
    <w:rsid w:val="008D0794"/>
    <w:rsid w:val="008E0A8B"/>
    <w:rsid w:val="008E4764"/>
    <w:rsid w:val="008E4F3F"/>
    <w:rsid w:val="009946D2"/>
    <w:rsid w:val="0099492D"/>
    <w:rsid w:val="009B0C90"/>
    <w:rsid w:val="009F0F8A"/>
    <w:rsid w:val="00A01951"/>
    <w:rsid w:val="00AA6066"/>
    <w:rsid w:val="00AD6E2B"/>
    <w:rsid w:val="00AF5239"/>
    <w:rsid w:val="00C70193"/>
    <w:rsid w:val="00CE1605"/>
    <w:rsid w:val="00D35F41"/>
    <w:rsid w:val="00DB495B"/>
    <w:rsid w:val="00DF3AB0"/>
    <w:rsid w:val="00E507A0"/>
    <w:rsid w:val="00E821AC"/>
    <w:rsid w:val="00EA2D63"/>
    <w:rsid w:val="00EB7520"/>
    <w:rsid w:val="00EE3736"/>
    <w:rsid w:val="00EE74D2"/>
    <w:rsid w:val="00EF653E"/>
    <w:rsid w:val="00F16DF8"/>
    <w:rsid w:val="00F4108F"/>
    <w:rsid w:val="00F44317"/>
    <w:rsid w:val="00F54C13"/>
    <w:rsid w:val="00F7096E"/>
    <w:rsid w:val="00FB63B8"/>
    <w:rsid w:val="00FF2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C3C7E"/>
  <w15:chartTrackingRefBased/>
  <w15:docId w15:val="{A874ACC7-37F2-42C3-AAF6-0A7A0EDF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C13"/>
    <w:pPr>
      <w:spacing w:after="0" w:line="276" w:lineRule="auto"/>
    </w:pPr>
    <w:rPr>
      <w:rFonts w:ascii="Times New Roman" w:eastAsia="Arial" w:hAnsi="Times New Roman" w:cs="Arial"/>
      <w:kern w:val="0"/>
      <w:szCs w:val="22"/>
      <w:lang w:val="en"/>
      <w14:ligatures w14:val="none"/>
    </w:rPr>
  </w:style>
  <w:style w:type="paragraph" w:styleId="Heading1">
    <w:name w:val="heading 1"/>
    <w:basedOn w:val="Normal"/>
    <w:next w:val="Normal"/>
    <w:link w:val="Heading1Char"/>
    <w:uiPriority w:val="9"/>
    <w:qFormat/>
    <w:rsid w:val="00460C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0C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0C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0C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0C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0C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0C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0C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0C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C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0C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0C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0C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0C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0C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C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C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CED"/>
    <w:rPr>
      <w:rFonts w:eastAsiaTheme="majorEastAsia" w:cstheme="majorBidi"/>
      <w:color w:val="272727" w:themeColor="text1" w:themeTint="D8"/>
    </w:rPr>
  </w:style>
  <w:style w:type="paragraph" w:styleId="Title">
    <w:name w:val="Title"/>
    <w:basedOn w:val="Normal"/>
    <w:next w:val="Normal"/>
    <w:link w:val="TitleChar"/>
    <w:uiPriority w:val="10"/>
    <w:qFormat/>
    <w:rsid w:val="00460C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0C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C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0C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CED"/>
    <w:pPr>
      <w:spacing w:before="160"/>
      <w:jc w:val="center"/>
    </w:pPr>
    <w:rPr>
      <w:i/>
      <w:iCs/>
      <w:color w:val="404040" w:themeColor="text1" w:themeTint="BF"/>
    </w:rPr>
  </w:style>
  <w:style w:type="character" w:customStyle="1" w:styleId="QuoteChar">
    <w:name w:val="Quote Char"/>
    <w:basedOn w:val="DefaultParagraphFont"/>
    <w:link w:val="Quote"/>
    <w:uiPriority w:val="29"/>
    <w:rsid w:val="00460CED"/>
    <w:rPr>
      <w:i/>
      <w:iCs/>
      <w:color w:val="404040" w:themeColor="text1" w:themeTint="BF"/>
    </w:rPr>
  </w:style>
  <w:style w:type="paragraph" w:styleId="ListParagraph">
    <w:name w:val="List Paragraph"/>
    <w:basedOn w:val="Normal"/>
    <w:uiPriority w:val="34"/>
    <w:qFormat/>
    <w:rsid w:val="00460CED"/>
    <w:pPr>
      <w:ind w:left="720"/>
      <w:contextualSpacing/>
    </w:pPr>
  </w:style>
  <w:style w:type="character" w:styleId="IntenseEmphasis">
    <w:name w:val="Intense Emphasis"/>
    <w:basedOn w:val="DefaultParagraphFont"/>
    <w:uiPriority w:val="21"/>
    <w:qFormat/>
    <w:rsid w:val="00460CED"/>
    <w:rPr>
      <w:i/>
      <w:iCs/>
      <w:color w:val="0F4761" w:themeColor="accent1" w:themeShade="BF"/>
    </w:rPr>
  </w:style>
  <w:style w:type="paragraph" w:styleId="IntenseQuote">
    <w:name w:val="Intense Quote"/>
    <w:basedOn w:val="Normal"/>
    <w:next w:val="Normal"/>
    <w:link w:val="IntenseQuoteChar"/>
    <w:uiPriority w:val="30"/>
    <w:qFormat/>
    <w:rsid w:val="00460C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0CED"/>
    <w:rPr>
      <w:i/>
      <w:iCs/>
      <w:color w:val="0F4761" w:themeColor="accent1" w:themeShade="BF"/>
    </w:rPr>
  </w:style>
  <w:style w:type="character" w:styleId="IntenseReference">
    <w:name w:val="Intense Reference"/>
    <w:basedOn w:val="DefaultParagraphFont"/>
    <w:uiPriority w:val="32"/>
    <w:qFormat/>
    <w:rsid w:val="00460CED"/>
    <w:rPr>
      <w:b/>
      <w:bCs/>
      <w:smallCaps/>
      <w:color w:val="0F4761" w:themeColor="accent1" w:themeShade="BF"/>
      <w:spacing w:val="5"/>
    </w:rPr>
  </w:style>
  <w:style w:type="paragraph" w:styleId="Header">
    <w:name w:val="header"/>
    <w:basedOn w:val="Normal"/>
    <w:link w:val="HeaderChar"/>
    <w:uiPriority w:val="99"/>
    <w:unhideWhenUsed/>
    <w:rsid w:val="00460CED"/>
    <w:pPr>
      <w:tabs>
        <w:tab w:val="center" w:pos="4680"/>
        <w:tab w:val="right" w:pos="9360"/>
      </w:tabs>
      <w:spacing w:line="240" w:lineRule="auto"/>
    </w:pPr>
  </w:style>
  <w:style w:type="character" w:customStyle="1" w:styleId="HeaderChar">
    <w:name w:val="Header Char"/>
    <w:basedOn w:val="DefaultParagraphFont"/>
    <w:link w:val="Header"/>
    <w:uiPriority w:val="99"/>
    <w:rsid w:val="00460CED"/>
  </w:style>
  <w:style w:type="paragraph" w:styleId="Footer">
    <w:name w:val="footer"/>
    <w:basedOn w:val="Normal"/>
    <w:link w:val="FooterChar"/>
    <w:uiPriority w:val="99"/>
    <w:unhideWhenUsed/>
    <w:rsid w:val="00460CED"/>
    <w:pPr>
      <w:tabs>
        <w:tab w:val="center" w:pos="4680"/>
        <w:tab w:val="right" w:pos="9360"/>
      </w:tabs>
      <w:spacing w:line="240" w:lineRule="auto"/>
    </w:pPr>
  </w:style>
  <w:style w:type="character" w:customStyle="1" w:styleId="FooterChar">
    <w:name w:val="Footer Char"/>
    <w:basedOn w:val="DefaultParagraphFont"/>
    <w:link w:val="Footer"/>
    <w:uiPriority w:val="99"/>
    <w:rsid w:val="00460CED"/>
  </w:style>
  <w:style w:type="paragraph" w:styleId="NoSpacing">
    <w:name w:val="No Spacing"/>
    <w:uiPriority w:val="1"/>
    <w:qFormat/>
    <w:rsid w:val="007D7F8F"/>
    <w:pPr>
      <w:spacing w:after="0" w:line="240" w:lineRule="auto"/>
    </w:pPr>
    <w:rPr>
      <w:rFonts w:ascii="Times New Roman" w:hAnsi="Times New Roman"/>
    </w:rPr>
  </w:style>
  <w:style w:type="character" w:styleId="Hyperlink">
    <w:name w:val="Hyperlink"/>
    <w:basedOn w:val="DefaultParagraphFont"/>
    <w:uiPriority w:val="99"/>
    <w:unhideWhenUsed/>
    <w:rsid w:val="00701C6E"/>
    <w:rPr>
      <w:color w:val="467886" w:themeColor="hyperlink"/>
      <w:u w:val="single"/>
    </w:rPr>
  </w:style>
  <w:style w:type="character" w:styleId="UnresolvedMention">
    <w:name w:val="Unresolved Mention"/>
    <w:basedOn w:val="DefaultParagraphFont"/>
    <w:uiPriority w:val="99"/>
    <w:semiHidden/>
    <w:unhideWhenUsed/>
    <w:rsid w:val="00701C6E"/>
    <w:rPr>
      <w:color w:val="605E5C"/>
      <w:shd w:val="clear" w:color="auto" w:fill="E1DFDD"/>
    </w:rPr>
  </w:style>
  <w:style w:type="table" w:styleId="TableGrid">
    <w:name w:val="Table Grid"/>
    <w:basedOn w:val="TableNormal"/>
    <w:uiPriority w:val="39"/>
    <w:rsid w:val="00F54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cy.unt.edu/policy/15-2-5" TargetMode="External"/><Relationship Id="rId13" Type="http://schemas.openxmlformats.org/officeDocument/2006/relationships/hyperlink" Target="http://essc.unt.edu/registrar/ferpa.html" TargetMode="External"/><Relationship Id="rId18" Type="http://schemas.openxmlformats.org/officeDocument/2006/relationships/hyperlink" Target="https://studentaffairs.unt.edu/student-health-and-wellness-center"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studentaffairs.unt.edu/student-legal-services" TargetMode="External"/><Relationship Id="rId7" Type="http://schemas.openxmlformats.org/officeDocument/2006/relationships/hyperlink" Target="mailto:Melissa.Stalega@uconn.edu" TargetMode="External"/><Relationship Id="rId12" Type="http://schemas.openxmlformats.org/officeDocument/2006/relationships/hyperlink" Target="http://eagleconnect.unt.edu/" TargetMode="External"/><Relationship Id="rId17" Type="http://schemas.openxmlformats.org/officeDocument/2006/relationships/hyperlink" Target="https://studentaffairs.unt.edu/rise/programs/sure-progra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studentaffairs.unt.edu/food-pantry" TargetMode="External"/><Relationship Id="rId20" Type="http://schemas.openxmlformats.org/officeDocument/2006/relationships/hyperlink" Target="https://studentaffairs.unt.edu/student-money-management-cent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anofstudents.unt.edu" TargetMode="External"/><Relationship Id="rId24" Type="http://schemas.openxmlformats.org/officeDocument/2006/relationships/hyperlink" Target="https://it.unt.edu/helpdesk/chatsupport" TargetMode="External"/><Relationship Id="rId5" Type="http://schemas.openxmlformats.org/officeDocument/2006/relationships/footnotes" Target="footnotes.xml"/><Relationship Id="rId15" Type="http://schemas.openxmlformats.org/officeDocument/2006/relationships/hyperlink" Target="https://hps.unt.edu/rhs/untwell" TargetMode="External"/><Relationship Id="rId23" Type="http://schemas.openxmlformats.org/officeDocument/2006/relationships/hyperlink" Target="mailto:helpdesk@unt.edu" TargetMode="External"/><Relationship Id="rId28" Type="http://schemas.openxmlformats.org/officeDocument/2006/relationships/theme" Target="theme/theme1.xml"/><Relationship Id="rId10" Type="http://schemas.openxmlformats.org/officeDocument/2006/relationships/hyperlink" Target="http://success.unt.edu/" TargetMode="External"/><Relationship Id="rId19" Type="http://schemas.openxmlformats.org/officeDocument/2006/relationships/hyperlink" Target="https://healthalerts.unt.edu/" TargetMode="External"/><Relationship Id="rId4" Type="http://schemas.openxmlformats.org/officeDocument/2006/relationships/webSettings" Target="webSettings.xml"/><Relationship Id="rId9" Type="http://schemas.openxmlformats.org/officeDocument/2006/relationships/hyperlink" Target="http://www.unt.edu/oda" TargetMode="External"/><Relationship Id="rId14" Type="http://schemas.openxmlformats.org/officeDocument/2006/relationships/hyperlink" Target="https://studentaffairs.unt.edu/student-counseling" TargetMode="External"/><Relationship Id="rId22" Type="http://schemas.openxmlformats.org/officeDocument/2006/relationships/hyperlink" Target="https://careercenter.unt.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452</TotalTime>
  <Pages>11</Pages>
  <Words>4167</Words>
  <Characters>23755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Stalega, Melissa</dc:creator>
  <cp:keywords/>
  <dc:description/>
  <cp:lastModifiedBy>Stalega, Melissa</cp:lastModifiedBy>
  <cp:revision>54</cp:revision>
  <dcterms:created xsi:type="dcterms:W3CDTF">2025-08-15T16:08:00Z</dcterms:created>
  <dcterms:modified xsi:type="dcterms:W3CDTF">2025-08-18T15:41:00Z</dcterms:modified>
</cp:coreProperties>
</file>