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894B5" w14:textId="003A205F" w:rsidR="00F86747" w:rsidRDefault="0039727C" w:rsidP="0039727C">
      <w:pPr>
        <w:ind w:firstLine="720"/>
        <w:rPr>
          <w:b/>
          <w:sz w:val="28"/>
          <w:szCs w:val="28"/>
        </w:rPr>
      </w:pPr>
      <w:r w:rsidRPr="008F30EE">
        <w:rPr>
          <w:b/>
        </w:rPr>
        <w:t xml:space="preserve">    </w:t>
      </w:r>
      <w:r w:rsidR="00FC0D98">
        <w:rPr>
          <w:b/>
        </w:rPr>
        <w:tab/>
        <w:t xml:space="preserve">         </w:t>
      </w:r>
      <w:r w:rsidRPr="008F30EE">
        <w:rPr>
          <w:b/>
        </w:rPr>
        <w:t xml:space="preserve"> </w:t>
      </w:r>
      <w:r w:rsidRPr="00FC0D98">
        <w:rPr>
          <w:b/>
          <w:sz w:val="28"/>
          <w:szCs w:val="28"/>
        </w:rPr>
        <w:t>MUET 3030: Music Cultures of the World</w:t>
      </w:r>
    </w:p>
    <w:p w14:paraId="69543E9E" w14:textId="77777777" w:rsidR="00FC0D98" w:rsidRPr="00FC0D98" w:rsidRDefault="00FC0D98" w:rsidP="0039727C">
      <w:pPr>
        <w:ind w:firstLine="720"/>
        <w:rPr>
          <w:b/>
          <w:sz w:val="28"/>
          <w:szCs w:val="28"/>
        </w:rPr>
      </w:pPr>
    </w:p>
    <w:p w14:paraId="46794065" w14:textId="77777777" w:rsidR="0039727C" w:rsidRPr="008F30EE" w:rsidRDefault="0039727C" w:rsidP="00DC6A99">
      <w:pPr>
        <w:rPr>
          <w:b/>
          <w:bCs/>
          <w:iCs/>
        </w:rPr>
      </w:pPr>
    </w:p>
    <w:p w14:paraId="56279001" w14:textId="7C22C67B" w:rsidR="00F86747" w:rsidRPr="008F30EE" w:rsidRDefault="0039727C" w:rsidP="00DC6A99">
      <w:pPr>
        <w:rPr>
          <w:iCs/>
        </w:rPr>
      </w:pPr>
      <w:r w:rsidRPr="008F30EE">
        <w:rPr>
          <w:b/>
          <w:bCs/>
          <w:iCs/>
        </w:rPr>
        <w:t xml:space="preserve">Lecture: </w:t>
      </w:r>
      <w:r w:rsidRPr="008F30EE">
        <w:rPr>
          <w:iCs/>
        </w:rPr>
        <w:t>Tuesday/Thursday; 11 a.m. -12:20 p.m. Music Building Room 258</w:t>
      </w:r>
    </w:p>
    <w:p w14:paraId="3FF9D562" w14:textId="6FC82B4D" w:rsidR="0039727C" w:rsidRPr="008F30EE" w:rsidRDefault="0039727C" w:rsidP="00DC6A99">
      <w:pPr>
        <w:rPr>
          <w:iCs/>
        </w:rPr>
      </w:pPr>
      <w:r w:rsidRPr="008F30EE">
        <w:rPr>
          <w:b/>
          <w:bCs/>
          <w:iCs/>
        </w:rPr>
        <w:t xml:space="preserve">Labs: </w:t>
      </w:r>
      <w:r w:rsidRPr="008F30EE">
        <w:rPr>
          <w:iCs/>
        </w:rPr>
        <w:t>Section 301, Tuesday; 10 -10:50 a.m. Music Building Room 321</w:t>
      </w:r>
    </w:p>
    <w:p w14:paraId="60890823" w14:textId="6D32267A" w:rsidR="0039727C" w:rsidRPr="008F30EE" w:rsidRDefault="0039727C" w:rsidP="00DC6A99">
      <w:pPr>
        <w:rPr>
          <w:iCs/>
        </w:rPr>
      </w:pPr>
      <w:r w:rsidRPr="008F30EE">
        <w:rPr>
          <w:iCs/>
        </w:rPr>
        <w:t xml:space="preserve">          Section 302, Thursday; 10 -10:50 a.m. Music Building Room 321</w:t>
      </w:r>
    </w:p>
    <w:p w14:paraId="077105EA" w14:textId="4D4FAF72" w:rsidR="0039727C" w:rsidRPr="008F30EE" w:rsidRDefault="0039727C" w:rsidP="00DC6A99">
      <w:pPr>
        <w:rPr>
          <w:iCs/>
        </w:rPr>
      </w:pPr>
      <w:r w:rsidRPr="008F30EE">
        <w:rPr>
          <w:iCs/>
        </w:rPr>
        <w:t xml:space="preserve">          Section 303, Friday; 9 - 9:50 a.m. Music Building Room 321</w:t>
      </w:r>
    </w:p>
    <w:p w14:paraId="11205BDD" w14:textId="49A95261" w:rsidR="0039727C" w:rsidRPr="008F30EE" w:rsidRDefault="0039727C" w:rsidP="00DC6A99">
      <w:pPr>
        <w:rPr>
          <w:iCs/>
        </w:rPr>
      </w:pPr>
      <w:r w:rsidRPr="008F30EE">
        <w:rPr>
          <w:iCs/>
        </w:rPr>
        <w:t xml:space="preserve">          Section 304, Friday; 1 – 1:50 p.m. Music Building Room 289</w:t>
      </w:r>
    </w:p>
    <w:p w14:paraId="1000B328" w14:textId="77777777" w:rsidR="00383887" w:rsidRPr="008F30EE" w:rsidRDefault="00383887" w:rsidP="00DC6A99">
      <w:pPr>
        <w:rPr>
          <w:iCs/>
        </w:rPr>
      </w:pPr>
    </w:p>
    <w:p w14:paraId="087B3D99" w14:textId="11223BA9" w:rsidR="0039727C" w:rsidRPr="008F30EE" w:rsidRDefault="0039727C" w:rsidP="00DC6A99">
      <w:pPr>
        <w:rPr>
          <w:iCs/>
        </w:rPr>
      </w:pPr>
      <w:r w:rsidRPr="008F30EE">
        <w:rPr>
          <w:b/>
          <w:bCs/>
          <w:iCs/>
        </w:rPr>
        <w:t>Instructor</w:t>
      </w:r>
      <w:r w:rsidRPr="008F30EE">
        <w:rPr>
          <w:iCs/>
        </w:rPr>
        <w:t>: Meng Ren (she/her)</w:t>
      </w:r>
    </w:p>
    <w:p w14:paraId="5DE6DFF0" w14:textId="4FCCEAB6" w:rsidR="0039727C" w:rsidRPr="008F30EE" w:rsidRDefault="0039727C" w:rsidP="00DC6A99">
      <w:pPr>
        <w:rPr>
          <w:iCs/>
        </w:rPr>
      </w:pPr>
      <w:r w:rsidRPr="008F30EE">
        <w:rPr>
          <w:b/>
          <w:bCs/>
          <w:iCs/>
        </w:rPr>
        <w:t>E-mail</w:t>
      </w:r>
      <w:r w:rsidRPr="008F30EE">
        <w:rPr>
          <w:iCs/>
        </w:rPr>
        <w:t xml:space="preserve">: </w:t>
      </w:r>
      <w:hyperlink r:id="rId7" w:history="1">
        <w:r w:rsidRPr="008F30EE">
          <w:rPr>
            <w:rStyle w:val="Hyperlink"/>
            <w:iCs/>
          </w:rPr>
          <w:t>mengren@my.unt.edu</w:t>
        </w:r>
      </w:hyperlink>
    </w:p>
    <w:p w14:paraId="08D8E5D0" w14:textId="0135BC8B" w:rsidR="0039727C" w:rsidRPr="008F30EE" w:rsidRDefault="0039727C" w:rsidP="00DC6A99">
      <w:pPr>
        <w:rPr>
          <w:iCs/>
        </w:rPr>
      </w:pPr>
      <w:r w:rsidRPr="008F30EE">
        <w:rPr>
          <w:b/>
          <w:bCs/>
          <w:iCs/>
        </w:rPr>
        <w:t>Office Hours</w:t>
      </w:r>
      <w:r w:rsidRPr="008F30EE">
        <w:rPr>
          <w:iCs/>
        </w:rPr>
        <w:t>: By appointment via e-mail</w:t>
      </w:r>
    </w:p>
    <w:p w14:paraId="506482C9" w14:textId="77777777" w:rsidR="0039727C" w:rsidRPr="008F30EE" w:rsidRDefault="0039727C" w:rsidP="00DC6A99">
      <w:pPr>
        <w:rPr>
          <w:iCs/>
        </w:rPr>
      </w:pPr>
    </w:p>
    <w:p w14:paraId="0C4CE625" w14:textId="4653C286" w:rsidR="0039727C" w:rsidRPr="008F30EE" w:rsidRDefault="0039727C" w:rsidP="0039727C">
      <w:pPr>
        <w:rPr>
          <w:b/>
          <w:bCs/>
          <w:iCs/>
        </w:rPr>
      </w:pPr>
      <w:r w:rsidRPr="008F30EE">
        <w:rPr>
          <w:b/>
          <w:bCs/>
          <w:iCs/>
        </w:rPr>
        <w:t xml:space="preserve">Teaching Assistants (office hours by appointment) </w:t>
      </w:r>
    </w:p>
    <w:p w14:paraId="06D4E1DB" w14:textId="5479A27A" w:rsidR="0039727C" w:rsidRPr="008F30EE" w:rsidRDefault="0039727C" w:rsidP="00383887">
      <w:pPr>
        <w:pStyle w:val="ListParagraph"/>
        <w:numPr>
          <w:ilvl w:val="0"/>
          <w:numId w:val="2"/>
        </w:numPr>
        <w:rPr>
          <w:rFonts w:eastAsia="Times New Roman" w:cs="Times New Roman"/>
          <w:iCs/>
        </w:rPr>
      </w:pPr>
      <w:r w:rsidRPr="008F30EE">
        <w:rPr>
          <w:rFonts w:eastAsia="Times New Roman" w:cs="Times New Roman"/>
          <w:iCs/>
        </w:rPr>
        <w:t xml:space="preserve">John Rhodes </w:t>
      </w:r>
      <w:r w:rsidR="00383887" w:rsidRPr="008F30EE">
        <w:rPr>
          <w:rFonts w:eastAsia="Times New Roman" w:cs="Times New Roman"/>
          <w:iCs/>
        </w:rPr>
        <w:t>(</w:t>
      </w:r>
      <w:hyperlink r:id="rId8" w:history="1">
        <w:r w:rsidR="00383887" w:rsidRPr="008F30EE">
          <w:rPr>
            <w:rStyle w:val="Hyperlink"/>
            <w:rFonts w:eastAsia="Times New Roman" w:cs="Times New Roman"/>
            <w:iCs/>
          </w:rPr>
          <w:t>johnrhodes2@my.unt.edu</w:t>
        </w:r>
      </w:hyperlink>
      <w:r w:rsidR="00383887" w:rsidRPr="008F30EE">
        <w:rPr>
          <w:rFonts w:eastAsia="Times New Roman" w:cs="Times New Roman"/>
          <w:iCs/>
        </w:rPr>
        <w:t>)</w:t>
      </w:r>
    </w:p>
    <w:p w14:paraId="75551293" w14:textId="70342CF7" w:rsidR="00383887" w:rsidRPr="008F30EE" w:rsidRDefault="0039727C" w:rsidP="00383887">
      <w:pPr>
        <w:pStyle w:val="ListParagraph"/>
        <w:numPr>
          <w:ilvl w:val="0"/>
          <w:numId w:val="2"/>
        </w:numPr>
        <w:wordWrap w:val="0"/>
        <w:spacing w:after="60"/>
        <w:textAlignment w:val="baseline"/>
        <w:rPr>
          <w:rFonts w:eastAsia="Times New Roman" w:cs="Times New Roman"/>
          <w:iCs/>
        </w:rPr>
      </w:pPr>
      <w:r w:rsidRPr="008F30EE">
        <w:rPr>
          <w:rFonts w:eastAsia="Times New Roman" w:cs="Times New Roman"/>
          <w:iCs/>
        </w:rPr>
        <w:t>Thanmayee Krishnamurthy (</w:t>
      </w:r>
      <w:hyperlink r:id="rId9" w:history="1">
        <w:r w:rsidR="00383887" w:rsidRPr="008F30EE">
          <w:rPr>
            <w:rStyle w:val="Hyperlink"/>
            <w:rFonts w:eastAsia="Times New Roman" w:cs="Times New Roman"/>
            <w:iCs/>
          </w:rPr>
          <w:t>thanmayeeholalkere-krishnamurthy@my.unt.edu</w:t>
        </w:r>
      </w:hyperlink>
      <w:r w:rsidR="00383887" w:rsidRPr="008F30EE">
        <w:rPr>
          <w:rFonts w:eastAsia="Times New Roman" w:cs="Times New Roman"/>
          <w:iCs/>
        </w:rPr>
        <w:t>)</w:t>
      </w:r>
    </w:p>
    <w:p w14:paraId="770BDFDD" w14:textId="1CAE0435" w:rsidR="0039727C" w:rsidRPr="008F30EE" w:rsidRDefault="0039727C" w:rsidP="00383887">
      <w:pPr>
        <w:pStyle w:val="ListParagraph"/>
        <w:wordWrap w:val="0"/>
        <w:spacing w:after="60"/>
        <w:textAlignment w:val="baseline"/>
        <w:rPr>
          <w:rFonts w:eastAsia="Times New Roman" w:cs="Times New Roman"/>
          <w:iCs/>
        </w:rPr>
      </w:pPr>
    </w:p>
    <w:p w14:paraId="413633E9" w14:textId="7B297501" w:rsidR="00383887" w:rsidRPr="008F30EE" w:rsidRDefault="00FC0D98" w:rsidP="00383887">
      <w:pPr>
        <w:rPr>
          <w:b/>
          <w:bCs/>
          <w:iCs/>
        </w:rPr>
      </w:pPr>
      <w:r>
        <w:rPr>
          <w:b/>
          <w:bCs/>
          <w:iCs/>
        </w:rPr>
        <w:t>COURSE DESCRIPTION AND OBJECTIVES</w:t>
      </w:r>
    </w:p>
    <w:p w14:paraId="5221029A" w14:textId="0781BAC4" w:rsidR="00383887" w:rsidRPr="008F30EE" w:rsidRDefault="00383887" w:rsidP="00383887">
      <w:pPr>
        <w:rPr>
          <w:iCs/>
        </w:rPr>
      </w:pPr>
      <w:r w:rsidRPr="008F30EE">
        <w:rPr>
          <w:iCs/>
        </w:rPr>
        <w:t xml:space="preserve">This course will introduce you to various musical traditions around the world. In particular, discussions on musical practices will emphasize music as a sociocultural phenomenon, exploring how music operates as a symbolic and cultural expression. This course will focus on musical practices from </w:t>
      </w:r>
      <w:r w:rsidRPr="008F30EE">
        <w:rPr>
          <w:iCs/>
          <w:u w:val="single"/>
        </w:rPr>
        <w:t>Native America, South American Andes, Mexico, Africa, India, Indonesia, and China</w:t>
      </w:r>
      <w:r w:rsidRPr="008F30EE">
        <w:rPr>
          <w:iCs/>
        </w:rPr>
        <w:t>.</w:t>
      </w:r>
    </w:p>
    <w:p w14:paraId="28CFBE51" w14:textId="77777777" w:rsidR="00383887" w:rsidRPr="008F30EE" w:rsidRDefault="00383887" w:rsidP="00383887">
      <w:pPr>
        <w:rPr>
          <w:iCs/>
        </w:rPr>
      </w:pPr>
    </w:p>
    <w:p w14:paraId="2430991E" w14:textId="776ED648" w:rsidR="00EB1186" w:rsidRPr="008F30EE" w:rsidRDefault="00EB1186" w:rsidP="00383887">
      <w:pPr>
        <w:rPr>
          <w:iCs/>
        </w:rPr>
      </w:pPr>
      <w:r w:rsidRPr="008F30EE">
        <w:rPr>
          <w:iCs/>
        </w:rPr>
        <w:t>The course also includes labs focused on ethnography. It introduces special topics on how music functions as a sociocultural phenomenon and encourages students to conduct their own ethnographic research on one of these topics.</w:t>
      </w:r>
    </w:p>
    <w:p w14:paraId="3E5D4791" w14:textId="77777777" w:rsidR="00EB1186" w:rsidRPr="008F30EE" w:rsidRDefault="00EB1186" w:rsidP="00383887"/>
    <w:p w14:paraId="65140CFD" w14:textId="38515B84" w:rsidR="00383887" w:rsidRPr="008F30EE" w:rsidRDefault="00383887" w:rsidP="00383887">
      <w:pPr>
        <w:rPr>
          <w:iCs/>
        </w:rPr>
      </w:pPr>
      <w:r w:rsidRPr="008F30EE">
        <w:rPr>
          <w:iCs/>
        </w:rPr>
        <w:t>By the end of this class, you should:</w:t>
      </w:r>
    </w:p>
    <w:p w14:paraId="4D433CAC" w14:textId="77777777" w:rsidR="00383887" w:rsidRPr="008F30EE" w:rsidRDefault="00383887" w:rsidP="00383887">
      <w:pPr>
        <w:pStyle w:val="ListParagraph"/>
        <w:numPr>
          <w:ilvl w:val="0"/>
          <w:numId w:val="3"/>
        </w:numPr>
        <w:rPr>
          <w:rFonts w:eastAsia="Times New Roman" w:cs="Times New Roman"/>
          <w:iCs/>
        </w:rPr>
      </w:pPr>
      <w:r w:rsidRPr="008F30EE">
        <w:rPr>
          <w:rFonts w:eastAsia="Times New Roman" w:cs="Times New Roman"/>
          <w:iCs/>
        </w:rPr>
        <w:t>Develop an understanding of the concept of music-culture</w:t>
      </w:r>
    </w:p>
    <w:p w14:paraId="277B6881" w14:textId="77777777" w:rsidR="00383887" w:rsidRPr="008F30EE" w:rsidRDefault="00383887" w:rsidP="00383887">
      <w:pPr>
        <w:pStyle w:val="ListParagraph"/>
        <w:numPr>
          <w:ilvl w:val="0"/>
          <w:numId w:val="3"/>
        </w:numPr>
        <w:rPr>
          <w:rFonts w:eastAsia="Times New Roman" w:cs="Times New Roman"/>
          <w:iCs/>
        </w:rPr>
      </w:pPr>
      <w:r w:rsidRPr="008F30EE">
        <w:rPr>
          <w:rFonts w:eastAsia="Times New Roman" w:cs="Times New Roman"/>
          <w:iCs/>
        </w:rPr>
        <w:t>Develop an increased understanding of various music-cultures around the world</w:t>
      </w:r>
    </w:p>
    <w:p w14:paraId="4464E46B" w14:textId="77777777" w:rsidR="00383887" w:rsidRPr="008F30EE" w:rsidRDefault="00383887" w:rsidP="00383887">
      <w:pPr>
        <w:pStyle w:val="ListParagraph"/>
        <w:numPr>
          <w:ilvl w:val="0"/>
          <w:numId w:val="3"/>
        </w:numPr>
        <w:rPr>
          <w:rFonts w:eastAsia="Times New Roman" w:cs="Times New Roman"/>
          <w:iCs/>
        </w:rPr>
      </w:pPr>
      <w:r w:rsidRPr="008F30EE">
        <w:rPr>
          <w:rFonts w:eastAsia="Times New Roman" w:cs="Times New Roman"/>
          <w:iCs/>
        </w:rPr>
        <w:t>Develop critical listening skills</w:t>
      </w:r>
    </w:p>
    <w:p w14:paraId="6D9BC89E" w14:textId="04078917" w:rsidR="00383887" w:rsidRPr="008F30EE" w:rsidRDefault="00EB1186" w:rsidP="00EB1186">
      <w:pPr>
        <w:pStyle w:val="ListParagraph"/>
        <w:numPr>
          <w:ilvl w:val="0"/>
          <w:numId w:val="3"/>
        </w:numPr>
        <w:rPr>
          <w:rFonts w:eastAsia="Times New Roman" w:cs="Times New Roman"/>
          <w:iCs/>
        </w:rPr>
      </w:pPr>
      <w:r w:rsidRPr="008F30EE">
        <w:rPr>
          <w:rFonts w:eastAsia="Times New Roman" w:cs="Times New Roman"/>
          <w:iCs/>
        </w:rPr>
        <w:t>Develop basic ethnographic skills</w:t>
      </w:r>
    </w:p>
    <w:p w14:paraId="0C6C36E2" w14:textId="77777777" w:rsidR="00383887" w:rsidRPr="008F30EE" w:rsidRDefault="00383887" w:rsidP="00383887">
      <w:pPr>
        <w:rPr>
          <w:iCs/>
        </w:rPr>
      </w:pPr>
    </w:p>
    <w:p w14:paraId="4D6B1EF8" w14:textId="77777777" w:rsidR="00FC0D98" w:rsidRDefault="00383887" w:rsidP="00FC0D98">
      <w:pPr>
        <w:rPr>
          <w:iCs/>
        </w:rPr>
      </w:pPr>
      <w:r w:rsidRPr="008F30EE">
        <w:rPr>
          <w:iCs/>
        </w:rPr>
        <w:t xml:space="preserve">Note: This course is aligned with the University Core Curriculum, including objectives: critical thinking, communication, personal responsibility, and social responsibility. </w:t>
      </w:r>
    </w:p>
    <w:p w14:paraId="54832FC4" w14:textId="5DB39515" w:rsidR="00EB1186" w:rsidRDefault="00383887" w:rsidP="00FC0D98">
      <w:pPr>
        <w:rPr>
          <w:iCs/>
        </w:rPr>
      </w:pPr>
      <w:r w:rsidRPr="008F30EE">
        <w:rPr>
          <w:iCs/>
        </w:rPr>
        <w:br/>
      </w:r>
    </w:p>
    <w:p w14:paraId="7B25EEC3" w14:textId="35F14910" w:rsidR="00FC0D98" w:rsidRPr="00FC0D98" w:rsidRDefault="00FC0D98" w:rsidP="00FC0D98">
      <w:pPr>
        <w:rPr>
          <w:b/>
          <w:bCs/>
          <w:iCs/>
        </w:rPr>
      </w:pPr>
      <w:r w:rsidRPr="00FC0D98">
        <w:rPr>
          <w:b/>
          <w:bCs/>
          <w:iCs/>
        </w:rPr>
        <w:t>RECOMMENDED TEXTBOOK</w:t>
      </w:r>
    </w:p>
    <w:p w14:paraId="47CC540F" w14:textId="77777777" w:rsidR="00EB1186" w:rsidRPr="008F30EE" w:rsidRDefault="00EB1186" w:rsidP="00EB1186">
      <w:pPr>
        <w:pStyle w:val="ListParagraph"/>
        <w:numPr>
          <w:ilvl w:val="0"/>
          <w:numId w:val="3"/>
        </w:numPr>
        <w:rPr>
          <w:rFonts w:cs="Times New Roman"/>
          <w:iCs/>
        </w:rPr>
      </w:pPr>
      <w:r w:rsidRPr="008F30EE">
        <w:rPr>
          <w:rFonts w:cs="Times New Roman"/>
          <w:i/>
        </w:rPr>
        <w:t>Worlds of Music:</w:t>
      </w:r>
      <w:r w:rsidRPr="008F30EE">
        <w:rPr>
          <w:rFonts w:cs="Times New Roman"/>
          <w:iCs/>
        </w:rPr>
        <w:t xml:space="preserve"> </w:t>
      </w:r>
      <w:r w:rsidRPr="008F30EE">
        <w:rPr>
          <w:rFonts w:cs="Times New Roman"/>
          <w:i/>
        </w:rPr>
        <w:t>An Introduction to the Music of the World’s Peoples</w:t>
      </w:r>
      <w:r w:rsidRPr="008F30EE">
        <w:rPr>
          <w:rFonts w:cs="Times New Roman"/>
          <w:iCs/>
        </w:rPr>
        <w:t xml:space="preserve"> (6th Edition), edited by Jeff Titon, published by Cengage Learning </w:t>
      </w:r>
    </w:p>
    <w:p w14:paraId="6FB9D09F" w14:textId="687A16AB" w:rsidR="0039727C" w:rsidRDefault="00EB1186" w:rsidP="00DC6A99">
      <w:pPr>
        <w:pStyle w:val="ListParagraph"/>
        <w:numPr>
          <w:ilvl w:val="0"/>
          <w:numId w:val="3"/>
        </w:numPr>
        <w:rPr>
          <w:rFonts w:cs="Times New Roman"/>
          <w:iCs/>
        </w:rPr>
      </w:pPr>
      <w:r w:rsidRPr="008F30EE">
        <w:rPr>
          <w:rFonts w:cs="Times New Roman"/>
          <w:iCs/>
        </w:rPr>
        <w:t>Additional materials will be posted on Canvas</w:t>
      </w:r>
    </w:p>
    <w:p w14:paraId="2860E0D5" w14:textId="77777777" w:rsidR="00FC0D98" w:rsidRDefault="00FC0D98" w:rsidP="00FC0D98">
      <w:pPr>
        <w:rPr>
          <w:iCs/>
        </w:rPr>
      </w:pPr>
    </w:p>
    <w:p w14:paraId="12749889" w14:textId="77777777" w:rsidR="00FC0D98" w:rsidRDefault="00FC0D98" w:rsidP="00FC0D98">
      <w:pPr>
        <w:rPr>
          <w:iCs/>
        </w:rPr>
      </w:pPr>
    </w:p>
    <w:p w14:paraId="5D46B9B9" w14:textId="77777777" w:rsidR="00FC0D98" w:rsidRDefault="00FC0D98" w:rsidP="00FC0D98">
      <w:pPr>
        <w:rPr>
          <w:iCs/>
        </w:rPr>
      </w:pPr>
    </w:p>
    <w:p w14:paraId="6EF61D99" w14:textId="5AC93686" w:rsidR="00EB1186" w:rsidRPr="008F30EE" w:rsidRDefault="00FC0D98" w:rsidP="00EB1186">
      <w:pPr>
        <w:rPr>
          <w:b/>
          <w:bCs/>
          <w:iCs/>
        </w:rPr>
      </w:pPr>
      <w:r>
        <w:rPr>
          <w:b/>
          <w:bCs/>
          <w:iCs/>
        </w:rPr>
        <w:lastRenderedPageBreak/>
        <w:t>GRADE EVALUATION</w:t>
      </w:r>
    </w:p>
    <w:p w14:paraId="72DA6762" w14:textId="77777777" w:rsidR="00EB1186" w:rsidRPr="008F30EE" w:rsidRDefault="00EB1186" w:rsidP="00EB1186">
      <w:pPr>
        <w:rPr>
          <w:rFonts w:eastAsiaTheme="minorEastAsia"/>
          <w:iCs/>
        </w:rPr>
      </w:pPr>
      <w:r w:rsidRPr="008F30EE">
        <w:rPr>
          <w:rFonts w:eastAsiaTheme="minorEastAsia"/>
          <w:iCs/>
        </w:rPr>
        <w:t xml:space="preserve">The course will be graded on a cumulative 1000-point scale (not including extra credit, which may be offered throughout the semester). To pass the course, students must maintain a passing grade of 600 (D) or higher. The points will be divided as such: </w:t>
      </w:r>
    </w:p>
    <w:p w14:paraId="3FBD194E" w14:textId="77777777" w:rsidR="00EB1186" w:rsidRPr="008F30EE" w:rsidRDefault="00EB1186" w:rsidP="00EB1186">
      <w:pPr>
        <w:rPr>
          <w:rFonts w:eastAsiaTheme="minorEastAsia"/>
          <w:iCs/>
        </w:rPr>
      </w:pPr>
    </w:p>
    <w:p w14:paraId="5480A52B" w14:textId="63918685" w:rsidR="00EB1186" w:rsidRPr="008F30EE" w:rsidRDefault="00EB1186" w:rsidP="00EB1186">
      <w:pPr>
        <w:rPr>
          <w:rFonts w:eastAsiaTheme="minorEastAsia"/>
          <w:iCs/>
        </w:rPr>
      </w:pPr>
      <w:r w:rsidRPr="008F30EE">
        <w:rPr>
          <w:rFonts w:eastAsiaTheme="minorEastAsia"/>
          <w:iCs/>
        </w:rPr>
        <w:tab/>
        <w:t>Unit 1 Exam</w:t>
      </w:r>
      <w:r w:rsidRPr="008F30EE">
        <w:rPr>
          <w:rFonts w:eastAsiaTheme="minorEastAsia"/>
          <w:iCs/>
        </w:rPr>
        <w:tab/>
      </w:r>
      <w:r w:rsidRPr="008F30EE">
        <w:rPr>
          <w:rFonts w:eastAsiaTheme="minorEastAsia"/>
          <w:iCs/>
        </w:rPr>
        <w:tab/>
        <w:t xml:space="preserve"> </w:t>
      </w:r>
      <w:r w:rsidRPr="008F30EE">
        <w:rPr>
          <w:rFonts w:eastAsiaTheme="minorEastAsia"/>
          <w:iCs/>
        </w:rPr>
        <w:tab/>
      </w:r>
      <w:r w:rsidR="006712FC" w:rsidRPr="008F30EE">
        <w:rPr>
          <w:rFonts w:eastAsiaTheme="minorEastAsia"/>
          <w:iCs/>
        </w:rPr>
        <w:t>200</w:t>
      </w:r>
      <w:r w:rsidRPr="008F30EE">
        <w:rPr>
          <w:rFonts w:eastAsiaTheme="minorEastAsia"/>
          <w:iCs/>
        </w:rPr>
        <w:t xml:space="preserve"> points</w:t>
      </w:r>
    </w:p>
    <w:p w14:paraId="664D48AC" w14:textId="1368C18A" w:rsidR="00EB1186" w:rsidRPr="008F30EE" w:rsidRDefault="00EB1186" w:rsidP="00EB1186">
      <w:pPr>
        <w:rPr>
          <w:rFonts w:eastAsiaTheme="minorEastAsia"/>
          <w:iCs/>
        </w:rPr>
      </w:pPr>
      <w:r w:rsidRPr="008F30EE">
        <w:rPr>
          <w:rFonts w:eastAsiaTheme="minorEastAsia"/>
          <w:iCs/>
        </w:rPr>
        <w:tab/>
        <w:t>Unit 2 Exam</w:t>
      </w:r>
      <w:r w:rsidRPr="008F30EE">
        <w:rPr>
          <w:rFonts w:eastAsiaTheme="minorEastAsia"/>
          <w:iCs/>
        </w:rPr>
        <w:tab/>
      </w:r>
      <w:r w:rsidRPr="008F30EE">
        <w:rPr>
          <w:rFonts w:eastAsiaTheme="minorEastAsia"/>
          <w:iCs/>
        </w:rPr>
        <w:tab/>
      </w:r>
      <w:r w:rsidRPr="008F30EE">
        <w:rPr>
          <w:rFonts w:eastAsiaTheme="minorEastAsia"/>
          <w:iCs/>
        </w:rPr>
        <w:tab/>
      </w:r>
      <w:r w:rsidR="006712FC" w:rsidRPr="008F30EE">
        <w:rPr>
          <w:rFonts w:eastAsiaTheme="minorEastAsia"/>
          <w:iCs/>
        </w:rPr>
        <w:t xml:space="preserve">200 </w:t>
      </w:r>
      <w:r w:rsidRPr="008F30EE">
        <w:rPr>
          <w:rFonts w:eastAsiaTheme="minorEastAsia"/>
          <w:iCs/>
        </w:rPr>
        <w:t>points</w:t>
      </w:r>
    </w:p>
    <w:p w14:paraId="3DE9D776" w14:textId="5E5BBD3D" w:rsidR="00EB1186" w:rsidRPr="008F30EE" w:rsidRDefault="00EB1186" w:rsidP="00EB1186">
      <w:pPr>
        <w:rPr>
          <w:rFonts w:eastAsiaTheme="minorEastAsia"/>
          <w:iCs/>
        </w:rPr>
      </w:pPr>
      <w:r w:rsidRPr="008F30EE">
        <w:rPr>
          <w:rFonts w:eastAsiaTheme="minorEastAsia"/>
          <w:iCs/>
        </w:rPr>
        <w:tab/>
        <w:t>Unit 3 Exam</w:t>
      </w:r>
      <w:r w:rsidRPr="008F30EE">
        <w:rPr>
          <w:rFonts w:eastAsiaTheme="minorEastAsia"/>
          <w:iCs/>
        </w:rPr>
        <w:tab/>
      </w:r>
      <w:r w:rsidRPr="008F30EE">
        <w:rPr>
          <w:rFonts w:eastAsiaTheme="minorEastAsia"/>
          <w:iCs/>
        </w:rPr>
        <w:tab/>
      </w:r>
      <w:r w:rsidRPr="008F30EE">
        <w:rPr>
          <w:rFonts w:eastAsiaTheme="minorEastAsia"/>
          <w:iCs/>
        </w:rPr>
        <w:tab/>
      </w:r>
      <w:r w:rsidR="006712FC" w:rsidRPr="008F30EE">
        <w:rPr>
          <w:rFonts w:eastAsiaTheme="minorEastAsia"/>
          <w:iCs/>
        </w:rPr>
        <w:t>200</w:t>
      </w:r>
      <w:r w:rsidRPr="008F30EE">
        <w:rPr>
          <w:rFonts w:eastAsiaTheme="minorEastAsia"/>
          <w:iCs/>
        </w:rPr>
        <w:t xml:space="preserve"> points</w:t>
      </w:r>
    </w:p>
    <w:p w14:paraId="4EFB8FB3" w14:textId="381E45A7" w:rsidR="00EB1186" w:rsidRPr="008F30EE" w:rsidRDefault="00EB1186" w:rsidP="00EB1186">
      <w:pPr>
        <w:rPr>
          <w:rFonts w:eastAsiaTheme="minorEastAsia"/>
          <w:iCs/>
        </w:rPr>
      </w:pPr>
      <w:r w:rsidRPr="008F30EE">
        <w:rPr>
          <w:rFonts w:eastAsiaTheme="minorEastAsia"/>
          <w:iCs/>
        </w:rPr>
        <w:tab/>
        <w:t>Writing Assignment 1</w:t>
      </w:r>
      <w:r w:rsidRPr="008F30EE">
        <w:rPr>
          <w:rFonts w:eastAsiaTheme="minorEastAsia"/>
          <w:iCs/>
        </w:rPr>
        <w:tab/>
      </w:r>
      <w:r w:rsidR="00DC11A8">
        <w:rPr>
          <w:rFonts w:eastAsiaTheme="minorEastAsia"/>
          <w:iCs/>
        </w:rPr>
        <w:t xml:space="preserve">            </w:t>
      </w:r>
      <w:r w:rsidR="003058FD" w:rsidRPr="008F30EE">
        <w:rPr>
          <w:rFonts w:eastAsiaTheme="minorEastAsia"/>
          <w:iCs/>
        </w:rPr>
        <w:t>150</w:t>
      </w:r>
      <w:r w:rsidRPr="008F30EE">
        <w:rPr>
          <w:rFonts w:eastAsiaTheme="minorEastAsia"/>
          <w:iCs/>
        </w:rPr>
        <w:t xml:space="preserve"> points</w:t>
      </w:r>
    </w:p>
    <w:p w14:paraId="4ADF462E" w14:textId="28B2E128" w:rsidR="00EB1186" w:rsidRPr="008F30EE" w:rsidRDefault="00EB1186" w:rsidP="00EB1186">
      <w:pPr>
        <w:rPr>
          <w:rFonts w:eastAsiaTheme="minorEastAsia"/>
          <w:iCs/>
        </w:rPr>
      </w:pPr>
      <w:r w:rsidRPr="008F30EE">
        <w:rPr>
          <w:rFonts w:eastAsiaTheme="minorEastAsia"/>
          <w:iCs/>
        </w:rPr>
        <w:tab/>
        <w:t>Assignment 2</w:t>
      </w:r>
      <w:r w:rsidRPr="008F30EE">
        <w:rPr>
          <w:rFonts w:eastAsiaTheme="minorEastAsia"/>
          <w:iCs/>
        </w:rPr>
        <w:tab/>
      </w:r>
      <w:r w:rsidR="006712FC" w:rsidRPr="008F30EE">
        <w:rPr>
          <w:rFonts w:eastAsiaTheme="minorEastAsia"/>
          <w:iCs/>
        </w:rPr>
        <w:tab/>
      </w:r>
      <w:r w:rsidR="00DC11A8">
        <w:rPr>
          <w:rFonts w:eastAsiaTheme="minorEastAsia"/>
          <w:iCs/>
        </w:rPr>
        <w:t xml:space="preserve">            </w:t>
      </w:r>
      <w:r w:rsidRPr="008F30EE">
        <w:rPr>
          <w:rFonts w:eastAsiaTheme="minorEastAsia"/>
          <w:iCs/>
        </w:rPr>
        <w:t>2</w:t>
      </w:r>
      <w:r w:rsidR="003058FD" w:rsidRPr="008F30EE">
        <w:rPr>
          <w:rFonts w:eastAsiaTheme="minorEastAsia"/>
          <w:iCs/>
        </w:rPr>
        <w:t>5</w:t>
      </w:r>
      <w:r w:rsidRPr="008F30EE">
        <w:rPr>
          <w:rFonts w:eastAsiaTheme="minorEastAsia"/>
          <w:iCs/>
        </w:rPr>
        <w:t>0 points</w:t>
      </w:r>
    </w:p>
    <w:p w14:paraId="72942FFE" w14:textId="77777777" w:rsidR="00EB1186" w:rsidRPr="008F30EE" w:rsidRDefault="00EB1186" w:rsidP="00EB1186">
      <w:pPr>
        <w:ind w:firstLine="720"/>
        <w:rPr>
          <w:rFonts w:eastAsiaTheme="minorEastAsia"/>
          <w:iCs/>
        </w:rPr>
      </w:pPr>
      <w:r w:rsidRPr="008F30EE">
        <w:rPr>
          <w:rFonts w:eastAsiaTheme="minorEastAsia"/>
          <w:iCs/>
        </w:rPr>
        <w:t>________________</w:t>
      </w:r>
    </w:p>
    <w:p w14:paraId="3A0228F2" w14:textId="77777777" w:rsidR="00EB1186" w:rsidRDefault="00EB1186" w:rsidP="00EB1186">
      <w:pPr>
        <w:ind w:firstLine="720"/>
        <w:rPr>
          <w:rFonts w:eastAsiaTheme="minorEastAsia"/>
          <w:iCs/>
        </w:rPr>
      </w:pPr>
      <w:r w:rsidRPr="008F30EE">
        <w:rPr>
          <w:rFonts w:eastAsiaTheme="minorEastAsia"/>
          <w:iCs/>
        </w:rPr>
        <w:t>Total</w:t>
      </w:r>
      <w:r w:rsidRPr="008F30EE">
        <w:rPr>
          <w:rFonts w:eastAsiaTheme="minorEastAsia"/>
          <w:iCs/>
        </w:rPr>
        <w:tab/>
      </w:r>
      <w:r w:rsidRPr="008F30EE">
        <w:rPr>
          <w:rFonts w:eastAsiaTheme="minorEastAsia"/>
          <w:iCs/>
        </w:rPr>
        <w:tab/>
      </w:r>
      <w:r w:rsidRPr="008F30EE">
        <w:rPr>
          <w:rFonts w:eastAsiaTheme="minorEastAsia"/>
          <w:iCs/>
        </w:rPr>
        <w:tab/>
      </w:r>
      <w:r w:rsidRPr="008F30EE">
        <w:rPr>
          <w:rFonts w:eastAsiaTheme="minorEastAsia"/>
          <w:iCs/>
        </w:rPr>
        <w:tab/>
        <w:t>1000 points</w:t>
      </w:r>
    </w:p>
    <w:p w14:paraId="2DDF12B0" w14:textId="77777777" w:rsidR="00FC0D98" w:rsidRPr="008F30EE" w:rsidRDefault="00FC0D98" w:rsidP="00EB1186">
      <w:pPr>
        <w:ind w:firstLine="720"/>
        <w:rPr>
          <w:rFonts w:eastAsiaTheme="minorEastAsia"/>
          <w:iCs/>
        </w:rPr>
      </w:pPr>
    </w:p>
    <w:p w14:paraId="41615F14" w14:textId="77777777" w:rsidR="0039727C" w:rsidRPr="008F30EE" w:rsidRDefault="0039727C" w:rsidP="00DC6A99">
      <w:pPr>
        <w:rPr>
          <w:b/>
          <w:bCs/>
          <w:iCs/>
        </w:rPr>
      </w:pPr>
    </w:p>
    <w:p w14:paraId="46C19B18" w14:textId="024B68A9" w:rsidR="00EB1186" w:rsidRPr="008F30EE" w:rsidRDefault="00FC0D98" w:rsidP="00EB1186">
      <w:pPr>
        <w:rPr>
          <w:b/>
          <w:bCs/>
          <w:iCs/>
        </w:rPr>
      </w:pPr>
      <w:r>
        <w:rPr>
          <w:b/>
          <w:bCs/>
          <w:iCs/>
        </w:rPr>
        <w:t>ASSIGNMENTS</w:t>
      </w:r>
    </w:p>
    <w:p w14:paraId="0C67C515" w14:textId="77777777" w:rsidR="00EB1186" w:rsidRPr="008F30EE" w:rsidRDefault="00EB1186" w:rsidP="00EB1186">
      <w:pPr>
        <w:pStyle w:val="Default"/>
        <w:rPr>
          <w:rFonts w:ascii="Times New Roman" w:eastAsiaTheme="minorEastAsia" w:hAnsi="Times New Roman" w:cs="Times New Roman"/>
          <w:iCs/>
          <w:color w:val="auto"/>
          <w:lang w:eastAsia="zh-CN" w:bidi="ar-SA"/>
        </w:rPr>
      </w:pPr>
      <w:r w:rsidRPr="008F30EE">
        <w:rPr>
          <w:rFonts w:ascii="Times New Roman" w:eastAsiaTheme="minorEastAsia" w:hAnsi="Times New Roman" w:cs="Times New Roman"/>
          <w:iCs/>
          <w:color w:val="auto"/>
          <w:lang w:eastAsia="zh-CN" w:bidi="ar-SA"/>
        </w:rPr>
        <w:t xml:space="preserve">Students will complete two major assignments for the semester. All electronic assignments, unless otherwise noted, must be typed in a separate document file and submitted through Canvas. Late submissions will receive 10% deductions for every day after the due date until the assignment is no longer available. </w:t>
      </w:r>
    </w:p>
    <w:p w14:paraId="0400768C" w14:textId="77777777" w:rsidR="00EB1186" w:rsidRPr="008F30EE" w:rsidRDefault="00EB1186" w:rsidP="00EB1186">
      <w:pPr>
        <w:pStyle w:val="Default"/>
        <w:rPr>
          <w:rFonts w:ascii="Times New Roman" w:hAnsi="Times New Roman" w:cs="Times New Roman"/>
        </w:rPr>
      </w:pPr>
    </w:p>
    <w:p w14:paraId="20D08A04" w14:textId="4475F4C5" w:rsidR="00EB1186" w:rsidRPr="008F30EE" w:rsidRDefault="00EB1186" w:rsidP="00EB1186">
      <w:pPr>
        <w:rPr>
          <w:b/>
          <w:bCs/>
          <w:iCs/>
        </w:rPr>
      </w:pPr>
      <w:r w:rsidRPr="008F30EE">
        <w:rPr>
          <w:b/>
          <w:bCs/>
          <w:iCs/>
        </w:rPr>
        <w:t>Unless otherwise noted, essays must be formatted with 1-inch margins, double-spaced, with text in the Times New Roman font style, with a 12-point font size:</w:t>
      </w:r>
    </w:p>
    <w:p w14:paraId="18D167CA" w14:textId="77777777" w:rsidR="00EB1186" w:rsidRPr="008F30EE" w:rsidRDefault="00EB1186" w:rsidP="00EB1186">
      <w:pPr>
        <w:pStyle w:val="Default"/>
        <w:rPr>
          <w:rFonts w:ascii="Times New Roman" w:hAnsi="Times New Roman" w:cs="Times New Roman"/>
        </w:rPr>
      </w:pPr>
    </w:p>
    <w:p w14:paraId="348772FF" w14:textId="1EE96A24" w:rsidR="00EB1186" w:rsidRPr="008F30EE" w:rsidRDefault="00EB1186" w:rsidP="00EB1186">
      <w:pPr>
        <w:pStyle w:val="Default"/>
        <w:numPr>
          <w:ilvl w:val="0"/>
          <w:numId w:val="6"/>
        </w:numPr>
        <w:rPr>
          <w:rFonts w:ascii="Times New Roman" w:hAnsi="Times New Roman" w:cs="Times New Roman"/>
          <w:b/>
          <w:bCs/>
          <w:sz w:val="28"/>
          <w:szCs w:val="28"/>
        </w:rPr>
      </w:pPr>
      <w:r w:rsidRPr="008F30EE">
        <w:rPr>
          <w:rFonts w:ascii="Times New Roman" w:hAnsi="Times New Roman" w:cs="Times New Roman"/>
          <w:b/>
          <w:bCs/>
          <w:sz w:val="28"/>
          <w:szCs w:val="28"/>
        </w:rPr>
        <w:t>Soundscape Analysis (</w:t>
      </w:r>
      <w:r w:rsidR="003058FD" w:rsidRPr="008F30EE">
        <w:rPr>
          <w:rFonts w:ascii="Times New Roman" w:hAnsi="Times New Roman" w:cs="Times New Roman"/>
          <w:b/>
          <w:bCs/>
          <w:sz w:val="28"/>
          <w:szCs w:val="28"/>
          <w:lang w:eastAsia="zh-CN"/>
        </w:rPr>
        <w:t>150</w:t>
      </w:r>
      <w:r w:rsidRPr="008F30EE">
        <w:rPr>
          <w:rFonts w:ascii="Times New Roman" w:hAnsi="Times New Roman" w:cs="Times New Roman"/>
          <w:b/>
          <w:bCs/>
          <w:sz w:val="28"/>
          <w:szCs w:val="28"/>
        </w:rPr>
        <w:t xml:space="preserve"> pts) </w:t>
      </w:r>
    </w:p>
    <w:p w14:paraId="358E4B01" w14:textId="1E7F866F" w:rsidR="003058FD" w:rsidRPr="008F30EE" w:rsidRDefault="00EB1186" w:rsidP="003058FD">
      <w:pPr>
        <w:pStyle w:val="Default"/>
        <w:ind w:left="360"/>
        <w:rPr>
          <w:rFonts w:ascii="Times New Roman" w:eastAsiaTheme="minorEastAsia" w:hAnsi="Times New Roman" w:cs="Times New Roman"/>
          <w:iCs/>
          <w:color w:val="auto"/>
          <w:lang w:eastAsia="zh-CN" w:bidi="ar-SA"/>
        </w:rPr>
      </w:pPr>
      <w:r w:rsidRPr="008F30EE">
        <w:rPr>
          <w:rFonts w:ascii="Times New Roman" w:eastAsiaTheme="minorEastAsia" w:hAnsi="Times New Roman" w:cs="Times New Roman"/>
          <w:iCs/>
          <w:color w:val="auto"/>
          <w:lang w:eastAsia="zh-CN" w:bidi="ar-SA"/>
        </w:rPr>
        <w:t>This assignment is meant to encourage you to listen critically to the many sounds you engage with in your daily life. It will consist of two parts: a field journal (50 pts), and a typed essay (1</w:t>
      </w:r>
      <w:r w:rsidR="003058FD" w:rsidRPr="008F30EE">
        <w:rPr>
          <w:rFonts w:ascii="Times New Roman" w:eastAsiaTheme="minorEastAsia" w:hAnsi="Times New Roman" w:cs="Times New Roman"/>
          <w:iCs/>
          <w:color w:val="auto"/>
          <w:lang w:eastAsia="zh-CN" w:bidi="ar-SA"/>
        </w:rPr>
        <w:t xml:space="preserve">00 </w:t>
      </w:r>
      <w:r w:rsidRPr="008F30EE">
        <w:rPr>
          <w:rFonts w:ascii="Times New Roman" w:eastAsiaTheme="minorEastAsia" w:hAnsi="Times New Roman" w:cs="Times New Roman"/>
          <w:iCs/>
          <w:color w:val="auto"/>
          <w:lang w:eastAsia="zh-CN" w:bidi="ar-SA"/>
        </w:rPr>
        <w:t xml:space="preserve">pts). For the field journal, you are to document every time you hear music and/or musical sounds in your daily life during </w:t>
      </w:r>
      <w:r w:rsidRPr="008F30EE">
        <w:rPr>
          <w:rFonts w:ascii="Times New Roman" w:eastAsiaTheme="minorEastAsia" w:hAnsi="Times New Roman" w:cs="Times New Roman"/>
          <w:iCs/>
          <w:color w:val="auto"/>
          <w:u w:val="single"/>
          <w:lang w:eastAsia="zh-CN" w:bidi="ar-SA"/>
        </w:rPr>
        <w:t>four</w:t>
      </w:r>
      <w:r w:rsidRPr="008F30EE">
        <w:rPr>
          <w:rFonts w:ascii="Times New Roman" w:eastAsiaTheme="minorEastAsia" w:hAnsi="Times New Roman" w:cs="Times New Roman"/>
          <w:iCs/>
          <w:color w:val="auto"/>
          <w:lang w:eastAsia="zh-CN" w:bidi="ar-SA"/>
        </w:rPr>
        <w:t xml:space="preserve"> different 24-hour periods. At least </w:t>
      </w:r>
      <w:r w:rsidRPr="008F30EE">
        <w:rPr>
          <w:rFonts w:ascii="Times New Roman" w:eastAsiaTheme="minorEastAsia" w:hAnsi="Times New Roman" w:cs="Times New Roman"/>
          <w:iCs/>
          <w:color w:val="auto"/>
          <w:u w:val="single"/>
          <w:lang w:eastAsia="zh-CN" w:bidi="ar-SA"/>
        </w:rPr>
        <w:t>one</w:t>
      </w:r>
      <w:r w:rsidRPr="008F30EE">
        <w:rPr>
          <w:rFonts w:ascii="Times New Roman" w:eastAsiaTheme="minorEastAsia" w:hAnsi="Times New Roman" w:cs="Times New Roman"/>
          <w:iCs/>
          <w:color w:val="auto"/>
          <w:lang w:eastAsia="zh-CN" w:bidi="ar-SA"/>
        </w:rPr>
        <w:t xml:space="preserve"> of these days should be a </w:t>
      </w:r>
      <w:r w:rsidRPr="008F30EE">
        <w:rPr>
          <w:rFonts w:ascii="Times New Roman" w:eastAsiaTheme="minorEastAsia" w:hAnsi="Times New Roman" w:cs="Times New Roman"/>
          <w:iCs/>
          <w:color w:val="auto"/>
          <w:u w:val="single"/>
          <w:lang w:eastAsia="zh-CN" w:bidi="ar-SA"/>
        </w:rPr>
        <w:t>weekday</w:t>
      </w:r>
      <w:r w:rsidRPr="008F30EE">
        <w:rPr>
          <w:rFonts w:ascii="Times New Roman" w:eastAsiaTheme="minorEastAsia" w:hAnsi="Times New Roman" w:cs="Times New Roman"/>
          <w:iCs/>
          <w:color w:val="auto"/>
          <w:lang w:eastAsia="zh-CN" w:bidi="ar-SA"/>
        </w:rPr>
        <w:t xml:space="preserve">, the other during the weekend. </w:t>
      </w:r>
    </w:p>
    <w:p w14:paraId="6B3BE731" w14:textId="77777777" w:rsidR="003058FD" w:rsidRPr="008F30EE" w:rsidRDefault="003058FD" w:rsidP="003058FD">
      <w:pPr>
        <w:pStyle w:val="Default"/>
        <w:ind w:left="360"/>
        <w:rPr>
          <w:rFonts w:ascii="Times New Roman" w:eastAsiaTheme="minorEastAsia" w:hAnsi="Times New Roman" w:cs="Times New Roman"/>
          <w:iCs/>
          <w:color w:val="auto"/>
          <w:lang w:eastAsia="zh-CN" w:bidi="ar-SA"/>
        </w:rPr>
      </w:pPr>
    </w:p>
    <w:p w14:paraId="37349BA7" w14:textId="77777777" w:rsidR="003058FD" w:rsidRPr="008F30EE" w:rsidRDefault="00EB1186" w:rsidP="003058FD">
      <w:pPr>
        <w:pStyle w:val="Default"/>
        <w:ind w:left="360"/>
        <w:rPr>
          <w:rFonts w:ascii="Times New Roman" w:eastAsiaTheme="minorEastAsia" w:hAnsi="Times New Roman" w:cs="Times New Roman"/>
          <w:iCs/>
          <w:color w:val="auto"/>
          <w:lang w:eastAsia="zh-CN" w:bidi="ar-SA"/>
        </w:rPr>
      </w:pPr>
      <w:r w:rsidRPr="008F30EE">
        <w:rPr>
          <w:rFonts w:ascii="Times New Roman" w:eastAsiaTheme="minorEastAsia" w:hAnsi="Times New Roman" w:cs="Times New Roman"/>
          <w:iCs/>
          <w:color w:val="auto"/>
          <w:lang w:eastAsia="zh-CN" w:bidi="ar-SA"/>
        </w:rPr>
        <w:t xml:space="preserve">You may choose to document your observations in a small notebook or an electronic device. For any musical sounds documented, please record the </w:t>
      </w:r>
      <w:r w:rsidRPr="008F30EE">
        <w:rPr>
          <w:rFonts w:ascii="Times New Roman" w:eastAsiaTheme="minorEastAsia" w:hAnsi="Times New Roman" w:cs="Times New Roman"/>
          <w:iCs/>
          <w:color w:val="auto"/>
          <w:u w:val="single"/>
          <w:lang w:eastAsia="zh-CN" w:bidi="ar-SA"/>
        </w:rPr>
        <w:t>date, time, place, and a short description of what you observed</w:t>
      </w:r>
      <w:r w:rsidRPr="008F30EE">
        <w:rPr>
          <w:rFonts w:ascii="Times New Roman" w:eastAsiaTheme="minorEastAsia" w:hAnsi="Times New Roman" w:cs="Times New Roman"/>
          <w:iCs/>
          <w:color w:val="auto"/>
          <w:lang w:eastAsia="zh-CN" w:bidi="ar-SA"/>
        </w:rPr>
        <w:t xml:space="preserve">. For full credit, two things must be submitted: </w:t>
      </w:r>
    </w:p>
    <w:p w14:paraId="348A3A9F" w14:textId="77777777" w:rsidR="003058FD" w:rsidRPr="008F30EE" w:rsidRDefault="00EB1186" w:rsidP="003058FD">
      <w:pPr>
        <w:pStyle w:val="Default"/>
        <w:numPr>
          <w:ilvl w:val="0"/>
          <w:numId w:val="7"/>
        </w:numPr>
        <w:rPr>
          <w:rFonts w:ascii="Times New Roman" w:eastAsiaTheme="minorEastAsia" w:hAnsi="Times New Roman" w:cs="Times New Roman"/>
          <w:iCs/>
          <w:color w:val="auto"/>
          <w:lang w:eastAsia="zh-CN" w:bidi="ar-SA"/>
        </w:rPr>
      </w:pPr>
      <w:r w:rsidRPr="008F30EE">
        <w:rPr>
          <w:rFonts w:ascii="Times New Roman" w:eastAsiaTheme="minorEastAsia" w:hAnsi="Times New Roman" w:cs="Times New Roman"/>
          <w:iCs/>
          <w:color w:val="auto"/>
          <w:lang w:eastAsia="zh-CN" w:bidi="ar-SA"/>
        </w:rPr>
        <w:t>the field journal itself (jpg photos of a physical notebook’s pages are acceptable), and</w:t>
      </w:r>
    </w:p>
    <w:p w14:paraId="4B536678" w14:textId="35F7A35B" w:rsidR="00EB1186" w:rsidRPr="008F30EE" w:rsidRDefault="00EB1186" w:rsidP="003058FD">
      <w:pPr>
        <w:pStyle w:val="Default"/>
        <w:numPr>
          <w:ilvl w:val="0"/>
          <w:numId w:val="7"/>
        </w:numPr>
        <w:rPr>
          <w:rFonts w:ascii="Times New Roman" w:eastAsiaTheme="minorEastAsia" w:hAnsi="Times New Roman" w:cs="Times New Roman"/>
          <w:iCs/>
          <w:color w:val="auto"/>
          <w:lang w:eastAsia="zh-CN" w:bidi="ar-SA"/>
        </w:rPr>
      </w:pPr>
      <w:r w:rsidRPr="008F30EE">
        <w:rPr>
          <w:rFonts w:ascii="Times New Roman" w:eastAsiaTheme="minorEastAsia" w:hAnsi="Times New Roman" w:cs="Times New Roman"/>
          <w:iCs/>
          <w:color w:val="auto"/>
          <w:lang w:eastAsia="zh-CN" w:bidi="ar-SA"/>
        </w:rPr>
        <w:t xml:space="preserve">a short electronic Word document (150 – 500 words) summarizing your findings and explaining parts of the journal you think may need clarification. </w:t>
      </w:r>
    </w:p>
    <w:p w14:paraId="598EEE85" w14:textId="77777777" w:rsidR="00EB1186" w:rsidRPr="008F30EE" w:rsidRDefault="00EB1186" w:rsidP="00EB1186">
      <w:pPr>
        <w:pStyle w:val="Default"/>
        <w:ind w:left="360"/>
        <w:rPr>
          <w:rFonts w:ascii="Times New Roman" w:eastAsiaTheme="minorEastAsia" w:hAnsi="Times New Roman" w:cs="Times New Roman"/>
          <w:iCs/>
          <w:color w:val="auto"/>
          <w:lang w:eastAsia="zh-CN" w:bidi="ar-SA"/>
        </w:rPr>
      </w:pPr>
    </w:p>
    <w:p w14:paraId="5B6157DB" w14:textId="1F2D03A5" w:rsidR="00EB1186" w:rsidRDefault="00EB1186" w:rsidP="00EB1186">
      <w:pPr>
        <w:pStyle w:val="Default"/>
        <w:ind w:left="360"/>
        <w:rPr>
          <w:rFonts w:ascii="Times New Roman" w:eastAsiaTheme="minorEastAsia" w:hAnsi="Times New Roman" w:cs="Times New Roman"/>
          <w:iCs/>
          <w:color w:val="auto"/>
          <w:lang w:eastAsia="zh-CN" w:bidi="ar-SA"/>
        </w:rPr>
      </w:pPr>
      <w:r w:rsidRPr="008F30EE">
        <w:rPr>
          <w:rFonts w:ascii="Times New Roman" w:eastAsiaTheme="minorEastAsia" w:hAnsi="Times New Roman" w:cs="Times New Roman"/>
          <w:iCs/>
          <w:color w:val="auto"/>
          <w:lang w:eastAsia="zh-CN" w:bidi="ar-SA"/>
        </w:rPr>
        <w:t>For the essay, you are to write a 1000 – 1250-word paper analyzing the data collected in the field journal</w:t>
      </w:r>
      <w:r w:rsidR="007D735D">
        <w:rPr>
          <w:rFonts w:ascii="Times New Roman" w:eastAsiaTheme="minorEastAsia" w:hAnsi="Times New Roman" w:cs="Times New Roman"/>
          <w:iCs/>
          <w:color w:val="auto"/>
          <w:lang w:eastAsia="zh-CN" w:bidi="ar-SA"/>
        </w:rPr>
        <w:t xml:space="preserve"> </w:t>
      </w:r>
      <w:r w:rsidR="007D735D" w:rsidRPr="007D735D">
        <w:rPr>
          <w:rFonts w:ascii="Times New Roman" w:hAnsi="Times New Roman" w:cs="Times New Roman"/>
        </w:rPr>
        <w:t>(</w:t>
      </w:r>
      <w:r w:rsidR="007D735D" w:rsidRPr="007D735D">
        <w:rPr>
          <w:rFonts w:ascii="Times New Roman" w:eastAsiaTheme="minorEastAsia" w:hAnsi="Times New Roman" w:cs="Times New Roman"/>
          <w:iCs/>
          <w:color w:val="auto"/>
          <w:lang w:eastAsia="zh-CN" w:bidi="ar-SA"/>
        </w:rPr>
        <w:t>Font: Times New Roman, size 12, double-spaced, with page numbers. Use MLA or Chicago citation format</w:t>
      </w:r>
      <w:r w:rsidR="007D735D">
        <w:rPr>
          <w:rFonts w:ascii="Times New Roman" w:eastAsiaTheme="minorEastAsia" w:hAnsi="Times New Roman" w:cs="Times New Roman"/>
          <w:iCs/>
          <w:color w:val="auto"/>
          <w:lang w:eastAsia="zh-CN" w:bidi="ar-SA"/>
        </w:rPr>
        <w:t>)</w:t>
      </w:r>
      <w:r w:rsidRPr="008F30EE">
        <w:rPr>
          <w:rFonts w:ascii="Times New Roman" w:eastAsiaTheme="minorEastAsia" w:hAnsi="Times New Roman" w:cs="Times New Roman"/>
          <w:iCs/>
          <w:color w:val="auto"/>
          <w:lang w:eastAsia="zh-CN" w:bidi="ar-SA"/>
        </w:rPr>
        <w:t>. In the essay, at least three of the following topics should be considered in some form and at length. That is, not just addressing the topic, but also explaining</w:t>
      </w:r>
      <w:r w:rsidR="003058FD" w:rsidRPr="008F30EE">
        <w:rPr>
          <w:rFonts w:ascii="Times New Roman" w:eastAsiaTheme="minorEastAsia" w:hAnsi="Times New Roman" w:cs="Times New Roman"/>
          <w:iCs/>
          <w:color w:val="auto"/>
          <w:lang w:eastAsia="zh-CN" w:bidi="ar-SA"/>
        </w:rPr>
        <w:t xml:space="preserve"> </w:t>
      </w:r>
      <w:r w:rsidRPr="008F30EE">
        <w:rPr>
          <w:rFonts w:ascii="Times New Roman" w:eastAsiaTheme="minorEastAsia" w:hAnsi="Times New Roman" w:cs="Times New Roman"/>
          <w:iCs/>
          <w:color w:val="auto"/>
          <w:lang w:eastAsia="zh-CN" w:bidi="ar-SA"/>
        </w:rPr>
        <w:t xml:space="preserve">why you think certain variations occur over time or place. The overall essay must be informed by data collected in the field journal: </w:t>
      </w:r>
    </w:p>
    <w:p w14:paraId="6AF0F640" w14:textId="77777777" w:rsidR="00FC0D98" w:rsidRDefault="00FC0D98" w:rsidP="00EB1186">
      <w:pPr>
        <w:pStyle w:val="Default"/>
        <w:ind w:left="360"/>
        <w:rPr>
          <w:rFonts w:ascii="Times New Roman" w:eastAsiaTheme="minorEastAsia" w:hAnsi="Times New Roman" w:cs="Times New Roman"/>
          <w:iCs/>
          <w:color w:val="auto"/>
          <w:lang w:eastAsia="zh-CN" w:bidi="ar-SA"/>
        </w:rPr>
      </w:pPr>
    </w:p>
    <w:p w14:paraId="318F6BB4" w14:textId="77777777" w:rsidR="00FC0D98" w:rsidRPr="008F30EE" w:rsidRDefault="00FC0D98" w:rsidP="00EB1186">
      <w:pPr>
        <w:pStyle w:val="Default"/>
        <w:ind w:left="360"/>
        <w:rPr>
          <w:rFonts w:ascii="Times New Roman" w:eastAsiaTheme="minorEastAsia" w:hAnsi="Times New Roman" w:cs="Times New Roman"/>
          <w:iCs/>
          <w:color w:val="auto"/>
          <w:lang w:eastAsia="zh-CN" w:bidi="ar-SA"/>
        </w:rPr>
      </w:pPr>
    </w:p>
    <w:p w14:paraId="407449D8" w14:textId="77777777" w:rsidR="00EB1186" w:rsidRPr="008F30EE" w:rsidRDefault="00EB1186" w:rsidP="00EB1186">
      <w:pPr>
        <w:pStyle w:val="Default"/>
        <w:rPr>
          <w:rFonts w:ascii="Times New Roman" w:eastAsiaTheme="minorEastAsia" w:hAnsi="Times New Roman" w:cs="Times New Roman"/>
          <w:iCs/>
          <w:color w:val="auto"/>
          <w:lang w:eastAsia="zh-CN" w:bidi="ar-SA"/>
        </w:rPr>
      </w:pPr>
    </w:p>
    <w:p w14:paraId="4841C2C7" w14:textId="77777777" w:rsidR="00EB1186" w:rsidRPr="008F30EE" w:rsidRDefault="00EB1186" w:rsidP="00EB1186">
      <w:pPr>
        <w:pStyle w:val="Default"/>
        <w:numPr>
          <w:ilvl w:val="0"/>
          <w:numId w:val="5"/>
        </w:numPr>
        <w:rPr>
          <w:rFonts w:ascii="Times New Roman" w:eastAsiaTheme="minorEastAsia" w:hAnsi="Times New Roman" w:cs="Times New Roman"/>
          <w:iCs/>
          <w:color w:val="auto"/>
          <w:lang w:eastAsia="zh-CN" w:bidi="ar-SA"/>
        </w:rPr>
      </w:pPr>
      <w:r w:rsidRPr="008F30EE">
        <w:rPr>
          <w:rFonts w:ascii="Times New Roman" w:eastAsiaTheme="minorEastAsia" w:hAnsi="Times New Roman" w:cs="Times New Roman"/>
          <w:iCs/>
          <w:color w:val="auto"/>
          <w:lang w:eastAsia="zh-CN" w:bidi="ar-SA"/>
        </w:rPr>
        <w:lastRenderedPageBreak/>
        <w:t xml:space="preserve">Time </w:t>
      </w:r>
    </w:p>
    <w:p w14:paraId="1DDA27EF" w14:textId="77777777" w:rsidR="00EB1186" w:rsidRPr="008F30EE" w:rsidRDefault="00EB1186" w:rsidP="00EB1186">
      <w:pPr>
        <w:pStyle w:val="Default"/>
        <w:ind w:left="360"/>
        <w:rPr>
          <w:rFonts w:ascii="Times New Roman" w:eastAsiaTheme="minorEastAsia" w:hAnsi="Times New Roman" w:cs="Times New Roman"/>
          <w:iCs/>
          <w:color w:val="auto"/>
          <w:lang w:eastAsia="zh-CN" w:bidi="ar-SA"/>
        </w:rPr>
      </w:pPr>
      <w:r w:rsidRPr="008F30EE">
        <w:rPr>
          <w:rFonts w:ascii="Times New Roman" w:eastAsiaTheme="minorEastAsia" w:hAnsi="Times New Roman" w:cs="Times New Roman"/>
          <w:iCs/>
          <w:color w:val="auto"/>
          <w:lang w:eastAsia="zh-CN" w:bidi="ar-SA"/>
        </w:rPr>
        <w:t xml:space="preserve">Do you often visit the same place multiple times in the same day? Do the music/sounds there vary depending on the day or time-of-day? Why do you think this variation happens? </w:t>
      </w:r>
    </w:p>
    <w:p w14:paraId="553AB4EB" w14:textId="77777777" w:rsidR="00EB1186" w:rsidRPr="008F30EE" w:rsidRDefault="00EB1186" w:rsidP="00EB1186">
      <w:pPr>
        <w:pStyle w:val="Default"/>
        <w:rPr>
          <w:rFonts w:ascii="Times New Roman" w:eastAsiaTheme="minorEastAsia" w:hAnsi="Times New Roman" w:cs="Times New Roman"/>
          <w:iCs/>
          <w:color w:val="auto"/>
          <w:lang w:eastAsia="zh-CN" w:bidi="ar-SA"/>
        </w:rPr>
      </w:pPr>
    </w:p>
    <w:p w14:paraId="483B84F2" w14:textId="77777777" w:rsidR="00EB1186" w:rsidRPr="008F30EE" w:rsidRDefault="00EB1186" w:rsidP="00EB1186">
      <w:pPr>
        <w:pStyle w:val="Default"/>
        <w:numPr>
          <w:ilvl w:val="0"/>
          <w:numId w:val="5"/>
        </w:numPr>
        <w:rPr>
          <w:rFonts w:ascii="Times New Roman" w:eastAsiaTheme="minorEastAsia" w:hAnsi="Times New Roman" w:cs="Times New Roman"/>
          <w:iCs/>
          <w:color w:val="auto"/>
          <w:lang w:eastAsia="zh-CN" w:bidi="ar-SA"/>
        </w:rPr>
      </w:pPr>
      <w:r w:rsidRPr="008F30EE">
        <w:rPr>
          <w:rFonts w:ascii="Times New Roman" w:eastAsiaTheme="minorEastAsia" w:hAnsi="Times New Roman" w:cs="Times New Roman"/>
          <w:iCs/>
          <w:color w:val="auto"/>
          <w:lang w:eastAsia="zh-CN" w:bidi="ar-SA"/>
        </w:rPr>
        <w:t xml:space="preserve">Space </w:t>
      </w:r>
    </w:p>
    <w:p w14:paraId="2E680F22" w14:textId="4B118750" w:rsidR="00EB1186" w:rsidRPr="008F30EE" w:rsidRDefault="00EB1186" w:rsidP="003058FD">
      <w:pPr>
        <w:pStyle w:val="Default"/>
        <w:ind w:left="360"/>
        <w:rPr>
          <w:rFonts w:ascii="Times New Roman" w:eastAsiaTheme="minorEastAsia" w:hAnsi="Times New Roman" w:cs="Times New Roman"/>
          <w:iCs/>
          <w:color w:val="auto"/>
          <w:lang w:eastAsia="zh-CN" w:bidi="ar-SA"/>
        </w:rPr>
      </w:pPr>
      <w:r w:rsidRPr="008F30EE">
        <w:rPr>
          <w:rFonts w:ascii="Times New Roman" w:eastAsiaTheme="minorEastAsia" w:hAnsi="Times New Roman" w:cs="Times New Roman"/>
          <w:iCs/>
          <w:color w:val="auto"/>
          <w:lang w:eastAsia="zh-CN" w:bidi="ar-SA"/>
        </w:rPr>
        <w:t xml:space="preserve">Do sounds/music vary depending on the place/space in which they occur? </w:t>
      </w:r>
      <w:r w:rsidR="003058FD" w:rsidRPr="008F30EE">
        <w:rPr>
          <w:rFonts w:ascii="Times New Roman" w:eastAsiaTheme="minorEastAsia" w:hAnsi="Times New Roman" w:cs="Times New Roman"/>
          <w:iCs/>
          <w:color w:val="auto"/>
          <w:lang w:eastAsia="zh-CN" w:bidi="ar-SA"/>
        </w:rPr>
        <w:t xml:space="preserve">  </w:t>
      </w:r>
      <w:r w:rsidRPr="008F30EE">
        <w:rPr>
          <w:rFonts w:ascii="Times New Roman" w:eastAsiaTheme="minorEastAsia" w:hAnsi="Times New Roman" w:cs="Times New Roman"/>
          <w:iCs/>
          <w:color w:val="auto"/>
          <w:lang w:eastAsia="zh-CN" w:bidi="ar-SA"/>
        </w:rPr>
        <w:t xml:space="preserve">Why? </w:t>
      </w:r>
    </w:p>
    <w:p w14:paraId="69194F4F" w14:textId="77777777" w:rsidR="00EB1186" w:rsidRPr="008F30EE" w:rsidRDefault="00EB1186" w:rsidP="00EB1186">
      <w:pPr>
        <w:pStyle w:val="Default"/>
        <w:rPr>
          <w:rFonts w:ascii="Times New Roman" w:eastAsiaTheme="minorEastAsia" w:hAnsi="Times New Roman" w:cs="Times New Roman"/>
          <w:iCs/>
          <w:color w:val="auto"/>
          <w:lang w:eastAsia="zh-CN" w:bidi="ar-SA"/>
        </w:rPr>
      </w:pPr>
    </w:p>
    <w:p w14:paraId="0B04803D" w14:textId="77777777" w:rsidR="00EB1186" w:rsidRPr="008F30EE" w:rsidRDefault="00EB1186" w:rsidP="00EB1186">
      <w:pPr>
        <w:pStyle w:val="Default"/>
        <w:numPr>
          <w:ilvl w:val="0"/>
          <w:numId w:val="5"/>
        </w:numPr>
        <w:rPr>
          <w:rFonts w:ascii="Times New Roman" w:eastAsiaTheme="minorEastAsia" w:hAnsi="Times New Roman" w:cs="Times New Roman"/>
          <w:iCs/>
          <w:color w:val="auto"/>
          <w:lang w:eastAsia="zh-CN" w:bidi="ar-SA"/>
        </w:rPr>
      </w:pPr>
      <w:r w:rsidRPr="008F30EE">
        <w:rPr>
          <w:rFonts w:ascii="Times New Roman" w:eastAsiaTheme="minorEastAsia" w:hAnsi="Times New Roman" w:cs="Times New Roman"/>
          <w:iCs/>
          <w:color w:val="auto"/>
          <w:lang w:eastAsia="zh-CN" w:bidi="ar-SA"/>
        </w:rPr>
        <w:t>Use</w:t>
      </w:r>
    </w:p>
    <w:p w14:paraId="46B86546" w14:textId="77777777" w:rsidR="00EB1186" w:rsidRPr="008F30EE" w:rsidRDefault="00EB1186" w:rsidP="00EB1186">
      <w:pPr>
        <w:pStyle w:val="Default"/>
        <w:ind w:firstLine="360"/>
        <w:rPr>
          <w:rFonts w:ascii="Times New Roman" w:eastAsiaTheme="minorEastAsia" w:hAnsi="Times New Roman" w:cs="Times New Roman"/>
          <w:iCs/>
          <w:color w:val="auto"/>
          <w:lang w:eastAsia="zh-CN" w:bidi="ar-SA"/>
        </w:rPr>
      </w:pPr>
      <w:r w:rsidRPr="008F30EE">
        <w:rPr>
          <w:rFonts w:ascii="Times New Roman" w:eastAsiaTheme="minorEastAsia" w:hAnsi="Times New Roman" w:cs="Times New Roman"/>
          <w:iCs/>
          <w:color w:val="auto"/>
          <w:lang w:eastAsia="zh-CN" w:bidi="ar-SA"/>
        </w:rPr>
        <w:t>Do you think music is used for some reason in certain situations? Why?</w:t>
      </w:r>
    </w:p>
    <w:p w14:paraId="2B12025A" w14:textId="77777777" w:rsidR="00EB1186" w:rsidRPr="008F30EE" w:rsidRDefault="00EB1186" w:rsidP="00EB1186">
      <w:pPr>
        <w:pStyle w:val="Default"/>
        <w:rPr>
          <w:rFonts w:ascii="Times New Roman" w:eastAsiaTheme="minorEastAsia" w:hAnsi="Times New Roman" w:cs="Times New Roman"/>
          <w:iCs/>
          <w:color w:val="auto"/>
          <w:lang w:eastAsia="zh-CN" w:bidi="ar-SA"/>
        </w:rPr>
      </w:pPr>
    </w:p>
    <w:p w14:paraId="6CF0FAF4" w14:textId="77777777" w:rsidR="00EB1186" w:rsidRPr="008F30EE" w:rsidRDefault="00EB1186" w:rsidP="00EB1186">
      <w:pPr>
        <w:pStyle w:val="Default"/>
        <w:numPr>
          <w:ilvl w:val="0"/>
          <w:numId w:val="5"/>
        </w:numPr>
        <w:rPr>
          <w:rFonts w:ascii="Times New Roman" w:eastAsiaTheme="minorEastAsia" w:hAnsi="Times New Roman" w:cs="Times New Roman"/>
          <w:iCs/>
          <w:color w:val="auto"/>
          <w:lang w:eastAsia="zh-CN" w:bidi="ar-SA"/>
        </w:rPr>
      </w:pPr>
      <w:r w:rsidRPr="008F30EE">
        <w:rPr>
          <w:rFonts w:ascii="Times New Roman" w:eastAsiaTheme="minorEastAsia" w:hAnsi="Times New Roman" w:cs="Times New Roman"/>
          <w:iCs/>
          <w:color w:val="auto"/>
          <w:lang w:eastAsia="zh-CN" w:bidi="ar-SA"/>
        </w:rPr>
        <w:t xml:space="preserve">Function </w:t>
      </w:r>
    </w:p>
    <w:p w14:paraId="73D84EAF" w14:textId="77777777" w:rsidR="00EB1186" w:rsidRPr="008F30EE" w:rsidRDefault="00EB1186" w:rsidP="00EB1186">
      <w:pPr>
        <w:pStyle w:val="Default"/>
        <w:ind w:firstLine="360"/>
        <w:rPr>
          <w:rFonts w:ascii="Times New Roman" w:eastAsiaTheme="minorEastAsia" w:hAnsi="Times New Roman" w:cs="Times New Roman"/>
          <w:iCs/>
          <w:color w:val="auto"/>
          <w:lang w:eastAsia="zh-CN" w:bidi="ar-SA"/>
        </w:rPr>
      </w:pPr>
      <w:r w:rsidRPr="008F30EE">
        <w:rPr>
          <w:rFonts w:ascii="Times New Roman" w:eastAsiaTheme="minorEastAsia" w:hAnsi="Times New Roman" w:cs="Times New Roman"/>
          <w:iCs/>
          <w:color w:val="auto"/>
          <w:lang w:eastAsia="zh-CN" w:bidi="ar-SA"/>
        </w:rPr>
        <w:t xml:space="preserve">Did you think music had certain functions in some situations? Why? </w:t>
      </w:r>
    </w:p>
    <w:p w14:paraId="4C4F8CEE" w14:textId="77777777" w:rsidR="00EB1186" w:rsidRPr="008F30EE" w:rsidRDefault="00EB1186" w:rsidP="00EB1186">
      <w:pPr>
        <w:pStyle w:val="Default"/>
        <w:rPr>
          <w:rFonts w:ascii="Times New Roman" w:eastAsiaTheme="minorEastAsia" w:hAnsi="Times New Roman" w:cs="Times New Roman"/>
          <w:iCs/>
          <w:color w:val="auto"/>
          <w:lang w:eastAsia="zh-CN" w:bidi="ar-SA"/>
        </w:rPr>
      </w:pPr>
    </w:p>
    <w:p w14:paraId="22DE5BF5" w14:textId="77777777" w:rsidR="00EB1186" w:rsidRPr="008F30EE" w:rsidRDefault="00EB1186" w:rsidP="00EB1186">
      <w:pPr>
        <w:pStyle w:val="Default"/>
        <w:numPr>
          <w:ilvl w:val="0"/>
          <w:numId w:val="5"/>
        </w:numPr>
        <w:rPr>
          <w:rFonts w:ascii="Times New Roman" w:eastAsiaTheme="minorEastAsia" w:hAnsi="Times New Roman" w:cs="Times New Roman"/>
          <w:iCs/>
          <w:color w:val="auto"/>
          <w:lang w:eastAsia="zh-CN" w:bidi="ar-SA"/>
        </w:rPr>
      </w:pPr>
      <w:r w:rsidRPr="008F30EE">
        <w:rPr>
          <w:rFonts w:ascii="Times New Roman" w:eastAsiaTheme="minorEastAsia" w:hAnsi="Times New Roman" w:cs="Times New Roman"/>
          <w:iCs/>
          <w:color w:val="auto"/>
          <w:lang w:eastAsia="zh-CN" w:bidi="ar-SA"/>
        </w:rPr>
        <w:t xml:space="preserve">Listening </w:t>
      </w:r>
    </w:p>
    <w:p w14:paraId="477A8325" w14:textId="77777777" w:rsidR="00EB1186" w:rsidRPr="008F30EE" w:rsidRDefault="00EB1186" w:rsidP="00EB1186">
      <w:pPr>
        <w:pStyle w:val="Default"/>
        <w:ind w:left="360"/>
        <w:rPr>
          <w:rFonts w:ascii="Times New Roman" w:eastAsiaTheme="minorEastAsia" w:hAnsi="Times New Roman" w:cs="Times New Roman"/>
          <w:iCs/>
          <w:color w:val="auto"/>
          <w:lang w:eastAsia="zh-CN" w:bidi="ar-SA"/>
        </w:rPr>
      </w:pPr>
      <w:r w:rsidRPr="008F30EE">
        <w:rPr>
          <w:rFonts w:ascii="Times New Roman" w:eastAsiaTheme="minorEastAsia" w:hAnsi="Times New Roman" w:cs="Times New Roman"/>
          <w:iCs/>
          <w:color w:val="auto"/>
          <w:lang w:eastAsia="zh-CN" w:bidi="ar-SA"/>
        </w:rPr>
        <w:t xml:space="preserve">Are there certain places, times-of-day, or contexts in which people are encouraged to listen in unique ways? Why? </w:t>
      </w:r>
    </w:p>
    <w:p w14:paraId="420604AC" w14:textId="77777777" w:rsidR="00EB1186" w:rsidRPr="008F30EE" w:rsidRDefault="00EB1186" w:rsidP="00EB1186">
      <w:pPr>
        <w:pStyle w:val="Default"/>
        <w:rPr>
          <w:rFonts w:ascii="Times New Roman" w:eastAsiaTheme="minorEastAsia" w:hAnsi="Times New Roman" w:cs="Times New Roman"/>
          <w:iCs/>
          <w:color w:val="auto"/>
          <w:lang w:eastAsia="zh-CN" w:bidi="ar-SA"/>
        </w:rPr>
      </w:pPr>
    </w:p>
    <w:p w14:paraId="7BEE1957" w14:textId="77777777" w:rsidR="00EB1186" w:rsidRPr="008F30EE" w:rsidRDefault="00EB1186" w:rsidP="00EB1186">
      <w:pPr>
        <w:pStyle w:val="Default"/>
        <w:numPr>
          <w:ilvl w:val="0"/>
          <w:numId w:val="5"/>
        </w:numPr>
        <w:rPr>
          <w:rFonts w:ascii="Times New Roman" w:eastAsiaTheme="minorEastAsia" w:hAnsi="Times New Roman" w:cs="Times New Roman"/>
          <w:iCs/>
          <w:color w:val="auto"/>
          <w:lang w:eastAsia="zh-CN" w:bidi="ar-SA"/>
        </w:rPr>
      </w:pPr>
      <w:r w:rsidRPr="008F30EE">
        <w:rPr>
          <w:rFonts w:ascii="Times New Roman" w:eastAsiaTheme="minorEastAsia" w:hAnsi="Times New Roman" w:cs="Times New Roman"/>
          <w:iCs/>
          <w:color w:val="auto"/>
          <w:lang w:eastAsia="zh-CN" w:bidi="ar-SA"/>
        </w:rPr>
        <w:t xml:space="preserve">Engagement </w:t>
      </w:r>
    </w:p>
    <w:p w14:paraId="64139C00" w14:textId="712EC4C9" w:rsidR="008F30EE" w:rsidRDefault="00EB1186" w:rsidP="008F30EE">
      <w:pPr>
        <w:pStyle w:val="Default"/>
        <w:ind w:left="360"/>
        <w:rPr>
          <w:rFonts w:ascii="Times New Roman" w:eastAsiaTheme="minorEastAsia" w:hAnsi="Times New Roman" w:cs="Times New Roman"/>
          <w:iCs/>
          <w:color w:val="auto"/>
          <w:lang w:eastAsia="zh-CN" w:bidi="ar-SA"/>
        </w:rPr>
      </w:pPr>
      <w:r w:rsidRPr="008F30EE">
        <w:rPr>
          <w:rFonts w:ascii="Times New Roman" w:eastAsiaTheme="minorEastAsia" w:hAnsi="Times New Roman" w:cs="Times New Roman"/>
          <w:iCs/>
          <w:color w:val="auto"/>
          <w:lang w:eastAsia="zh-CN" w:bidi="ar-SA"/>
        </w:rPr>
        <w:t xml:space="preserve">Do audiences engage with music in different ways depending on where/when it occurs? Explain. </w:t>
      </w:r>
    </w:p>
    <w:p w14:paraId="7EF0F875" w14:textId="77777777" w:rsidR="008F30EE" w:rsidRDefault="008F30EE" w:rsidP="008F30EE">
      <w:pPr>
        <w:pStyle w:val="Default"/>
        <w:ind w:left="360"/>
        <w:rPr>
          <w:rFonts w:ascii="Times New Roman" w:eastAsiaTheme="minorEastAsia" w:hAnsi="Times New Roman" w:cs="Times New Roman"/>
          <w:iCs/>
          <w:color w:val="auto"/>
          <w:lang w:eastAsia="zh-CN" w:bidi="ar-SA"/>
        </w:rPr>
      </w:pPr>
    </w:p>
    <w:p w14:paraId="14D752AA" w14:textId="77777777" w:rsidR="008F30EE" w:rsidRPr="008F30EE" w:rsidRDefault="008F30EE" w:rsidP="008F30EE">
      <w:pPr>
        <w:pStyle w:val="Default"/>
        <w:ind w:left="360"/>
        <w:rPr>
          <w:rFonts w:ascii="Times New Roman" w:eastAsiaTheme="minorEastAsia" w:hAnsi="Times New Roman" w:cs="Times New Roman"/>
          <w:iCs/>
          <w:color w:val="auto"/>
          <w:lang w:eastAsia="zh-CN" w:bidi="ar-SA"/>
        </w:rPr>
      </w:pPr>
    </w:p>
    <w:p w14:paraId="3EC23F19" w14:textId="277B03D0" w:rsidR="00260FE2" w:rsidRPr="008F30EE" w:rsidRDefault="00260FE2" w:rsidP="008F30EE">
      <w:pPr>
        <w:pStyle w:val="Default"/>
        <w:numPr>
          <w:ilvl w:val="0"/>
          <w:numId w:val="6"/>
        </w:numPr>
        <w:rPr>
          <w:rFonts w:ascii="Times New Roman" w:eastAsiaTheme="minorEastAsia" w:hAnsi="Times New Roman" w:cs="Times New Roman"/>
          <w:b/>
          <w:bCs/>
          <w:iCs/>
          <w:color w:val="auto"/>
          <w:sz w:val="28"/>
          <w:szCs w:val="28"/>
          <w:lang w:eastAsia="zh-CN" w:bidi="ar-SA"/>
        </w:rPr>
      </w:pPr>
      <w:r w:rsidRPr="008F30EE">
        <w:rPr>
          <w:rFonts w:ascii="Times New Roman" w:eastAsiaTheme="minorEastAsia" w:hAnsi="Times New Roman" w:cs="Times New Roman"/>
          <w:b/>
          <w:bCs/>
          <w:iCs/>
          <w:color w:val="auto"/>
          <w:sz w:val="28"/>
          <w:szCs w:val="28"/>
          <w:lang w:eastAsia="zh-CN" w:bidi="ar-SA"/>
        </w:rPr>
        <w:t>Ethnographic Project</w:t>
      </w:r>
      <w:r w:rsidR="005152D1" w:rsidRPr="008F30EE">
        <w:rPr>
          <w:rFonts w:ascii="Times New Roman" w:eastAsiaTheme="minorEastAsia" w:hAnsi="Times New Roman" w:cs="Times New Roman"/>
          <w:b/>
          <w:bCs/>
          <w:iCs/>
          <w:color w:val="auto"/>
          <w:sz w:val="28"/>
          <w:szCs w:val="28"/>
          <w:lang w:eastAsia="zh-CN" w:bidi="ar-SA"/>
        </w:rPr>
        <w:t xml:space="preserve"> (250 points)</w:t>
      </w:r>
    </w:p>
    <w:p w14:paraId="6A2BCDF8" w14:textId="77777777" w:rsidR="00260FE2" w:rsidRPr="008F30EE" w:rsidRDefault="00260FE2" w:rsidP="00260FE2">
      <w:pPr>
        <w:pStyle w:val="Default"/>
        <w:rPr>
          <w:rFonts w:ascii="Times New Roman" w:eastAsiaTheme="minorEastAsia" w:hAnsi="Times New Roman" w:cs="Times New Roman"/>
          <w:iCs/>
          <w:color w:val="auto"/>
          <w:lang w:eastAsia="zh-CN" w:bidi="ar-SA"/>
        </w:rPr>
      </w:pPr>
    </w:p>
    <w:p w14:paraId="542D3F74" w14:textId="79400F80" w:rsidR="008F30EE" w:rsidRDefault="008F30EE" w:rsidP="008F30EE">
      <w:pPr>
        <w:pStyle w:val="Default"/>
        <w:ind w:left="360"/>
        <w:rPr>
          <w:rFonts w:ascii="Times New Roman" w:eastAsiaTheme="minorEastAsia" w:hAnsi="Times New Roman" w:cs="Times New Roman"/>
          <w:iCs/>
          <w:color w:val="auto"/>
          <w:lang w:eastAsia="zh-CN" w:bidi="ar-SA"/>
        </w:rPr>
      </w:pPr>
      <w:r w:rsidRPr="008F30EE">
        <w:rPr>
          <w:rFonts w:ascii="Times New Roman" w:eastAsiaTheme="minorEastAsia" w:hAnsi="Times New Roman" w:cs="Times New Roman"/>
          <w:iCs/>
          <w:color w:val="auto"/>
          <w:lang w:eastAsia="zh-CN" w:bidi="ar-SA"/>
        </w:rPr>
        <w:t>This assignment builds upon lab discussions on various music-related topics.</w:t>
      </w:r>
      <w:r w:rsidR="00D321D6">
        <w:rPr>
          <w:rFonts w:ascii="Times New Roman" w:eastAsiaTheme="minorEastAsia" w:hAnsi="Times New Roman" w:cs="Times New Roman" w:hint="eastAsia"/>
          <w:iCs/>
          <w:color w:val="auto"/>
          <w:lang w:eastAsia="zh-CN" w:bidi="ar-SA"/>
        </w:rPr>
        <w:t xml:space="preserve"> </w:t>
      </w:r>
      <w:r w:rsidR="00D321D6">
        <w:rPr>
          <w:rFonts w:ascii="Times New Roman" w:eastAsiaTheme="minorEastAsia" w:hAnsi="Times New Roman" w:cs="Times New Roman"/>
          <w:iCs/>
          <w:color w:val="auto"/>
          <w:lang w:eastAsia="zh-CN" w:bidi="ar-SA"/>
        </w:rPr>
        <w:t>It is a separate ethnographic assignment from the Soundscape Assignment.</w:t>
      </w:r>
      <w:r w:rsidRPr="008F30EE">
        <w:rPr>
          <w:rFonts w:ascii="Times New Roman" w:eastAsiaTheme="minorEastAsia" w:hAnsi="Times New Roman" w:cs="Times New Roman" w:hint="eastAsia"/>
          <w:iCs/>
          <w:color w:val="auto"/>
          <w:lang w:eastAsia="zh-CN" w:bidi="ar-SA"/>
        </w:rPr>
        <w:t xml:space="preserve"> </w:t>
      </w:r>
      <w:r w:rsidR="00260FE2" w:rsidRPr="008F30EE">
        <w:rPr>
          <w:rFonts w:ascii="Times New Roman" w:eastAsiaTheme="minorEastAsia" w:hAnsi="Times New Roman" w:cs="Times New Roman"/>
          <w:iCs/>
          <w:color w:val="auto"/>
          <w:lang w:eastAsia="zh-CN" w:bidi="ar-SA"/>
        </w:rPr>
        <w:t xml:space="preserve">It consists of two parts: </w:t>
      </w:r>
    </w:p>
    <w:p w14:paraId="1D8A0DBA" w14:textId="77777777" w:rsidR="008F30EE" w:rsidRPr="008F30EE" w:rsidRDefault="008F30EE" w:rsidP="008F30EE">
      <w:pPr>
        <w:pStyle w:val="Default"/>
        <w:ind w:left="360"/>
        <w:rPr>
          <w:rFonts w:ascii="Times New Roman" w:eastAsiaTheme="minorEastAsia" w:hAnsi="Times New Roman" w:cs="Times New Roman"/>
          <w:iCs/>
          <w:color w:val="auto"/>
          <w:lang w:eastAsia="zh-CN" w:bidi="ar-SA"/>
        </w:rPr>
      </w:pPr>
    </w:p>
    <w:p w14:paraId="1051DCB3" w14:textId="79DF7962" w:rsidR="008F30EE" w:rsidRPr="008F30EE" w:rsidRDefault="00FC0D98" w:rsidP="00FC0D98">
      <w:pPr>
        <w:pStyle w:val="Default"/>
        <w:ind w:left="1080"/>
        <w:rPr>
          <w:rFonts w:ascii="Times New Roman" w:eastAsiaTheme="minorEastAsia" w:hAnsi="Times New Roman" w:cs="Times New Roman"/>
          <w:b/>
          <w:bCs/>
          <w:iCs/>
          <w:color w:val="auto"/>
          <w:lang w:eastAsia="zh-CN" w:bidi="ar-SA"/>
        </w:rPr>
      </w:pPr>
      <w:r>
        <w:rPr>
          <w:rFonts w:ascii="Times New Roman" w:eastAsiaTheme="minorEastAsia" w:hAnsi="Times New Roman" w:cs="Times New Roman"/>
          <w:b/>
          <w:bCs/>
          <w:iCs/>
          <w:color w:val="auto"/>
          <w:lang w:eastAsia="zh-CN" w:bidi="ar-SA"/>
        </w:rPr>
        <w:t xml:space="preserve">1). </w:t>
      </w:r>
      <w:r w:rsidR="008F30EE" w:rsidRPr="008F30EE">
        <w:rPr>
          <w:rFonts w:ascii="Times New Roman" w:eastAsiaTheme="minorEastAsia" w:hAnsi="Times New Roman" w:cs="Times New Roman"/>
          <w:b/>
          <w:bCs/>
          <w:iCs/>
          <w:color w:val="auto"/>
          <w:lang w:eastAsia="zh-CN" w:bidi="ar-SA"/>
        </w:rPr>
        <w:t>Field Journal</w:t>
      </w:r>
      <w:r>
        <w:rPr>
          <w:rFonts w:ascii="Times New Roman" w:eastAsiaTheme="minorEastAsia" w:hAnsi="Times New Roman" w:cs="Times New Roman"/>
          <w:b/>
          <w:bCs/>
          <w:iCs/>
          <w:color w:val="auto"/>
          <w:lang w:eastAsia="zh-CN" w:bidi="ar-SA"/>
        </w:rPr>
        <w:t>s</w:t>
      </w:r>
      <w:r w:rsidR="008F30EE" w:rsidRPr="008F30EE">
        <w:rPr>
          <w:rFonts w:ascii="Times New Roman" w:eastAsiaTheme="minorEastAsia" w:hAnsi="Times New Roman" w:cs="Times New Roman"/>
          <w:b/>
          <w:bCs/>
          <w:iCs/>
          <w:color w:val="auto"/>
          <w:lang w:eastAsia="zh-CN" w:bidi="ar-SA"/>
        </w:rPr>
        <w:t xml:space="preserve"> (100 points)</w:t>
      </w:r>
    </w:p>
    <w:p w14:paraId="3B9F4FF7" w14:textId="0980B9E6" w:rsidR="008F30EE" w:rsidRPr="008F30EE" w:rsidRDefault="008F30EE" w:rsidP="008F30EE">
      <w:pPr>
        <w:numPr>
          <w:ilvl w:val="0"/>
          <w:numId w:val="14"/>
        </w:numPr>
        <w:spacing w:before="100" w:beforeAutospacing="1" w:after="100" w:afterAutospacing="1"/>
        <w:rPr>
          <w:rFonts w:eastAsiaTheme="minorEastAsia"/>
          <w:iCs/>
        </w:rPr>
      </w:pPr>
      <w:r w:rsidRPr="008F30EE">
        <w:rPr>
          <w:rFonts w:eastAsiaTheme="minorEastAsia"/>
          <w:b/>
          <w:bCs/>
          <w:iCs/>
        </w:rPr>
        <w:t>Themes/Topics:</w:t>
      </w:r>
      <w:r w:rsidRPr="008F30EE">
        <w:rPr>
          <w:rFonts w:eastAsiaTheme="minorEastAsia"/>
          <w:iCs/>
        </w:rPr>
        <w:t xml:space="preserve"> </w:t>
      </w:r>
      <w:r w:rsidR="007D735D">
        <w:t>Choose a theme or topic from the list provided at the end of this assignment description. You may select a topic whether or not it has been covered in the lab.</w:t>
      </w:r>
    </w:p>
    <w:p w14:paraId="0233142B" w14:textId="6A6324F8" w:rsidR="008F30EE" w:rsidRPr="008F30EE" w:rsidRDefault="008F30EE" w:rsidP="008F30EE">
      <w:pPr>
        <w:numPr>
          <w:ilvl w:val="0"/>
          <w:numId w:val="14"/>
        </w:numPr>
        <w:spacing w:before="100" w:beforeAutospacing="1" w:after="100" w:afterAutospacing="1"/>
        <w:rPr>
          <w:rFonts w:eastAsiaTheme="minorEastAsia"/>
          <w:iCs/>
        </w:rPr>
      </w:pPr>
      <w:r w:rsidRPr="008F30EE">
        <w:rPr>
          <w:rFonts w:eastAsiaTheme="minorEastAsia"/>
          <w:b/>
          <w:bCs/>
          <w:iCs/>
        </w:rPr>
        <w:t>Ethnographic Site:</w:t>
      </w:r>
      <w:r w:rsidRPr="008F30EE">
        <w:rPr>
          <w:rFonts w:eastAsiaTheme="minorEastAsia"/>
          <w:iCs/>
        </w:rPr>
        <w:t xml:space="preserve"> Select </w:t>
      </w:r>
      <w:r w:rsidR="00D321D6">
        <w:rPr>
          <w:rFonts w:eastAsiaTheme="minorEastAsia"/>
          <w:iCs/>
        </w:rPr>
        <w:t>one</w:t>
      </w:r>
      <w:r w:rsidRPr="008F30EE">
        <w:rPr>
          <w:rFonts w:eastAsiaTheme="minorEastAsia"/>
          <w:iCs/>
        </w:rPr>
        <w:t xml:space="preserve"> specific location to visit weekly for fieldwork.</w:t>
      </w:r>
      <w:r w:rsidR="00D321D6">
        <w:rPr>
          <w:rFonts w:eastAsiaTheme="minorEastAsia"/>
          <w:iCs/>
        </w:rPr>
        <w:t xml:space="preserve"> Be sure to explain the reason why you think the location of your choice is the most appropriate field site. </w:t>
      </w:r>
    </w:p>
    <w:p w14:paraId="7C99651F" w14:textId="78D509B1" w:rsidR="008F30EE" w:rsidRPr="008F30EE" w:rsidRDefault="008F30EE" w:rsidP="008F30EE">
      <w:pPr>
        <w:numPr>
          <w:ilvl w:val="0"/>
          <w:numId w:val="14"/>
        </w:numPr>
        <w:spacing w:before="100" w:beforeAutospacing="1" w:after="100" w:afterAutospacing="1"/>
        <w:rPr>
          <w:rFonts w:eastAsiaTheme="minorEastAsia"/>
          <w:iCs/>
        </w:rPr>
      </w:pPr>
      <w:r w:rsidRPr="008F30EE">
        <w:rPr>
          <w:rFonts w:eastAsiaTheme="minorEastAsia"/>
          <w:b/>
          <w:bCs/>
          <w:iCs/>
        </w:rPr>
        <w:t>Submissions:</w:t>
      </w:r>
      <w:r w:rsidRPr="008F30EE">
        <w:rPr>
          <w:rFonts w:eastAsiaTheme="minorEastAsia"/>
          <w:iCs/>
        </w:rPr>
        <w:t xml:space="preserve"> Four field journals, each 300 words</w:t>
      </w:r>
      <w:r w:rsidR="007D735D">
        <w:rPr>
          <w:rFonts w:eastAsiaTheme="minorEastAsia"/>
          <w:iCs/>
        </w:rPr>
        <w:t>:</w:t>
      </w:r>
    </w:p>
    <w:p w14:paraId="23C95C9D" w14:textId="57A07BE2" w:rsidR="008F30EE" w:rsidRPr="008F30EE" w:rsidRDefault="008F30EE" w:rsidP="008F30EE">
      <w:pPr>
        <w:numPr>
          <w:ilvl w:val="1"/>
          <w:numId w:val="14"/>
        </w:numPr>
        <w:spacing w:before="100" w:beforeAutospacing="1" w:after="100" w:afterAutospacing="1"/>
        <w:rPr>
          <w:rFonts w:eastAsiaTheme="minorEastAsia"/>
          <w:iCs/>
        </w:rPr>
      </w:pPr>
      <w:r w:rsidRPr="008F30EE">
        <w:rPr>
          <w:rFonts w:eastAsiaTheme="minorEastAsia"/>
          <w:b/>
          <w:bCs/>
          <w:iCs/>
        </w:rPr>
        <w:t>Three Participant Observations:</w:t>
      </w:r>
      <w:r w:rsidRPr="008F30EE">
        <w:rPr>
          <w:rFonts w:eastAsiaTheme="minorEastAsia"/>
          <w:iCs/>
        </w:rPr>
        <w:t xml:space="preserve"> Include time, place, location, people involved, and detailed descriptions of activities.</w:t>
      </w:r>
    </w:p>
    <w:p w14:paraId="7EF2B14C" w14:textId="77777777" w:rsidR="008F30EE" w:rsidRPr="008F30EE" w:rsidRDefault="008F30EE" w:rsidP="008F30EE">
      <w:pPr>
        <w:numPr>
          <w:ilvl w:val="1"/>
          <w:numId w:val="14"/>
        </w:numPr>
        <w:spacing w:before="100" w:beforeAutospacing="1" w:after="100" w:afterAutospacing="1"/>
        <w:rPr>
          <w:rFonts w:eastAsiaTheme="minorEastAsia"/>
          <w:iCs/>
        </w:rPr>
      </w:pPr>
      <w:r w:rsidRPr="008F30EE">
        <w:rPr>
          <w:rFonts w:eastAsiaTheme="minorEastAsia"/>
          <w:b/>
          <w:bCs/>
          <w:iCs/>
        </w:rPr>
        <w:t>One Interview:</w:t>
      </w:r>
      <w:r w:rsidRPr="008F30EE">
        <w:rPr>
          <w:rFonts w:eastAsiaTheme="minorEastAsia"/>
          <w:iCs/>
        </w:rPr>
        <w:t xml:space="preserve"> Include time, place, location, interviewee, interview length, interview questions, and findings. If recording, inform the interviewee.</w:t>
      </w:r>
    </w:p>
    <w:p w14:paraId="65297391" w14:textId="7710EC25" w:rsidR="008F30EE" w:rsidRPr="00FC0D98" w:rsidRDefault="00FC0D98" w:rsidP="00FC0D98">
      <w:pPr>
        <w:spacing w:before="100" w:beforeAutospacing="1" w:after="100" w:afterAutospacing="1"/>
        <w:ind w:left="360" w:firstLine="720"/>
        <w:rPr>
          <w:rFonts w:eastAsiaTheme="minorEastAsia"/>
          <w:b/>
          <w:bCs/>
          <w:iCs/>
        </w:rPr>
      </w:pPr>
      <w:r>
        <w:rPr>
          <w:b/>
          <w:bCs/>
          <w:iCs/>
        </w:rPr>
        <w:t xml:space="preserve">2). </w:t>
      </w:r>
      <w:r w:rsidR="008F30EE" w:rsidRPr="00FC0D98">
        <w:rPr>
          <w:b/>
          <w:bCs/>
          <w:iCs/>
        </w:rPr>
        <w:t>Final Project (150 points)</w:t>
      </w:r>
    </w:p>
    <w:p w14:paraId="2388ED21" w14:textId="0D349F87" w:rsidR="0035325D" w:rsidRPr="0035325D" w:rsidRDefault="0035325D" w:rsidP="008F30EE">
      <w:pPr>
        <w:pStyle w:val="Default"/>
        <w:ind w:left="720"/>
        <w:rPr>
          <w:rFonts w:ascii="Times New Roman" w:eastAsiaTheme="minorEastAsia" w:hAnsi="Times New Roman" w:cs="Times New Roman"/>
          <w:iCs/>
          <w:color w:val="auto"/>
          <w:lang w:eastAsia="zh-CN" w:bidi="ar-SA"/>
        </w:rPr>
      </w:pPr>
      <w:r w:rsidRPr="0035325D">
        <w:rPr>
          <w:rFonts w:ascii="Times New Roman" w:eastAsiaTheme="minorEastAsia" w:hAnsi="Times New Roman" w:cs="Times New Roman"/>
          <w:iCs/>
          <w:color w:val="auto"/>
          <w:lang w:eastAsia="zh-CN" w:bidi="ar-SA"/>
        </w:rPr>
        <w:t>The final project consists of two key components. First, synthesize your field journals to draw conclusions about your chosen topic. Second, conduct additional research on the topic and compare the insights from your observations with your research findings.</w:t>
      </w:r>
    </w:p>
    <w:p w14:paraId="6296438F" w14:textId="77777777" w:rsidR="0035325D" w:rsidRDefault="0035325D" w:rsidP="008F30EE">
      <w:pPr>
        <w:pStyle w:val="Default"/>
        <w:ind w:left="720"/>
        <w:rPr>
          <w:rFonts w:ascii="Times New Roman" w:eastAsiaTheme="minorEastAsia" w:hAnsi="Times New Roman" w:cs="Times New Roman"/>
          <w:iCs/>
          <w:color w:val="auto"/>
          <w:lang w:eastAsia="zh-CN" w:bidi="ar-SA"/>
        </w:rPr>
      </w:pPr>
    </w:p>
    <w:p w14:paraId="117F3EE1" w14:textId="19C593F2" w:rsidR="008F30EE" w:rsidRDefault="0035325D" w:rsidP="008F30EE">
      <w:pPr>
        <w:pStyle w:val="Default"/>
        <w:ind w:left="720"/>
        <w:rPr>
          <w:rFonts w:ascii="Times New Roman" w:eastAsiaTheme="minorEastAsia" w:hAnsi="Times New Roman" w:cs="Times New Roman"/>
          <w:iCs/>
          <w:color w:val="auto"/>
          <w:lang w:eastAsia="zh-CN" w:bidi="ar-SA"/>
        </w:rPr>
      </w:pPr>
      <w:r>
        <w:rPr>
          <w:rFonts w:ascii="Times New Roman" w:eastAsiaTheme="minorEastAsia" w:hAnsi="Times New Roman" w:cs="Times New Roman"/>
          <w:iCs/>
          <w:color w:val="auto"/>
          <w:lang w:eastAsia="zh-CN" w:bidi="ar-SA"/>
        </w:rPr>
        <w:t xml:space="preserve">Based on your fieldwork, explain how music plays a role in the topic. For example, identify recurring key words or concepts from your fieldwork and explain their significance. </w:t>
      </w:r>
    </w:p>
    <w:p w14:paraId="1AD8DCAE" w14:textId="77777777" w:rsidR="0035325D" w:rsidRDefault="0035325D" w:rsidP="008F30EE">
      <w:pPr>
        <w:pStyle w:val="Default"/>
        <w:ind w:left="720"/>
        <w:rPr>
          <w:rFonts w:ascii="Times New Roman" w:eastAsiaTheme="minorEastAsia" w:hAnsi="Times New Roman" w:cs="Times New Roman"/>
          <w:iCs/>
          <w:color w:val="auto"/>
          <w:lang w:eastAsia="zh-CN" w:bidi="ar-SA"/>
        </w:rPr>
      </w:pPr>
    </w:p>
    <w:p w14:paraId="4F8730E2" w14:textId="332245BA" w:rsidR="008F30EE" w:rsidRDefault="0035325D" w:rsidP="0035325D">
      <w:pPr>
        <w:pStyle w:val="Default"/>
        <w:ind w:left="720"/>
        <w:rPr>
          <w:rFonts w:ascii="Times New Roman" w:eastAsiaTheme="minorEastAsia" w:hAnsi="Times New Roman" w:cs="Times New Roman"/>
          <w:iCs/>
          <w:color w:val="auto"/>
          <w:lang w:eastAsia="zh-CN" w:bidi="ar-SA"/>
        </w:rPr>
      </w:pPr>
      <w:r w:rsidRPr="0035325D">
        <w:rPr>
          <w:rFonts w:ascii="Times New Roman" w:eastAsiaTheme="minorEastAsia" w:hAnsi="Times New Roman" w:cs="Times New Roman"/>
          <w:iCs/>
          <w:color w:val="auto"/>
          <w:lang w:eastAsia="zh-CN" w:bidi="ar-SA"/>
        </w:rPr>
        <w:t>In your research, review scholarly perspectives on the topic and compare them with your findings. If discrepancies arise, explore possible reasons for these differences. Use your fieldwork as evidence to support your analysis.</w:t>
      </w:r>
    </w:p>
    <w:p w14:paraId="616E4F2C" w14:textId="77777777" w:rsidR="0035325D" w:rsidRDefault="0035325D" w:rsidP="0035325D">
      <w:pPr>
        <w:pStyle w:val="Default"/>
        <w:ind w:left="720"/>
        <w:rPr>
          <w:rFonts w:ascii="Times New Roman" w:eastAsiaTheme="minorEastAsia" w:hAnsi="Times New Roman" w:cs="Times New Roman"/>
          <w:iCs/>
          <w:color w:val="auto"/>
          <w:lang w:eastAsia="zh-CN" w:bidi="ar-SA"/>
        </w:rPr>
      </w:pPr>
    </w:p>
    <w:p w14:paraId="7F43EF47" w14:textId="77777777" w:rsidR="007D735D" w:rsidRDefault="007D735D" w:rsidP="007D735D">
      <w:pPr>
        <w:pStyle w:val="NormalWeb"/>
        <w:ind w:left="720"/>
      </w:pPr>
      <w:r>
        <w:t>For the written project, you will submit a 1,000-1,500-word document (Font: Times New Roman, size 12, double-spaced, with page numbers. Use MLA or Chicago citation format). Your paper must include at least two direct quotes from your sources and cite a minimum of two scholarly references.</w:t>
      </w:r>
    </w:p>
    <w:p w14:paraId="3AB94804" w14:textId="51C87254" w:rsidR="00EB1186" w:rsidRPr="008F30EE" w:rsidRDefault="007D735D" w:rsidP="007D735D">
      <w:pPr>
        <w:pStyle w:val="NormalWeb"/>
        <w:ind w:left="720"/>
      </w:pPr>
      <w:r>
        <w:t>For the presentation, you will deliver a 15-minute summary of your fieldwork and research findings, highlighting the comparisons between them. You must incorporate at least two direct quotes from your sources and cite at least two scholarly references. If you choose to include a recording of your interview, ensure that you have obtained approval from your interviewee before the presentation.</w:t>
      </w:r>
    </w:p>
    <w:p w14:paraId="710C8257" w14:textId="45F02A7A" w:rsidR="00EB1186" w:rsidRPr="008F30EE" w:rsidRDefault="00EB1186" w:rsidP="00EB1186">
      <w:pPr>
        <w:ind w:left="360"/>
      </w:pPr>
      <w:r w:rsidRPr="008F30EE">
        <w:t xml:space="preserve">Note: This assignment is aligned with the University’s Core Curriculum. As such, an approved Core Rubric will be used to score </w:t>
      </w:r>
      <w:r w:rsidR="007D735D">
        <w:t>Ethnographic Project</w:t>
      </w:r>
      <w:r w:rsidRPr="008F30EE">
        <w:t xml:space="preserve"> assignments </w:t>
      </w:r>
      <w:r w:rsidRPr="008F30EE">
        <w:rPr>
          <w:i/>
          <w:iCs/>
        </w:rPr>
        <w:t>in addition</w:t>
      </w:r>
      <w:r w:rsidRPr="008F30EE">
        <w:t xml:space="preserve"> to the MUET 3030 class rubric. This Core Rubric will not affect grades or points in the class. Please submit your </w:t>
      </w:r>
      <w:r w:rsidR="007D735D">
        <w:t>Ethnographic Project</w:t>
      </w:r>
      <w:r w:rsidRPr="008F30EE">
        <w:t xml:space="preserve"> in two locations on Canvas: the “</w:t>
      </w:r>
      <w:r w:rsidR="007D735D">
        <w:t>Ethnographic Project</w:t>
      </w:r>
      <w:r w:rsidRPr="008F30EE">
        <w:t xml:space="preserve">” assignment and the “Core Reporting Assessment” assignment. </w:t>
      </w:r>
    </w:p>
    <w:p w14:paraId="612CAA4C" w14:textId="77777777" w:rsidR="006712FC" w:rsidRPr="008F30EE" w:rsidRDefault="006712FC" w:rsidP="00EB1186">
      <w:pPr>
        <w:ind w:left="360"/>
      </w:pPr>
    </w:p>
    <w:p w14:paraId="61985E2A" w14:textId="77777777" w:rsidR="007D735D" w:rsidRPr="007D735D" w:rsidRDefault="007D735D" w:rsidP="007D735D">
      <w:pPr>
        <w:spacing w:line="435" w:lineRule="atLeast"/>
        <w:ind w:firstLine="360"/>
        <w:textAlignment w:val="baseline"/>
        <w:rPr>
          <w:b/>
          <w:bCs/>
        </w:rPr>
      </w:pPr>
      <w:r w:rsidRPr="007D735D">
        <w:rPr>
          <w:b/>
          <w:bCs/>
        </w:rPr>
        <w:t>A list of proposed themes/topics: </w:t>
      </w:r>
    </w:p>
    <w:p w14:paraId="1A698789" w14:textId="14E86480" w:rsidR="007D735D" w:rsidRDefault="007D735D" w:rsidP="007D735D">
      <w:pPr>
        <w:numPr>
          <w:ilvl w:val="1"/>
          <w:numId w:val="15"/>
        </w:numPr>
        <w:spacing w:line="435" w:lineRule="atLeast"/>
        <w:textAlignment w:val="baseline"/>
      </w:pPr>
      <w:r>
        <w:t>Music and performance/performativity</w:t>
      </w:r>
    </w:p>
    <w:p w14:paraId="5D815AC6" w14:textId="30A54011" w:rsidR="007D735D" w:rsidRDefault="007D735D" w:rsidP="007D735D">
      <w:pPr>
        <w:numPr>
          <w:ilvl w:val="1"/>
          <w:numId w:val="15"/>
        </w:numPr>
        <w:spacing w:line="435" w:lineRule="atLeast"/>
        <w:textAlignment w:val="baseline"/>
      </w:pPr>
      <w:r>
        <w:t>Music and technology</w:t>
      </w:r>
    </w:p>
    <w:p w14:paraId="5C8F8D61" w14:textId="2BA8EF0A" w:rsidR="007D735D" w:rsidRDefault="007D735D" w:rsidP="007D735D">
      <w:pPr>
        <w:numPr>
          <w:ilvl w:val="1"/>
          <w:numId w:val="15"/>
        </w:numPr>
        <w:spacing w:line="435" w:lineRule="atLeast"/>
        <w:textAlignment w:val="baseline"/>
      </w:pPr>
      <w:r>
        <w:t>Music and violence</w:t>
      </w:r>
    </w:p>
    <w:p w14:paraId="0A2FAA64" w14:textId="5F63097E" w:rsidR="007D735D" w:rsidRDefault="007D735D" w:rsidP="007D735D">
      <w:pPr>
        <w:numPr>
          <w:ilvl w:val="1"/>
          <w:numId w:val="15"/>
        </w:numPr>
        <w:spacing w:line="435" w:lineRule="atLeast"/>
        <w:textAlignment w:val="baseline"/>
      </w:pPr>
      <w:r>
        <w:t>Music and healing</w:t>
      </w:r>
    </w:p>
    <w:p w14:paraId="5627072A" w14:textId="58AA36E5" w:rsidR="007D735D" w:rsidRDefault="007D735D" w:rsidP="007D735D">
      <w:pPr>
        <w:numPr>
          <w:ilvl w:val="1"/>
          <w:numId w:val="15"/>
        </w:numPr>
        <w:spacing w:line="435" w:lineRule="atLeast"/>
        <w:textAlignment w:val="baseline"/>
      </w:pPr>
      <w:r>
        <w:t>Music and memory/nostalgia</w:t>
      </w:r>
    </w:p>
    <w:p w14:paraId="61A8843C" w14:textId="678BF968" w:rsidR="007D735D" w:rsidRDefault="007D735D" w:rsidP="007D735D">
      <w:pPr>
        <w:numPr>
          <w:ilvl w:val="1"/>
          <w:numId w:val="15"/>
        </w:numPr>
        <w:spacing w:line="435" w:lineRule="atLeast"/>
        <w:textAlignment w:val="baseline"/>
      </w:pPr>
      <w:r>
        <w:t>Music and sexuality</w:t>
      </w:r>
    </w:p>
    <w:p w14:paraId="18E5DDB2" w14:textId="1D62B7BD" w:rsidR="007D735D" w:rsidRDefault="007D735D" w:rsidP="007D735D">
      <w:pPr>
        <w:numPr>
          <w:ilvl w:val="1"/>
          <w:numId w:val="15"/>
        </w:numPr>
        <w:spacing w:line="435" w:lineRule="atLeast"/>
        <w:textAlignment w:val="baseline"/>
      </w:pPr>
      <w:r>
        <w:t>Music and politics</w:t>
      </w:r>
    </w:p>
    <w:p w14:paraId="641BB596" w14:textId="77777777" w:rsidR="007D735D" w:rsidRDefault="007D735D" w:rsidP="007D735D">
      <w:pPr>
        <w:numPr>
          <w:ilvl w:val="1"/>
          <w:numId w:val="15"/>
        </w:numPr>
        <w:spacing w:line="435" w:lineRule="atLeast"/>
        <w:textAlignment w:val="baseline"/>
      </w:pPr>
      <w:r>
        <w:t>Music and the environment</w:t>
      </w:r>
    </w:p>
    <w:p w14:paraId="395079CE" w14:textId="77777777" w:rsidR="007D735D" w:rsidRDefault="007D735D" w:rsidP="007D735D">
      <w:pPr>
        <w:numPr>
          <w:ilvl w:val="1"/>
          <w:numId w:val="15"/>
        </w:numPr>
        <w:spacing w:line="435" w:lineRule="atLeast"/>
        <w:textAlignment w:val="baseline"/>
      </w:pPr>
      <w:r>
        <w:t xml:space="preserve">Music and family tradition </w:t>
      </w:r>
    </w:p>
    <w:p w14:paraId="777F7680" w14:textId="7F935885" w:rsidR="007D735D" w:rsidRDefault="007D735D" w:rsidP="007D735D">
      <w:pPr>
        <w:numPr>
          <w:ilvl w:val="1"/>
          <w:numId w:val="15"/>
        </w:numPr>
        <w:spacing w:line="435" w:lineRule="atLeast"/>
        <w:textAlignment w:val="baseline"/>
      </w:pPr>
      <w:r>
        <w:t>Music and migration</w:t>
      </w:r>
    </w:p>
    <w:p w14:paraId="04FABFC5" w14:textId="69F99EB6" w:rsidR="006712FC" w:rsidRPr="007D735D" w:rsidRDefault="007D735D" w:rsidP="008F62F1">
      <w:pPr>
        <w:numPr>
          <w:ilvl w:val="1"/>
          <w:numId w:val="15"/>
        </w:numPr>
        <w:spacing w:line="435" w:lineRule="atLeast"/>
        <w:textAlignment w:val="baseline"/>
      </w:pPr>
      <w:r w:rsidRPr="007D735D">
        <w:t>Music and religion</w:t>
      </w:r>
    </w:p>
    <w:p w14:paraId="495345EC" w14:textId="77777777" w:rsidR="006712FC" w:rsidRPr="008F30EE" w:rsidRDefault="006712FC" w:rsidP="006712FC">
      <w:pPr>
        <w:rPr>
          <w:b/>
          <w:bCs/>
        </w:rPr>
      </w:pPr>
    </w:p>
    <w:p w14:paraId="2CC0EE74" w14:textId="77777777" w:rsidR="006712FC" w:rsidRPr="008F30EE" w:rsidRDefault="006712FC" w:rsidP="006712FC">
      <w:pPr>
        <w:rPr>
          <w:b/>
          <w:bCs/>
        </w:rPr>
      </w:pPr>
    </w:p>
    <w:p w14:paraId="26D33945" w14:textId="0EF1DC6C" w:rsidR="00FC0D98" w:rsidRPr="00FC0D98" w:rsidRDefault="00FC0D98" w:rsidP="00FC0D98">
      <w:pPr>
        <w:rPr>
          <w:rFonts w:cstheme="minorHAnsi"/>
          <w:b/>
          <w:bCs/>
        </w:rPr>
      </w:pPr>
      <w:r>
        <w:rPr>
          <w:rFonts w:cstheme="minorHAnsi"/>
          <w:b/>
          <w:bCs/>
        </w:rPr>
        <w:t>EXAMS</w:t>
      </w:r>
    </w:p>
    <w:p w14:paraId="1048E53C" w14:textId="1CC9DD87" w:rsidR="00FC0D98" w:rsidRDefault="00FC0D98" w:rsidP="00FC0D98">
      <w:pPr>
        <w:rPr>
          <w:rFonts w:cstheme="minorHAnsi"/>
        </w:rPr>
      </w:pPr>
      <w:r w:rsidRPr="00FC0D98">
        <w:rPr>
          <w:rFonts w:cstheme="minorHAnsi"/>
        </w:rPr>
        <w:t xml:space="preserve">The Unit 1 Exam will cover material from weeks 1 to 4 of class. The </w:t>
      </w:r>
      <w:r>
        <w:rPr>
          <w:rFonts w:cstheme="minorHAnsi"/>
        </w:rPr>
        <w:t>Unit 2 Exam</w:t>
      </w:r>
      <w:r w:rsidRPr="00FC0D98">
        <w:rPr>
          <w:rFonts w:cstheme="minorHAnsi"/>
        </w:rPr>
        <w:t xml:space="preserve"> will cover material discussed from weeks </w:t>
      </w:r>
      <w:r>
        <w:rPr>
          <w:rFonts w:cstheme="minorHAnsi"/>
        </w:rPr>
        <w:t>6</w:t>
      </w:r>
      <w:r w:rsidRPr="00FC0D98">
        <w:rPr>
          <w:rFonts w:cstheme="minorHAnsi"/>
        </w:rPr>
        <w:t xml:space="preserve"> to 8 of class. The </w:t>
      </w:r>
      <w:r>
        <w:rPr>
          <w:rFonts w:cstheme="minorHAnsi"/>
        </w:rPr>
        <w:t>Final</w:t>
      </w:r>
      <w:r w:rsidRPr="00FC0D98">
        <w:rPr>
          <w:rFonts w:cstheme="minorHAnsi"/>
        </w:rPr>
        <w:t xml:space="preserve"> Exam will cover material from weeks 10 to 1</w:t>
      </w:r>
      <w:r>
        <w:rPr>
          <w:rFonts w:cstheme="minorHAnsi"/>
        </w:rPr>
        <w:t>4</w:t>
      </w:r>
      <w:r w:rsidRPr="00FC0D98">
        <w:rPr>
          <w:rFonts w:cstheme="minorHAnsi"/>
        </w:rPr>
        <w:t xml:space="preserve"> of class. The format of all tests will include multiple choice questions, short answer responses, and listening examples. </w:t>
      </w:r>
    </w:p>
    <w:p w14:paraId="4FBA5DBF" w14:textId="77777777" w:rsidR="00FC0D98" w:rsidRDefault="00FC0D98" w:rsidP="00FC0D98">
      <w:pPr>
        <w:rPr>
          <w:rFonts w:cstheme="minorHAnsi"/>
        </w:rPr>
      </w:pPr>
    </w:p>
    <w:p w14:paraId="34159CDF" w14:textId="77777777" w:rsidR="00FC0D98" w:rsidRDefault="00FC0D98" w:rsidP="00FC0D98">
      <w:pPr>
        <w:rPr>
          <w:rFonts w:cstheme="minorHAnsi"/>
        </w:rPr>
      </w:pPr>
    </w:p>
    <w:p w14:paraId="0C3575D7" w14:textId="38B71BD6" w:rsidR="00FC0D98" w:rsidRPr="00FC0D98" w:rsidRDefault="00FC0D98" w:rsidP="00FC0D98">
      <w:pPr>
        <w:rPr>
          <w:rFonts w:cstheme="minorHAnsi"/>
        </w:rPr>
      </w:pPr>
      <w:r>
        <w:rPr>
          <w:rFonts w:cstheme="minorHAnsi"/>
          <w:b/>
          <w:bCs/>
        </w:rPr>
        <w:t>ATTENDANCE</w:t>
      </w:r>
    </w:p>
    <w:p w14:paraId="79F67C63" w14:textId="77777777" w:rsidR="00FC0D98" w:rsidRPr="00FC0D98" w:rsidRDefault="00FC0D98" w:rsidP="00FC0D98">
      <w:pPr>
        <w:rPr>
          <w:rFonts w:cstheme="minorHAnsi"/>
        </w:rPr>
      </w:pPr>
      <w:r w:rsidRPr="00FC0D98">
        <w:rPr>
          <w:rFonts w:cstheme="minorHAnsi"/>
        </w:rPr>
        <w:t xml:space="preserve">Class attendance is mandatory for all students. For this course, students are allowed up to three unexcused absences for each lecture, and up to three unexcused absences for each lab, after which each unexcused absence will result in a 10% deduction on the student’s final grade. Non-emergency absences that have not received prior approval from the instructor will be counted as unexcused. Please be aware that some excuses may require documentation. A document on UNT’s authorized absence policy will be available to you on Canvas. With prior approval from the instructor, students are allowed to attend alternate lab sections up to three times before being marked absent from their assigned lab on each consecutive absence. </w:t>
      </w:r>
    </w:p>
    <w:p w14:paraId="000EE684" w14:textId="77777777" w:rsidR="00FC0D98" w:rsidRPr="00FC0D98" w:rsidRDefault="00FC0D98" w:rsidP="00FC0D98">
      <w:pPr>
        <w:rPr>
          <w:rFonts w:cstheme="minorHAnsi"/>
        </w:rPr>
      </w:pPr>
    </w:p>
    <w:p w14:paraId="56AE15DE" w14:textId="77777777" w:rsidR="00FC0D98" w:rsidRPr="00FC0D98" w:rsidRDefault="00FC0D98" w:rsidP="00FC0D98">
      <w:pPr>
        <w:rPr>
          <w:rFonts w:cstheme="minorHAnsi"/>
        </w:rPr>
      </w:pPr>
      <w:r w:rsidRPr="00FC0D98">
        <w:rPr>
          <w:rFonts w:cstheme="minorHAnsi"/>
        </w:rPr>
        <w:t xml:space="preserve">Starting on the second week of class, a seating chart will be provided that indicates the seating placement for each lab group; students must sit in the area of their group as indicated in the chart. Before the beginning of class, four attendance sheets with each representative lab section will be posted at the back of the classroom. Students will initial the attendance sheet respective to their lab group before proceeding to their seat. Attendance sheets will be taken down after the first 15 minutes of class. Signing in will be required to be marked present for the course on a particular day. You will be marked tardy if you arrive after the attendance sheet has been taken down. Three tardies will be counted as one unexcused absence. TAs will complete sign in procedures for lab sections. </w:t>
      </w:r>
    </w:p>
    <w:p w14:paraId="6F89BD2A" w14:textId="77777777" w:rsidR="00FC0D98" w:rsidRPr="00FC0D98" w:rsidRDefault="00FC0D98" w:rsidP="00FC0D98">
      <w:pPr>
        <w:rPr>
          <w:rFonts w:cstheme="minorHAnsi"/>
        </w:rPr>
      </w:pPr>
    </w:p>
    <w:p w14:paraId="122AE1BB" w14:textId="77777777" w:rsidR="00FC0D98" w:rsidRDefault="00FC0D98" w:rsidP="00FC0D98">
      <w:pPr>
        <w:rPr>
          <w:rFonts w:cstheme="minorHAnsi"/>
        </w:rPr>
      </w:pPr>
      <w:r w:rsidRPr="00FC0D98">
        <w:rPr>
          <w:rFonts w:cstheme="minorHAnsi"/>
        </w:rPr>
        <w:t xml:space="preserve">If an emergency arises that forces you to leave class in the middle of a lecture or lab, please inform a TA before </w:t>
      </w:r>
      <w:proofErr w:type="gramStart"/>
      <w:r w:rsidRPr="00FC0D98">
        <w:rPr>
          <w:rFonts w:cstheme="minorHAnsi"/>
        </w:rPr>
        <w:t>leaving;</w:t>
      </w:r>
      <w:proofErr w:type="gramEnd"/>
      <w:r w:rsidRPr="00FC0D98">
        <w:rPr>
          <w:rFonts w:cstheme="minorHAnsi"/>
        </w:rPr>
        <w:t xml:space="preserve"> as failure to do so will result in you being marked absent. Otherwise, leaving during class will result in an absence for that period. </w:t>
      </w:r>
    </w:p>
    <w:p w14:paraId="5488BF35" w14:textId="77777777" w:rsidR="00FC0D98" w:rsidRDefault="00FC0D98" w:rsidP="00FC0D98">
      <w:pPr>
        <w:rPr>
          <w:rFonts w:cstheme="minorHAnsi"/>
        </w:rPr>
      </w:pPr>
    </w:p>
    <w:p w14:paraId="5E57926C" w14:textId="77777777" w:rsidR="00FC0D98" w:rsidRPr="00FC0D98" w:rsidRDefault="00FC0D98" w:rsidP="00FC0D98">
      <w:pPr>
        <w:rPr>
          <w:rFonts w:cstheme="minorHAnsi"/>
        </w:rPr>
      </w:pPr>
    </w:p>
    <w:p w14:paraId="002366B0" w14:textId="77777777" w:rsidR="006712FC" w:rsidRDefault="006712FC" w:rsidP="006712FC">
      <w:pPr>
        <w:rPr>
          <w:b/>
          <w:bCs/>
        </w:rPr>
      </w:pPr>
    </w:p>
    <w:p w14:paraId="766755CA" w14:textId="3F7A7AA5" w:rsidR="006712FC" w:rsidRPr="008F30EE" w:rsidRDefault="00FC0D98" w:rsidP="006712FC">
      <w:pPr>
        <w:rPr>
          <w:b/>
          <w:bCs/>
        </w:rPr>
      </w:pPr>
      <w:r>
        <w:rPr>
          <w:b/>
          <w:bCs/>
        </w:rPr>
        <w:t>COURSE OUTLINE</w:t>
      </w:r>
    </w:p>
    <w:p w14:paraId="755325D5" w14:textId="77777777" w:rsidR="006712FC" w:rsidRPr="008F30EE" w:rsidRDefault="006712FC" w:rsidP="006712FC">
      <w:r w:rsidRPr="008F30EE">
        <w:t xml:space="preserve">The following is a general outline of the topics discussed in this course. Please be aware that slight changes may occur due to unexpected circumstances. All readings/assignments for a particular day are expected to be completed before lectures and labs. </w:t>
      </w:r>
    </w:p>
    <w:p w14:paraId="11DF5B89" w14:textId="77777777" w:rsidR="006712FC" w:rsidRPr="008F30EE" w:rsidRDefault="006712FC" w:rsidP="006712FC"/>
    <w:tbl>
      <w:tblPr>
        <w:tblStyle w:val="TableGrid"/>
        <w:tblW w:w="0" w:type="auto"/>
        <w:tblLook w:val="04A0" w:firstRow="1" w:lastRow="0" w:firstColumn="1" w:lastColumn="0" w:noHBand="0" w:noVBand="1"/>
      </w:tblPr>
      <w:tblGrid>
        <w:gridCol w:w="991"/>
        <w:gridCol w:w="1153"/>
        <w:gridCol w:w="2801"/>
        <w:gridCol w:w="4355"/>
      </w:tblGrid>
      <w:tr w:rsidR="006712FC" w:rsidRPr="008F30EE" w14:paraId="447145A0" w14:textId="77777777" w:rsidTr="00FE0212">
        <w:tc>
          <w:tcPr>
            <w:tcW w:w="991" w:type="dxa"/>
            <w:tcBorders>
              <w:top w:val="single" w:sz="24" w:space="0" w:color="000000"/>
              <w:left w:val="single" w:sz="24" w:space="0" w:color="000000"/>
              <w:bottom w:val="single" w:sz="24" w:space="0" w:color="000000"/>
              <w:right w:val="single" w:sz="24" w:space="0" w:color="000000"/>
            </w:tcBorders>
            <w:shd w:val="clear" w:color="auto" w:fill="E7E6E6" w:themeFill="background2"/>
          </w:tcPr>
          <w:p w14:paraId="40C753B0" w14:textId="77777777" w:rsidR="006712FC" w:rsidRPr="008F30EE" w:rsidRDefault="006712FC" w:rsidP="00733E7A">
            <w:pPr>
              <w:jc w:val="center"/>
            </w:pPr>
            <w:r w:rsidRPr="008F30EE">
              <w:t>Week</w:t>
            </w:r>
          </w:p>
        </w:tc>
        <w:tc>
          <w:tcPr>
            <w:tcW w:w="1153" w:type="dxa"/>
            <w:tcBorders>
              <w:top w:val="single" w:sz="24" w:space="0" w:color="000000"/>
              <w:left w:val="single" w:sz="24" w:space="0" w:color="000000"/>
              <w:bottom w:val="single" w:sz="24" w:space="0" w:color="000000"/>
              <w:right w:val="single" w:sz="24" w:space="0" w:color="000000"/>
            </w:tcBorders>
            <w:shd w:val="clear" w:color="auto" w:fill="E7E6E6" w:themeFill="background2"/>
          </w:tcPr>
          <w:p w14:paraId="39E25444" w14:textId="77777777" w:rsidR="006712FC" w:rsidRPr="008F30EE" w:rsidRDefault="006712FC" w:rsidP="00733E7A">
            <w:pPr>
              <w:jc w:val="center"/>
            </w:pPr>
            <w:r w:rsidRPr="008F30EE">
              <w:t>Date</w:t>
            </w:r>
          </w:p>
        </w:tc>
        <w:tc>
          <w:tcPr>
            <w:tcW w:w="2801" w:type="dxa"/>
            <w:tcBorders>
              <w:top w:val="single" w:sz="24" w:space="0" w:color="000000"/>
              <w:left w:val="single" w:sz="24" w:space="0" w:color="000000"/>
              <w:bottom w:val="single" w:sz="24" w:space="0" w:color="000000"/>
              <w:right w:val="single" w:sz="24" w:space="0" w:color="000000"/>
            </w:tcBorders>
            <w:shd w:val="clear" w:color="auto" w:fill="E7E6E6" w:themeFill="background2"/>
            <w:vAlign w:val="center"/>
          </w:tcPr>
          <w:p w14:paraId="3AC77990" w14:textId="77777777" w:rsidR="006712FC" w:rsidRPr="008F30EE" w:rsidRDefault="006712FC" w:rsidP="00733E7A">
            <w:pPr>
              <w:jc w:val="center"/>
            </w:pPr>
            <w:r w:rsidRPr="008F30EE">
              <w:t>Topic</w:t>
            </w:r>
          </w:p>
        </w:tc>
        <w:tc>
          <w:tcPr>
            <w:tcW w:w="4355" w:type="dxa"/>
            <w:tcBorders>
              <w:top w:val="single" w:sz="24" w:space="0" w:color="000000"/>
              <w:left w:val="single" w:sz="24" w:space="0" w:color="000000"/>
              <w:bottom w:val="single" w:sz="24" w:space="0" w:color="000000"/>
              <w:right w:val="single" w:sz="24" w:space="0" w:color="000000"/>
            </w:tcBorders>
            <w:shd w:val="clear" w:color="auto" w:fill="E7E6E6" w:themeFill="background2"/>
            <w:vAlign w:val="center"/>
          </w:tcPr>
          <w:p w14:paraId="118F6062" w14:textId="77777777" w:rsidR="006712FC" w:rsidRPr="008F30EE" w:rsidRDefault="006712FC" w:rsidP="00733E7A">
            <w:pPr>
              <w:jc w:val="center"/>
            </w:pPr>
            <w:r w:rsidRPr="008F30EE">
              <w:t>Readings/Assignments</w:t>
            </w:r>
          </w:p>
        </w:tc>
      </w:tr>
      <w:tr w:rsidR="006712FC" w:rsidRPr="008F30EE" w14:paraId="03885A74" w14:textId="77777777" w:rsidTr="00FE0212">
        <w:tc>
          <w:tcPr>
            <w:tcW w:w="991" w:type="dxa"/>
            <w:vMerge w:val="restart"/>
            <w:tcBorders>
              <w:top w:val="single" w:sz="24" w:space="0" w:color="000000"/>
            </w:tcBorders>
          </w:tcPr>
          <w:p w14:paraId="4888E38A" w14:textId="77777777" w:rsidR="006712FC" w:rsidRPr="008F30EE" w:rsidRDefault="006712FC" w:rsidP="00733E7A">
            <w:pPr>
              <w:jc w:val="center"/>
            </w:pPr>
            <w:r w:rsidRPr="008F30EE">
              <w:t>1</w:t>
            </w:r>
          </w:p>
        </w:tc>
        <w:tc>
          <w:tcPr>
            <w:tcW w:w="1153" w:type="dxa"/>
            <w:tcBorders>
              <w:top w:val="single" w:sz="24" w:space="0" w:color="000000"/>
            </w:tcBorders>
          </w:tcPr>
          <w:p w14:paraId="468E0BDC" w14:textId="77777777" w:rsidR="006712FC" w:rsidRPr="008F30EE" w:rsidRDefault="006712FC" w:rsidP="00733E7A">
            <w:pPr>
              <w:jc w:val="center"/>
            </w:pPr>
            <w:r w:rsidRPr="008F30EE">
              <w:t>8/20</w:t>
            </w:r>
          </w:p>
          <w:p w14:paraId="5269D1E2" w14:textId="77777777" w:rsidR="006712FC" w:rsidRPr="008F30EE" w:rsidRDefault="006712FC" w:rsidP="00733E7A">
            <w:pPr>
              <w:jc w:val="center"/>
            </w:pPr>
          </w:p>
        </w:tc>
        <w:tc>
          <w:tcPr>
            <w:tcW w:w="2801" w:type="dxa"/>
            <w:vMerge w:val="restart"/>
            <w:tcBorders>
              <w:top w:val="single" w:sz="24" w:space="0" w:color="000000"/>
            </w:tcBorders>
            <w:vAlign w:val="center"/>
          </w:tcPr>
          <w:p w14:paraId="40A5B892" w14:textId="77777777" w:rsidR="006712FC" w:rsidRPr="008F30EE" w:rsidRDefault="006712FC" w:rsidP="00733E7A">
            <w:pPr>
              <w:jc w:val="center"/>
            </w:pPr>
            <w:r w:rsidRPr="008F30EE">
              <w:t>Course Introduction - Ethnomusicology</w:t>
            </w:r>
          </w:p>
        </w:tc>
        <w:tc>
          <w:tcPr>
            <w:tcW w:w="4355" w:type="dxa"/>
            <w:vMerge w:val="restart"/>
            <w:tcBorders>
              <w:top w:val="single" w:sz="24" w:space="0" w:color="000000"/>
            </w:tcBorders>
            <w:vAlign w:val="center"/>
          </w:tcPr>
          <w:p w14:paraId="30A6A157" w14:textId="77777777" w:rsidR="006712FC" w:rsidRPr="008F30EE" w:rsidRDefault="006712FC" w:rsidP="006712FC">
            <w:pPr>
              <w:pStyle w:val="ListParagraph"/>
              <w:numPr>
                <w:ilvl w:val="0"/>
                <w:numId w:val="5"/>
              </w:numPr>
              <w:jc w:val="center"/>
              <w:rPr>
                <w:rFonts w:cs="Times New Roman"/>
              </w:rPr>
            </w:pPr>
            <w:r w:rsidRPr="008F30EE">
              <w:rPr>
                <w:rFonts w:cs="Times New Roman"/>
              </w:rPr>
              <w:t>[Optional] Miner 1956</w:t>
            </w:r>
          </w:p>
        </w:tc>
      </w:tr>
      <w:tr w:rsidR="006712FC" w:rsidRPr="008F30EE" w14:paraId="28F80E08" w14:textId="77777777" w:rsidTr="00FE0212">
        <w:trPr>
          <w:trHeight w:val="569"/>
        </w:trPr>
        <w:tc>
          <w:tcPr>
            <w:tcW w:w="991" w:type="dxa"/>
            <w:vMerge/>
          </w:tcPr>
          <w:p w14:paraId="2102D16F" w14:textId="77777777" w:rsidR="006712FC" w:rsidRPr="008F30EE" w:rsidRDefault="006712FC" w:rsidP="00733E7A">
            <w:pPr>
              <w:jc w:val="center"/>
            </w:pPr>
          </w:p>
        </w:tc>
        <w:tc>
          <w:tcPr>
            <w:tcW w:w="1153" w:type="dxa"/>
          </w:tcPr>
          <w:p w14:paraId="04295922" w14:textId="77777777" w:rsidR="006712FC" w:rsidRPr="008F30EE" w:rsidRDefault="006712FC" w:rsidP="00733E7A">
            <w:pPr>
              <w:jc w:val="center"/>
            </w:pPr>
            <w:r w:rsidRPr="008F30EE">
              <w:t>8/22</w:t>
            </w:r>
          </w:p>
        </w:tc>
        <w:tc>
          <w:tcPr>
            <w:tcW w:w="2801" w:type="dxa"/>
            <w:vMerge/>
            <w:vAlign w:val="center"/>
          </w:tcPr>
          <w:p w14:paraId="414D1D9B" w14:textId="77777777" w:rsidR="006712FC" w:rsidRPr="008F30EE" w:rsidRDefault="006712FC" w:rsidP="00733E7A">
            <w:pPr>
              <w:jc w:val="center"/>
            </w:pPr>
          </w:p>
        </w:tc>
        <w:tc>
          <w:tcPr>
            <w:tcW w:w="4355" w:type="dxa"/>
            <w:vMerge/>
            <w:vAlign w:val="center"/>
          </w:tcPr>
          <w:p w14:paraId="46759C40" w14:textId="77777777" w:rsidR="006712FC" w:rsidRPr="008F30EE" w:rsidRDefault="006712FC" w:rsidP="00733E7A">
            <w:pPr>
              <w:jc w:val="center"/>
            </w:pPr>
          </w:p>
        </w:tc>
      </w:tr>
      <w:tr w:rsidR="006712FC" w:rsidRPr="008F30EE" w14:paraId="1158B073" w14:textId="77777777" w:rsidTr="00FE0212">
        <w:tc>
          <w:tcPr>
            <w:tcW w:w="991" w:type="dxa"/>
            <w:vMerge w:val="restart"/>
          </w:tcPr>
          <w:p w14:paraId="4F3F0705" w14:textId="77777777" w:rsidR="006712FC" w:rsidRPr="008F30EE" w:rsidRDefault="006712FC" w:rsidP="00733E7A">
            <w:pPr>
              <w:jc w:val="center"/>
            </w:pPr>
            <w:r w:rsidRPr="008F30EE">
              <w:t>2</w:t>
            </w:r>
          </w:p>
        </w:tc>
        <w:tc>
          <w:tcPr>
            <w:tcW w:w="1153" w:type="dxa"/>
          </w:tcPr>
          <w:p w14:paraId="3FFD3AE9" w14:textId="77777777" w:rsidR="006712FC" w:rsidRPr="008F30EE" w:rsidRDefault="006712FC" w:rsidP="00733E7A">
            <w:pPr>
              <w:jc w:val="center"/>
            </w:pPr>
            <w:r w:rsidRPr="008F30EE">
              <w:t>8/27</w:t>
            </w:r>
          </w:p>
        </w:tc>
        <w:tc>
          <w:tcPr>
            <w:tcW w:w="2801" w:type="dxa"/>
            <w:vMerge w:val="restart"/>
            <w:vAlign w:val="center"/>
          </w:tcPr>
          <w:p w14:paraId="70C9CC4A" w14:textId="77777777" w:rsidR="006712FC" w:rsidRPr="008F30EE" w:rsidRDefault="006712FC" w:rsidP="00733E7A">
            <w:pPr>
              <w:jc w:val="center"/>
            </w:pPr>
            <w:r w:rsidRPr="008F30EE">
              <w:t xml:space="preserve">Music Cultures &amp; </w:t>
            </w:r>
            <w:proofErr w:type="spellStart"/>
            <w:r w:rsidRPr="008F30EE">
              <w:t>Acoustemology</w:t>
            </w:r>
            <w:proofErr w:type="spellEnd"/>
          </w:p>
        </w:tc>
        <w:tc>
          <w:tcPr>
            <w:tcW w:w="4355" w:type="dxa"/>
            <w:vMerge w:val="restart"/>
            <w:vAlign w:val="center"/>
          </w:tcPr>
          <w:p w14:paraId="08AF3650" w14:textId="77777777" w:rsidR="006712FC" w:rsidRPr="008F30EE" w:rsidRDefault="006712FC" w:rsidP="006712FC">
            <w:pPr>
              <w:pStyle w:val="ListParagraph"/>
              <w:numPr>
                <w:ilvl w:val="0"/>
                <w:numId w:val="5"/>
              </w:numPr>
              <w:jc w:val="center"/>
              <w:rPr>
                <w:rFonts w:cs="Times New Roman"/>
              </w:rPr>
            </w:pPr>
            <w:r w:rsidRPr="008F30EE">
              <w:rPr>
                <w:rFonts w:cs="Times New Roman"/>
              </w:rPr>
              <w:t>Titon, Ch. 1</w:t>
            </w:r>
          </w:p>
          <w:p w14:paraId="44C33F1A" w14:textId="77777777" w:rsidR="006712FC" w:rsidRPr="008F30EE" w:rsidRDefault="006712FC" w:rsidP="006712FC">
            <w:pPr>
              <w:pStyle w:val="ListParagraph"/>
              <w:numPr>
                <w:ilvl w:val="0"/>
                <w:numId w:val="5"/>
              </w:numPr>
              <w:jc w:val="center"/>
              <w:rPr>
                <w:rFonts w:cs="Times New Roman"/>
              </w:rPr>
            </w:pPr>
            <w:r w:rsidRPr="008F30EE">
              <w:rPr>
                <w:rFonts w:cs="Times New Roman"/>
              </w:rPr>
              <w:t>[Optional] Feld 1982, 60-85</w:t>
            </w:r>
          </w:p>
        </w:tc>
      </w:tr>
      <w:tr w:rsidR="006712FC" w:rsidRPr="008F30EE" w14:paraId="4DB533E7" w14:textId="77777777" w:rsidTr="00FE0212">
        <w:trPr>
          <w:trHeight w:val="596"/>
        </w:trPr>
        <w:tc>
          <w:tcPr>
            <w:tcW w:w="991" w:type="dxa"/>
            <w:vMerge/>
          </w:tcPr>
          <w:p w14:paraId="1275E3C0" w14:textId="77777777" w:rsidR="006712FC" w:rsidRPr="008F30EE" w:rsidRDefault="006712FC" w:rsidP="00733E7A">
            <w:pPr>
              <w:jc w:val="center"/>
            </w:pPr>
          </w:p>
        </w:tc>
        <w:tc>
          <w:tcPr>
            <w:tcW w:w="1153" w:type="dxa"/>
          </w:tcPr>
          <w:p w14:paraId="4FAF0A86" w14:textId="77777777" w:rsidR="006712FC" w:rsidRPr="008F30EE" w:rsidRDefault="006712FC" w:rsidP="00733E7A">
            <w:pPr>
              <w:jc w:val="center"/>
            </w:pPr>
            <w:r w:rsidRPr="008F30EE">
              <w:t>8/29</w:t>
            </w:r>
          </w:p>
        </w:tc>
        <w:tc>
          <w:tcPr>
            <w:tcW w:w="2801" w:type="dxa"/>
            <w:vMerge/>
            <w:vAlign w:val="center"/>
          </w:tcPr>
          <w:p w14:paraId="0933A55A" w14:textId="77777777" w:rsidR="006712FC" w:rsidRPr="008F30EE" w:rsidRDefault="006712FC" w:rsidP="00733E7A">
            <w:pPr>
              <w:jc w:val="center"/>
            </w:pPr>
          </w:p>
        </w:tc>
        <w:tc>
          <w:tcPr>
            <w:tcW w:w="4355" w:type="dxa"/>
            <w:vMerge/>
            <w:vAlign w:val="center"/>
          </w:tcPr>
          <w:p w14:paraId="1D5B2C0A" w14:textId="77777777" w:rsidR="006712FC" w:rsidRPr="008F30EE" w:rsidRDefault="006712FC" w:rsidP="00733E7A">
            <w:pPr>
              <w:jc w:val="center"/>
            </w:pPr>
          </w:p>
        </w:tc>
      </w:tr>
      <w:tr w:rsidR="006712FC" w:rsidRPr="008F30EE" w14:paraId="1749DBF1" w14:textId="77777777" w:rsidTr="00FE0212">
        <w:tc>
          <w:tcPr>
            <w:tcW w:w="991" w:type="dxa"/>
            <w:vMerge w:val="restart"/>
          </w:tcPr>
          <w:p w14:paraId="3B950E91" w14:textId="77777777" w:rsidR="006712FC" w:rsidRPr="008F30EE" w:rsidRDefault="006712FC" w:rsidP="00733E7A">
            <w:pPr>
              <w:jc w:val="center"/>
            </w:pPr>
            <w:r w:rsidRPr="008F30EE">
              <w:t>3</w:t>
            </w:r>
          </w:p>
        </w:tc>
        <w:tc>
          <w:tcPr>
            <w:tcW w:w="1153" w:type="dxa"/>
          </w:tcPr>
          <w:p w14:paraId="605CAEDC" w14:textId="77777777" w:rsidR="006712FC" w:rsidRPr="008F30EE" w:rsidRDefault="006712FC" w:rsidP="00733E7A">
            <w:pPr>
              <w:jc w:val="center"/>
            </w:pPr>
            <w:r w:rsidRPr="008F30EE">
              <w:t>9/3</w:t>
            </w:r>
          </w:p>
        </w:tc>
        <w:tc>
          <w:tcPr>
            <w:tcW w:w="2801" w:type="dxa"/>
            <w:vMerge w:val="restart"/>
            <w:vAlign w:val="center"/>
          </w:tcPr>
          <w:p w14:paraId="5EAD141F" w14:textId="77777777" w:rsidR="006712FC" w:rsidRPr="008F30EE" w:rsidRDefault="006712FC" w:rsidP="00733E7A">
            <w:pPr>
              <w:jc w:val="center"/>
            </w:pPr>
            <w:r w:rsidRPr="008F30EE">
              <w:t>Native America</w:t>
            </w:r>
          </w:p>
        </w:tc>
        <w:tc>
          <w:tcPr>
            <w:tcW w:w="4355" w:type="dxa"/>
            <w:vMerge w:val="restart"/>
            <w:vAlign w:val="center"/>
          </w:tcPr>
          <w:p w14:paraId="30E9E02D" w14:textId="77777777" w:rsidR="006712FC" w:rsidRPr="008F30EE" w:rsidRDefault="006712FC" w:rsidP="006712FC">
            <w:pPr>
              <w:pStyle w:val="ListParagraph"/>
              <w:numPr>
                <w:ilvl w:val="0"/>
                <w:numId w:val="8"/>
              </w:numPr>
              <w:jc w:val="center"/>
              <w:rPr>
                <w:rFonts w:cs="Times New Roman"/>
              </w:rPr>
            </w:pPr>
            <w:r w:rsidRPr="008F30EE">
              <w:rPr>
                <w:rFonts w:cs="Times New Roman"/>
              </w:rPr>
              <w:t>Titon, Ch. 2</w:t>
            </w:r>
          </w:p>
        </w:tc>
      </w:tr>
      <w:tr w:rsidR="006712FC" w:rsidRPr="008F30EE" w14:paraId="01245197" w14:textId="77777777" w:rsidTr="00FE0212">
        <w:trPr>
          <w:trHeight w:val="893"/>
        </w:trPr>
        <w:tc>
          <w:tcPr>
            <w:tcW w:w="991" w:type="dxa"/>
            <w:vMerge/>
          </w:tcPr>
          <w:p w14:paraId="07876BDE" w14:textId="77777777" w:rsidR="006712FC" w:rsidRPr="008F30EE" w:rsidRDefault="006712FC" w:rsidP="00733E7A">
            <w:pPr>
              <w:jc w:val="center"/>
            </w:pPr>
          </w:p>
        </w:tc>
        <w:tc>
          <w:tcPr>
            <w:tcW w:w="1153" w:type="dxa"/>
          </w:tcPr>
          <w:p w14:paraId="7141E9C7" w14:textId="77777777" w:rsidR="006712FC" w:rsidRPr="008F30EE" w:rsidRDefault="006712FC" w:rsidP="00733E7A">
            <w:pPr>
              <w:jc w:val="center"/>
            </w:pPr>
            <w:r w:rsidRPr="008F30EE">
              <w:t>9/5</w:t>
            </w:r>
          </w:p>
        </w:tc>
        <w:tc>
          <w:tcPr>
            <w:tcW w:w="2801" w:type="dxa"/>
            <w:vMerge/>
            <w:vAlign w:val="center"/>
          </w:tcPr>
          <w:p w14:paraId="08B27819" w14:textId="77777777" w:rsidR="006712FC" w:rsidRPr="008F30EE" w:rsidRDefault="006712FC" w:rsidP="00733E7A">
            <w:pPr>
              <w:jc w:val="center"/>
            </w:pPr>
          </w:p>
        </w:tc>
        <w:tc>
          <w:tcPr>
            <w:tcW w:w="4355" w:type="dxa"/>
            <w:vMerge/>
            <w:vAlign w:val="center"/>
          </w:tcPr>
          <w:p w14:paraId="41B613D9" w14:textId="77777777" w:rsidR="006712FC" w:rsidRPr="008F30EE" w:rsidRDefault="006712FC" w:rsidP="00733E7A">
            <w:pPr>
              <w:jc w:val="center"/>
            </w:pPr>
          </w:p>
        </w:tc>
      </w:tr>
      <w:tr w:rsidR="006712FC" w:rsidRPr="008F30EE" w14:paraId="759B9CA2" w14:textId="77777777" w:rsidTr="00FE0212">
        <w:tc>
          <w:tcPr>
            <w:tcW w:w="991" w:type="dxa"/>
            <w:vMerge w:val="restart"/>
          </w:tcPr>
          <w:p w14:paraId="695AB497" w14:textId="77777777" w:rsidR="006712FC" w:rsidRPr="008F30EE" w:rsidRDefault="006712FC" w:rsidP="00733E7A">
            <w:pPr>
              <w:jc w:val="center"/>
            </w:pPr>
            <w:r w:rsidRPr="008F30EE">
              <w:t>4</w:t>
            </w:r>
          </w:p>
        </w:tc>
        <w:tc>
          <w:tcPr>
            <w:tcW w:w="1153" w:type="dxa"/>
          </w:tcPr>
          <w:p w14:paraId="57CF0189" w14:textId="77777777" w:rsidR="006712FC" w:rsidRPr="008F30EE" w:rsidRDefault="006712FC" w:rsidP="00733E7A">
            <w:pPr>
              <w:jc w:val="center"/>
            </w:pPr>
            <w:r w:rsidRPr="008F30EE">
              <w:t>9/10</w:t>
            </w:r>
          </w:p>
        </w:tc>
        <w:tc>
          <w:tcPr>
            <w:tcW w:w="2801" w:type="dxa"/>
            <w:vMerge w:val="restart"/>
            <w:vAlign w:val="center"/>
          </w:tcPr>
          <w:p w14:paraId="3B7AD3AA" w14:textId="534F76FE" w:rsidR="006712FC" w:rsidRPr="008F30EE" w:rsidRDefault="006E53BC" w:rsidP="00733E7A">
            <w:pPr>
              <w:jc w:val="center"/>
            </w:pPr>
            <w:r>
              <w:t>India</w:t>
            </w:r>
          </w:p>
        </w:tc>
        <w:tc>
          <w:tcPr>
            <w:tcW w:w="4355" w:type="dxa"/>
            <w:vMerge w:val="restart"/>
            <w:vAlign w:val="center"/>
          </w:tcPr>
          <w:p w14:paraId="7216F400" w14:textId="2A94C5A4" w:rsidR="006712FC" w:rsidRPr="008F30EE" w:rsidRDefault="006712FC" w:rsidP="006E53BC">
            <w:pPr>
              <w:pStyle w:val="ListParagraph"/>
              <w:rPr>
                <w:rFonts w:cs="Times New Roman"/>
              </w:rPr>
            </w:pPr>
          </w:p>
        </w:tc>
      </w:tr>
      <w:tr w:rsidR="006712FC" w:rsidRPr="008F30EE" w14:paraId="3B9B7DB0" w14:textId="77777777" w:rsidTr="00FE0212">
        <w:trPr>
          <w:trHeight w:val="893"/>
        </w:trPr>
        <w:tc>
          <w:tcPr>
            <w:tcW w:w="991" w:type="dxa"/>
            <w:vMerge/>
          </w:tcPr>
          <w:p w14:paraId="6DD4DD9F" w14:textId="77777777" w:rsidR="006712FC" w:rsidRPr="008F30EE" w:rsidRDefault="006712FC" w:rsidP="00733E7A">
            <w:pPr>
              <w:jc w:val="center"/>
            </w:pPr>
          </w:p>
        </w:tc>
        <w:tc>
          <w:tcPr>
            <w:tcW w:w="1153" w:type="dxa"/>
          </w:tcPr>
          <w:p w14:paraId="1A4716D3" w14:textId="77777777" w:rsidR="006712FC" w:rsidRPr="008F30EE" w:rsidRDefault="006712FC" w:rsidP="00733E7A">
            <w:pPr>
              <w:jc w:val="center"/>
            </w:pPr>
            <w:r w:rsidRPr="008F30EE">
              <w:t>9/12</w:t>
            </w:r>
          </w:p>
        </w:tc>
        <w:tc>
          <w:tcPr>
            <w:tcW w:w="2801" w:type="dxa"/>
            <w:vMerge/>
            <w:vAlign w:val="center"/>
          </w:tcPr>
          <w:p w14:paraId="34434C15" w14:textId="77777777" w:rsidR="006712FC" w:rsidRPr="008F30EE" w:rsidRDefault="006712FC" w:rsidP="00733E7A">
            <w:pPr>
              <w:jc w:val="center"/>
            </w:pPr>
          </w:p>
        </w:tc>
        <w:tc>
          <w:tcPr>
            <w:tcW w:w="4355" w:type="dxa"/>
            <w:vMerge/>
            <w:vAlign w:val="center"/>
          </w:tcPr>
          <w:p w14:paraId="14CA9AA6" w14:textId="77777777" w:rsidR="006712FC" w:rsidRPr="008F30EE" w:rsidRDefault="006712FC" w:rsidP="00733E7A">
            <w:pPr>
              <w:jc w:val="center"/>
            </w:pPr>
          </w:p>
        </w:tc>
      </w:tr>
      <w:tr w:rsidR="006712FC" w:rsidRPr="008F30EE" w14:paraId="6D617543" w14:textId="77777777" w:rsidTr="00FE0212">
        <w:trPr>
          <w:trHeight w:val="794"/>
        </w:trPr>
        <w:tc>
          <w:tcPr>
            <w:tcW w:w="991" w:type="dxa"/>
            <w:vMerge w:val="restart"/>
          </w:tcPr>
          <w:p w14:paraId="5731A94B" w14:textId="77777777" w:rsidR="006712FC" w:rsidRPr="008F30EE" w:rsidRDefault="006712FC" w:rsidP="00733E7A">
            <w:pPr>
              <w:jc w:val="center"/>
            </w:pPr>
            <w:r w:rsidRPr="008F30EE">
              <w:t>5</w:t>
            </w:r>
          </w:p>
        </w:tc>
        <w:tc>
          <w:tcPr>
            <w:tcW w:w="1153" w:type="dxa"/>
          </w:tcPr>
          <w:p w14:paraId="273892B7" w14:textId="77777777" w:rsidR="006712FC" w:rsidRPr="008F30EE" w:rsidRDefault="006712FC" w:rsidP="00733E7A">
            <w:pPr>
              <w:jc w:val="center"/>
            </w:pPr>
            <w:r w:rsidRPr="008F30EE">
              <w:t>9/17</w:t>
            </w:r>
          </w:p>
        </w:tc>
        <w:tc>
          <w:tcPr>
            <w:tcW w:w="2801" w:type="dxa"/>
            <w:vAlign w:val="center"/>
          </w:tcPr>
          <w:p w14:paraId="4061429C" w14:textId="77777777" w:rsidR="006712FC" w:rsidRPr="008F30EE" w:rsidRDefault="006712FC" w:rsidP="00733E7A">
            <w:pPr>
              <w:jc w:val="center"/>
              <w:rPr>
                <w:i/>
                <w:iCs/>
              </w:rPr>
            </w:pPr>
            <w:r w:rsidRPr="008F30EE">
              <w:rPr>
                <w:i/>
                <w:iCs/>
              </w:rPr>
              <w:t>Unit 1 Preparation</w:t>
            </w:r>
          </w:p>
        </w:tc>
        <w:tc>
          <w:tcPr>
            <w:tcW w:w="4355" w:type="dxa"/>
            <w:vAlign w:val="center"/>
          </w:tcPr>
          <w:p w14:paraId="6E452320" w14:textId="77777777" w:rsidR="006712FC" w:rsidRPr="008F30EE" w:rsidRDefault="006712FC" w:rsidP="00733E7A">
            <w:pPr>
              <w:jc w:val="center"/>
            </w:pPr>
            <w:r w:rsidRPr="008F30EE">
              <w:t>NONE – prepare for Unit 1 Exam</w:t>
            </w:r>
          </w:p>
        </w:tc>
      </w:tr>
      <w:tr w:rsidR="006712FC" w:rsidRPr="008F30EE" w14:paraId="4FCCC568" w14:textId="77777777" w:rsidTr="00FE0212">
        <w:trPr>
          <w:trHeight w:val="1181"/>
        </w:trPr>
        <w:tc>
          <w:tcPr>
            <w:tcW w:w="991" w:type="dxa"/>
            <w:vMerge/>
          </w:tcPr>
          <w:p w14:paraId="4EDC8818" w14:textId="77777777" w:rsidR="006712FC" w:rsidRPr="008F30EE" w:rsidRDefault="006712FC" w:rsidP="00733E7A">
            <w:pPr>
              <w:jc w:val="center"/>
            </w:pPr>
          </w:p>
        </w:tc>
        <w:tc>
          <w:tcPr>
            <w:tcW w:w="1153" w:type="dxa"/>
          </w:tcPr>
          <w:p w14:paraId="7D5DEB30" w14:textId="77777777" w:rsidR="006712FC" w:rsidRPr="006E53BC" w:rsidRDefault="006712FC" w:rsidP="00733E7A">
            <w:pPr>
              <w:jc w:val="center"/>
              <w:rPr>
                <w:color w:val="000000" w:themeColor="text1"/>
              </w:rPr>
            </w:pPr>
            <w:r w:rsidRPr="006E53BC">
              <w:rPr>
                <w:color w:val="000000" w:themeColor="text1"/>
              </w:rPr>
              <w:t>9/19</w:t>
            </w:r>
          </w:p>
        </w:tc>
        <w:tc>
          <w:tcPr>
            <w:tcW w:w="2801" w:type="dxa"/>
            <w:vAlign w:val="center"/>
          </w:tcPr>
          <w:p w14:paraId="171494EA" w14:textId="771C6FCB" w:rsidR="006712FC" w:rsidRPr="006E53BC" w:rsidRDefault="006E53BC" w:rsidP="00733E7A">
            <w:pPr>
              <w:jc w:val="center"/>
              <w:rPr>
                <w:color w:val="000000" w:themeColor="text1"/>
              </w:rPr>
            </w:pPr>
            <w:r w:rsidRPr="006E53BC">
              <w:rPr>
                <w:color w:val="000000" w:themeColor="text1"/>
              </w:rPr>
              <w:t>Guest lectures</w:t>
            </w:r>
          </w:p>
        </w:tc>
        <w:tc>
          <w:tcPr>
            <w:tcW w:w="4355" w:type="dxa"/>
            <w:vAlign w:val="center"/>
          </w:tcPr>
          <w:p w14:paraId="0BA18DE2" w14:textId="77777777" w:rsidR="006712FC" w:rsidRPr="008F30EE" w:rsidRDefault="006712FC" w:rsidP="00733E7A"/>
        </w:tc>
      </w:tr>
      <w:tr w:rsidR="006712FC" w:rsidRPr="008F30EE" w14:paraId="5E532C0E" w14:textId="77777777" w:rsidTr="00FE0212">
        <w:tc>
          <w:tcPr>
            <w:tcW w:w="991" w:type="dxa"/>
            <w:vMerge w:val="restart"/>
          </w:tcPr>
          <w:p w14:paraId="7DBE0A5C" w14:textId="77777777" w:rsidR="006712FC" w:rsidRPr="008F30EE" w:rsidRDefault="006712FC" w:rsidP="00733E7A">
            <w:pPr>
              <w:jc w:val="center"/>
            </w:pPr>
            <w:r w:rsidRPr="008F30EE">
              <w:t>6</w:t>
            </w:r>
          </w:p>
        </w:tc>
        <w:tc>
          <w:tcPr>
            <w:tcW w:w="1153" w:type="dxa"/>
          </w:tcPr>
          <w:p w14:paraId="7EA0549E" w14:textId="77777777" w:rsidR="006712FC" w:rsidRPr="008F30EE" w:rsidRDefault="006712FC" w:rsidP="00733E7A">
            <w:pPr>
              <w:jc w:val="center"/>
            </w:pPr>
            <w:r w:rsidRPr="008F30EE">
              <w:t>9/24</w:t>
            </w:r>
          </w:p>
        </w:tc>
        <w:tc>
          <w:tcPr>
            <w:tcW w:w="2801" w:type="dxa"/>
            <w:vMerge w:val="restart"/>
            <w:vAlign w:val="center"/>
          </w:tcPr>
          <w:p w14:paraId="1519AD13" w14:textId="77777777" w:rsidR="006E53BC" w:rsidRDefault="006E53BC" w:rsidP="00733E7A">
            <w:pPr>
              <w:jc w:val="center"/>
            </w:pPr>
            <w:r>
              <w:t xml:space="preserve">Exam 1 &amp; </w:t>
            </w:r>
          </w:p>
          <w:p w14:paraId="67DB327F" w14:textId="323E24E1" w:rsidR="006712FC" w:rsidRPr="008F30EE" w:rsidRDefault="006E53BC" w:rsidP="00733E7A">
            <w:pPr>
              <w:jc w:val="center"/>
            </w:pPr>
            <w:proofErr w:type="spellStart"/>
            <w:r>
              <w:t>Tabla</w:t>
            </w:r>
            <w:proofErr w:type="spellEnd"/>
            <w:r>
              <w:t xml:space="preserve"> guest lecture</w:t>
            </w:r>
          </w:p>
        </w:tc>
        <w:tc>
          <w:tcPr>
            <w:tcW w:w="4355" w:type="dxa"/>
            <w:vAlign w:val="center"/>
          </w:tcPr>
          <w:p w14:paraId="63C30758" w14:textId="3D8964BF" w:rsidR="006712FC" w:rsidRPr="006E53BC" w:rsidRDefault="006E53BC" w:rsidP="006712FC">
            <w:pPr>
              <w:pStyle w:val="ListParagraph"/>
              <w:numPr>
                <w:ilvl w:val="0"/>
                <w:numId w:val="9"/>
              </w:numPr>
              <w:jc w:val="center"/>
              <w:rPr>
                <w:rFonts w:cs="Times New Roman"/>
                <w:color w:val="FF0000"/>
              </w:rPr>
            </w:pPr>
            <w:r w:rsidRPr="006E53BC">
              <w:rPr>
                <w:rFonts w:cs="Times New Roman"/>
                <w:color w:val="FF0000"/>
              </w:rPr>
              <w:t>Exam 1</w:t>
            </w:r>
          </w:p>
          <w:p w14:paraId="4BFDAFEE" w14:textId="77777777" w:rsidR="006712FC" w:rsidRPr="008F30EE" w:rsidRDefault="006712FC" w:rsidP="00733E7A">
            <w:pPr>
              <w:pStyle w:val="ListParagraph"/>
              <w:rPr>
                <w:rFonts w:cs="Times New Roman"/>
              </w:rPr>
            </w:pPr>
          </w:p>
        </w:tc>
      </w:tr>
      <w:tr w:rsidR="006712FC" w:rsidRPr="008F30EE" w14:paraId="779D134F" w14:textId="77777777" w:rsidTr="00FE0212">
        <w:trPr>
          <w:trHeight w:val="533"/>
        </w:trPr>
        <w:tc>
          <w:tcPr>
            <w:tcW w:w="991" w:type="dxa"/>
            <w:vMerge/>
          </w:tcPr>
          <w:p w14:paraId="37CDF2D2" w14:textId="77777777" w:rsidR="006712FC" w:rsidRPr="008F30EE" w:rsidRDefault="006712FC" w:rsidP="00733E7A">
            <w:pPr>
              <w:jc w:val="center"/>
            </w:pPr>
          </w:p>
        </w:tc>
        <w:tc>
          <w:tcPr>
            <w:tcW w:w="1153" w:type="dxa"/>
          </w:tcPr>
          <w:p w14:paraId="72E9450B" w14:textId="77777777" w:rsidR="006712FC" w:rsidRPr="008F30EE" w:rsidRDefault="006712FC" w:rsidP="00733E7A">
            <w:pPr>
              <w:jc w:val="center"/>
            </w:pPr>
            <w:r w:rsidRPr="008F30EE">
              <w:t>9/26</w:t>
            </w:r>
          </w:p>
        </w:tc>
        <w:tc>
          <w:tcPr>
            <w:tcW w:w="2801" w:type="dxa"/>
            <w:vMerge/>
            <w:vAlign w:val="center"/>
          </w:tcPr>
          <w:p w14:paraId="7A0AA044" w14:textId="77777777" w:rsidR="006712FC" w:rsidRPr="008F30EE" w:rsidRDefault="006712FC" w:rsidP="00733E7A">
            <w:pPr>
              <w:jc w:val="center"/>
            </w:pPr>
          </w:p>
        </w:tc>
        <w:tc>
          <w:tcPr>
            <w:tcW w:w="4355" w:type="dxa"/>
            <w:vAlign w:val="center"/>
          </w:tcPr>
          <w:p w14:paraId="04B358DA" w14:textId="77777777" w:rsidR="006712FC" w:rsidRPr="008F30EE" w:rsidRDefault="006712FC" w:rsidP="00733E7A">
            <w:pPr>
              <w:jc w:val="center"/>
              <w:rPr>
                <w:i/>
                <w:iCs/>
                <w:color w:val="FF0000"/>
              </w:rPr>
            </w:pPr>
            <w:r w:rsidRPr="008F30EE">
              <w:rPr>
                <w:i/>
                <w:iCs/>
                <w:color w:val="FF0000"/>
              </w:rPr>
              <w:t>Soundscape Field Journal Due (9/27, 11:59pm)</w:t>
            </w:r>
          </w:p>
          <w:p w14:paraId="6F645851" w14:textId="77777777" w:rsidR="006712FC" w:rsidRPr="008F30EE" w:rsidRDefault="006712FC" w:rsidP="00733E7A">
            <w:pPr>
              <w:jc w:val="center"/>
            </w:pPr>
          </w:p>
        </w:tc>
      </w:tr>
      <w:tr w:rsidR="006712FC" w:rsidRPr="008F30EE" w14:paraId="417C12A5" w14:textId="77777777" w:rsidTr="00FE0212">
        <w:trPr>
          <w:trHeight w:val="524"/>
        </w:trPr>
        <w:tc>
          <w:tcPr>
            <w:tcW w:w="991" w:type="dxa"/>
            <w:vMerge w:val="restart"/>
          </w:tcPr>
          <w:p w14:paraId="5FFAAF84" w14:textId="77777777" w:rsidR="006712FC" w:rsidRPr="008F30EE" w:rsidRDefault="006712FC" w:rsidP="00733E7A">
            <w:pPr>
              <w:jc w:val="center"/>
            </w:pPr>
            <w:r w:rsidRPr="008F30EE">
              <w:t>7</w:t>
            </w:r>
          </w:p>
        </w:tc>
        <w:tc>
          <w:tcPr>
            <w:tcW w:w="1153" w:type="dxa"/>
          </w:tcPr>
          <w:p w14:paraId="2F2C317F" w14:textId="77777777" w:rsidR="006712FC" w:rsidRPr="008F30EE" w:rsidRDefault="006712FC" w:rsidP="00733E7A">
            <w:pPr>
              <w:jc w:val="center"/>
            </w:pPr>
            <w:r w:rsidRPr="008F30EE">
              <w:t>10/1</w:t>
            </w:r>
          </w:p>
        </w:tc>
        <w:tc>
          <w:tcPr>
            <w:tcW w:w="2801" w:type="dxa"/>
            <w:vMerge w:val="restart"/>
            <w:vAlign w:val="center"/>
          </w:tcPr>
          <w:p w14:paraId="4D73A71C" w14:textId="6D7DA2A6" w:rsidR="006712FC" w:rsidRPr="008F30EE" w:rsidRDefault="006E53BC" w:rsidP="00733E7A">
            <w:pPr>
              <w:jc w:val="center"/>
            </w:pPr>
            <w:r>
              <w:t>South America</w:t>
            </w:r>
          </w:p>
        </w:tc>
        <w:tc>
          <w:tcPr>
            <w:tcW w:w="4355" w:type="dxa"/>
            <w:vMerge w:val="restart"/>
            <w:vAlign w:val="center"/>
          </w:tcPr>
          <w:p w14:paraId="68DEAC12" w14:textId="2CAEA6FE" w:rsidR="006712FC" w:rsidRPr="008F30EE" w:rsidRDefault="006712FC" w:rsidP="006712FC">
            <w:pPr>
              <w:pStyle w:val="ListParagraph"/>
              <w:numPr>
                <w:ilvl w:val="0"/>
                <w:numId w:val="9"/>
              </w:numPr>
              <w:jc w:val="center"/>
              <w:rPr>
                <w:rFonts w:cs="Times New Roman"/>
              </w:rPr>
            </w:pPr>
            <w:r w:rsidRPr="008F30EE">
              <w:rPr>
                <w:rFonts w:cs="Times New Roman"/>
              </w:rPr>
              <w:t xml:space="preserve">Titon, Ch. </w:t>
            </w:r>
            <w:r w:rsidR="006E53BC">
              <w:rPr>
                <w:rFonts w:cs="Times New Roman"/>
              </w:rPr>
              <w:t>6</w:t>
            </w:r>
          </w:p>
        </w:tc>
      </w:tr>
      <w:tr w:rsidR="006712FC" w:rsidRPr="008F30EE" w14:paraId="2501A0DC" w14:textId="77777777" w:rsidTr="00FE0212">
        <w:trPr>
          <w:trHeight w:val="893"/>
        </w:trPr>
        <w:tc>
          <w:tcPr>
            <w:tcW w:w="991" w:type="dxa"/>
            <w:vMerge/>
          </w:tcPr>
          <w:p w14:paraId="4FE41131" w14:textId="77777777" w:rsidR="006712FC" w:rsidRPr="008F30EE" w:rsidRDefault="006712FC" w:rsidP="00733E7A">
            <w:pPr>
              <w:jc w:val="center"/>
            </w:pPr>
          </w:p>
        </w:tc>
        <w:tc>
          <w:tcPr>
            <w:tcW w:w="1153" w:type="dxa"/>
          </w:tcPr>
          <w:p w14:paraId="7B74690D" w14:textId="77777777" w:rsidR="006712FC" w:rsidRPr="008F30EE" w:rsidRDefault="006712FC" w:rsidP="00733E7A">
            <w:pPr>
              <w:jc w:val="center"/>
            </w:pPr>
            <w:r w:rsidRPr="008F30EE">
              <w:t>10/3</w:t>
            </w:r>
          </w:p>
        </w:tc>
        <w:tc>
          <w:tcPr>
            <w:tcW w:w="2801" w:type="dxa"/>
            <w:vMerge/>
            <w:vAlign w:val="center"/>
          </w:tcPr>
          <w:p w14:paraId="3BEF1946" w14:textId="77777777" w:rsidR="006712FC" w:rsidRPr="008F30EE" w:rsidRDefault="006712FC" w:rsidP="00733E7A">
            <w:pPr>
              <w:jc w:val="center"/>
            </w:pPr>
          </w:p>
        </w:tc>
        <w:tc>
          <w:tcPr>
            <w:tcW w:w="4355" w:type="dxa"/>
            <w:vMerge/>
            <w:vAlign w:val="center"/>
          </w:tcPr>
          <w:p w14:paraId="5EA96E84" w14:textId="77777777" w:rsidR="006712FC" w:rsidRPr="008F30EE" w:rsidRDefault="006712FC" w:rsidP="00733E7A">
            <w:pPr>
              <w:jc w:val="center"/>
              <w:rPr>
                <w:i/>
                <w:iCs/>
              </w:rPr>
            </w:pPr>
          </w:p>
        </w:tc>
      </w:tr>
      <w:tr w:rsidR="006712FC" w:rsidRPr="008F30EE" w14:paraId="61959DC2" w14:textId="77777777" w:rsidTr="00FE0212">
        <w:tc>
          <w:tcPr>
            <w:tcW w:w="991" w:type="dxa"/>
            <w:vMerge w:val="restart"/>
          </w:tcPr>
          <w:p w14:paraId="4A84E8C5" w14:textId="77777777" w:rsidR="006712FC" w:rsidRPr="008F30EE" w:rsidRDefault="006712FC" w:rsidP="00733E7A">
            <w:pPr>
              <w:jc w:val="center"/>
            </w:pPr>
            <w:r w:rsidRPr="008F30EE">
              <w:t>8</w:t>
            </w:r>
          </w:p>
        </w:tc>
        <w:tc>
          <w:tcPr>
            <w:tcW w:w="1153" w:type="dxa"/>
          </w:tcPr>
          <w:p w14:paraId="1A6CAFFB" w14:textId="77777777" w:rsidR="006712FC" w:rsidRPr="008F30EE" w:rsidRDefault="006712FC" w:rsidP="00733E7A">
            <w:pPr>
              <w:jc w:val="center"/>
            </w:pPr>
            <w:r w:rsidRPr="008F30EE">
              <w:t>10/8</w:t>
            </w:r>
          </w:p>
          <w:p w14:paraId="67E2A707" w14:textId="77777777" w:rsidR="006712FC" w:rsidRPr="008F30EE" w:rsidRDefault="006712FC" w:rsidP="00733E7A">
            <w:pPr>
              <w:jc w:val="center"/>
            </w:pPr>
          </w:p>
        </w:tc>
        <w:tc>
          <w:tcPr>
            <w:tcW w:w="2801" w:type="dxa"/>
            <w:vMerge w:val="restart"/>
            <w:vAlign w:val="center"/>
          </w:tcPr>
          <w:p w14:paraId="7D2EB319" w14:textId="20D53B8B" w:rsidR="006712FC" w:rsidRPr="008F30EE" w:rsidRDefault="006712FC" w:rsidP="00733E7A">
            <w:pPr>
              <w:jc w:val="center"/>
            </w:pPr>
            <w:r w:rsidRPr="008F30EE">
              <w:t xml:space="preserve">Africa: </w:t>
            </w:r>
            <w:r w:rsidR="006E53BC">
              <w:t>Ewe</w:t>
            </w:r>
          </w:p>
        </w:tc>
        <w:tc>
          <w:tcPr>
            <w:tcW w:w="4355" w:type="dxa"/>
            <w:vMerge w:val="restart"/>
            <w:vAlign w:val="center"/>
          </w:tcPr>
          <w:p w14:paraId="0399B415" w14:textId="77777777" w:rsidR="006712FC" w:rsidRPr="008F30EE" w:rsidRDefault="006712FC" w:rsidP="006712FC">
            <w:pPr>
              <w:pStyle w:val="ListParagraph"/>
              <w:numPr>
                <w:ilvl w:val="0"/>
                <w:numId w:val="9"/>
              </w:numPr>
              <w:jc w:val="center"/>
              <w:rPr>
                <w:rFonts w:cs="Times New Roman"/>
              </w:rPr>
            </w:pPr>
            <w:r w:rsidRPr="008F30EE">
              <w:rPr>
                <w:rFonts w:cs="Times New Roman"/>
              </w:rPr>
              <w:t>Titon, Ch. 3, 139-173</w:t>
            </w:r>
          </w:p>
          <w:p w14:paraId="3A9E2F9E" w14:textId="77777777" w:rsidR="006712FC" w:rsidRPr="008F30EE" w:rsidRDefault="006712FC" w:rsidP="00733E7A">
            <w:pPr>
              <w:ind w:left="360"/>
            </w:pPr>
          </w:p>
        </w:tc>
      </w:tr>
      <w:tr w:rsidR="006712FC" w:rsidRPr="008F30EE" w14:paraId="2F5CD415" w14:textId="77777777" w:rsidTr="00FE0212">
        <w:trPr>
          <w:trHeight w:val="623"/>
        </w:trPr>
        <w:tc>
          <w:tcPr>
            <w:tcW w:w="991" w:type="dxa"/>
            <w:vMerge/>
          </w:tcPr>
          <w:p w14:paraId="43D201C1" w14:textId="77777777" w:rsidR="006712FC" w:rsidRPr="008F30EE" w:rsidRDefault="006712FC" w:rsidP="00733E7A">
            <w:pPr>
              <w:jc w:val="center"/>
            </w:pPr>
          </w:p>
        </w:tc>
        <w:tc>
          <w:tcPr>
            <w:tcW w:w="1153" w:type="dxa"/>
          </w:tcPr>
          <w:p w14:paraId="6A9A20A1" w14:textId="77777777" w:rsidR="006712FC" w:rsidRPr="008F30EE" w:rsidRDefault="006712FC" w:rsidP="00733E7A">
            <w:pPr>
              <w:jc w:val="center"/>
            </w:pPr>
            <w:r w:rsidRPr="008F30EE">
              <w:t>10/10</w:t>
            </w:r>
          </w:p>
        </w:tc>
        <w:tc>
          <w:tcPr>
            <w:tcW w:w="2801" w:type="dxa"/>
            <w:vMerge/>
            <w:vAlign w:val="center"/>
          </w:tcPr>
          <w:p w14:paraId="35E2A053" w14:textId="77777777" w:rsidR="006712FC" w:rsidRPr="008F30EE" w:rsidRDefault="006712FC" w:rsidP="00733E7A">
            <w:pPr>
              <w:jc w:val="center"/>
            </w:pPr>
          </w:p>
        </w:tc>
        <w:tc>
          <w:tcPr>
            <w:tcW w:w="4355" w:type="dxa"/>
            <w:vMerge/>
            <w:vAlign w:val="center"/>
          </w:tcPr>
          <w:p w14:paraId="522D4FD7" w14:textId="77777777" w:rsidR="006712FC" w:rsidRPr="008F30EE" w:rsidRDefault="006712FC" w:rsidP="00733E7A">
            <w:pPr>
              <w:jc w:val="center"/>
            </w:pPr>
          </w:p>
        </w:tc>
      </w:tr>
      <w:tr w:rsidR="006712FC" w:rsidRPr="008F30EE" w14:paraId="460CCC26" w14:textId="77777777" w:rsidTr="00FE0212">
        <w:trPr>
          <w:trHeight w:val="533"/>
        </w:trPr>
        <w:tc>
          <w:tcPr>
            <w:tcW w:w="991" w:type="dxa"/>
            <w:vMerge w:val="restart"/>
          </w:tcPr>
          <w:p w14:paraId="1740EF77" w14:textId="77777777" w:rsidR="006712FC" w:rsidRPr="008F30EE" w:rsidRDefault="006712FC" w:rsidP="00733E7A">
            <w:pPr>
              <w:jc w:val="center"/>
            </w:pPr>
            <w:r w:rsidRPr="008F30EE">
              <w:t>9</w:t>
            </w:r>
          </w:p>
        </w:tc>
        <w:tc>
          <w:tcPr>
            <w:tcW w:w="1153" w:type="dxa"/>
          </w:tcPr>
          <w:p w14:paraId="312F66CC" w14:textId="77777777" w:rsidR="006712FC" w:rsidRPr="008F30EE" w:rsidRDefault="006712FC" w:rsidP="00733E7A">
            <w:pPr>
              <w:jc w:val="center"/>
            </w:pPr>
            <w:r w:rsidRPr="008F30EE">
              <w:t>10/15</w:t>
            </w:r>
          </w:p>
        </w:tc>
        <w:tc>
          <w:tcPr>
            <w:tcW w:w="2801" w:type="dxa"/>
            <w:vAlign w:val="center"/>
          </w:tcPr>
          <w:p w14:paraId="02876D4A" w14:textId="66DB86AE" w:rsidR="006712FC" w:rsidRPr="006E53BC" w:rsidRDefault="006E53BC" w:rsidP="00733E7A">
            <w:pPr>
              <w:jc w:val="center"/>
            </w:pPr>
            <w:r w:rsidRPr="006E53BC">
              <w:t>Shona</w:t>
            </w:r>
            <w:r>
              <w:t xml:space="preserve"> &amp; </w:t>
            </w:r>
            <w:proofErr w:type="spellStart"/>
            <w:r>
              <w:t>BaAka</w:t>
            </w:r>
            <w:proofErr w:type="spellEnd"/>
          </w:p>
        </w:tc>
        <w:tc>
          <w:tcPr>
            <w:tcW w:w="4355" w:type="dxa"/>
            <w:vMerge w:val="restart"/>
            <w:vAlign w:val="center"/>
          </w:tcPr>
          <w:p w14:paraId="207866CF" w14:textId="31ABF0F9" w:rsidR="006712FC" w:rsidRPr="006E53BC" w:rsidRDefault="006E53BC" w:rsidP="00733E7A">
            <w:pPr>
              <w:jc w:val="center"/>
            </w:pPr>
            <w:r w:rsidRPr="006E53BC">
              <w:t>Titon, Ch. 3</w:t>
            </w:r>
          </w:p>
        </w:tc>
      </w:tr>
      <w:tr w:rsidR="006712FC" w:rsidRPr="008F30EE" w14:paraId="15FEB383" w14:textId="77777777" w:rsidTr="00FE0212">
        <w:trPr>
          <w:trHeight w:val="533"/>
        </w:trPr>
        <w:tc>
          <w:tcPr>
            <w:tcW w:w="991" w:type="dxa"/>
            <w:vMerge/>
          </w:tcPr>
          <w:p w14:paraId="74009A14" w14:textId="77777777" w:rsidR="006712FC" w:rsidRPr="008F30EE" w:rsidRDefault="006712FC" w:rsidP="00733E7A">
            <w:pPr>
              <w:jc w:val="center"/>
            </w:pPr>
          </w:p>
        </w:tc>
        <w:tc>
          <w:tcPr>
            <w:tcW w:w="1153" w:type="dxa"/>
          </w:tcPr>
          <w:p w14:paraId="5623EE05" w14:textId="77777777" w:rsidR="006712FC" w:rsidRPr="006E53BC" w:rsidRDefault="006712FC" w:rsidP="00733E7A">
            <w:pPr>
              <w:jc w:val="center"/>
              <w:rPr>
                <w:color w:val="0070C0"/>
              </w:rPr>
            </w:pPr>
            <w:r w:rsidRPr="006E53BC">
              <w:rPr>
                <w:color w:val="0070C0"/>
              </w:rPr>
              <w:t>10/17</w:t>
            </w:r>
          </w:p>
        </w:tc>
        <w:tc>
          <w:tcPr>
            <w:tcW w:w="2801" w:type="dxa"/>
            <w:vAlign w:val="center"/>
          </w:tcPr>
          <w:p w14:paraId="3B6F204A" w14:textId="223D9659" w:rsidR="006712FC" w:rsidRPr="006E53BC" w:rsidRDefault="006E53BC" w:rsidP="00733E7A">
            <w:pPr>
              <w:jc w:val="center"/>
              <w:rPr>
                <w:i/>
                <w:iCs/>
                <w:color w:val="0070C0"/>
              </w:rPr>
            </w:pPr>
            <w:r w:rsidRPr="006E53BC">
              <w:rPr>
                <w:i/>
                <w:iCs/>
                <w:color w:val="0070C0"/>
              </w:rPr>
              <w:t>No Class</w:t>
            </w:r>
          </w:p>
        </w:tc>
        <w:tc>
          <w:tcPr>
            <w:tcW w:w="4355" w:type="dxa"/>
            <w:vMerge/>
            <w:vAlign w:val="center"/>
          </w:tcPr>
          <w:p w14:paraId="313694FE" w14:textId="77777777" w:rsidR="006712FC" w:rsidRPr="008F30EE" w:rsidRDefault="006712FC" w:rsidP="00733E7A">
            <w:pPr>
              <w:jc w:val="center"/>
              <w:rPr>
                <w:i/>
                <w:iCs/>
              </w:rPr>
            </w:pPr>
          </w:p>
        </w:tc>
      </w:tr>
      <w:tr w:rsidR="006712FC" w:rsidRPr="008F30EE" w14:paraId="6E10A432" w14:textId="77777777" w:rsidTr="00FE0212">
        <w:trPr>
          <w:trHeight w:val="731"/>
        </w:trPr>
        <w:tc>
          <w:tcPr>
            <w:tcW w:w="991" w:type="dxa"/>
            <w:vMerge w:val="restart"/>
          </w:tcPr>
          <w:p w14:paraId="673956E5" w14:textId="77777777" w:rsidR="006712FC" w:rsidRPr="008F30EE" w:rsidRDefault="006712FC" w:rsidP="00733E7A">
            <w:pPr>
              <w:jc w:val="center"/>
            </w:pPr>
            <w:r w:rsidRPr="008F30EE">
              <w:t>10</w:t>
            </w:r>
          </w:p>
        </w:tc>
        <w:tc>
          <w:tcPr>
            <w:tcW w:w="1153" w:type="dxa"/>
          </w:tcPr>
          <w:p w14:paraId="1DC772C6" w14:textId="77777777" w:rsidR="006712FC" w:rsidRPr="008F30EE" w:rsidRDefault="006712FC" w:rsidP="00733E7A">
            <w:pPr>
              <w:jc w:val="center"/>
              <w:rPr>
                <w:color w:val="000000" w:themeColor="text1"/>
              </w:rPr>
            </w:pPr>
            <w:r w:rsidRPr="008F30EE">
              <w:rPr>
                <w:color w:val="000000" w:themeColor="text1"/>
              </w:rPr>
              <w:t>10/22</w:t>
            </w:r>
          </w:p>
        </w:tc>
        <w:tc>
          <w:tcPr>
            <w:tcW w:w="2801" w:type="dxa"/>
            <w:vMerge w:val="restart"/>
            <w:vAlign w:val="center"/>
          </w:tcPr>
          <w:p w14:paraId="078AD8C5" w14:textId="1C813EEF" w:rsidR="006712FC" w:rsidRPr="008F30EE" w:rsidRDefault="006E53BC" w:rsidP="00733E7A">
            <w:pPr>
              <w:jc w:val="center"/>
              <w:rPr>
                <w:color w:val="FF0000"/>
              </w:rPr>
            </w:pPr>
            <w:r>
              <w:rPr>
                <w:color w:val="000000" w:themeColor="text1"/>
              </w:rPr>
              <w:t>Exam 2</w:t>
            </w:r>
          </w:p>
        </w:tc>
        <w:tc>
          <w:tcPr>
            <w:tcW w:w="4355" w:type="dxa"/>
            <w:vAlign w:val="center"/>
          </w:tcPr>
          <w:p w14:paraId="5379431D" w14:textId="2AF58C1C" w:rsidR="006712FC" w:rsidRPr="008F30EE" w:rsidRDefault="006E53BC" w:rsidP="006E53BC">
            <w:pPr>
              <w:pStyle w:val="ListParagraph"/>
              <w:rPr>
                <w:rFonts w:cs="Times New Roman"/>
              </w:rPr>
            </w:pPr>
            <w:r>
              <w:rPr>
                <w:rFonts w:cs="Times New Roman"/>
              </w:rPr>
              <w:t xml:space="preserve">           Prepare for Exam 2</w:t>
            </w:r>
          </w:p>
        </w:tc>
      </w:tr>
      <w:tr w:rsidR="006712FC" w:rsidRPr="008F30EE" w14:paraId="58F329EA" w14:textId="77777777" w:rsidTr="00FE0212">
        <w:trPr>
          <w:trHeight w:val="263"/>
        </w:trPr>
        <w:tc>
          <w:tcPr>
            <w:tcW w:w="991" w:type="dxa"/>
            <w:vMerge/>
          </w:tcPr>
          <w:p w14:paraId="0F780B40" w14:textId="77777777" w:rsidR="006712FC" w:rsidRPr="008F30EE" w:rsidRDefault="006712FC" w:rsidP="00733E7A">
            <w:pPr>
              <w:jc w:val="center"/>
            </w:pPr>
          </w:p>
        </w:tc>
        <w:tc>
          <w:tcPr>
            <w:tcW w:w="1153" w:type="dxa"/>
          </w:tcPr>
          <w:p w14:paraId="0B545E1C" w14:textId="77777777" w:rsidR="006712FC" w:rsidRPr="008F30EE" w:rsidRDefault="006712FC" w:rsidP="00733E7A">
            <w:pPr>
              <w:jc w:val="center"/>
              <w:rPr>
                <w:color w:val="000000" w:themeColor="text1"/>
              </w:rPr>
            </w:pPr>
            <w:r w:rsidRPr="008F30EE">
              <w:rPr>
                <w:color w:val="000000" w:themeColor="text1"/>
              </w:rPr>
              <w:t>10/24</w:t>
            </w:r>
          </w:p>
        </w:tc>
        <w:tc>
          <w:tcPr>
            <w:tcW w:w="2801" w:type="dxa"/>
            <w:vMerge/>
            <w:vAlign w:val="center"/>
          </w:tcPr>
          <w:p w14:paraId="3EAB1311" w14:textId="77777777" w:rsidR="006712FC" w:rsidRPr="008F30EE" w:rsidRDefault="006712FC" w:rsidP="00733E7A">
            <w:pPr>
              <w:jc w:val="center"/>
            </w:pPr>
          </w:p>
        </w:tc>
        <w:tc>
          <w:tcPr>
            <w:tcW w:w="4355" w:type="dxa"/>
            <w:vAlign w:val="center"/>
          </w:tcPr>
          <w:p w14:paraId="3FAC6555" w14:textId="7F17F8D7" w:rsidR="006E53BC" w:rsidRDefault="006E53BC" w:rsidP="00733E7A">
            <w:pPr>
              <w:jc w:val="center"/>
              <w:rPr>
                <w:i/>
                <w:iCs/>
                <w:color w:val="FF0000"/>
              </w:rPr>
            </w:pPr>
            <w:r>
              <w:rPr>
                <w:i/>
                <w:iCs/>
                <w:color w:val="FF0000"/>
              </w:rPr>
              <w:t>-Exam 2</w:t>
            </w:r>
          </w:p>
          <w:p w14:paraId="4407442C" w14:textId="55B23DA6" w:rsidR="006712FC" w:rsidRPr="008F30EE" w:rsidRDefault="006E53BC" w:rsidP="00733E7A">
            <w:pPr>
              <w:jc w:val="center"/>
              <w:rPr>
                <w:i/>
                <w:iCs/>
                <w:color w:val="FF0000"/>
              </w:rPr>
            </w:pPr>
            <w:r>
              <w:rPr>
                <w:i/>
                <w:iCs/>
                <w:color w:val="FF0000"/>
              </w:rPr>
              <w:t>-</w:t>
            </w:r>
            <w:r w:rsidR="006712FC" w:rsidRPr="008F30EE">
              <w:rPr>
                <w:i/>
                <w:iCs/>
                <w:color w:val="FF0000"/>
              </w:rPr>
              <w:t>Soundscape Essay Due (10/25, 11:59pm)</w:t>
            </w:r>
          </w:p>
          <w:p w14:paraId="65CF3362" w14:textId="77777777" w:rsidR="006712FC" w:rsidRPr="008F30EE" w:rsidRDefault="006712FC" w:rsidP="00733E7A">
            <w:pPr>
              <w:jc w:val="center"/>
            </w:pPr>
          </w:p>
        </w:tc>
      </w:tr>
      <w:tr w:rsidR="00FE0212" w:rsidRPr="008F30EE" w14:paraId="2A450F88" w14:textId="77777777" w:rsidTr="00FE0212">
        <w:trPr>
          <w:trHeight w:val="917"/>
        </w:trPr>
        <w:tc>
          <w:tcPr>
            <w:tcW w:w="991" w:type="dxa"/>
            <w:vMerge w:val="restart"/>
          </w:tcPr>
          <w:p w14:paraId="039BE4C1" w14:textId="77777777" w:rsidR="00FE0212" w:rsidRPr="008F30EE" w:rsidRDefault="00FE0212" w:rsidP="00733E7A">
            <w:pPr>
              <w:jc w:val="center"/>
            </w:pPr>
            <w:r w:rsidRPr="008F30EE">
              <w:t>11</w:t>
            </w:r>
          </w:p>
        </w:tc>
        <w:tc>
          <w:tcPr>
            <w:tcW w:w="1153" w:type="dxa"/>
          </w:tcPr>
          <w:p w14:paraId="0EA3856D" w14:textId="77777777" w:rsidR="00FE0212" w:rsidRPr="008F30EE" w:rsidRDefault="00FE0212" w:rsidP="00733E7A">
            <w:pPr>
              <w:jc w:val="center"/>
              <w:rPr>
                <w:color w:val="000000" w:themeColor="text1"/>
              </w:rPr>
            </w:pPr>
            <w:r w:rsidRPr="008F30EE">
              <w:rPr>
                <w:color w:val="000000" w:themeColor="text1"/>
              </w:rPr>
              <w:t>10/29</w:t>
            </w:r>
          </w:p>
        </w:tc>
        <w:tc>
          <w:tcPr>
            <w:tcW w:w="2801" w:type="dxa"/>
            <w:vAlign w:val="center"/>
          </w:tcPr>
          <w:p w14:paraId="36A03B69" w14:textId="429BC9D2" w:rsidR="00FE0212" w:rsidRPr="008F30EE" w:rsidRDefault="006E53BC" w:rsidP="00FE0212">
            <w:pPr>
              <w:jc w:val="center"/>
            </w:pPr>
            <w:r>
              <w:t>Indonesia: Java</w:t>
            </w:r>
          </w:p>
        </w:tc>
        <w:tc>
          <w:tcPr>
            <w:tcW w:w="4355" w:type="dxa"/>
            <w:vAlign w:val="center"/>
          </w:tcPr>
          <w:p w14:paraId="3C1405CF" w14:textId="77777777" w:rsidR="00FE0212" w:rsidRPr="008F30EE" w:rsidRDefault="00FE0212" w:rsidP="006712FC">
            <w:pPr>
              <w:pStyle w:val="ListParagraph"/>
              <w:numPr>
                <w:ilvl w:val="0"/>
                <w:numId w:val="11"/>
              </w:numPr>
              <w:jc w:val="center"/>
              <w:rPr>
                <w:rFonts w:cs="Times New Roman"/>
              </w:rPr>
            </w:pPr>
            <w:r w:rsidRPr="008F30EE">
              <w:rPr>
                <w:rFonts w:cs="Times New Roman"/>
              </w:rPr>
              <w:t>Titon, Ch. 7, 333-366</w:t>
            </w:r>
          </w:p>
          <w:p w14:paraId="672FA7CB" w14:textId="77777777" w:rsidR="00FE0212" w:rsidRPr="008F30EE" w:rsidRDefault="00FE0212" w:rsidP="00733E7A">
            <w:pPr>
              <w:pStyle w:val="ListParagraph"/>
              <w:rPr>
                <w:rFonts w:cs="Times New Roman"/>
              </w:rPr>
            </w:pPr>
          </w:p>
        </w:tc>
      </w:tr>
      <w:tr w:rsidR="00FE0212" w:rsidRPr="008F30EE" w14:paraId="667066C2" w14:textId="77777777" w:rsidTr="00A413C4">
        <w:trPr>
          <w:trHeight w:val="1040"/>
        </w:trPr>
        <w:tc>
          <w:tcPr>
            <w:tcW w:w="991" w:type="dxa"/>
            <w:vMerge/>
          </w:tcPr>
          <w:p w14:paraId="3671A6C1" w14:textId="77777777" w:rsidR="00FE0212" w:rsidRPr="008F30EE" w:rsidRDefault="00FE0212" w:rsidP="00733E7A">
            <w:pPr>
              <w:jc w:val="center"/>
            </w:pPr>
          </w:p>
        </w:tc>
        <w:tc>
          <w:tcPr>
            <w:tcW w:w="1153" w:type="dxa"/>
          </w:tcPr>
          <w:p w14:paraId="4117057E" w14:textId="77777777" w:rsidR="00FE0212" w:rsidRPr="008F30EE" w:rsidRDefault="00FE0212" w:rsidP="00733E7A">
            <w:pPr>
              <w:jc w:val="center"/>
              <w:rPr>
                <w:color w:val="000000" w:themeColor="text1"/>
              </w:rPr>
            </w:pPr>
            <w:r w:rsidRPr="008F30EE">
              <w:rPr>
                <w:color w:val="000000" w:themeColor="text1"/>
              </w:rPr>
              <w:t>10/31</w:t>
            </w:r>
          </w:p>
        </w:tc>
        <w:tc>
          <w:tcPr>
            <w:tcW w:w="2801" w:type="dxa"/>
            <w:vAlign w:val="center"/>
          </w:tcPr>
          <w:p w14:paraId="718FD2FC" w14:textId="3DC7A193" w:rsidR="00FE0212" w:rsidRPr="008F30EE" w:rsidRDefault="006E53BC" w:rsidP="00FE0212">
            <w:pPr>
              <w:jc w:val="center"/>
            </w:pPr>
            <w:r>
              <w:t>Java (continued)</w:t>
            </w:r>
          </w:p>
          <w:p w14:paraId="2B3A8246" w14:textId="77777777" w:rsidR="00FE0212" w:rsidRPr="008F30EE" w:rsidRDefault="00FE0212" w:rsidP="00733E7A">
            <w:pPr>
              <w:jc w:val="center"/>
            </w:pPr>
          </w:p>
        </w:tc>
        <w:tc>
          <w:tcPr>
            <w:tcW w:w="4355" w:type="dxa"/>
            <w:vAlign w:val="center"/>
          </w:tcPr>
          <w:p w14:paraId="08CAC83C" w14:textId="07A9EE65" w:rsidR="00FE0212" w:rsidRPr="008F30EE" w:rsidRDefault="00FE0212" w:rsidP="00FE0212">
            <w:pPr>
              <w:jc w:val="center"/>
            </w:pPr>
            <w:r w:rsidRPr="008F30EE">
              <w:rPr>
                <w:i/>
                <w:iCs/>
                <w:color w:val="FF0000"/>
              </w:rPr>
              <w:t>Field Journal 1 Due (11/1, 11:59 p.m.)</w:t>
            </w:r>
          </w:p>
        </w:tc>
      </w:tr>
      <w:tr w:rsidR="006712FC" w:rsidRPr="008F30EE" w14:paraId="115F053C" w14:textId="77777777" w:rsidTr="00FE0212">
        <w:tc>
          <w:tcPr>
            <w:tcW w:w="991" w:type="dxa"/>
            <w:vMerge w:val="restart"/>
          </w:tcPr>
          <w:p w14:paraId="01230CD4" w14:textId="77777777" w:rsidR="006712FC" w:rsidRPr="008F30EE" w:rsidRDefault="006712FC" w:rsidP="00733E7A">
            <w:pPr>
              <w:jc w:val="center"/>
            </w:pPr>
            <w:r w:rsidRPr="008F30EE">
              <w:t>12</w:t>
            </w:r>
          </w:p>
        </w:tc>
        <w:tc>
          <w:tcPr>
            <w:tcW w:w="1153" w:type="dxa"/>
          </w:tcPr>
          <w:p w14:paraId="38AFC728" w14:textId="77777777" w:rsidR="006712FC" w:rsidRPr="008F30EE" w:rsidRDefault="006712FC" w:rsidP="00733E7A">
            <w:pPr>
              <w:jc w:val="center"/>
            </w:pPr>
            <w:r w:rsidRPr="008F30EE">
              <w:t>11/5</w:t>
            </w:r>
          </w:p>
        </w:tc>
        <w:tc>
          <w:tcPr>
            <w:tcW w:w="2801" w:type="dxa"/>
            <w:vMerge w:val="restart"/>
            <w:vAlign w:val="center"/>
          </w:tcPr>
          <w:p w14:paraId="4A780E77" w14:textId="2E8E503B" w:rsidR="006712FC" w:rsidRPr="008F30EE" w:rsidRDefault="006712FC" w:rsidP="00733E7A">
            <w:pPr>
              <w:jc w:val="center"/>
            </w:pPr>
            <w:r w:rsidRPr="008F30EE">
              <w:t>Indonesia: Bali</w:t>
            </w:r>
          </w:p>
        </w:tc>
        <w:tc>
          <w:tcPr>
            <w:tcW w:w="4355" w:type="dxa"/>
            <w:vAlign w:val="center"/>
          </w:tcPr>
          <w:p w14:paraId="7ACFD4BA" w14:textId="77777777" w:rsidR="006712FC" w:rsidRPr="008F30EE" w:rsidRDefault="006712FC" w:rsidP="006712FC">
            <w:pPr>
              <w:pStyle w:val="ListParagraph"/>
              <w:numPr>
                <w:ilvl w:val="0"/>
                <w:numId w:val="12"/>
              </w:numPr>
              <w:jc w:val="center"/>
              <w:rPr>
                <w:rFonts w:cs="Times New Roman"/>
              </w:rPr>
            </w:pPr>
            <w:r w:rsidRPr="008F30EE">
              <w:rPr>
                <w:rFonts w:cs="Times New Roman"/>
              </w:rPr>
              <w:t>Titon, Ch. 7, 369-372</w:t>
            </w:r>
          </w:p>
          <w:p w14:paraId="1220DA2F" w14:textId="77777777" w:rsidR="006712FC" w:rsidRPr="008F30EE" w:rsidRDefault="006712FC" w:rsidP="00733E7A">
            <w:pPr>
              <w:pStyle w:val="ListParagraph"/>
              <w:rPr>
                <w:rFonts w:cs="Times New Roman"/>
              </w:rPr>
            </w:pPr>
          </w:p>
        </w:tc>
      </w:tr>
      <w:tr w:rsidR="006712FC" w:rsidRPr="008F30EE" w14:paraId="092B40A6" w14:textId="77777777" w:rsidTr="00FE0212">
        <w:trPr>
          <w:trHeight w:val="632"/>
        </w:trPr>
        <w:tc>
          <w:tcPr>
            <w:tcW w:w="991" w:type="dxa"/>
            <w:vMerge/>
          </w:tcPr>
          <w:p w14:paraId="05587F34" w14:textId="77777777" w:rsidR="006712FC" w:rsidRPr="008F30EE" w:rsidRDefault="006712FC" w:rsidP="00733E7A">
            <w:pPr>
              <w:jc w:val="center"/>
            </w:pPr>
          </w:p>
        </w:tc>
        <w:tc>
          <w:tcPr>
            <w:tcW w:w="1153" w:type="dxa"/>
          </w:tcPr>
          <w:p w14:paraId="2F14AE68" w14:textId="77777777" w:rsidR="006712FC" w:rsidRPr="008F30EE" w:rsidRDefault="006712FC" w:rsidP="00733E7A">
            <w:pPr>
              <w:jc w:val="center"/>
            </w:pPr>
            <w:r w:rsidRPr="008F30EE">
              <w:t>11/7</w:t>
            </w:r>
          </w:p>
        </w:tc>
        <w:tc>
          <w:tcPr>
            <w:tcW w:w="2801" w:type="dxa"/>
            <w:vMerge/>
            <w:vAlign w:val="center"/>
          </w:tcPr>
          <w:p w14:paraId="47738E51" w14:textId="77777777" w:rsidR="006712FC" w:rsidRPr="008F30EE" w:rsidRDefault="006712FC" w:rsidP="00733E7A">
            <w:pPr>
              <w:jc w:val="center"/>
            </w:pPr>
          </w:p>
        </w:tc>
        <w:tc>
          <w:tcPr>
            <w:tcW w:w="4355" w:type="dxa"/>
            <w:vAlign w:val="center"/>
          </w:tcPr>
          <w:p w14:paraId="37279EA8" w14:textId="77777777" w:rsidR="006712FC" w:rsidRPr="008F30EE" w:rsidRDefault="006712FC" w:rsidP="00733E7A">
            <w:pPr>
              <w:jc w:val="center"/>
              <w:rPr>
                <w:i/>
                <w:iCs/>
                <w:color w:val="FF0000"/>
              </w:rPr>
            </w:pPr>
            <w:r w:rsidRPr="008F30EE">
              <w:rPr>
                <w:i/>
                <w:iCs/>
                <w:color w:val="FF0000"/>
              </w:rPr>
              <w:t>Field Journal 2 Due (11/8, 11:59 p.m.)</w:t>
            </w:r>
          </w:p>
          <w:p w14:paraId="05FE55B9" w14:textId="77777777" w:rsidR="006712FC" w:rsidRPr="008F30EE" w:rsidRDefault="006712FC" w:rsidP="00733E7A">
            <w:pPr>
              <w:jc w:val="center"/>
            </w:pPr>
          </w:p>
        </w:tc>
      </w:tr>
      <w:tr w:rsidR="006712FC" w:rsidRPr="008F30EE" w14:paraId="2DEFEA4C" w14:textId="77777777" w:rsidTr="00FE0212">
        <w:trPr>
          <w:trHeight w:val="713"/>
        </w:trPr>
        <w:tc>
          <w:tcPr>
            <w:tcW w:w="991" w:type="dxa"/>
            <w:vMerge w:val="restart"/>
          </w:tcPr>
          <w:p w14:paraId="5B5BDABF" w14:textId="77777777" w:rsidR="006712FC" w:rsidRPr="008F30EE" w:rsidRDefault="006712FC" w:rsidP="00733E7A">
            <w:pPr>
              <w:jc w:val="center"/>
            </w:pPr>
            <w:r w:rsidRPr="008F30EE">
              <w:t>13</w:t>
            </w:r>
          </w:p>
        </w:tc>
        <w:tc>
          <w:tcPr>
            <w:tcW w:w="1153" w:type="dxa"/>
          </w:tcPr>
          <w:p w14:paraId="6DE3C54C" w14:textId="77777777" w:rsidR="006712FC" w:rsidRPr="008F30EE" w:rsidRDefault="006712FC" w:rsidP="00733E7A">
            <w:pPr>
              <w:jc w:val="center"/>
            </w:pPr>
            <w:r w:rsidRPr="008F30EE">
              <w:t>11/12</w:t>
            </w:r>
          </w:p>
        </w:tc>
        <w:tc>
          <w:tcPr>
            <w:tcW w:w="2801" w:type="dxa"/>
            <w:vMerge w:val="restart"/>
            <w:vAlign w:val="center"/>
          </w:tcPr>
          <w:p w14:paraId="5614F4BC" w14:textId="77777777" w:rsidR="006712FC" w:rsidRPr="008F30EE" w:rsidRDefault="006712FC" w:rsidP="00733E7A">
            <w:pPr>
              <w:jc w:val="center"/>
              <w:rPr>
                <w:i/>
                <w:iCs/>
              </w:rPr>
            </w:pPr>
            <w:r w:rsidRPr="008F30EE">
              <w:t xml:space="preserve">China </w:t>
            </w:r>
          </w:p>
        </w:tc>
        <w:tc>
          <w:tcPr>
            <w:tcW w:w="4355" w:type="dxa"/>
            <w:vAlign w:val="center"/>
          </w:tcPr>
          <w:p w14:paraId="7CFDC15C" w14:textId="77777777" w:rsidR="006712FC" w:rsidRPr="008F30EE" w:rsidRDefault="006712FC" w:rsidP="006712FC">
            <w:pPr>
              <w:pStyle w:val="ListParagraph"/>
              <w:numPr>
                <w:ilvl w:val="0"/>
                <w:numId w:val="12"/>
              </w:numPr>
              <w:jc w:val="center"/>
              <w:rPr>
                <w:rFonts w:cs="Times New Roman"/>
              </w:rPr>
            </w:pPr>
            <w:r w:rsidRPr="008F30EE">
              <w:rPr>
                <w:rFonts w:cs="Times New Roman"/>
              </w:rPr>
              <w:t>Titon, Ch. 8</w:t>
            </w:r>
          </w:p>
        </w:tc>
      </w:tr>
      <w:tr w:rsidR="006712FC" w:rsidRPr="008F30EE" w14:paraId="73BB5570" w14:textId="77777777" w:rsidTr="00FE0212">
        <w:trPr>
          <w:trHeight w:val="893"/>
        </w:trPr>
        <w:tc>
          <w:tcPr>
            <w:tcW w:w="991" w:type="dxa"/>
            <w:vMerge/>
          </w:tcPr>
          <w:p w14:paraId="67FC3375" w14:textId="77777777" w:rsidR="006712FC" w:rsidRPr="008F30EE" w:rsidRDefault="006712FC" w:rsidP="00733E7A">
            <w:pPr>
              <w:jc w:val="center"/>
            </w:pPr>
          </w:p>
        </w:tc>
        <w:tc>
          <w:tcPr>
            <w:tcW w:w="1153" w:type="dxa"/>
          </w:tcPr>
          <w:p w14:paraId="514F0524" w14:textId="77777777" w:rsidR="006712FC" w:rsidRPr="008F30EE" w:rsidRDefault="006712FC" w:rsidP="00733E7A">
            <w:pPr>
              <w:jc w:val="center"/>
            </w:pPr>
            <w:r w:rsidRPr="008F30EE">
              <w:t>11/14</w:t>
            </w:r>
          </w:p>
        </w:tc>
        <w:tc>
          <w:tcPr>
            <w:tcW w:w="2801" w:type="dxa"/>
            <w:vMerge/>
            <w:vAlign w:val="center"/>
          </w:tcPr>
          <w:p w14:paraId="5F8516A9" w14:textId="77777777" w:rsidR="006712FC" w:rsidRPr="008F30EE" w:rsidRDefault="006712FC" w:rsidP="00733E7A">
            <w:pPr>
              <w:jc w:val="center"/>
            </w:pPr>
          </w:p>
        </w:tc>
        <w:tc>
          <w:tcPr>
            <w:tcW w:w="4355" w:type="dxa"/>
            <w:vAlign w:val="center"/>
          </w:tcPr>
          <w:p w14:paraId="0FC33068" w14:textId="77777777" w:rsidR="006712FC" w:rsidRPr="008F30EE" w:rsidRDefault="006712FC" w:rsidP="00733E7A">
            <w:pPr>
              <w:jc w:val="center"/>
              <w:rPr>
                <w:i/>
                <w:iCs/>
                <w:color w:val="FF0000"/>
              </w:rPr>
            </w:pPr>
            <w:r w:rsidRPr="008F30EE">
              <w:rPr>
                <w:i/>
                <w:iCs/>
                <w:color w:val="FF0000"/>
              </w:rPr>
              <w:t>Field Journal 3 Due (11/15, 11:59 p.m.)</w:t>
            </w:r>
          </w:p>
          <w:p w14:paraId="4E24C58B" w14:textId="77777777" w:rsidR="006712FC" w:rsidRPr="008F30EE" w:rsidRDefault="006712FC" w:rsidP="00733E7A">
            <w:pPr>
              <w:jc w:val="center"/>
            </w:pPr>
          </w:p>
        </w:tc>
      </w:tr>
      <w:tr w:rsidR="006712FC" w:rsidRPr="008F30EE" w14:paraId="595FF68A" w14:textId="77777777" w:rsidTr="00FE0212">
        <w:tc>
          <w:tcPr>
            <w:tcW w:w="991" w:type="dxa"/>
            <w:vMerge w:val="restart"/>
          </w:tcPr>
          <w:p w14:paraId="74C991C3" w14:textId="77777777" w:rsidR="006712FC" w:rsidRPr="008F30EE" w:rsidRDefault="006712FC" w:rsidP="00733E7A">
            <w:pPr>
              <w:jc w:val="center"/>
            </w:pPr>
            <w:r w:rsidRPr="008F30EE">
              <w:t>14</w:t>
            </w:r>
          </w:p>
        </w:tc>
        <w:tc>
          <w:tcPr>
            <w:tcW w:w="1153" w:type="dxa"/>
          </w:tcPr>
          <w:p w14:paraId="73E9CB37" w14:textId="77777777" w:rsidR="006712FC" w:rsidRPr="008F30EE" w:rsidRDefault="006712FC" w:rsidP="00733E7A">
            <w:pPr>
              <w:jc w:val="center"/>
            </w:pPr>
            <w:r w:rsidRPr="008F30EE">
              <w:t>11/19</w:t>
            </w:r>
          </w:p>
        </w:tc>
        <w:tc>
          <w:tcPr>
            <w:tcW w:w="2801" w:type="dxa"/>
            <w:vMerge w:val="restart"/>
            <w:vAlign w:val="center"/>
          </w:tcPr>
          <w:p w14:paraId="6B25F40A" w14:textId="77777777" w:rsidR="006712FC" w:rsidRPr="008F30EE" w:rsidRDefault="006712FC" w:rsidP="00733E7A">
            <w:pPr>
              <w:jc w:val="center"/>
            </w:pPr>
            <w:r w:rsidRPr="008F30EE">
              <w:t>China – Popular Traditions</w:t>
            </w:r>
          </w:p>
        </w:tc>
        <w:tc>
          <w:tcPr>
            <w:tcW w:w="4355" w:type="dxa"/>
            <w:vAlign w:val="center"/>
          </w:tcPr>
          <w:p w14:paraId="2A10159A" w14:textId="77777777" w:rsidR="006712FC" w:rsidRPr="008F30EE" w:rsidRDefault="006712FC" w:rsidP="006712FC">
            <w:pPr>
              <w:pStyle w:val="ListParagraph"/>
              <w:numPr>
                <w:ilvl w:val="0"/>
                <w:numId w:val="12"/>
              </w:numPr>
              <w:jc w:val="center"/>
              <w:rPr>
                <w:rFonts w:cs="Times New Roman"/>
              </w:rPr>
            </w:pPr>
            <w:r w:rsidRPr="008F30EE">
              <w:rPr>
                <w:rFonts w:cs="Times New Roman"/>
              </w:rPr>
              <w:t>None</w:t>
            </w:r>
          </w:p>
          <w:p w14:paraId="46197310" w14:textId="77777777" w:rsidR="006712FC" w:rsidRPr="008F30EE" w:rsidRDefault="006712FC" w:rsidP="00733E7A">
            <w:pPr>
              <w:ind w:left="360"/>
            </w:pPr>
          </w:p>
        </w:tc>
      </w:tr>
      <w:tr w:rsidR="006712FC" w:rsidRPr="008F30EE" w14:paraId="15F0FD6C" w14:textId="77777777" w:rsidTr="00FE0212">
        <w:trPr>
          <w:trHeight w:val="1073"/>
        </w:trPr>
        <w:tc>
          <w:tcPr>
            <w:tcW w:w="991" w:type="dxa"/>
            <w:vMerge/>
          </w:tcPr>
          <w:p w14:paraId="51820225" w14:textId="77777777" w:rsidR="006712FC" w:rsidRPr="008F30EE" w:rsidRDefault="006712FC" w:rsidP="00733E7A">
            <w:pPr>
              <w:jc w:val="center"/>
            </w:pPr>
          </w:p>
        </w:tc>
        <w:tc>
          <w:tcPr>
            <w:tcW w:w="1153" w:type="dxa"/>
          </w:tcPr>
          <w:p w14:paraId="03992282" w14:textId="77777777" w:rsidR="006712FC" w:rsidRPr="008F30EE" w:rsidRDefault="006712FC" w:rsidP="00733E7A">
            <w:pPr>
              <w:jc w:val="center"/>
            </w:pPr>
            <w:r w:rsidRPr="008F30EE">
              <w:t>11/21</w:t>
            </w:r>
          </w:p>
        </w:tc>
        <w:tc>
          <w:tcPr>
            <w:tcW w:w="2801" w:type="dxa"/>
            <w:vMerge/>
            <w:vAlign w:val="center"/>
          </w:tcPr>
          <w:p w14:paraId="24CD7945" w14:textId="77777777" w:rsidR="006712FC" w:rsidRPr="008F30EE" w:rsidRDefault="006712FC" w:rsidP="00733E7A">
            <w:pPr>
              <w:jc w:val="center"/>
            </w:pPr>
          </w:p>
        </w:tc>
        <w:tc>
          <w:tcPr>
            <w:tcW w:w="4355" w:type="dxa"/>
            <w:vAlign w:val="center"/>
          </w:tcPr>
          <w:p w14:paraId="79B20DB3" w14:textId="77777777" w:rsidR="006712FC" w:rsidRPr="008F30EE" w:rsidRDefault="006712FC" w:rsidP="00733E7A">
            <w:pPr>
              <w:jc w:val="center"/>
              <w:rPr>
                <w:i/>
                <w:iCs/>
                <w:color w:val="FF0000"/>
              </w:rPr>
            </w:pPr>
            <w:r w:rsidRPr="008F30EE">
              <w:rPr>
                <w:i/>
                <w:iCs/>
                <w:color w:val="FF0000"/>
              </w:rPr>
              <w:t>Field Journal 4 Due (11/22, 11:59 p.m.)</w:t>
            </w:r>
          </w:p>
          <w:p w14:paraId="3EC490BA" w14:textId="77777777" w:rsidR="006712FC" w:rsidRPr="008F30EE" w:rsidRDefault="006712FC" w:rsidP="00733E7A">
            <w:pPr>
              <w:jc w:val="center"/>
            </w:pPr>
          </w:p>
        </w:tc>
      </w:tr>
      <w:tr w:rsidR="006712FC" w:rsidRPr="008F30EE" w14:paraId="7EDEF62D" w14:textId="77777777" w:rsidTr="00FE0212">
        <w:trPr>
          <w:trHeight w:val="893"/>
        </w:trPr>
        <w:tc>
          <w:tcPr>
            <w:tcW w:w="991" w:type="dxa"/>
            <w:vMerge w:val="restart"/>
          </w:tcPr>
          <w:p w14:paraId="5936E782" w14:textId="77777777" w:rsidR="006712FC" w:rsidRPr="008F30EE" w:rsidRDefault="006712FC" w:rsidP="00733E7A">
            <w:pPr>
              <w:jc w:val="center"/>
            </w:pPr>
            <w:r w:rsidRPr="008F30EE">
              <w:t>15</w:t>
            </w:r>
          </w:p>
        </w:tc>
        <w:tc>
          <w:tcPr>
            <w:tcW w:w="1153" w:type="dxa"/>
          </w:tcPr>
          <w:p w14:paraId="2A5C46D0" w14:textId="77777777" w:rsidR="006712FC" w:rsidRPr="008F30EE" w:rsidRDefault="006712FC" w:rsidP="00733E7A">
            <w:pPr>
              <w:jc w:val="center"/>
            </w:pPr>
            <w:r w:rsidRPr="008F30EE">
              <w:t>11/26</w:t>
            </w:r>
          </w:p>
        </w:tc>
        <w:tc>
          <w:tcPr>
            <w:tcW w:w="2801" w:type="dxa"/>
            <w:vAlign w:val="center"/>
          </w:tcPr>
          <w:p w14:paraId="31155236" w14:textId="77777777" w:rsidR="006712FC" w:rsidRPr="008F30EE" w:rsidRDefault="006712FC" w:rsidP="00733E7A">
            <w:pPr>
              <w:jc w:val="center"/>
            </w:pPr>
            <w:r w:rsidRPr="008F30EE">
              <w:t>Wrapping Things Up: Major Themes</w:t>
            </w:r>
          </w:p>
        </w:tc>
        <w:tc>
          <w:tcPr>
            <w:tcW w:w="4355" w:type="dxa"/>
            <w:vMerge w:val="restart"/>
            <w:vAlign w:val="center"/>
          </w:tcPr>
          <w:p w14:paraId="19FFA162" w14:textId="77777777" w:rsidR="006712FC" w:rsidRPr="008F30EE" w:rsidRDefault="006712FC" w:rsidP="00733E7A">
            <w:pPr>
              <w:jc w:val="center"/>
              <w:rPr>
                <w:i/>
                <w:iCs/>
              </w:rPr>
            </w:pPr>
            <w:r w:rsidRPr="008F30EE">
              <w:rPr>
                <w:i/>
                <w:iCs/>
                <w:color w:val="FF0000"/>
              </w:rPr>
              <w:t>Final Project Due (12/05, 11:59pm)</w:t>
            </w:r>
          </w:p>
        </w:tc>
      </w:tr>
      <w:tr w:rsidR="006712FC" w:rsidRPr="008F30EE" w14:paraId="50FB811F" w14:textId="77777777" w:rsidTr="00FE0212">
        <w:trPr>
          <w:trHeight w:val="722"/>
        </w:trPr>
        <w:tc>
          <w:tcPr>
            <w:tcW w:w="991" w:type="dxa"/>
            <w:vMerge/>
          </w:tcPr>
          <w:p w14:paraId="4A972AC9" w14:textId="77777777" w:rsidR="006712FC" w:rsidRPr="008F30EE" w:rsidRDefault="006712FC" w:rsidP="00733E7A">
            <w:pPr>
              <w:jc w:val="center"/>
            </w:pPr>
          </w:p>
        </w:tc>
        <w:tc>
          <w:tcPr>
            <w:tcW w:w="1153" w:type="dxa"/>
          </w:tcPr>
          <w:p w14:paraId="24514666" w14:textId="77777777" w:rsidR="006712FC" w:rsidRPr="008F30EE" w:rsidRDefault="006712FC" w:rsidP="00733E7A">
            <w:pPr>
              <w:jc w:val="center"/>
            </w:pPr>
            <w:r w:rsidRPr="008F30EE">
              <w:t>11/28</w:t>
            </w:r>
          </w:p>
        </w:tc>
        <w:tc>
          <w:tcPr>
            <w:tcW w:w="2801" w:type="dxa"/>
            <w:vAlign w:val="center"/>
          </w:tcPr>
          <w:p w14:paraId="5D0687AD" w14:textId="77777777" w:rsidR="006712FC" w:rsidRPr="008F30EE" w:rsidRDefault="006712FC" w:rsidP="00733E7A">
            <w:pPr>
              <w:jc w:val="center"/>
            </w:pPr>
            <w:r w:rsidRPr="008F30EE">
              <w:t>Thanksgiving: No class</w:t>
            </w:r>
          </w:p>
        </w:tc>
        <w:tc>
          <w:tcPr>
            <w:tcW w:w="4355" w:type="dxa"/>
            <w:vMerge/>
            <w:vAlign w:val="center"/>
          </w:tcPr>
          <w:p w14:paraId="5E8FE2C5" w14:textId="77777777" w:rsidR="006712FC" w:rsidRPr="008F30EE" w:rsidRDefault="006712FC" w:rsidP="00733E7A">
            <w:pPr>
              <w:jc w:val="center"/>
            </w:pPr>
          </w:p>
        </w:tc>
      </w:tr>
      <w:tr w:rsidR="006712FC" w:rsidRPr="008F30EE" w14:paraId="1128A5A7" w14:textId="77777777" w:rsidTr="00FE0212">
        <w:trPr>
          <w:trHeight w:val="794"/>
        </w:trPr>
        <w:tc>
          <w:tcPr>
            <w:tcW w:w="991" w:type="dxa"/>
            <w:vMerge w:val="restart"/>
          </w:tcPr>
          <w:p w14:paraId="5B956F22" w14:textId="77777777" w:rsidR="006712FC" w:rsidRPr="008F30EE" w:rsidRDefault="006712FC" w:rsidP="00733E7A">
            <w:pPr>
              <w:jc w:val="center"/>
            </w:pPr>
            <w:r w:rsidRPr="008F30EE">
              <w:t>16</w:t>
            </w:r>
          </w:p>
        </w:tc>
        <w:tc>
          <w:tcPr>
            <w:tcW w:w="1153" w:type="dxa"/>
          </w:tcPr>
          <w:p w14:paraId="0ED54246" w14:textId="77777777" w:rsidR="006712FC" w:rsidRPr="008F30EE" w:rsidRDefault="006712FC" w:rsidP="00733E7A">
            <w:pPr>
              <w:jc w:val="center"/>
            </w:pPr>
            <w:r w:rsidRPr="008F30EE">
              <w:t>12/3</w:t>
            </w:r>
          </w:p>
        </w:tc>
        <w:tc>
          <w:tcPr>
            <w:tcW w:w="2801" w:type="dxa"/>
            <w:vAlign w:val="center"/>
          </w:tcPr>
          <w:p w14:paraId="265C1F85" w14:textId="77777777" w:rsidR="006712FC" w:rsidRPr="008F30EE" w:rsidRDefault="006712FC" w:rsidP="00733E7A">
            <w:pPr>
              <w:jc w:val="center"/>
            </w:pPr>
            <w:r w:rsidRPr="008F30EE">
              <w:t xml:space="preserve">Final Review </w:t>
            </w:r>
          </w:p>
        </w:tc>
        <w:tc>
          <w:tcPr>
            <w:tcW w:w="4355" w:type="dxa"/>
            <w:vMerge w:val="restart"/>
            <w:vAlign w:val="center"/>
          </w:tcPr>
          <w:p w14:paraId="3731EB9D" w14:textId="77777777" w:rsidR="006712FC" w:rsidRPr="008F30EE" w:rsidRDefault="006712FC" w:rsidP="00733E7A">
            <w:pPr>
              <w:jc w:val="center"/>
            </w:pPr>
            <w:r w:rsidRPr="008F30EE">
              <w:t>NONE – prepare for Final Exam</w:t>
            </w:r>
          </w:p>
        </w:tc>
      </w:tr>
      <w:tr w:rsidR="006712FC" w:rsidRPr="008F30EE" w14:paraId="060F9FC6" w14:textId="77777777" w:rsidTr="00FE0212">
        <w:trPr>
          <w:trHeight w:val="803"/>
        </w:trPr>
        <w:tc>
          <w:tcPr>
            <w:tcW w:w="991" w:type="dxa"/>
            <w:vMerge/>
          </w:tcPr>
          <w:p w14:paraId="5F67B34F" w14:textId="77777777" w:rsidR="006712FC" w:rsidRPr="008F30EE" w:rsidRDefault="006712FC" w:rsidP="00733E7A">
            <w:pPr>
              <w:jc w:val="center"/>
            </w:pPr>
          </w:p>
        </w:tc>
        <w:tc>
          <w:tcPr>
            <w:tcW w:w="1153" w:type="dxa"/>
          </w:tcPr>
          <w:p w14:paraId="2856CE05" w14:textId="77777777" w:rsidR="006712FC" w:rsidRPr="008F30EE" w:rsidRDefault="006712FC" w:rsidP="00733E7A">
            <w:pPr>
              <w:jc w:val="center"/>
              <w:rPr>
                <w:color w:val="FF0000"/>
              </w:rPr>
            </w:pPr>
            <w:r w:rsidRPr="008F30EE">
              <w:rPr>
                <w:color w:val="FF0000"/>
              </w:rPr>
              <w:t>12/5</w:t>
            </w:r>
          </w:p>
          <w:p w14:paraId="252A5402" w14:textId="77777777" w:rsidR="006712FC" w:rsidRPr="008F30EE" w:rsidRDefault="006712FC" w:rsidP="00733E7A">
            <w:pPr>
              <w:jc w:val="center"/>
            </w:pPr>
          </w:p>
        </w:tc>
        <w:tc>
          <w:tcPr>
            <w:tcW w:w="2801" w:type="dxa"/>
            <w:vAlign w:val="center"/>
          </w:tcPr>
          <w:p w14:paraId="63E5A16C" w14:textId="77777777" w:rsidR="006712FC" w:rsidRPr="008F30EE" w:rsidRDefault="006712FC" w:rsidP="00733E7A">
            <w:pPr>
              <w:jc w:val="center"/>
              <w:rPr>
                <w:i/>
                <w:iCs/>
                <w:color w:val="FF0000"/>
              </w:rPr>
            </w:pPr>
            <w:r w:rsidRPr="008F30EE">
              <w:rPr>
                <w:i/>
                <w:iCs/>
                <w:color w:val="FF0000"/>
              </w:rPr>
              <w:t>Final Exam, Musi 258</w:t>
            </w:r>
          </w:p>
          <w:p w14:paraId="7B6E9E1F" w14:textId="77777777" w:rsidR="006712FC" w:rsidRPr="008F30EE" w:rsidRDefault="006712FC" w:rsidP="00733E7A">
            <w:pPr>
              <w:jc w:val="center"/>
              <w:rPr>
                <w:i/>
                <w:iCs/>
              </w:rPr>
            </w:pPr>
            <w:r w:rsidRPr="008F30EE">
              <w:rPr>
                <w:i/>
                <w:iCs/>
                <w:color w:val="FF0000"/>
              </w:rPr>
              <w:t>10:30 a.m. – 12:30 p.m.</w:t>
            </w:r>
          </w:p>
        </w:tc>
        <w:tc>
          <w:tcPr>
            <w:tcW w:w="4355" w:type="dxa"/>
            <w:vMerge/>
            <w:vAlign w:val="center"/>
          </w:tcPr>
          <w:p w14:paraId="5DB50F0F" w14:textId="77777777" w:rsidR="006712FC" w:rsidRPr="008F30EE" w:rsidRDefault="006712FC" w:rsidP="00733E7A">
            <w:pPr>
              <w:jc w:val="center"/>
            </w:pPr>
          </w:p>
        </w:tc>
      </w:tr>
    </w:tbl>
    <w:p w14:paraId="207122EF" w14:textId="77777777" w:rsidR="006712FC" w:rsidRPr="008F30EE" w:rsidRDefault="006712FC" w:rsidP="006712FC"/>
    <w:p w14:paraId="7AEB3C7C" w14:textId="77777777" w:rsidR="00FC0D98" w:rsidRDefault="00FC0D98" w:rsidP="00FC0D98">
      <w:pPr>
        <w:rPr>
          <w:rFonts w:cstheme="minorHAnsi"/>
          <w:b/>
          <w:bCs/>
          <w:sz w:val="32"/>
          <w:szCs w:val="32"/>
        </w:rPr>
      </w:pPr>
    </w:p>
    <w:p w14:paraId="2D7C4F6B" w14:textId="5AB85E4F" w:rsidR="00FC0D98" w:rsidRPr="00FC0D98" w:rsidRDefault="00FC0D98" w:rsidP="00FC0D98">
      <w:pPr>
        <w:rPr>
          <w:rFonts w:cstheme="minorHAnsi"/>
          <w:b/>
          <w:bCs/>
        </w:rPr>
      </w:pPr>
      <w:r>
        <w:rPr>
          <w:rFonts w:cstheme="minorHAnsi"/>
          <w:b/>
          <w:bCs/>
        </w:rPr>
        <w:t>ELECTRONIC DEVICE POLICY</w:t>
      </w:r>
    </w:p>
    <w:p w14:paraId="14FF84C7" w14:textId="77777777" w:rsidR="00FC0D98" w:rsidRPr="00FC0D98" w:rsidRDefault="00FC0D98" w:rsidP="00FC0D98">
      <w:pPr>
        <w:rPr>
          <w:rFonts w:cstheme="minorHAnsi"/>
        </w:rPr>
      </w:pPr>
      <w:r w:rsidRPr="00FC0D98">
        <w:rPr>
          <w:rFonts w:cstheme="minorHAnsi"/>
        </w:rPr>
        <w:t xml:space="preserve">Due to classroom design, the use of electronic tablet stands, laptops, and cellphones is </w:t>
      </w:r>
      <w:r w:rsidRPr="00FC0D98">
        <w:rPr>
          <w:rFonts w:cstheme="minorHAnsi"/>
          <w:b/>
          <w:bCs/>
          <w:i/>
          <w:iCs/>
        </w:rPr>
        <w:t>prohibited</w:t>
      </w:r>
      <w:r w:rsidRPr="00FC0D98">
        <w:rPr>
          <w:rFonts w:cstheme="minorHAnsi"/>
        </w:rPr>
        <w:t xml:space="preserve"> without </w:t>
      </w:r>
      <w:r w:rsidRPr="00FC0D98">
        <w:rPr>
          <w:rFonts w:cstheme="minorHAnsi"/>
          <w:u w:val="single"/>
        </w:rPr>
        <w:t>prior permission</w:t>
      </w:r>
      <w:r w:rsidRPr="00FC0D98">
        <w:rPr>
          <w:rFonts w:cstheme="minorHAnsi"/>
        </w:rPr>
        <w:t xml:space="preserve"> from the instructor. This is to ensure a learning environment with as few distractions as possible for all. Two exceptions are allowed without prior permission: </w:t>
      </w:r>
    </w:p>
    <w:p w14:paraId="29959605" w14:textId="77777777" w:rsidR="00FC0D98" w:rsidRPr="00FC0D98" w:rsidRDefault="00FC0D98" w:rsidP="00FC0D98">
      <w:pPr>
        <w:rPr>
          <w:rFonts w:cstheme="minorHAnsi"/>
        </w:rPr>
      </w:pPr>
    </w:p>
    <w:p w14:paraId="6AA8FB7B" w14:textId="77777777" w:rsidR="00FC0D98" w:rsidRPr="00FC0D98" w:rsidRDefault="00FC0D98" w:rsidP="00FC0D98">
      <w:pPr>
        <w:pStyle w:val="ListParagraph"/>
        <w:numPr>
          <w:ilvl w:val="0"/>
          <w:numId w:val="5"/>
        </w:numPr>
        <w:rPr>
          <w:rFonts w:cstheme="minorHAnsi"/>
        </w:rPr>
      </w:pPr>
      <w:r w:rsidRPr="00FC0D98">
        <w:rPr>
          <w:rFonts w:cstheme="minorHAnsi"/>
        </w:rPr>
        <w:t xml:space="preserve">Students may use an electronic tablet so long as it remains flat on their desk and only visible to the user. </w:t>
      </w:r>
    </w:p>
    <w:p w14:paraId="6FC48A54" w14:textId="77777777" w:rsidR="00FC0D98" w:rsidRPr="00FC0D98" w:rsidRDefault="00FC0D98" w:rsidP="00FC0D98">
      <w:pPr>
        <w:pStyle w:val="ListParagraph"/>
        <w:numPr>
          <w:ilvl w:val="0"/>
          <w:numId w:val="5"/>
        </w:numPr>
        <w:rPr>
          <w:rFonts w:cstheme="minorHAnsi"/>
        </w:rPr>
      </w:pPr>
      <w:r w:rsidRPr="00FC0D98">
        <w:rPr>
          <w:rFonts w:cstheme="minorHAnsi"/>
        </w:rPr>
        <w:t xml:space="preserve">Students may use a convertible laptop form so long as it remains flat on their desk. </w:t>
      </w:r>
    </w:p>
    <w:p w14:paraId="61FBA0E4" w14:textId="77777777" w:rsidR="00FC0D98" w:rsidRPr="00FC0D98" w:rsidRDefault="00FC0D98" w:rsidP="00FC0D98">
      <w:pPr>
        <w:rPr>
          <w:rFonts w:cstheme="minorHAnsi"/>
        </w:rPr>
      </w:pPr>
    </w:p>
    <w:p w14:paraId="0D5825B8" w14:textId="77777777" w:rsidR="00FC0D98" w:rsidRPr="00FC0D98" w:rsidRDefault="00FC0D98" w:rsidP="00FC0D98">
      <w:pPr>
        <w:rPr>
          <w:rFonts w:cstheme="minorHAnsi"/>
        </w:rPr>
      </w:pPr>
      <w:r w:rsidRPr="00FC0D98">
        <w:rPr>
          <w:rFonts w:cstheme="minorHAnsi"/>
        </w:rPr>
        <w:t xml:space="preserve">NOTE: Cellphones are unconditionally prohibited without prior instructor approval. </w:t>
      </w:r>
    </w:p>
    <w:p w14:paraId="09ABC3FC" w14:textId="77777777" w:rsidR="00FC0D98" w:rsidRPr="00FC0D98" w:rsidRDefault="00FC0D98" w:rsidP="00FC0D98">
      <w:pPr>
        <w:rPr>
          <w:rFonts w:cstheme="minorHAnsi"/>
        </w:rPr>
      </w:pPr>
    </w:p>
    <w:p w14:paraId="1D8A609B" w14:textId="77777777" w:rsidR="00FC0D98" w:rsidRPr="00FC0D98" w:rsidRDefault="00FC0D98" w:rsidP="00FC0D98">
      <w:pPr>
        <w:rPr>
          <w:rFonts w:cstheme="minorHAnsi"/>
        </w:rPr>
      </w:pPr>
      <w:r w:rsidRPr="00FC0D98">
        <w:rPr>
          <w:rFonts w:cstheme="minorHAnsi"/>
        </w:rPr>
        <w:lastRenderedPageBreak/>
        <w:t xml:space="preserve">Students who fail to adhere to this policy will receive a warning before they are counted absent for the class period. The TAs will enforce this policy and may, or may not, offer additional warnings at their discretion. If there is an </w:t>
      </w:r>
      <w:r w:rsidRPr="00FC0D98">
        <w:rPr>
          <w:rFonts w:cstheme="minorHAnsi"/>
          <w:b/>
          <w:bCs/>
        </w:rPr>
        <w:t>emergency</w:t>
      </w:r>
      <w:r w:rsidRPr="00FC0D98">
        <w:rPr>
          <w:rFonts w:cstheme="minorHAnsi"/>
        </w:rPr>
        <w:t xml:space="preserve"> that requires you to have access to a cellphone or similar communication device, please let the instructors and TAs know before class. </w:t>
      </w:r>
    </w:p>
    <w:p w14:paraId="60A8EDC7" w14:textId="77777777" w:rsidR="00FC0D98" w:rsidRPr="00FC0D98" w:rsidRDefault="00FC0D98" w:rsidP="00FC0D98">
      <w:pPr>
        <w:rPr>
          <w:rFonts w:cstheme="minorHAnsi"/>
        </w:rPr>
      </w:pPr>
    </w:p>
    <w:p w14:paraId="4BB6D278" w14:textId="77777777" w:rsidR="00FC0D98" w:rsidRDefault="00FC0D98" w:rsidP="00FC0D98">
      <w:pPr>
        <w:rPr>
          <w:rFonts w:cstheme="minorHAnsi"/>
        </w:rPr>
      </w:pPr>
      <w:r w:rsidRPr="00FC0D98">
        <w:rPr>
          <w:rFonts w:cstheme="minorHAnsi"/>
        </w:rPr>
        <w:t xml:space="preserve">While using authorized electronic devices, the recording of class lectures in any way without prior permission is prohibited. </w:t>
      </w:r>
    </w:p>
    <w:p w14:paraId="1AC276E1" w14:textId="77777777" w:rsidR="00FC0D98" w:rsidRDefault="00FC0D98" w:rsidP="00FC0D98">
      <w:pPr>
        <w:rPr>
          <w:rFonts w:cstheme="minorHAnsi"/>
        </w:rPr>
      </w:pPr>
    </w:p>
    <w:p w14:paraId="23330F1C" w14:textId="12F86EEA" w:rsidR="00FC0D98" w:rsidRPr="00FC0D98" w:rsidRDefault="00FC0D98" w:rsidP="00FC0D98">
      <w:pPr>
        <w:rPr>
          <w:rFonts w:cstheme="minorHAnsi"/>
          <w:b/>
          <w:bCs/>
        </w:rPr>
      </w:pPr>
      <w:r w:rsidRPr="00FC0D98">
        <w:rPr>
          <w:rFonts w:cstheme="minorHAnsi"/>
          <w:b/>
          <w:bCs/>
        </w:rPr>
        <w:t>TECHNICAL ASSISTANCE</w:t>
      </w:r>
    </w:p>
    <w:p w14:paraId="78D7695A" w14:textId="77777777" w:rsidR="00FC0D98" w:rsidRPr="00FC0D98" w:rsidRDefault="00FC0D98" w:rsidP="00FC0D98">
      <w:pPr>
        <w:rPr>
          <w:rFonts w:cstheme="minorHAnsi"/>
        </w:rPr>
      </w:pPr>
      <w:r w:rsidRPr="00FC0D98">
        <w:rPr>
          <w:rFonts w:cstheme="minorHAnsi"/>
        </w:rPr>
        <w:t>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w:t>
      </w:r>
    </w:p>
    <w:p w14:paraId="7AF1AD22" w14:textId="77777777" w:rsidR="00FC0D98" w:rsidRPr="00FC0D98" w:rsidRDefault="00FC0D98" w:rsidP="00FC0D98">
      <w:pPr>
        <w:rPr>
          <w:rFonts w:cstheme="minorHAnsi"/>
        </w:rPr>
      </w:pPr>
      <w:r w:rsidRPr="00FC0D98">
        <w:rPr>
          <w:rFonts w:cstheme="minorHAnsi"/>
          <w:b/>
          <w:bCs/>
        </w:rPr>
        <w:t>UIT Help Desk:</w:t>
      </w:r>
      <w:r w:rsidRPr="00FC0D98">
        <w:rPr>
          <w:rFonts w:cstheme="minorHAnsi"/>
        </w:rPr>
        <w:t xml:space="preserve"> UIT Student Help Desk site (http://www.unt.edu/helpdesk/index.htm)</w:t>
      </w:r>
    </w:p>
    <w:p w14:paraId="248BF2E8" w14:textId="77777777" w:rsidR="00FC0D98" w:rsidRPr="00FC0D98" w:rsidRDefault="00FC0D98" w:rsidP="00FC0D98">
      <w:pPr>
        <w:rPr>
          <w:rFonts w:cstheme="minorHAnsi"/>
        </w:rPr>
      </w:pPr>
      <w:r w:rsidRPr="00FC0D98">
        <w:rPr>
          <w:rFonts w:cstheme="minorHAnsi"/>
          <w:b/>
          <w:bCs/>
        </w:rPr>
        <w:t>Email:</w:t>
      </w:r>
      <w:r w:rsidRPr="00FC0D98">
        <w:rPr>
          <w:rFonts w:cstheme="minorHAnsi"/>
        </w:rPr>
        <w:t xml:space="preserve"> helpdesk@unt.edu</w:t>
      </w:r>
    </w:p>
    <w:p w14:paraId="27F26402" w14:textId="77777777" w:rsidR="00FC0D98" w:rsidRPr="00FC0D98" w:rsidRDefault="00FC0D98" w:rsidP="00FC0D98">
      <w:pPr>
        <w:rPr>
          <w:rFonts w:cstheme="minorHAnsi"/>
        </w:rPr>
      </w:pPr>
      <w:r w:rsidRPr="00FC0D98">
        <w:rPr>
          <w:rFonts w:cstheme="minorHAnsi"/>
          <w:b/>
          <w:bCs/>
        </w:rPr>
        <w:t>Phone:</w:t>
      </w:r>
      <w:r w:rsidRPr="00FC0D98">
        <w:rPr>
          <w:rFonts w:cstheme="minorHAnsi"/>
        </w:rPr>
        <w:t xml:space="preserve"> 940-565-2324</w:t>
      </w:r>
    </w:p>
    <w:p w14:paraId="18F35D45" w14:textId="77777777" w:rsidR="00FC0D98" w:rsidRPr="00FC0D98" w:rsidRDefault="00FC0D98" w:rsidP="00FC0D98">
      <w:pPr>
        <w:rPr>
          <w:rFonts w:cstheme="minorHAnsi"/>
        </w:rPr>
      </w:pPr>
      <w:r w:rsidRPr="00FC0D98">
        <w:rPr>
          <w:rFonts w:cstheme="minorHAnsi"/>
          <w:b/>
          <w:bCs/>
        </w:rPr>
        <w:t>In Person:</w:t>
      </w:r>
      <w:r w:rsidRPr="00FC0D98">
        <w:rPr>
          <w:rFonts w:cstheme="minorHAnsi"/>
        </w:rPr>
        <w:t xml:space="preserve"> Sage Hall, Room 130</w:t>
      </w:r>
    </w:p>
    <w:p w14:paraId="4B4DF0EA" w14:textId="77777777" w:rsidR="00FC0D98" w:rsidRPr="00FC0D98" w:rsidRDefault="00FC0D98" w:rsidP="00FC0D98">
      <w:pPr>
        <w:rPr>
          <w:rFonts w:cstheme="minorHAnsi"/>
        </w:rPr>
      </w:pPr>
      <w:r w:rsidRPr="00FC0D98">
        <w:rPr>
          <w:rFonts w:cstheme="minorHAnsi"/>
          <w:b/>
          <w:bCs/>
        </w:rPr>
        <w:t>Walk-In Availability:</w:t>
      </w:r>
      <w:r w:rsidRPr="00FC0D98">
        <w:rPr>
          <w:rFonts w:cstheme="minorHAnsi"/>
        </w:rPr>
        <w:t xml:space="preserve"> 8am-9pm</w:t>
      </w:r>
    </w:p>
    <w:p w14:paraId="08201A7A" w14:textId="77777777" w:rsidR="00FC0D98" w:rsidRPr="00FC0D98" w:rsidRDefault="00FC0D98" w:rsidP="00FC0D98">
      <w:pPr>
        <w:rPr>
          <w:rFonts w:cstheme="minorHAnsi"/>
          <w:b/>
          <w:bCs/>
        </w:rPr>
      </w:pPr>
      <w:r w:rsidRPr="00FC0D98">
        <w:rPr>
          <w:rFonts w:cstheme="minorHAnsi"/>
          <w:b/>
          <w:bCs/>
        </w:rPr>
        <w:t>Telephone Availability:</w:t>
      </w:r>
    </w:p>
    <w:p w14:paraId="52A46926" w14:textId="77777777" w:rsidR="00FC0D98" w:rsidRPr="00FC0D98" w:rsidRDefault="00FC0D98" w:rsidP="00FC0D98">
      <w:pPr>
        <w:pStyle w:val="ListParagraph"/>
        <w:numPr>
          <w:ilvl w:val="0"/>
          <w:numId w:val="16"/>
        </w:numPr>
        <w:rPr>
          <w:rFonts w:cstheme="minorHAnsi"/>
        </w:rPr>
      </w:pPr>
      <w:r w:rsidRPr="00FC0D98">
        <w:rPr>
          <w:rFonts w:cstheme="minorHAnsi"/>
        </w:rPr>
        <w:t>Sunday: noon-midnight</w:t>
      </w:r>
    </w:p>
    <w:p w14:paraId="0862C4CE" w14:textId="77777777" w:rsidR="00FC0D98" w:rsidRPr="00FC0D98" w:rsidRDefault="00FC0D98" w:rsidP="00FC0D98">
      <w:pPr>
        <w:pStyle w:val="ListParagraph"/>
        <w:numPr>
          <w:ilvl w:val="0"/>
          <w:numId w:val="16"/>
        </w:numPr>
        <w:rPr>
          <w:rFonts w:cstheme="minorHAnsi"/>
        </w:rPr>
      </w:pPr>
      <w:r w:rsidRPr="00FC0D98">
        <w:rPr>
          <w:rFonts w:cstheme="minorHAnsi"/>
        </w:rPr>
        <w:t xml:space="preserve"> Monday-Thursday: 8am-midnight</w:t>
      </w:r>
    </w:p>
    <w:p w14:paraId="5024B8D3" w14:textId="77777777" w:rsidR="00FC0D98" w:rsidRPr="00FC0D98" w:rsidRDefault="00FC0D98" w:rsidP="00FC0D98">
      <w:pPr>
        <w:pStyle w:val="ListParagraph"/>
        <w:numPr>
          <w:ilvl w:val="0"/>
          <w:numId w:val="16"/>
        </w:numPr>
        <w:rPr>
          <w:rFonts w:cstheme="minorHAnsi"/>
        </w:rPr>
      </w:pPr>
      <w:r w:rsidRPr="00FC0D98">
        <w:rPr>
          <w:rFonts w:cstheme="minorHAnsi"/>
        </w:rPr>
        <w:t xml:space="preserve"> Friday: 8am-8pm</w:t>
      </w:r>
    </w:p>
    <w:p w14:paraId="2BD35404" w14:textId="77777777" w:rsidR="00FC0D98" w:rsidRPr="00FC0D98" w:rsidRDefault="00FC0D98" w:rsidP="00FC0D98">
      <w:pPr>
        <w:pStyle w:val="ListParagraph"/>
        <w:numPr>
          <w:ilvl w:val="0"/>
          <w:numId w:val="16"/>
        </w:numPr>
        <w:rPr>
          <w:rFonts w:cstheme="minorHAnsi"/>
        </w:rPr>
      </w:pPr>
      <w:r w:rsidRPr="00FC0D98">
        <w:rPr>
          <w:rFonts w:cstheme="minorHAnsi"/>
        </w:rPr>
        <w:t xml:space="preserve"> Saturday: 9am-5pm</w:t>
      </w:r>
    </w:p>
    <w:p w14:paraId="654ADD5D" w14:textId="77777777" w:rsidR="00FC0D98" w:rsidRPr="00FC0D98" w:rsidRDefault="00FC0D98" w:rsidP="00FC0D98">
      <w:pPr>
        <w:rPr>
          <w:rFonts w:cstheme="minorHAnsi"/>
        </w:rPr>
      </w:pPr>
      <w:r w:rsidRPr="00FC0D98">
        <w:rPr>
          <w:rFonts w:cstheme="minorHAnsi"/>
          <w:b/>
          <w:bCs/>
        </w:rPr>
        <w:t>Laptop Checkout</w:t>
      </w:r>
      <w:r w:rsidRPr="00FC0D98">
        <w:rPr>
          <w:rFonts w:cstheme="minorHAnsi"/>
        </w:rPr>
        <w:t>: 8am-7pm</w:t>
      </w:r>
    </w:p>
    <w:p w14:paraId="041B36AB" w14:textId="77777777" w:rsidR="00FC0D98" w:rsidRPr="00FC0D98" w:rsidRDefault="00FC0D98" w:rsidP="00FC0D98">
      <w:pPr>
        <w:rPr>
          <w:rFonts w:cstheme="minorHAnsi"/>
        </w:rPr>
      </w:pPr>
      <w:r w:rsidRPr="00FC0D98">
        <w:rPr>
          <w:rFonts w:cstheme="minorHAnsi"/>
        </w:rPr>
        <w:t>For additional support, visit Canvas Technical Help (https://community.canvaslms.com/docs/DOC-10554-4212710328)</w:t>
      </w:r>
    </w:p>
    <w:p w14:paraId="282EA935" w14:textId="77777777" w:rsidR="006712FC" w:rsidRPr="008F30EE" w:rsidRDefault="006712FC" w:rsidP="00EB1186">
      <w:pPr>
        <w:ind w:left="360"/>
      </w:pPr>
    </w:p>
    <w:p w14:paraId="629115A3" w14:textId="77777777" w:rsidR="0039727C" w:rsidRPr="008F30EE" w:rsidRDefault="0039727C" w:rsidP="00DC6A99">
      <w:pPr>
        <w:rPr>
          <w:b/>
          <w:bCs/>
        </w:rPr>
      </w:pPr>
    </w:p>
    <w:p w14:paraId="46CC652F" w14:textId="77777777" w:rsidR="00F86747" w:rsidRPr="008F30EE" w:rsidRDefault="00F86747" w:rsidP="00F86747">
      <w:r w:rsidRPr="008F30EE">
        <w:rPr>
          <w:b/>
          <w:bCs/>
        </w:rPr>
        <w:t>ACADEMIC INTEGRITY</w:t>
      </w:r>
    </w:p>
    <w:p w14:paraId="2A52885A" w14:textId="77777777" w:rsidR="00F86747" w:rsidRPr="008F30EE" w:rsidRDefault="00F86747" w:rsidP="00F86747">
      <w:r w:rsidRPr="008F30EE">
        <w:t xml:space="preserve">Students caught cheating or plagiarizing will receive a "0" for that particular assignment or exam [or specify alternative sanction, such as course failure]. 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w:t>
      </w:r>
      <w:proofErr w:type="gramStart"/>
      <w:r w:rsidRPr="008F30EE">
        <w:t>includes, but</w:t>
      </w:r>
      <w:proofErr w:type="gramEnd"/>
      <w:r w:rsidRPr="008F30EE">
        <w:t xml:space="preserve">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3B45BB17" w14:textId="77777777" w:rsidR="00F86747" w:rsidRPr="008F30EE" w:rsidRDefault="00F86747" w:rsidP="00F86747">
      <w:r w:rsidRPr="008F30EE">
        <w:t xml:space="preserve">See:  </w:t>
      </w:r>
      <w:hyperlink r:id="rId10" w:history="1">
        <w:r w:rsidRPr="008F30EE">
          <w:rPr>
            <w:rStyle w:val="Hyperlink"/>
          </w:rPr>
          <w:t>Academic Integrity</w:t>
        </w:r>
      </w:hyperlink>
    </w:p>
    <w:p w14:paraId="7D272563" w14:textId="77777777" w:rsidR="00F86747" w:rsidRPr="008F30EE" w:rsidRDefault="00F86747" w:rsidP="00F86747">
      <w:r w:rsidRPr="008F30EE">
        <w:t xml:space="preserve">LINK:  </w:t>
      </w:r>
      <w:hyperlink r:id="rId11" w:history="1">
        <w:r w:rsidRPr="008F30EE">
          <w:rPr>
            <w:rStyle w:val="Hyperlink"/>
          </w:rPr>
          <w:t>https://policy.unt.edu/policy/06-003</w:t>
        </w:r>
      </w:hyperlink>
    </w:p>
    <w:p w14:paraId="61D24478" w14:textId="77777777" w:rsidR="00F86747" w:rsidRPr="008F30EE" w:rsidRDefault="00F86747" w:rsidP="00F86747"/>
    <w:p w14:paraId="5A999306" w14:textId="77777777" w:rsidR="00F86747" w:rsidRPr="008F30EE" w:rsidRDefault="00F86747" w:rsidP="00F86747">
      <w:r w:rsidRPr="008F30EE">
        <w:rPr>
          <w:b/>
          <w:bCs/>
        </w:rPr>
        <w:t>STUDENT BEHAVIOR </w:t>
      </w:r>
    </w:p>
    <w:p w14:paraId="50AA2871" w14:textId="77777777" w:rsidR="00F86747" w:rsidRPr="008F30EE" w:rsidRDefault="00F86747" w:rsidP="00F86747">
      <w:r w:rsidRPr="008F30EE">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w:t>
      </w:r>
    </w:p>
    <w:p w14:paraId="2ADE5A08" w14:textId="77777777" w:rsidR="00F86747" w:rsidRPr="008F30EE" w:rsidRDefault="00F86747" w:rsidP="00F86747">
      <w:r w:rsidRPr="008F30EE">
        <w:t xml:space="preserve">See: </w:t>
      </w:r>
      <w:hyperlink r:id="rId12" w:history="1">
        <w:r w:rsidRPr="008F30EE">
          <w:rPr>
            <w:rStyle w:val="Hyperlink"/>
          </w:rPr>
          <w:t>Student Code of Conduct</w:t>
        </w:r>
      </w:hyperlink>
      <w:r w:rsidRPr="008F30EE">
        <w:t xml:space="preserve"> </w:t>
      </w:r>
    </w:p>
    <w:p w14:paraId="2F30BCB9" w14:textId="77777777" w:rsidR="00F86747" w:rsidRPr="008F30EE" w:rsidRDefault="00F86747" w:rsidP="00F86747">
      <w:r w:rsidRPr="008F30EE">
        <w:t xml:space="preserve">Link: </w:t>
      </w:r>
      <w:hyperlink r:id="rId13" w:history="1">
        <w:r w:rsidRPr="008F30EE">
          <w:rPr>
            <w:rStyle w:val="Hyperlink"/>
          </w:rPr>
          <w:t>https://deanofstudents.unt.edu/conduct</w:t>
        </w:r>
      </w:hyperlink>
    </w:p>
    <w:p w14:paraId="7BC4DA8C" w14:textId="77777777" w:rsidR="00F86747" w:rsidRPr="008F30EE" w:rsidRDefault="00F86747" w:rsidP="00F86747"/>
    <w:p w14:paraId="4A0128CA" w14:textId="77777777" w:rsidR="00F86747" w:rsidRPr="008F30EE" w:rsidRDefault="00F86747" w:rsidP="00F86747">
      <w:r w:rsidRPr="008F30EE">
        <w:rPr>
          <w:b/>
          <w:bCs/>
        </w:rPr>
        <w:t>ACCESS TO INFORMATION – EAGLE CONNECT </w:t>
      </w:r>
    </w:p>
    <w:p w14:paraId="2986B802" w14:textId="77777777" w:rsidR="00F86747" w:rsidRPr="008F30EE" w:rsidRDefault="00F86747" w:rsidP="00F86747">
      <w:r w:rsidRPr="008F30EE">
        <w:t>Your access point for business and academic services at UNT occurs at </w:t>
      </w:r>
      <w:hyperlink r:id="rId14" w:history="1">
        <w:r w:rsidRPr="008F30EE">
          <w:rPr>
            <w:rStyle w:val="Hyperlink"/>
          </w:rPr>
          <w:t>my.unt.edu</w:t>
        </w:r>
      </w:hyperlink>
      <w:r w:rsidRPr="008F30EE">
        <w:t xml:space="preserve">. All official communication from the university will be delivered to your Eagle Connect account.  For more information, please visit the website that explains Eagle Connect.  </w:t>
      </w:r>
    </w:p>
    <w:p w14:paraId="304DEA69" w14:textId="77777777" w:rsidR="00F86747" w:rsidRPr="008F30EE" w:rsidRDefault="00F86747" w:rsidP="00F86747">
      <w:r w:rsidRPr="008F30EE">
        <w:t xml:space="preserve">See:  </w:t>
      </w:r>
      <w:hyperlink r:id="rId15" w:history="1">
        <w:r w:rsidRPr="008F30EE">
          <w:rPr>
            <w:rStyle w:val="Hyperlink"/>
          </w:rPr>
          <w:t>Eagle Connect</w:t>
        </w:r>
      </w:hyperlink>
    </w:p>
    <w:p w14:paraId="38269523" w14:textId="77777777" w:rsidR="00F86747" w:rsidRPr="008F30EE" w:rsidRDefault="00F86747" w:rsidP="00F86747">
      <w:r w:rsidRPr="008F30EE">
        <w:t>LINK:   </w:t>
      </w:r>
      <w:hyperlink r:id="rId16" w:history="1">
        <w:r w:rsidRPr="008F30EE">
          <w:rPr>
            <w:rStyle w:val="Hyperlink"/>
          </w:rPr>
          <w:t>eagleconnect.unt.edu/</w:t>
        </w:r>
      </w:hyperlink>
      <w:r w:rsidRPr="008F30EE">
        <w:t> </w:t>
      </w:r>
    </w:p>
    <w:p w14:paraId="3B343522" w14:textId="77777777" w:rsidR="00F86747" w:rsidRPr="008F30EE" w:rsidRDefault="00F86747" w:rsidP="00F86747"/>
    <w:p w14:paraId="5CE735E3" w14:textId="77777777" w:rsidR="00F86747" w:rsidRPr="008F30EE" w:rsidRDefault="00F86747" w:rsidP="00F86747">
      <w:r w:rsidRPr="008F30EE">
        <w:rPr>
          <w:b/>
          <w:bCs/>
        </w:rPr>
        <w:t>ODA STATEMENT </w:t>
      </w:r>
    </w:p>
    <w:p w14:paraId="2D0B2BD2" w14:textId="2D344E1C" w:rsidR="00F86747" w:rsidRPr="008F30EE" w:rsidRDefault="00F86747" w:rsidP="00F86747">
      <w:pPr>
        <w:rPr>
          <w:color w:val="000000" w:themeColor="text1"/>
        </w:rPr>
      </w:pPr>
      <w:r w:rsidRPr="008F30EE">
        <w:rPr>
          <w:color w:val="000000" w:themeColor="text1"/>
        </w:rPr>
        <w:t>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w:t>
      </w:r>
      <w:r w:rsidRPr="008F30EE">
        <w:rPr>
          <w:rStyle w:val="apple-converted-space"/>
          <w:color w:val="000000" w:themeColor="text1"/>
        </w:rPr>
        <w:t> </w:t>
      </w:r>
      <w:r w:rsidRPr="008F30EE">
        <w:rPr>
          <w:color w:val="000000" w:themeColor="text1"/>
          <w:shd w:val="clear" w:color="auto" w:fill="FFFFFF"/>
        </w:rPr>
        <w:t>You can now request your </w:t>
      </w:r>
      <w:r w:rsidRPr="008F30EE">
        <w:rPr>
          <w:color w:val="000000" w:themeColor="text1"/>
        </w:rPr>
        <w:t>Letters</w:t>
      </w:r>
      <w:r w:rsidRPr="008F30EE">
        <w:rPr>
          <w:color w:val="000000" w:themeColor="text1"/>
          <w:shd w:val="clear" w:color="auto" w:fill="FFFFFF"/>
        </w:rPr>
        <w:t> of Accommodation ONLINE and </w:t>
      </w:r>
      <w:r w:rsidRPr="008F30EE">
        <w:rPr>
          <w:bCs/>
          <w:color w:val="000000" w:themeColor="text1"/>
        </w:rPr>
        <w:t>ODA</w:t>
      </w:r>
      <w:r w:rsidRPr="008F30EE">
        <w:rPr>
          <w:color w:val="000000" w:themeColor="text1"/>
          <w:shd w:val="clear" w:color="auto" w:fill="FFFFFF"/>
        </w:rPr>
        <w:t> will mail your Letters of Accommodation to your instructors.</w:t>
      </w:r>
      <w:r w:rsidRPr="008F30EE">
        <w:rPr>
          <w:rStyle w:val="apple-converted-space"/>
          <w:color w:val="000000" w:themeColor="text1"/>
          <w:shd w:val="clear" w:color="auto" w:fill="FFFFFF"/>
        </w:rPr>
        <w:t> </w:t>
      </w:r>
      <w:r w:rsidRPr="008F30EE">
        <w:rPr>
          <w:color w:val="000000" w:themeColor="text1"/>
          <w:shd w:val="clear" w:color="auto" w:fill="FFFFFF"/>
        </w:rPr>
        <w:t>You may wish</w:t>
      </w:r>
      <w:r w:rsidRPr="008F30EE">
        <w:rPr>
          <w:rStyle w:val="apple-converted-space"/>
          <w:color w:val="000000" w:themeColor="text1"/>
          <w:shd w:val="clear" w:color="auto" w:fill="FFFFFF"/>
        </w:rPr>
        <w:t> </w:t>
      </w:r>
      <w:r w:rsidRPr="008F30EE">
        <w:rPr>
          <w:color w:val="000000" w:themeColor="text1"/>
        </w:rPr>
        <w:t xml:space="preserve">to begin a private discussion with your professors regarding your specific needs in a course. Note that students must obtain a new letter of accommodation for every semester.  </w:t>
      </w:r>
      <w:r w:rsidRPr="008F30EE">
        <w:t>For additional information see the Office of Disability Access.</w:t>
      </w:r>
    </w:p>
    <w:p w14:paraId="209CCF6A" w14:textId="77777777" w:rsidR="00F86747" w:rsidRPr="008F30EE" w:rsidRDefault="00F86747" w:rsidP="00F86747">
      <w:r w:rsidRPr="008F30EE">
        <w:t xml:space="preserve">See:  </w:t>
      </w:r>
      <w:hyperlink r:id="rId17" w:history="1">
        <w:r w:rsidRPr="008F30EE">
          <w:rPr>
            <w:rStyle w:val="Hyperlink"/>
          </w:rPr>
          <w:t>ODA</w:t>
        </w:r>
      </w:hyperlink>
    </w:p>
    <w:p w14:paraId="3ACDCADB" w14:textId="77777777" w:rsidR="00F86747" w:rsidRPr="008F30EE" w:rsidRDefault="00F86747" w:rsidP="00F86747">
      <w:r w:rsidRPr="008F30EE">
        <w:t xml:space="preserve">LINK:  </w:t>
      </w:r>
      <w:hyperlink r:id="rId18" w:history="1">
        <w:r w:rsidRPr="008F30EE">
          <w:rPr>
            <w:rStyle w:val="Hyperlink"/>
          </w:rPr>
          <w:t>disability.unt.edu</w:t>
        </w:r>
      </w:hyperlink>
      <w:r w:rsidRPr="008F30EE">
        <w:t>. (Phone: (940) 565-4323)</w:t>
      </w:r>
    </w:p>
    <w:p w14:paraId="09D77744" w14:textId="77777777" w:rsidR="008D2551" w:rsidRPr="008F30EE" w:rsidRDefault="008D2551" w:rsidP="00F86747"/>
    <w:p w14:paraId="526D3F58" w14:textId="77777777" w:rsidR="009900BF" w:rsidRPr="008F30EE" w:rsidRDefault="009900BF" w:rsidP="00F86747"/>
    <w:p w14:paraId="5C5F5127" w14:textId="77777777" w:rsidR="00F86747" w:rsidRPr="008F30EE" w:rsidRDefault="00F86747" w:rsidP="00F86747">
      <w:pPr>
        <w:rPr>
          <w:b/>
          <w:bCs/>
        </w:rPr>
      </w:pPr>
      <w:r w:rsidRPr="008F30EE">
        <w:rPr>
          <w:b/>
          <w:bCs/>
        </w:rPr>
        <w:t>Health and Safety Information</w:t>
      </w:r>
    </w:p>
    <w:p w14:paraId="4FB93BDB" w14:textId="77777777" w:rsidR="00F86747" w:rsidRPr="008F30EE" w:rsidRDefault="00F86747" w:rsidP="00F86747">
      <w:r w:rsidRPr="008F30EE">
        <w:t xml:space="preserve">Students can access information about health and safety at:  </w:t>
      </w:r>
      <w:hyperlink r:id="rId19" w:tooltip="https://music.unt.edu/student-health-and-wellness" w:history="1">
        <w:r w:rsidRPr="008F30EE">
          <w:rPr>
            <w:rStyle w:val="Hyperlink"/>
            <w:color w:val="0563C1"/>
          </w:rPr>
          <w:t>https://music.unt.edu/student-health-and-wellness</w:t>
        </w:r>
      </w:hyperlink>
    </w:p>
    <w:p w14:paraId="103A0F9C" w14:textId="77777777" w:rsidR="00F86747" w:rsidRPr="008F30EE" w:rsidRDefault="00F86747" w:rsidP="00F86747"/>
    <w:p w14:paraId="1E759F5A" w14:textId="77777777" w:rsidR="00F86747" w:rsidRPr="008F30EE" w:rsidRDefault="00F86747" w:rsidP="00F86747">
      <w:pPr>
        <w:rPr>
          <w:b/>
          <w:bCs/>
        </w:rPr>
      </w:pPr>
      <w:r w:rsidRPr="008F30EE">
        <w:rPr>
          <w:b/>
          <w:bCs/>
        </w:rPr>
        <w:t>Registration Information for Students</w:t>
      </w:r>
    </w:p>
    <w:p w14:paraId="216F04B5" w14:textId="77777777" w:rsidR="00F86747" w:rsidRPr="008F30EE" w:rsidRDefault="00F86747" w:rsidP="00F86747">
      <w:r w:rsidRPr="008F30EE">
        <w:t xml:space="preserve">See:  </w:t>
      </w:r>
      <w:hyperlink r:id="rId20" w:history="1">
        <w:r w:rsidRPr="008F30EE">
          <w:rPr>
            <w:rStyle w:val="Hyperlink"/>
          </w:rPr>
          <w:t>Registration Information</w:t>
        </w:r>
      </w:hyperlink>
    </w:p>
    <w:p w14:paraId="3B145265" w14:textId="77777777" w:rsidR="00F86747" w:rsidRPr="008F30EE" w:rsidRDefault="00F86747" w:rsidP="00F86747">
      <w:r w:rsidRPr="008F30EE">
        <w:t xml:space="preserve">Link:  </w:t>
      </w:r>
      <w:hyperlink r:id="rId21" w:history="1">
        <w:r w:rsidRPr="008F30EE">
          <w:rPr>
            <w:rStyle w:val="Hyperlink"/>
          </w:rPr>
          <w:t>https://registrar.unt.edu/students</w:t>
        </w:r>
      </w:hyperlink>
    </w:p>
    <w:p w14:paraId="15A9C0D7" w14:textId="77777777" w:rsidR="00F86747" w:rsidRPr="008F30EE" w:rsidRDefault="00F86747" w:rsidP="00F86747"/>
    <w:p w14:paraId="2C57AAE9" w14:textId="048DFB21" w:rsidR="00F86747" w:rsidRPr="008F30EE" w:rsidRDefault="00F86747" w:rsidP="00F86747">
      <w:pPr>
        <w:rPr>
          <w:b/>
          <w:bCs/>
        </w:rPr>
      </w:pPr>
      <w:r w:rsidRPr="008F30EE">
        <w:rPr>
          <w:b/>
          <w:bCs/>
        </w:rPr>
        <w:t xml:space="preserve">Academic Calendar, </w:t>
      </w:r>
      <w:r w:rsidR="002D0092" w:rsidRPr="008F30EE">
        <w:rPr>
          <w:b/>
          <w:bCs/>
        </w:rPr>
        <w:t>Fall</w:t>
      </w:r>
      <w:r w:rsidR="00790B4E" w:rsidRPr="008F30EE">
        <w:rPr>
          <w:b/>
          <w:bCs/>
        </w:rPr>
        <w:t xml:space="preserve"> 2024</w:t>
      </w:r>
    </w:p>
    <w:p w14:paraId="3A4465F7" w14:textId="60AEB407" w:rsidR="00F86747" w:rsidRPr="008F30EE" w:rsidRDefault="00F86747" w:rsidP="00F86747">
      <w:pPr>
        <w:rPr>
          <w:bCs/>
        </w:rPr>
      </w:pPr>
      <w:r w:rsidRPr="008F30EE">
        <w:rPr>
          <w:bCs/>
        </w:rPr>
        <w:t xml:space="preserve">See:  </w:t>
      </w:r>
      <w:hyperlink r:id="rId22" w:history="1">
        <w:r w:rsidR="002D0092" w:rsidRPr="008F30EE">
          <w:rPr>
            <w:rStyle w:val="Hyperlink"/>
            <w:bCs/>
          </w:rPr>
          <w:t>Fall 2024 Academic Calendar</w:t>
        </w:r>
      </w:hyperlink>
      <w:r w:rsidR="002D0092" w:rsidRPr="008F30EE">
        <w:rPr>
          <w:bCs/>
        </w:rPr>
        <w:t xml:space="preserve"> </w:t>
      </w:r>
    </w:p>
    <w:p w14:paraId="6D088CD8" w14:textId="77AA562F" w:rsidR="00F86747" w:rsidRPr="008F30EE" w:rsidRDefault="00F86747" w:rsidP="00F86747">
      <w:r w:rsidRPr="008F30EE">
        <w:t xml:space="preserve">Link:  </w:t>
      </w:r>
      <w:hyperlink r:id="rId23" w:history="1">
        <w:r w:rsidR="002D0092" w:rsidRPr="008F30EE">
          <w:rPr>
            <w:rStyle w:val="Hyperlink"/>
          </w:rPr>
          <w:t>https://registrar.unt.edu/sites/default/files/fall-2024-academic-calendar.pdf</w:t>
        </w:r>
      </w:hyperlink>
      <w:r w:rsidR="002D0092" w:rsidRPr="008F30EE">
        <w:t xml:space="preserve"> </w:t>
      </w:r>
    </w:p>
    <w:p w14:paraId="7C102BAF" w14:textId="77777777" w:rsidR="00F86747" w:rsidRPr="008F30EE" w:rsidRDefault="00F86747" w:rsidP="00F86747"/>
    <w:p w14:paraId="1368C419" w14:textId="137E4A0B" w:rsidR="00F86747" w:rsidRPr="008F30EE" w:rsidRDefault="00F86747" w:rsidP="00F86747">
      <w:pPr>
        <w:rPr>
          <w:b/>
          <w:bCs/>
        </w:rPr>
      </w:pPr>
      <w:r w:rsidRPr="008F30EE">
        <w:rPr>
          <w:b/>
          <w:bCs/>
        </w:rPr>
        <w:t xml:space="preserve">Final Exam Schedule, </w:t>
      </w:r>
      <w:r w:rsidR="002D0092" w:rsidRPr="008F30EE">
        <w:rPr>
          <w:b/>
          <w:bCs/>
        </w:rPr>
        <w:t>Fall</w:t>
      </w:r>
      <w:r w:rsidR="00790B4E" w:rsidRPr="008F30EE">
        <w:rPr>
          <w:b/>
          <w:bCs/>
        </w:rPr>
        <w:t xml:space="preserve"> 2024</w:t>
      </w:r>
    </w:p>
    <w:p w14:paraId="3537BFBC" w14:textId="791D2429" w:rsidR="00F86747" w:rsidRPr="008F30EE" w:rsidRDefault="00F86747" w:rsidP="00F86747">
      <w:r w:rsidRPr="008F30EE">
        <w:t>See above</w:t>
      </w:r>
    </w:p>
    <w:p w14:paraId="0099E16B" w14:textId="77777777" w:rsidR="00F86747" w:rsidRPr="008F30EE" w:rsidRDefault="00F86747" w:rsidP="00F86747">
      <w:pPr>
        <w:rPr>
          <w:b/>
          <w:bCs/>
        </w:rPr>
      </w:pPr>
    </w:p>
    <w:p w14:paraId="2A697886" w14:textId="77777777" w:rsidR="00F86747" w:rsidRPr="008F30EE" w:rsidRDefault="00F86747" w:rsidP="00F86747">
      <w:r w:rsidRPr="008F30EE">
        <w:rPr>
          <w:b/>
          <w:bCs/>
        </w:rPr>
        <w:t>Financial Aid and Satisfactory Academic Progress</w:t>
      </w:r>
    </w:p>
    <w:p w14:paraId="2B417E6E" w14:textId="77777777" w:rsidR="00F86747" w:rsidRPr="008F30EE" w:rsidRDefault="00F86747" w:rsidP="00F86747">
      <w:pPr>
        <w:rPr>
          <w:u w:val="single"/>
        </w:rPr>
      </w:pPr>
    </w:p>
    <w:p w14:paraId="0A9C0776" w14:textId="77777777" w:rsidR="00F86747" w:rsidRPr="008F30EE" w:rsidRDefault="00F86747" w:rsidP="00F86747">
      <w:r w:rsidRPr="008F30EE">
        <w:rPr>
          <w:u w:val="single"/>
        </w:rPr>
        <w:t>Undergraduates</w:t>
      </w:r>
    </w:p>
    <w:p w14:paraId="1ED6EC42" w14:textId="77777777" w:rsidR="00F86747" w:rsidRPr="008F30EE" w:rsidRDefault="00F86747" w:rsidP="00F86747">
      <w:r w:rsidRPr="008F30EE">
        <w:t>A student must maintain Satisfactory Academic Progress (SAP) to continue to receive financial aid.  Students must maintain a minimum 2.0 cumulative GPA in addition to successfully completing a required number of credit hours based on total hours registered.   Students cannot exceed attempted credit hours above 150% of their required degree plan.  If a student does not maintain the required standards, the student may lose their financial aid eligibility.</w:t>
      </w:r>
    </w:p>
    <w:p w14:paraId="36326C84" w14:textId="77777777" w:rsidR="00F86747" w:rsidRPr="008F30EE" w:rsidRDefault="00F86747" w:rsidP="00F86747"/>
    <w:p w14:paraId="4779DF8E" w14:textId="77777777" w:rsidR="00F86747" w:rsidRPr="008F30EE" w:rsidRDefault="00F86747" w:rsidP="00F86747">
      <w:r w:rsidRPr="008F30EE">
        <w:t>Students holding music scholarships must maintain a minimum 2.5 overall cumulative GPA and 3.0 cumulative GPA in music courses.</w:t>
      </w:r>
    </w:p>
    <w:p w14:paraId="2982136B" w14:textId="77777777" w:rsidR="00F86747" w:rsidRPr="008F30EE" w:rsidRDefault="00F86747" w:rsidP="00F86747"/>
    <w:p w14:paraId="7E2FB89F" w14:textId="77777777" w:rsidR="00F86747" w:rsidRPr="008F30EE" w:rsidRDefault="00F86747" w:rsidP="00F86747">
      <w:r w:rsidRPr="008F30EE">
        <w:t>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before doing so.</w:t>
      </w:r>
    </w:p>
    <w:p w14:paraId="07CABA47" w14:textId="77777777" w:rsidR="00F86747" w:rsidRPr="008F30EE" w:rsidRDefault="00F86747" w:rsidP="00F86747">
      <w:r w:rsidRPr="008F30EE">
        <w:t xml:space="preserve">See:  </w:t>
      </w:r>
      <w:hyperlink r:id="rId24" w:history="1">
        <w:r w:rsidRPr="008F30EE">
          <w:rPr>
            <w:rStyle w:val="Hyperlink"/>
          </w:rPr>
          <w:t>Financial Aid</w:t>
        </w:r>
      </w:hyperlink>
    </w:p>
    <w:p w14:paraId="0758FBDB" w14:textId="77777777" w:rsidR="00F86747" w:rsidRPr="008F30EE" w:rsidRDefault="00F86747" w:rsidP="00F86747">
      <w:r w:rsidRPr="008F30EE">
        <w:t xml:space="preserve">LINK:   </w:t>
      </w:r>
      <w:hyperlink r:id="rId25" w:history="1">
        <w:r w:rsidRPr="008F30EE">
          <w:rPr>
            <w:rStyle w:val="Hyperlink"/>
          </w:rPr>
          <w:t>http://financialaid.unt.edu/sap</w:t>
        </w:r>
      </w:hyperlink>
    </w:p>
    <w:p w14:paraId="7BC2ADA9" w14:textId="77777777" w:rsidR="00F86747" w:rsidRPr="008F30EE" w:rsidRDefault="00F86747" w:rsidP="00F86747">
      <w:r w:rsidRPr="008F30EE">
        <w:t> </w:t>
      </w:r>
    </w:p>
    <w:p w14:paraId="768D39EE" w14:textId="77777777" w:rsidR="00F86747" w:rsidRPr="008F30EE" w:rsidRDefault="00F86747" w:rsidP="00F86747">
      <w:r w:rsidRPr="008F30EE">
        <w:rPr>
          <w:u w:val="single"/>
        </w:rPr>
        <w:t>Graduates</w:t>
      </w:r>
    </w:p>
    <w:p w14:paraId="22F46450" w14:textId="77777777" w:rsidR="00F86747" w:rsidRPr="008F30EE" w:rsidRDefault="00F86747" w:rsidP="00F86747">
      <w:r w:rsidRPr="008F30EE">
        <w:t xml:space="preserve">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   </w:t>
      </w:r>
    </w:p>
    <w:p w14:paraId="14B9067D" w14:textId="77777777" w:rsidR="00F86747" w:rsidRPr="008F30EE" w:rsidRDefault="00F86747" w:rsidP="00F86747"/>
    <w:p w14:paraId="193AB072" w14:textId="77777777" w:rsidR="00F86747" w:rsidRPr="008F30EE" w:rsidRDefault="00F86747" w:rsidP="00F86747">
      <w:r w:rsidRPr="008F30EE">
        <w:t>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w:t>
      </w:r>
    </w:p>
    <w:p w14:paraId="7B8FC061" w14:textId="77777777" w:rsidR="00F86747" w:rsidRPr="008F30EE" w:rsidRDefault="00F86747" w:rsidP="00F86747">
      <w:r w:rsidRPr="008F30EE">
        <w:t xml:space="preserve">See:  </w:t>
      </w:r>
      <w:hyperlink r:id="rId26" w:history="1">
        <w:r w:rsidRPr="008F30EE">
          <w:rPr>
            <w:rStyle w:val="Hyperlink"/>
          </w:rPr>
          <w:t>Financial Aid</w:t>
        </w:r>
      </w:hyperlink>
    </w:p>
    <w:p w14:paraId="54D44791" w14:textId="77777777" w:rsidR="00F86747" w:rsidRPr="008F30EE" w:rsidRDefault="00F86747" w:rsidP="00F86747">
      <w:r w:rsidRPr="008F30EE">
        <w:t xml:space="preserve">LINK:   </w:t>
      </w:r>
      <w:hyperlink r:id="rId27" w:history="1">
        <w:r w:rsidRPr="008F30EE">
          <w:rPr>
            <w:rStyle w:val="Hyperlink"/>
          </w:rPr>
          <w:t>http://financialaid.unt.edu/sap</w:t>
        </w:r>
      </w:hyperlink>
    </w:p>
    <w:p w14:paraId="6ECA691A" w14:textId="77777777" w:rsidR="00F86747" w:rsidRPr="008F30EE" w:rsidRDefault="00F86747" w:rsidP="00F86747"/>
    <w:p w14:paraId="662F0C12" w14:textId="77777777" w:rsidR="00F86747" w:rsidRPr="008F30EE" w:rsidRDefault="00F86747" w:rsidP="00F86747">
      <w:r w:rsidRPr="008F30EE">
        <w:rPr>
          <w:b/>
          <w:bCs/>
        </w:rPr>
        <w:t>RETENTION OF STUDENT RECORDS </w:t>
      </w:r>
    </w:p>
    <w:p w14:paraId="35EEF1AC" w14:textId="77777777" w:rsidR="00F86747" w:rsidRPr="008F30EE" w:rsidRDefault="00F86747" w:rsidP="00F86747">
      <w:r w:rsidRPr="008F30EE">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w:t>
      </w:r>
    </w:p>
    <w:p w14:paraId="2ABA12E0" w14:textId="77777777" w:rsidR="00F86747" w:rsidRPr="008F30EE" w:rsidRDefault="00F86747" w:rsidP="00F86747">
      <w:r w:rsidRPr="008F30EE">
        <w:lastRenderedPageBreak/>
        <w:t xml:space="preserve">See:  </w:t>
      </w:r>
      <w:hyperlink r:id="rId28" w:history="1">
        <w:r w:rsidRPr="008F30EE">
          <w:rPr>
            <w:rStyle w:val="Hyperlink"/>
          </w:rPr>
          <w:t>FERPA</w:t>
        </w:r>
      </w:hyperlink>
    </w:p>
    <w:p w14:paraId="3F72E87A" w14:textId="77777777" w:rsidR="00F86747" w:rsidRPr="008F30EE" w:rsidRDefault="00F86747" w:rsidP="00F86747">
      <w:r w:rsidRPr="008F30EE">
        <w:t>Link: </w:t>
      </w:r>
      <w:hyperlink r:id="rId29" w:history="1">
        <w:r w:rsidRPr="008F30EE">
          <w:rPr>
            <w:rStyle w:val="Hyperlink"/>
          </w:rPr>
          <w:t>http://ferpa.unt.edu/</w:t>
        </w:r>
      </w:hyperlink>
    </w:p>
    <w:p w14:paraId="364D66A3" w14:textId="77777777" w:rsidR="00F86747" w:rsidRPr="008F30EE" w:rsidRDefault="00F86747" w:rsidP="00F86747"/>
    <w:p w14:paraId="52675EA5" w14:textId="77777777" w:rsidR="00F86747" w:rsidRPr="008F30EE" w:rsidRDefault="00F86747" w:rsidP="00F86747">
      <w:pPr>
        <w:rPr>
          <w:b/>
          <w:bCs/>
          <w:color w:val="000000" w:themeColor="text1"/>
        </w:rPr>
      </w:pPr>
      <w:r w:rsidRPr="008F30EE">
        <w:rPr>
          <w:b/>
          <w:bCs/>
          <w:color w:val="000000" w:themeColor="text1"/>
        </w:rPr>
        <w:t>COUNSELING AND TESTING</w:t>
      </w:r>
    </w:p>
    <w:p w14:paraId="62A6BB34" w14:textId="52990A5D" w:rsidR="00F86747" w:rsidRPr="008F30EE" w:rsidRDefault="00F86747" w:rsidP="00F86747">
      <w:pPr>
        <w:rPr>
          <w:bCs/>
          <w:color w:val="000000" w:themeColor="text1"/>
        </w:rPr>
      </w:pPr>
      <w:r w:rsidRPr="008F30EE">
        <w:rPr>
          <w:bCs/>
          <w:color w:val="000000" w:themeColor="text1"/>
        </w:rPr>
        <w:t xml:space="preserve">UNT’s Center for Counseling and Testing has an available counselor </w:t>
      </w:r>
      <w:r w:rsidR="00B65C9F" w:rsidRPr="008F30EE">
        <w:rPr>
          <w:bCs/>
          <w:color w:val="000000" w:themeColor="text1"/>
        </w:rPr>
        <w:t xml:space="preserve">for students in need. </w:t>
      </w:r>
      <w:r w:rsidRPr="008F30EE">
        <w:rPr>
          <w:bCs/>
          <w:color w:val="000000" w:themeColor="text1"/>
        </w:rPr>
        <w:t xml:space="preserve"> Please visit the Center’s website for further information: </w:t>
      </w:r>
    </w:p>
    <w:p w14:paraId="31689CDF" w14:textId="77777777" w:rsidR="00F86747" w:rsidRPr="008F30EE" w:rsidRDefault="00F86747" w:rsidP="00F86747">
      <w:pPr>
        <w:rPr>
          <w:bCs/>
          <w:color w:val="000000" w:themeColor="text1"/>
        </w:rPr>
      </w:pPr>
      <w:r w:rsidRPr="008F30EE">
        <w:rPr>
          <w:bCs/>
          <w:color w:val="000000" w:themeColor="text1"/>
        </w:rPr>
        <w:t xml:space="preserve">See: </w:t>
      </w:r>
      <w:hyperlink r:id="rId30" w:history="1">
        <w:r w:rsidRPr="008F30EE">
          <w:rPr>
            <w:rStyle w:val="Hyperlink"/>
            <w:bCs/>
            <w:color w:val="000000" w:themeColor="text1"/>
          </w:rPr>
          <w:t>Counseling and Testing</w:t>
        </w:r>
      </w:hyperlink>
    </w:p>
    <w:p w14:paraId="1556EED5" w14:textId="77777777" w:rsidR="00F86747" w:rsidRPr="008F30EE" w:rsidRDefault="00F86747" w:rsidP="00F86747">
      <w:pPr>
        <w:rPr>
          <w:bCs/>
          <w:color w:val="000000" w:themeColor="text1"/>
        </w:rPr>
      </w:pPr>
      <w:r w:rsidRPr="008F30EE">
        <w:rPr>
          <w:color w:val="000000" w:themeColor="text1"/>
        </w:rPr>
        <w:t xml:space="preserve">Link:  </w:t>
      </w:r>
      <w:hyperlink r:id="rId31" w:history="1">
        <w:r w:rsidRPr="008F30EE">
          <w:rPr>
            <w:rStyle w:val="Hyperlink"/>
            <w:bCs/>
            <w:color w:val="000000" w:themeColor="text1"/>
          </w:rPr>
          <w:t>http://studentaffairs.unt.edu/counseling-and-testing-services</w:t>
        </w:r>
      </w:hyperlink>
      <w:r w:rsidRPr="008F30EE">
        <w:rPr>
          <w:bCs/>
          <w:color w:val="000000" w:themeColor="text1"/>
        </w:rPr>
        <w:t xml:space="preserve">.  </w:t>
      </w:r>
    </w:p>
    <w:p w14:paraId="4315105C" w14:textId="77777777" w:rsidR="00F86747" w:rsidRPr="008F30EE" w:rsidRDefault="00F86747" w:rsidP="00F86747">
      <w:pPr>
        <w:rPr>
          <w:bCs/>
        </w:rPr>
      </w:pPr>
    </w:p>
    <w:p w14:paraId="1A216EFE" w14:textId="09C2D594" w:rsidR="00F86747" w:rsidRPr="008F30EE" w:rsidRDefault="00F86747" w:rsidP="00F86747">
      <w:pPr>
        <w:rPr>
          <w:bCs/>
        </w:rPr>
      </w:pPr>
      <w:r w:rsidRPr="008F30EE">
        <w:rPr>
          <w:bCs/>
        </w:rPr>
        <w:t xml:space="preserve">For more information on mental health </w:t>
      </w:r>
      <w:r w:rsidR="00AD46DF" w:rsidRPr="008F30EE">
        <w:rPr>
          <w:bCs/>
        </w:rPr>
        <w:t>resources</w:t>
      </w:r>
      <w:r w:rsidRPr="008F30EE">
        <w:rPr>
          <w:bCs/>
        </w:rPr>
        <w:t xml:space="preserve">, please visit:  </w:t>
      </w:r>
    </w:p>
    <w:p w14:paraId="0FABCA63" w14:textId="3534867A" w:rsidR="00F86747" w:rsidRPr="008F30EE" w:rsidRDefault="00F86747" w:rsidP="00F86747">
      <w:pPr>
        <w:rPr>
          <w:bCs/>
        </w:rPr>
      </w:pPr>
      <w:r w:rsidRPr="008F30EE">
        <w:rPr>
          <w:bCs/>
        </w:rPr>
        <w:t xml:space="preserve">See: </w:t>
      </w:r>
      <w:hyperlink r:id="rId32" w:history="1">
        <w:r w:rsidR="00AD46DF" w:rsidRPr="008F30EE">
          <w:rPr>
            <w:rStyle w:val="Hyperlink"/>
            <w:bCs/>
          </w:rPr>
          <w:t xml:space="preserve"> Mental Health Resources</w:t>
        </w:r>
      </w:hyperlink>
    </w:p>
    <w:p w14:paraId="4C7FEFB6" w14:textId="1E503203" w:rsidR="00F86747" w:rsidRPr="008F30EE" w:rsidRDefault="00F86747" w:rsidP="00F86747">
      <w:pPr>
        <w:rPr>
          <w:bCs/>
        </w:rPr>
      </w:pPr>
      <w:r w:rsidRPr="008F30EE">
        <w:rPr>
          <w:bCs/>
        </w:rPr>
        <w:t xml:space="preserve">Link:  </w:t>
      </w:r>
      <w:hyperlink r:id="rId33" w:history="1">
        <w:r w:rsidR="00AD46DF" w:rsidRPr="008F30EE">
          <w:rPr>
            <w:rStyle w:val="Hyperlink"/>
          </w:rPr>
          <w:t>https://disparities.unt.edu/mental-health-resources</w:t>
        </w:r>
      </w:hyperlink>
      <w:r w:rsidR="00AD46DF" w:rsidRPr="008F30EE">
        <w:t xml:space="preserve"> </w:t>
      </w:r>
    </w:p>
    <w:p w14:paraId="2213DD72" w14:textId="77777777" w:rsidR="00F86747" w:rsidRPr="008F30EE" w:rsidRDefault="00F86747" w:rsidP="00F86747"/>
    <w:p w14:paraId="6F2318B5" w14:textId="77777777" w:rsidR="00F86747" w:rsidRPr="008F30EE" w:rsidRDefault="00F86747" w:rsidP="00F86747">
      <w:pPr>
        <w:rPr>
          <w:b/>
          <w:bCs/>
        </w:rPr>
      </w:pPr>
      <w:r w:rsidRPr="008F30EE">
        <w:rPr>
          <w:b/>
          <w:bCs/>
        </w:rPr>
        <w:t>ADD/DROP POLICY</w:t>
      </w:r>
    </w:p>
    <w:p w14:paraId="3077BDBC" w14:textId="4BC91330" w:rsidR="00F86747" w:rsidRPr="008F30EE" w:rsidRDefault="00F86747" w:rsidP="00F86747">
      <w:pPr>
        <w:rPr>
          <w:bCs/>
        </w:rPr>
      </w:pPr>
      <w:r w:rsidRPr="008F30EE">
        <w:rPr>
          <w:bCs/>
        </w:rPr>
        <w:t xml:space="preserve">Please be reminded that dropping classes or failing to complete and pass registered hours may make you ineligible for financial aid.  In addition, if you drop below half-time </w:t>
      </w:r>
      <w:proofErr w:type="gramStart"/>
      <w:r w:rsidRPr="008F30EE">
        <w:rPr>
          <w:bCs/>
        </w:rPr>
        <w:t>enrollment</w:t>
      </w:r>
      <w:proofErr w:type="gramEnd"/>
      <w:r w:rsidRPr="008F30EE">
        <w:rPr>
          <w:bCs/>
        </w:rPr>
        <w:t xml:space="preserve"> you may be required to begin paying back your student loans.  </w:t>
      </w:r>
      <w:r w:rsidRPr="008F30EE">
        <w:rPr>
          <w:bCs/>
          <w:color w:val="000000" w:themeColor="text1"/>
        </w:rPr>
        <w:t xml:space="preserve">See Academic Calendar (listed above) for additional add/drop </w:t>
      </w:r>
      <w:r w:rsidRPr="008F30EE">
        <w:rPr>
          <w:bCs/>
        </w:rPr>
        <w:t xml:space="preserve">Information.  </w:t>
      </w:r>
    </w:p>
    <w:p w14:paraId="7CB69103" w14:textId="77777777" w:rsidR="00F86747" w:rsidRPr="008F30EE" w:rsidRDefault="00F86747" w:rsidP="00F86747">
      <w:pPr>
        <w:rPr>
          <w:bCs/>
        </w:rPr>
      </w:pPr>
    </w:p>
    <w:p w14:paraId="736A303A" w14:textId="392F52FB" w:rsidR="008D2551" w:rsidRPr="008F30EE" w:rsidRDefault="00F86747" w:rsidP="00F86747">
      <w:r w:rsidRPr="008F30EE">
        <w:rPr>
          <w:bCs/>
        </w:rPr>
        <w:t xml:space="preserve">Drop Information:  </w:t>
      </w:r>
      <w:hyperlink r:id="rId34" w:history="1">
        <w:r w:rsidR="002D0092" w:rsidRPr="008F30EE">
          <w:rPr>
            <w:rStyle w:val="Hyperlink"/>
          </w:rPr>
          <w:t>https://registrar.unt.edu/registration/fall-academic-calendar.html</w:t>
        </w:r>
      </w:hyperlink>
    </w:p>
    <w:p w14:paraId="5A20491F" w14:textId="77777777" w:rsidR="002D0092" w:rsidRPr="008F30EE" w:rsidRDefault="002D0092" w:rsidP="00F86747">
      <w:pPr>
        <w:rPr>
          <w:bCs/>
        </w:rPr>
      </w:pPr>
    </w:p>
    <w:p w14:paraId="4E950DC6" w14:textId="77777777" w:rsidR="00F86747" w:rsidRPr="008F30EE" w:rsidRDefault="00F86747" w:rsidP="00F86747">
      <w:pPr>
        <w:rPr>
          <w:b/>
          <w:bCs/>
        </w:rPr>
      </w:pPr>
      <w:r w:rsidRPr="008F30EE">
        <w:rPr>
          <w:b/>
          <w:bCs/>
        </w:rPr>
        <w:t>STUDENT RESOURCES</w:t>
      </w:r>
    </w:p>
    <w:p w14:paraId="473E43F0" w14:textId="77777777" w:rsidR="00F86747" w:rsidRPr="008F30EE" w:rsidRDefault="00F86747" w:rsidP="00F86747">
      <w:r w:rsidRPr="008F30EE">
        <w:t>The University of North Texas has many resources available to students.  For a complete list, go to:</w:t>
      </w:r>
    </w:p>
    <w:p w14:paraId="3AC13451" w14:textId="77777777" w:rsidR="00F86747" w:rsidRPr="008F30EE" w:rsidRDefault="00F86747" w:rsidP="00F86747">
      <w:r w:rsidRPr="008F30EE">
        <w:t xml:space="preserve">See:  </w:t>
      </w:r>
      <w:hyperlink r:id="rId35" w:history="1">
        <w:r w:rsidRPr="008F30EE">
          <w:rPr>
            <w:rStyle w:val="Hyperlink"/>
          </w:rPr>
          <w:t>Student Resources</w:t>
        </w:r>
      </w:hyperlink>
    </w:p>
    <w:p w14:paraId="2100D102" w14:textId="77777777" w:rsidR="00F86747" w:rsidRPr="008F30EE" w:rsidRDefault="00F86747" w:rsidP="00F86747">
      <w:r w:rsidRPr="008F30EE">
        <w:t xml:space="preserve">Link:   </w:t>
      </w:r>
      <w:hyperlink r:id="rId36" w:history="1">
        <w:r w:rsidRPr="008F30EE">
          <w:rPr>
            <w:rStyle w:val="Hyperlink"/>
          </w:rPr>
          <w:t>https://success.unt.edu/aa-sa-resources</w:t>
        </w:r>
      </w:hyperlink>
    </w:p>
    <w:p w14:paraId="51E0DCFD" w14:textId="77777777" w:rsidR="00F86747" w:rsidRPr="008F30EE" w:rsidRDefault="00F86747" w:rsidP="00F86747"/>
    <w:p w14:paraId="3A8AC5EE" w14:textId="77777777" w:rsidR="00F86747" w:rsidRPr="008F30EE" w:rsidRDefault="00F86747" w:rsidP="00F86747">
      <w:pPr>
        <w:rPr>
          <w:b/>
          <w:bCs/>
        </w:rPr>
      </w:pPr>
      <w:r w:rsidRPr="008F30EE">
        <w:rPr>
          <w:b/>
          <w:bCs/>
        </w:rPr>
        <w:t>CARE TEAM</w:t>
      </w:r>
    </w:p>
    <w:p w14:paraId="78D80423" w14:textId="77777777" w:rsidR="00F86747" w:rsidRPr="008F30EE" w:rsidRDefault="00F86747" w:rsidP="00F86747">
      <w:r w:rsidRPr="008F30EE">
        <w:t>The Care Team is a collaborative interdisciplinary committee of university officials that meets regularly to provide a response to student, staff, and faculty whose behavior could be harmful to themselves or others.</w:t>
      </w:r>
    </w:p>
    <w:p w14:paraId="1223BA43" w14:textId="77777777" w:rsidR="00F86747" w:rsidRPr="008F30EE" w:rsidRDefault="00F86747" w:rsidP="00F86747">
      <w:r w:rsidRPr="008F30EE">
        <w:t xml:space="preserve">See:  </w:t>
      </w:r>
      <w:hyperlink r:id="rId37" w:history="1">
        <w:r w:rsidRPr="008F30EE">
          <w:rPr>
            <w:rStyle w:val="Hyperlink"/>
          </w:rPr>
          <w:t>Care Team</w:t>
        </w:r>
      </w:hyperlink>
    </w:p>
    <w:p w14:paraId="7FAD6671" w14:textId="77777777" w:rsidR="00F86747" w:rsidRPr="008F30EE" w:rsidRDefault="00F86747" w:rsidP="00F86747">
      <w:r w:rsidRPr="008F30EE">
        <w:t xml:space="preserve">Link:  </w:t>
      </w:r>
      <w:hyperlink r:id="rId38" w:history="1">
        <w:r w:rsidRPr="008F30EE">
          <w:rPr>
            <w:rStyle w:val="Hyperlink"/>
          </w:rPr>
          <w:t>https://studentaffairs.unt.edu/care-team</w:t>
        </w:r>
      </w:hyperlink>
    </w:p>
    <w:p w14:paraId="66F56FEF" w14:textId="77777777" w:rsidR="001B3852" w:rsidRPr="008F30EE" w:rsidRDefault="001B3852"/>
    <w:sectPr w:rsidR="001B3852" w:rsidRPr="008F30EE" w:rsidSect="001E0F8D">
      <w:footerReference w:type="even" r:id="rId39"/>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772D1" w14:textId="77777777" w:rsidR="00EF631F" w:rsidRDefault="00EF631F" w:rsidP="00FC0D98">
      <w:r>
        <w:separator/>
      </w:r>
    </w:p>
  </w:endnote>
  <w:endnote w:type="continuationSeparator" w:id="0">
    <w:p w14:paraId="608FE1DA" w14:textId="77777777" w:rsidR="00EF631F" w:rsidRDefault="00EF631F" w:rsidP="00FC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27686762"/>
      <w:docPartObj>
        <w:docPartGallery w:val="Page Numbers (Bottom of Page)"/>
        <w:docPartUnique/>
      </w:docPartObj>
    </w:sdtPr>
    <w:sdtContent>
      <w:p w14:paraId="658DEF11" w14:textId="13397743" w:rsidR="00FC0D98" w:rsidRDefault="00FC0D98" w:rsidP="00C90C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775F41" w14:textId="77777777" w:rsidR="00FC0D98" w:rsidRDefault="00FC0D98" w:rsidP="00FC0D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14909257"/>
      <w:docPartObj>
        <w:docPartGallery w:val="Page Numbers (Bottom of Page)"/>
        <w:docPartUnique/>
      </w:docPartObj>
    </w:sdtPr>
    <w:sdtContent>
      <w:p w14:paraId="124E0A73" w14:textId="3A5961B2" w:rsidR="00FC0D98" w:rsidRDefault="00FC0D98" w:rsidP="00C90C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74424" w14:textId="77777777" w:rsidR="00FC0D98" w:rsidRDefault="00FC0D98" w:rsidP="00FC0D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3333E" w14:textId="77777777" w:rsidR="00EF631F" w:rsidRDefault="00EF631F" w:rsidP="00FC0D98">
      <w:r>
        <w:separator/>
      </w:r>
    </w:p>
  </w:footnote>
  <w:footnote w:type="continuationSeparator" w:id="0">
    <w:p w14:paraId="1AA37F26" w14:textId="77777777" w:rsidR="00EF631F" w:rsidRDefault="00EF631F" w:rsidP="00FC0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C099E"/>
    <w:multiLevelType w:val="hybridMultilevel"/>
    <w:tmpl w:val="27646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30F6C"/>
    <w:multiLevelType w:val="hybridMultilevel"/>
    <w:tmpl w:val="C1B83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24CA3"/>
    <w:multiLevelType w:val="hybridMultilevel"/>
    <w:tmpl w:val="C5E21A34"/>
    <w:lvl w:ilvl="0" w:tplc="0409000F">
      <w:start w:val="1"/>
      <w:numFmt w:val="decimal"/>
      <w:lvlText w:val="%1."/>
      <w:lvlJc w:val="left"/>
      <w:pPr>
        <w:ind w:left="720" w:hanging="360"/>
      </w:pPr>
      <w:rPr>
        <w:rFonts w:hint="default"/>
        <w:b w:val="0"/>
      </w:rPr>
    </w:lvl>
    <w:lvl w:ilvl="1" w:tplc="88743020">
      <w:start w:val="1"/>
      <w:numFmt w:val="decimal"/>
      <w:lvlText w:val="%2."/>
      <w:lvlJc w:val="left"/>
      <w:pPr>
        <w:ind w:left="126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80D76"/>
    <w:multiLevelType w:val="hybridMultilevel"/>
    <w:tmpl w:val="EC5E6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A011CE"/>
    <w:multiLevelType w:val="hybridMultilevel"/>
    <w:tmpl w:val="6986D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C6DE8"/>
    <w:multiLevelType w:val="hybridMultilevel"/>
    <w:tmpl w:val="7402E978"/>
    <w:lvl w:ilvl="0" w:tplc="BEAEAD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550D72"/>
    <w:multiLevelType w:val="hybridMultilevel"/>
    <w:tmpl w:val="81E6E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AB34E1"/>
    <w:multiLevelType w:val="hybridMultilevel"/>
    <w:tmpl w:val="C3BC8340"/>
    <w:lvl w:ilvl="0" w:tplc="5874C53A">
      <w:start w:val="1"/>
      <w:numFmt w:val="decimal"/>
      <w:lvlText w:val="%1."/>
      <w:lvlJc w:val="left"/>
      <w:pPr>
        <w:ind w:left="720" w:hanging="360"/>
      </w:pPr>
      <w:rPr>
        <w:rFonts w:ascii="Arial" w:hAnsi="Arial" w:cs="Arial"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6B5485"/>
    <w:multiLevelType w:val="hybridMultilevel"/>
    <w:tmpl w:val="70305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9C11B6"/>
    <w:multiLevelType w:val="multilevel"/>
    <w:tmpl w:val="733A0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5E7550"/>
    <w:multiLevelType w:val="hybridMultilevel"/>
    <w:tmpl w:val="B21ED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6D15BE"/>
    <w:multiLevelType w:val="hybridMultilevel"/>
    <w:tmpl w:val="365C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1B3483"/>
    <w:multiLevelType w:val="hybridMultilevel"/>
    <w:tmpl w:val="F976D7D2"/>
    <w:lvl w:ilvl="0" w:tplc="34005436">
      <w:start w:val="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7C402A"/>
    <w:multiLevelType w:val="hybridMultilevel"/>
    <w:tmpl w:val="9124B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E14761"/>
    <w:multiLevelType w:val="hybridMultilevel"/>
    <w:tmpl w:val="EB5E143A"/>
    <w:lvl w:ilvl="0" w:tplc="5DB8DA30">
      <w:start w:val="1"/>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992969"/>
    <w:multiLevelType w:val="hybridMultilevel"/>
    <w:tmpl w:val="BC5CB04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7224148">
    <w:abstractNumId w:val="15"/>
  </w:num>
  <w:num w:numId="2" w16cid:durableId="52506954">
    <w:abstractNumId w:val="4"/>
  </w:num>
  <w:num w:numId="3" w16cid:durableId="1593274459">
    <w:abstractNumId w:val="1"/>
  </w:num>
  <w:num w:numId="4" w16cid:durableId="404304775">
    <w:abstractNumId w:val="0"/>
  </w:num>
  <w:num w:numId="5" w16cid:durableId="841168429">
    <w:abstractNumId w:val="3"/>
  </w:num>
  <w:num w:numId="6" w16cid:durableId="219022566">
    <w:abstractNumId w:val="7"/>
  </w:num>
  <w:num w:numId="7" w16cid:durableId="226844602">
    <w:abstractNumId w:val="14"/>
  </w:num>
  <w:num w:numId="8" w16cid:durableId="1884902113">
    <w:abstractNumId w:val="8"/>
  </w:num>
  <w:num w:numId="9" w16cid:durableId="479731778">
    <w:abstractNumId w:val="6"/>
  </w:num>
  <w:num w:numId="10" w16cid:durableId="1643659880">
    <w:abstractNumId w:val="13"/>
  </w:num>
  <w:num w:numId="11" w16cid:durableId="1723139293">
    <w:abstractNumId w:val="10"/>
  </w:num>
  <w:num w:numId="12" w16cid:durableId="867135170">
    <w:abstractNumId w:val="11"/>
  </w:num>
  <w:num w:numId="13" w16cid:durableId="1347945987">
    <w:abstractNumId w:val="5"/>
  </w:num>
  <w:num w:numId="14" w16cid:durableId="1797487620">
    <w:abstractNumId w:val="9"/>
  </w:num>
  <w:num w:numId="15" w16cid:durableId="149637712">
    <w:abstractNumId w:val="2"/>
  </w:num>
  <w:num w:numId="16" w16cid:durableId="19291928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47"/>
    <w:rsid w:val="00080C3E"/>
    <w:rsid w:val="00195D94"/>
    <w:rsid w:val="001B3852"/>
    <w:rsid w:val="001E0F8D"/>
    <w:rsid w:val="00236889"/>
    <w:rsid w:val="00244197"/>
    <w:rsid w:val="00260FE2"/>
    <w:rsid w:val="0027156C"/>
    <w:rsid w:val="002D0092"/>
    <w:rsid w:val="003058FD"/>
    <w:rsid w:val="0035325D"/>
    <w:rsid w:val="00383887"/>
    <w:rsid w:val="0039727C"/>
    <w:rsid w:val="004460F8"/>
    <w:rsid w:val="004C56A7"/>
    <w:rsid w:val="004F0391"/>
    <w:rsid w:val="005152D1"/>
    <w:rsid w:val="006712FC"/>
    <w:rsid w:val="006937BE"/>
    <w:rsid w:val="006C51CA"/>
    <w:rsid w:val="006E53BC"/>
    <w:rsid w:val="00790B4E"/>
    <w:rsid w:val="007A641E"/>
    <w:rsid w:val="007B69B2"/>
    <w:rsid w:val="007D735D"/>
    <w:rsid w:val="008D2551"/>
    <w:rsid w:val="008F30EE"/>
    <w:rsid w:val="009438A0"/>
    <w:rsid w:val="009900BF"/>
    <w:rsid w:val="009E6F60"/>
    <w:rsid w:val="00A8045D"/>
    <w:rsid w:val="00AD46DF"/>
    <w:rsid w:val="00B65C9F"/>
    <w:rsid w:val="00CB4856"/>
    <w:rsid w:val="00D321D6"/>
    <w:rsid w:val="00DC11A8"/>
    <w:rsid w:val="00DC6A99"/>
    <w:rsid w:val="00EB1186"/>
    <w:rsid w:val="00EF631F"/>
    <w:rsid w:val="00F60612"/>
    <w:rsid w:val="00F86747"/>
    <w:rsid w:val="00FC0D98"/>
    <w:rsid w:val="00FE0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2019A0D"/>
  <w15:chartTrackingRefBased/>
  <w15:docId w15:val="{A3C7149E-809A-5E49-BF29-0397C7D5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27C"/>
    <w:rPr>
      <w:rFonts w:ascii="Times New Roman" w:eastAsia="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6747"/>
    <w:rPr>
      <w:color w:val="0563C1" w:themeColor="hyperlink"/>
      <w:u w:val="single"/>
    </w:rPr>
  </w:style>
  <w:style w:type="paragraph" w:styleId="ListParagraph">
    <w:name w:val="List Paragraph"/>
    <w:basedOn w:val="Normal"/>
    <w:uiPriority w:val="34"/>
    <w:qFormat/>
    <w:rsid w:val="00F86747"/>
    <w:pPr>
      <w:ind w:left="720"/>
      <w:contextualSpacing/>
    </w:pPr>
    <w:rPr>
      <w:rFonts w:eastAsiaTheme="minorEastAsia" w:cstheme="minorBidi"/>
    </w:rPr>
  </w:style>
  <w:style w:type="character" w:customStyle="1" w:styleId="apple-converted-space">
    <w:name w:val="apple-converted-space"/>
    <w:basedOn w:val="DefaultParagraphFont"/>
    <w:rsid w:val="00F86747"/>
  </w:style>
  <w:style w:type="character" w:styleId="FollowedHyperlink">
    <w:name w:val="FollowedHyperlink"/>
    <w:basedOn w:val="DefaultParagraphFont"/>
    <w:uiPriority w:val="99"/>
    <w:semiHidden/>
    <w:unhideWhenUsed/>
    <w:rsid w:val="00F86747"/>
    <w:rPr>
      <w:color w:val="954F72" w:themeColor="followedHyperlink"/>
      <w:u w:val="single"/>
    </w:rPr>
  </w:style>
  <w:style w:type="character" w:styleId="UnresolvedMention">
    <w:name w:val="Unresolved Mention"/>
    <w:basedOn w:val="DefaultParagraphFont"/>
    <w:uiPriority w:val="99"/>
    <w:semiHidden/>
    <w:unhideWhenUsed/>
    <w:rsid w:val="00F86747"/>
    <w:rPr>
      <w:color w:val="605E5C"/>
      <w:shd w:val="clear" w:color="auto" w:fill="E1DFDD"/>
    </w:rPr>
  </w:style>
  <w:style w:type="character" w:customStyle="1" w:styleId="ozzzk">
    <w:name w:val="ozzzk"/>
    <w:basedOn w:val="DefaultParagraphFont"/>
    <w:rsid w:val="0039727C"/>
  </w:style>
  <w:style w:type="character" w:customStyle="1" w:styleId="flwlv">
    <w:name w:val="flwlv"/>
    <w:basedOn w:val="DefaultParagraphFont"/>
    <w:rsid w:val="0039727C"/>
  </w:style>
  <w:style w:type="paragraph" w:customStyle="1" w:styleId="Default">
    <w:name w:val="Default"/>
    <w:rsid w:val="00EB1186"/>
    <w:pPr>
      <w:autoSpaceDE w:val="0"/>
      <w:autoSpaceDN w:val="0"/>
      <w:adjustRightInd w:val="0"/>
    </w:pPr>
    <w:rPr>
      <w:rFonts w:ascii="Arial" w:hAnsi="Arial" w:cs="Arial"/>
      <w:color w:val="000000"/>
      <w:lang w:bidi="ta-IN"/>
    </w:rPr>
  </w:style>
  <w:style w:type="table" w:styleId="TableGrid">
    <w:name w:val="Table Grid"/>
    <w:basedOn w:val="TableNormal"/>
    <w:uiPriority w:val="39"/>
    <w:rsid w:val="006712FC"/>
    <w:rPr>
      <w:rFonts w:eastAsiaTheme="minorHAnsi"/>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30EE"/>
    <w:pPr>
      <w:spacing w:before="100" w:beforeAutospacing="1" w:after="100" w:afterAutospacing="1"/>
    </w:pPr>
  </w:style>
  <w:style w:type="character" w:styleId="Strong">
    <w:name w:val="Strong"/>
    <w:basedOn w:val="DefaultParagraphFont"/>
    <w:uiPriority w:val="22"/>
    <w:qFormat/>
    <w:rsid w:val="008F30EE"/>
    <w:rPr>
      <w:b/>
      <w:bCs/>
    </w:rPr>
  </w:style>
  <w:style w:type="paragraph" w:styleId="Footer">
    <w:name w:val="footer"/>
    <w:basedOn w:val="Normal"/>
    <w:link w:val="FooterChar"/>
    <w:uiPriority w:val="99"/>
    <w:unhideWhenUsed/>
    <w:rsid w:val="00FC0D98"/>
    <w:pPr>
      <w:tabs>
        <w:tab w:val="center" w:pos="4680"/>
        <w:tab w:val="right" w:pos="9360"/>
      </w:tabs>
    </w:pPr>
  </w:style>
  <w:style w:type="character" w:customStyle="1" w:styleId="FooterChar">
    <w:name w:val="Footer Char"/>
    <w:basedOn w:val="DefaultParagraphFont"/>
    <w:link w:val="Footer"/>
    <w:uiPriority w:val="99"/>
    <w:rsid w:val="00FC0D98"/>
    <w:rPr>
      <w:rFonts w:ascii="Times New Roman" w:eastAsia="Times New Roman" w:hAnsi="Times New Roman" w:cs="Times New Roman"/>
      <w:lang w:eastAsia="zh-CN"/>
    </w:rPr>
  </w:style>
  <w:style w:type="character" w:styleId="PageNumber">
    <w:name w:val="page number"/>
    <w:basedOn w:val="DefaultParagraphFont"/>
    <w:uiPriority w:val="99"/>
    <w:semiHidden/>
    <w:unhideWhenUsed/>
    <w:rsid w:val="00FC0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2464952">
      <w:bodyDiv w:val="1"/>
      <w:marLeft w:val="0"/>
      <w:marRight w:val="0"/>
      <w:marTop w:val="0"/>
      <w:marBottom w:val="0"/>
      <w:divBdr>
        <w:top w:val="none" w:sz="0" w:space="0" w:color="auto"/>
        <w:left w:val="none" w:sz="0" w:space="0" w:color="auto"/>
        <w:bottom w:val="none" w:sz="0" w:space="0" w:color="auto"/>
        <w:right w:val="none" w:sz="0" w:space="0" w:color="auto"/>
      </w:divBdr>
      <w:divsChild>
        <w:div w:id="226038640">
          <w:marLeft w:val="0"/>
          <w:marRight w:val="0"/>
          <w:marTop w:val="0"/>
          <w:marBottom w:val="0"/>
          <w:divBdr>
            <w:top w:val="none" w:sz="0" w:space="0" w:color="auto"/>
            <w:left w:val="none" w:sz="0" w:space="0" w:color="auto"/>
            <w:bottom w:val="none" w:sz="0" w:space="0" w:color="auto"/>
            <w:right w:val="none" w:sz="0" w:space="0" w:color="auto"/>
          </w:divBdr>
          <w:divsChild>
            <w:div w:id="93791381">
              <w:marLeft w:val="60"/>
              <w:marRight w:val="0"/>
              <w:marTop w:val="0"/>
              <w:marBottom w:val="60"/>
              <w:divBdr>
                <w:top w:val="none" w:sz="0" w:space="0" w:color="auto"/>
                <w:left w:val="none" w:sz="0" w:space="0" w:color="auto"/>
                <w:bottom w:val="none" w:sz="0" w:space="0" w:color="auto"/>
                <w:right w:val="none" w:sz="0" w:space="0" w:color="auto"/>
              </w:divBdr>
              <w:divsChild>
                <w:div w:id="2043239344">
                  <w:marLeft w:val="0"/>
                  <w:marRight w:val="0"/>
                  <w:marTop w:val="0"/>
                  <w:marBottom w:val="0"/>
                  <w:divBdr>
                    <w:top w:val="none" w:sz="0" w:space="0" w:color="auto"/>
                    <w:left w:val="none" w:sz="0" w:space="0" w:color="auto"/>
                    <w:bottom w:val="none" w:sz="0" w:space="0" w:color="auto"/>
                    <w:right w:val="none" w:sz="0" w:space="0" w:color="auto"/>
                  </w:divBdr>
                  <w:divsChild>
                    <w:div w:id="158321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55387">
          <w:marLeft w:val="0"/>
          <w:marRight w:val="0"/>
          <w:marTop w:val="0"/>
          <w:marBottom w:val="0"/>
          <w:divBdr>
            <w:top w:val="none" w:sz="0" w:space="0" w:color="auto"/>
            <w:left w:val="none" w:sz="0" w:space="0" w:color="auto"/>
            <w:bottom w:val="none" w:sz="0" w:space="0" w:color="auto"/>
            <w:right w:val="none" w:sz="0" w:space="0" w:color="auto"/>
          </w:divBdr>
          <w:divsChild>
            <w:div w:id="29688593">
              <w:marLeft w:val="0"/>
              <w:marRight w:val="0"/>
              <w:marTop w:val="0"/>
              <w:marBottom w:val="0"/>
              <w:divBdr>
                <w:top w:val="none" w:sz="0" w:space="0" w:color="auto"/>
                <w:left w:val="none" w:sz="0" w:space="0" w:color="auto"/>
                <w:bottom w:val="none" w:sz="0" w:space="0" w:color="auto"/>
                <w:right w:val="none" w:sz="0" w:space="0" w:color="auto"/>
              </w:divBdr>
              <w:divsChild>
                <w:div w:id="1381779483">
                  <w:marLeft w:val="0"/>
                  <w:marRight w:val="0"/>
                  <w:marTop w:val="0"/>
                  <w:marBottom w:val="0"/>
                  <w:divBdr>
                    <w:top w:val="none" w:sz="0" w:space="0" w:color="auto"/>
                    <w:left w:val="none" w:sz="0" w:space="0" w:color="auto"/>
                    <w:bottom w:val="none" w:sz="0" w:space="0" w:color="auto"/>
                    <w:right w:val="none" w:sz="0" w:space="0" w:color="auto"/>
                  </w:divBdr>
                  <w:divsChild>
                    <w:div w:id="864174397">
                      <w:marLeft w:val="0"/>
                      <w:marRight w:val="0"/>
                      <w:marTop w:val="0"/>
                      <w:marBottom w:val="0"/>
                      <w:divBdr>
                        <w:top w:val="none" w:sz="0" w:space="0" w:color="auto"/>
                        <w:left w:val="none" w:sz="0" w:space="0" w:color="auto"/>
                        <w:bottom w:val="none" w:sz="0" w:space="0" w:color="auto"/>
                        <w:right w:val="none" w:sz="0" w:space="0" w:color="auto"/>
                      </w:divBdr>
                      <w:divsChild>
                        <w:div w:id="7977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5222">
                  <w:marLeft w:val="0"/>
                  <w:marRight w:val="0"/>
                  <w:marTop w:val="0"/>
                  <w:marBottom w:val="0"/>
                  <w:divBdr>
                    <w:top w:val="none" w:sz="0" w:space="0" w:color="auto"/>
                    <w:left w:val="none" w:sz="0" w:space="0" w:color="auto"/>
                    <w:bottom w:val="none" w:sz="0" w:space="0" w:color="auto"/>
                    <w:right w:val="none" w:sz="0" w:space="0" w:color="auto"/>
                  </w:divBdr>
                  <w:divsChild>
                    <w:div w:id="1110513189">
                      <w:marLeft w:val="0"/>
                      <w:marRight w:val="0"/>
                      <w:marTop w:val="0"/>
                      <w:marBottom w:val="0"/>
                      <w:divBdr>
                        <w:top w:val="none" w:sz="0" w:space="0" w:color="auto"/>
                        <w:left w:val="none" w:sz="0" w:space="0" w:color="auto"/>
                        <w:bottom w:val="none" w:sz="0" w:space="0" w:color="auto"/>
                        <w:right w:val="none" w:sz="0" w:space="0" w:color="auto"/>
                      </w:divBdr>
                    </w:div>
                  </w:divsChild>
                </w:div>
                <w:div w:id="964392071">
                  <w:marLeft w:val="0"/>
                  <w:marRight w:val="0"/>
                  <w:marTop w:val="0"/>
                  <w:marBottom w:val="0"/>
                  <w:divBdr>
                    <w:top w:val="none" w:sz="0" w:space="0" w:color="auto"/>
                    <w:left w:val="none" w:sz="0" w:space="0" w:color="auto"/>
                    <w:bottom w:val="none" w:sz="0" w:space="0" w:color="auto"/>
                    <w:right w:val="none" w:sz="0" w:space="0" w:color="auto"/>
                  </w:divBdr>
                  <w:divsChild>
                    <w:div w:id="1100686683">
                      <w:marLeft w:val="0"/>
                      <w:marRight w:val="0"/>
                      <w:marTop w:val="0"/>
                      <w:marBottom w:val="0"/>
                      <w:divBdr>
                        <w:top w:val="none" w:sz="0" w:space="0" w:color="auto"/>
                        <w:left w:val="none" w:sz="0" w:space="0" w:color="auto"/>
                        <w:bottom w:val="none" w:sz="0" w:space="0" w:color="auto"/>
                        <w:right w:val="none" w:sz="0" w:space="0" w:color="auto"/>
                      </w:divBdr>
                    </w:div>
                  </w:divsChild>
                </w:div>
                <w:div w:id="1044600186">
                  <w:marLeft w:val="0"/>
                  <w:marRight w:val="0"/>
                  <w:marTop w:val="0"/>
                  <w:marBottom w:val="0"/>
                  <w:divBdr>
                    <w:top w:val="none" w:sz="0" w:space="0" w:color="auto"/>
                    <w:left w:val="none" w:sz="0" w:space="0" w:color="auto"/>
                    <w:bottom w:val="none" w:sz="0" w:space="0" w:color="auto"/>
                    <w:right w:val="none" w:sz="0" w:space="0" w:color="auto"/>
                  </w:divBdr>
                  <w:divsChild>
                    <w:div w:id="2000182857">
                      <w:marLeft w:val="0"/>
                      <w:marRight w:val="0"/>
                      <w:marTop w:val="0"/>
                      <w:marBottom w:val="0"/>
                      <w:divBdr>
                        <w:top w:val="none" w:sz="0" w:space="0" w:color="auto"/>
                        <w:left w:val="none" w:sz="0" w:space="0" w:color="auto"/>
                        <w:bottom w:val="none" w:sz="0" w:space="0" w:color="auto"/>
                        <w:right w:val="none" w:sz="0" w:space="0" w:color="auto"/>
                      </w:divBdr>
                    </w:div>
                  </w:divsChild>
                </w:div>
                <w:div w:id="112165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380678">
      <w:bodyDiv w:val="1"/>
      <w:marLeft w:val="0"/>
      <w:marRight w:val="0"/>
      <w:marTop w:val="0"/>
      <w:marBottom w:val="0"/>
      <w:divBdr>
        <w:top w:val="none" w:sz="0" w:space="0" w:color="auto"/>
        <w:left w:val="none" w:sz="0" w:space="0" w:color="auto"/>
        <w:bottom w:val="none" w:sz="0" w:space="0" w:color="auto"/>
        <w:right w:val="none" w:sz="0" w:space="0" w:color="auto"/>
      </w:divBdr>
    </w:div>
    <w:div w:id="202251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anofstudents.unt.edu/conduct" TargetMode="External"/><Relationship Id="rId18" Type="http://schemas.openxmlformats.org/officeDocument/2006/relationships/hyperlink" Target="http://disability.unt.edu/" TargetMode="External"/><Relationship Id="rId26" Type="http://schemas.openxmlformats.org/officeDocument/2006/relationships/hyperlink" Target="http://financialaid.unt.edu/sap" TargetMode="External"/><Relationship Id="rId39" Type="http://schemas.openxmlformats.org/officeDocument/2006/relationships/footer" Target="footer1.xml"/><Relationship Id="rId21" Type="http://schemas.openxmlformats.org/officeDocument/2006/relationships/hyperlink" Target="https://registrar.unt.edu/students" TargetMode="External"/><Relationship Id="rId34" Type="http://schemas.openxmlformats.org/officeDocument/2006/relationships/hyperlink" Target="https://registrar.unt.edu/registration/fall-academic-calendar.html" TargetMode="External"/><Relationship Id="rId42" Type="http://schemas.openxmlformats.org/officeDocument/2006/relationships/theme" Target="theme/theme1.xml"/><Relationship Id="rId7" Type="http://schemas.openxmlformats.org/officeDocument/2006/relationships/hyperlink" Target="mailto:mengren@my.unt.edu" TargetMode="External"/><Relationship Id="rId2" Type="http://schemas.openxmlformats.org/officeDocument/2006/relationships/styles" Target="styles.xml"/><Relationship Id="rId16" Type="http://schemas.openxmlformats.org/officeDocument/2006/relationships/hyperlink" Target="http://eagleconnect.unt.edu/" TargetMode="External"/><Relationship Id="rId20" Type="http://schemas.openxmlformats.org/officeDocument/2006/relationships/hyperlink" Target="https://registrar.unt.edu/students" TargetMode="External"/><Relationship Id="rId29" Type="http://schemas.openxmlformats.org/officeDocument/2006/relationships/hyperlink" Target="http://ferpa.unt.ed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y.unt.edu/policy/06-003" TargetMode="External"/><Relationship Id="rId24" Type="http://schemas.openxmlformats.org/officeDocument/2006/relationships/hyperlink" Target="http://financialaid.unt.edu/sap" TargetMode="External"/><Relationship Id="rId32" Type="http://schemas.openxmlformats.org/officeDocument/2006/relationships/hyperlink" Target="https://disparities.unt.edu/mental-health-resources" TargetMode="External"/><Relationship Id="rId37" Type="http://schemas.openxmlformats.org/officeDocument/2006/relationships/hyperlink" Target="https://studentaffairs.unt.edu/care-team"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eagleconnect.unt.edu/" TargetMode="External"/><Relationship Id="rId23" Type="http://schemas.openxmlformats.org/officeDocument/2006/relationships/hyperlink" Target="https://registrar.unt.edu/sites/default/files/fall-2024-academic-calendar.pdf" TargetMode="External"/><Relationship Id="rId28" Type="http://schemas.openxmlformats.org/officeDocument/2006/relationships/hyperlink" Target="http://ferpa.unt.edu/" TargetMode="External"/><Relationship Id="rId36" Type="http://schemas.openxmlformats.org/officeDocument/2006/relationships/hyperlink" Target="https://success.unt.edu/aa-sa-resources" TargetMode="External"/><Relationship Id="rId10" Type="http://schemas.openxmlformats.org/officeDocument/2006/relationships/hyperlink" Target="https://policy.unt.edu/policy/06-003" TargetMode="External"/><Relationship Id="rId19" Type="http://schemas.openxmlformats.org/officeDocument/2006/relationships/hyperlink" Target="https://music.unt.edu/student-health-and-wellness" TargetMode="External"/><Relationship Id="rId31" Type="http://schemas.openxmlformats.org/officeDocument/2006/relationships/hyperlink" Target="http://studentaffairs.unt.edu/counseling-and-testing-services" TargetMode="External"/><Relationship Id="rId4" Type="http://schemas.openxmlformats.org/officeDocument/2006/relationships/webSettings" Target="webSettings.xml"/><Relationship Id="rId9" Type="http://schemas.openxmlformats.org/officeDocument/2006/relationships/hyperlink" Target="mailto:thanmayeeholalkere-krishnamurthy@my.unt.edu" TargetMode="External"/><Relationship Id="rId14" Type="http://schemas.openxmlformats.org/officeDocument/2006/relationships/hyperlink" Target="http://my.unt.edu/" TargetMode="External"/><Relationship Id="rId22" Type="http://schemas.openxmlformats.org/officeDocument/2006/relationships/hyperlink" Target="https://registrar.unt.edu/sites/default/files/fall-2024-academic-calendar.pdf" TargetMode="External"/><Relationship Id="rId27" Type="http://schemas.openxmlformats.org/officeDocument/2006/relationships/hyperlink" Target="http://financialaid.unt.edu/sap" TargetMode="External"/><Relationship Id="rId30" Type="http://schemas.openxmlformats.org/officeDocument/2006/relationships/hyperlink" Target="http://studentaffairs.unt.edu/counseling-and-testing-services" TargetMode="External"/><Relationship Id="rId35" Type="http://schemas.openxmlformats.org/officeDocument/2006/relationships/hyperlink" Target="https://success.unt.edu/aa-sa-resources" TargetMode="External"/><Relationship Id="rId8" Type="http://schemas.openxmlformats.org/officeDocument/2006/relationships/hyperlink" Target="mailto:johnrhodes2@my.unt.edu" TargetMode="External"/><Relationship Id="rId3" Type="http://schemas.openxmlformats.org/officeDocument/2006/relationships/settings" Target="settings.xml"/><Relationship Id="rId12" Type="http://schemas.openxmlformats.org/officeDocument/2006/relationships/hyperlink" Target="https://deanofstudents.unt.edu/conduct" TargetMode="External"/><Relationship Id="rId17" Type="http://schemas.openxmlformats.org/officeDocument/2006/relationships/hyperlink" Target="https://disability.unt.edu/" TargetMode="External"/><Relationship Id="rId25" Type="http://schemas.openxmlformats.org/officeDocument/2006/relationships/hyperlink" Target="http://financialaid.unt.edu/sap" TargetMode="External"/><Relationship Id="rId33" Type="http://schemas.openxmlformats.org/officeDocument/2006/relationships/hyperlink" Target="https://disparities.unt.edu/mental-health-resources" TargetMode="External"/><Relationship Id="rId38" Type="http://schemas.openxmlformats.org/officeDocument/2006/relationships/hyperlink" Target="https://studentaffairs.unt.edu/care-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11</Pages>
  <Words>3762</Words>
  <Characters>19715</Characters>
  <Application>Microsoft Office Word</Application>
  <DocSecurity>0</DocSecurity>
  <Lines>358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Warren</dc:creator>
  <cp:keywords/>
  <dc:description/>
  <cp:lastModifiedBy>Ren, Meng</cp:lastModifiedBy>
  <cp:revision>5</cp:revision>
  <dcterms:created xsi:type="dcterms:W3CDTF">2024-08-18T01:58:00Z</dcterms:created>
  <dcterms:modified xsi:type="dcterms:W3CDTF">2024-10-03T18:03:00Z</dcterms:modified>
</cp:coreProperties>
</file>