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29DA68" w14:textId="0E8F05D0" w:rsidR="00010A1A" w:rsidRDefault="00130E3E" w:rsidP="00130E3E">
      <w:pPr>
        <w:spacing w:after="360"/>
        <w:contextualSpacing/>
        <w:jc w:val="center"/>
        <w:rPr>
          <w:rFonts w:asciiTheme="minorHAnsi" w:hAnsiTheme="minorHAnsi"/>
        </w:rPr>
      </w:pPr>
      <w:r>
        <w:rPr>
          <w:rFonts w:asciiTheme="minorHAnsi" w:hAnsiTheme="minorHAnsi"/>
          <w:noProof/>
        </w:rPr>
        <w:drawing>
          <wp:inline distT="0" distB="0" distL="0" distR="0" wp14:anchorId="00D2DA6F" wp14:editId="1D45B592">
            <wp:extent cx="5753100" cy="1434303"/>
            <wp:effectExtent l="0" t="0" r="0" b="1270"/>
            <wp:docPr id="415212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12858" name="Picture 415212858"/>
                    <pic:cNvPicPr/>
                  </pic:nvPicPr>
                  <pic:blipFill>
                    <a:blip r:embed="rId7">
                      <a:extLst>
                        <a:ext uri="{28A0092B-C50C-407E-A947-70E740481C1C}">
                          <a14:useLocalDpi xmlns:a14="http://schemas.microsoft.com/office/drawing/2010/main" val="0"/>
                        </a:ext>
                      </a:extLst>
                    </a:blip>
                    <a:stretch>
                      <a:fillRect/>
                    </a:stretch>
                  </pic:blipFill>
                  <pic:spPr>
                    <a:xfrm>
                      <a:off x="0" y="0"/>
                      <a:ext cx="5773190" cy="1439312"/>
                    </a:xfrm>
                    <a:prstGeom prst="rect">
                      <a:avLst/>
                    </a:prstGeom>
                  </pic:spPr>
                </pic:pic>
              </a:graphicData>
            </a:graphic>
          </wp:inline>
        </w:drawing>
      </w:r>
    </w:p>
    <w:p w14:paraId="5018DEDA" w14:textId="10731AF8" w:rsidR="00130E3E" w:rsidRDefault="00130E3E" w:rsidP="00130E3E">
      <w:pPr>
        <w:spacing w:after="260"/>
        <w:contextualSpacing/>
        <w:rPr>
          <w:rFonts w:asciiTheme="minorHAnsi" w:hAnsiTheme="minorHAnsi"/>
          <w:b/>
          <w:bCs/>
        </w:rPr>
      </w:pPr>
    </w:p>
    <w:p w14:paraId="189806CD" w14:textId="53D65CDF" w:rsidR="001E4124" w:rsidRPr="001E4124" w:rsidRDefault="001E4124" w:rsidP="00130E3E">
      <w:pPr>
        <w:spacing w:after="260"/>
        <w:contextualSpacing/>
        <w:rPr>
          <w:rFonts w:asciiTheme="minorHAnsi" w:hAnsiTheme="minorHAnsi"/>
          <w:b/>
          <w:bCs/>
          <w:color w:val="1F9A66"/>
          <w:sz w:val="24"/>
          <w:szCs w:val="24"/>
        </w:rPr>
      </w:pPr>
      <w:r w:rsidRPr="001E4124">
        <w:rPr>
          <w:rFonts w:asciiTheme="minorHAnsi" w:hAnsiTheme="minorHAnsi"/>
          <w:b/>
          <w:bCs/>
          <w:color w:val="1F9A66"/>
          <w:sz w:val="24"/>
          <w:szCs w:val="24"/>
        </w:rPr>
        <w:t>Course Overview</w:t>
      </w:r>
    </w:p>
    <w:p w14:paraId="47C1C43E" w14:textId="3064DD7F" w:rsidR="001E4124" w:rsidRPr="001E4124" w:rsidRDefault="001E4124" w:rsidP="00130E3E">
      <w:pPr>
        <w:spacing w:after="260"/>
        <w:contextualSpacing/>
        <w:rPr>
          <w:rFonts w:asciiTheme="minorHAnsi" w:hAnsiTheme="minorHAnsi"/>
          <w:b/>
          <w:bCs/>
          <w:sz w:val="22"/>
          <w:szCs w:val="22"/>
        </w:rPr>
      </w:pPr>
      <w:r w:rsidRPr="001E4124">
        <w:rPr>
          <w:rFonts w:asciiTheme="minorHAnsi" w:hAnsiTheme="minorHAnsi"/>
          <w:b/>
          <w:bCs/>
          <w:sz w:val="22"/>
          <w:szCs w:val="22"/>
        </w:rPr>
        <w:t>Instructor</w:t>
      </w:r>
    </w:p>
    <w:p w14:paraId="546B9956" w14:textId="25D06BBC"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Dr. Melissa McKay</w:t>
      </w:r>
    </w:p>
    <w:p w14:paraId="36401A4D" w14:textId="702D7342"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 xml:space="preserve">Email: </w:t>
      </w:r>
      <w:hyperlink r:id="rId8" w:history="1">
        <w:r w:rsidRPr="00130E3E">
          <w:rPr>
            <w:rStyle w:val="Hyperlink"/>
            <w:rFonts w:asciiTheme="minorHAnsi" w:hAnsiTheme="minorHAnsi"/>
            <w:sz w:val="22"/>
            <w:szCs w:val="22"/>
          </w:rPr>
          <w:t>melissa.mckay@unt.edu</w:t>
        </w:r>
      </w:hyperlink>
    </w:p>
    <w:p w14:paraId="629DEDB5" w14:textId="28E24E66"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Office: Wooten Hall 137</w:t>
      </w:r>
    </w:p>
    <w:p w14:paraId="00C15A7B" w14:textId="2A0C8862"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 xml:space="preserve">Office Hours: Monday 7-8pm (Zoom) and Thursday 11:00-12:30 in person. </w:t>
      </w:r>
    </w:p>
    <w:p w14:paraId="3AB74ABB" w14:textId="77777777" w:rsidR="00130E3E" w:rsidRPr="00130E3E" w:rsidRDefault="00130E3E" w:rsidP="00130E3E">
      <w:pPr>
        <w:spacing w:after="260"/>
        <w:contextualSpacing/>
        <w:rPr>
          <w:rFonts w:asciiTheme="minorHAnsi" w:hAnsiTheme="minorHAnsi"/>
          <w:sz w:val="22"/>
          <w:szCs w:val="22"/>
        </w:rPr>
      </w:pPr>
    </w:p>
    <w:p w14:paraId="46996EE3" w14:textId="4329EEB4" w:rsidR="00130E3E" w:rsidRPr="00130E3E" w:rsidRDefault="00130E3E" w:rsidP="00130E3E">
      <w:pPr>
        <w:spacing w:after="260"/>
        <w:contextualSpacing/>
        <w:rPr>
          <w:rFonts w:asciiTheme="minorHAnsi" w:hAnsiTheme="minorHAnsi"/>
          <w:b/>
          <w:bCs/>
          <w:sz w:val="22"/>
          <w:szCs w:val="22"/>
        </w:rPr>
      </w:pPr>
      <w:r w:rsidRPr="00130E3E">
        <w:rPr>
          <w:rFonts w:asciiTheme="minorHAnsi" w:hAnsiTheme="minorHAnsi"/>
          <w:b/>
          <w:bCs/>
          <w:sz w:val="22"/>
          <w:szCs w:val="22"/>
        </w:rPr>
        <w:t>Class Information</w:t>
      </w:r>
    </w:p>
    <w:p w14:paraId="16424F32" w14:textId="34D39799"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Meeting Dates – Tuesday and Thursday</w:t>
      </w:r>
    </w:p>
    <w:p w14:paraId="1D3A268A" w14:textId="4F6C4A84" w:rsidR="00130E3E" w:rsidRPr="00130E3E" w:rsidRDefault="00130E3E" w:rsidP="00130E3E">
      <w:pPr>
        <w:spacing w:after="260"/>
        <w:contextualSpacing/>
        <w:rPr>
          <w:rFonts w:asciiTheme="minorHAnsi" w:hAnsiTheme="minorHAnsi"/>
          <w:sz w:val="22"/>
          <w:szCs w:val="22"/>
        </w:rPr>
      </w:pPr>
      <w:r w:rsidRPr="00130E3E">
        <w:rPr>
          <w:rFonts w:asciiTheme="minorHAnsi" w:hAnsiTheme="minorHAnsi"/>
          <w:sz w:val="22"/>
          <w:szCs w:val="22"/>
        </w:rPr>
        <w:t>Meeting Time: 12:45 – 2:05pm</w:t>
      </w:r>
    </w:p>
    <w:p w14:paraId="24D5707E" w14:textId="77777777" w:rsidR="001E4124" w:rsidRDefault="00130E3E" w:rsidP="001E4124">
      <w:pPr>
        <w:spacing w:after="260"/>
        <w:contextualSpacing/>
        <w:rPr>
          <w:rFonts w:asciiTheme="minorHAnsi" w:hAnsiTheme="minorHAnsi"/>
          <w:sz w:val="22"/>
          <w:szCs w:val="22"/>
        </w:rPr>
      </w:pPr>
      <w:r w:rsidRPr="00130E3E">
        <w:rPr>
          <w:rFonts w:asciiTheme="minorHAnsi" w:hAnsiTheme="minorHAnsi"/>
          <w:sz w:val="22"/>
          <w:szCs w:val="22"/>
        </w:rPr>
        <w:t>Room – GAB 310</w:t>
      </w:r>
    </w:p>
    <w:p w14:paraId="02FB3EC3" w14:textId="77777777" w:rsidR="001E4124" w:rsidRDefault="001E4124" w:rsidP="001E4124">
      <w:pPr>
        <w:spacing w:after="260"/>
        <w:contextualSpacing/>
        <w:rPr>
          <w:rFonts w:asciiTheme="minorHAnsi" w:hAnsiTheme="minorHAnsi"/>
          <w:sz w:val="22"/>
          <w:szCs w:val="22"/>
        </w:rPr>
      </w:pPr>
    </w:p>
    <w:p w14:paraId="4C63BDEB" w14:textId="3A41A247" w:rsidR="00010A1A" w:rsidRPr="001E4124" w:rsidRDefault="00000000" w:rsidP="001E4124">
      <w:pPr>
        <w:spacing w:after="260"/>
        <w:contextualSpacing/>
        <w:rPr>
          <w:rFonts w:asciiTheme="minorHAnsi" w:hAnsiTheme="minorHAnsi"/>
          <w:sz w:val="22"/>
          <w:szCs w:val="22"/>
        </w:rPr>
      </w:pPr>
      <w:r w:rsidRPr="00130E3E">
        <w:rPr>
          <w:rFonts w:asciiTheme="minorHAnsi" w:eastAsia="Calibri" w:hAnsiTheme="minorHAnsi" w:cs="Calibri"/>
          <w:b/>
          <w:bCs/>
          <w:color w:val="1F9A66"/>
          <w:sz w:val="24"/>
          <w:szCs w:val="24"/>
        </w:rPr>
        <w:t>Course Description</w:t>
      </w:r>
    </w:p>
    <w:p w14:paraId="2979B39E" w14:textId="77777777" w:rsidR="00010A1A" w:rsidRPr="001E4124" w:rsidRDefault="00000000" w:rsidP="00130E3E">
      <w:pPr>
        <w:spacing w:after="160"/>
        <w:contextualSpacing/>
        <w:jc w:val="both"/>
        <w:rPr>
          <w:rFonts w:asciiTheme="minorHAnsi" w:hAnsiTheme="minorHAnsi"/>
          <w:sz w:val="18"/>
          <w:szCs w:val="18"/>
        </w:rPr>
      </w:pPr>
      <w:r w:rsidRPr="001E4124">
        <w:rPr>
          <w:rFonts w:asciiTheme="minorHAnsi" w:eastAsia="Calibri" w:hAnsiTheme="minorHAnsi" w:cs="Calibri"/>
          <w:sz w:val="22"/>
          <w:szCs w:val="22"/>
        </w:rPr>
        <w:t>International Security Studies examines major sources of insecurity in the contemporary international system and the ways states, institutions, non-state actors, and societies understand and respond to them. The course considers traditional military threats alongside non-state violence, economic insecurity, environmental and natural threats, health security, criminal threats, accidental risks, and broader questions about global security. Throughout the semester, students will apply international security concepts to real-world cases, simulations, a common-read book, and a semester-long comparative policy analysis project.</w:t>
      </w:r>
    </w:p>
    <w:p w14:paraId="76181997" w14:textId="77777777" w:rsidR="001E4124" w:rsidRDefault="001E4124" w:rsidP="00130E3E">
      <w:pPr>
        <w:spacing w:after="160"/>
        <w:contextualSpacing/>
        <w:rPr>
          <w:rFonts w:asciiTheme="minorHAnsi" w:eastAsia="Calibri" w:hAnsiTheme="minorHAnsi" w:cs="Calibri"/>
          <w:b/>
          <w:bCs/>
          <w:sz w:val="23"/>
          <w:szCs w:val="23"/>
        </w:rPr>
      </w:pPr>
    </w:p>
    <w:p w14:paraId="4FB019B9" w14:textId="77777777" w:rsidR="001E4124" w:rsidRDefault="001E4124" w:rsidP="00130E3E">
      <w:pPr>
        <w:spacing w:after="160"/>
        <w:contextualSpacing/>
        <w:rPr>
          <w:rFonts w:asciiTheme="minorHAnsi" w:eastAsia="Calibri" w:hAnsiTheme="minorHAnsi" w:cs="Calibri"/>
          <w:b/>
          <w:bCs/>
          <w:color w:val="1F9A66"/>
          <w:sz w:val="24"/>
          <w:szCs w:val="24"/>
        </w:rPr>
      </w:pPr>
      <w:r w:rsidRPr="001E4124">
        <w:rPr>
          <w:rFonts w:asciiTheme="minorHAnsi" w:eastAsia="Calibri" w:hAnsiTheme="minorHAnsi" w:cs="Calibri"/>
          <w:b/>
          <w:bCs/>
          <w:color w:val="1F9A66"/>
          <w:sz w:val="24"/>
          <w:szCs w:val="24"/>
        </w:rPr>
        <w:t>Course Learning Objectives</w:t>
      </w:r>
    </w:p>
    <w:p w14:paraId="58F738E5" w14:textId="0A1B2D93" w:rsidR="00010A1A" w:rsidRPr="001E4124" w:rsidRDefault="00000000" w:rsidP="00130E3E">
      <w:pPr>
        <w:spacing w:after="160"/>
        <w:contextualSpacing/>
        <w:rPr>
          <w:rFonts w:asciiTheme="minorHAnsi" w:hAnsiTheme="minorHAnsi"/>
          <w:sz w:val="18"/>
          <w:szCs w:val="18"/>
        </w:rPr>
      </w:pPr>
      <w:r w:rsidRPr="001E4124">
        <w:rPr>
          <w:rFonts w:asciiTheme="minorHAnsi" w:eastAsia="Calibri" w:hAnsiTheme="minorHAnsi" w:cs="Calibri"/>
          <w:sz w:val="22"/>
          <w:szCs w:val="22"/>
        </w:rPr>
        <w:t>By the end of the semester, students should be able to:</w:t>
      </w:r>
    </w:p>
    <w:p w14:paraId="1F4E7CD0" w14:textId="77777777" w:rsidR="00010A1A" w:rsidRPr="001E4124" w:rsidRDefault="00000000" w:rsidP="00130E3E">
      <w:pPr>
        <w:pStyle w:val="ListParagraph"/>
        <w:numPr>
          <w:ilvl w:val="0"/>
          <w:numId w:val="2"/>
        </w:numPr>
        <w:spacing w:after="110"/>
        <w:contextualSpacing/>
        <w:jc w:val="both"/>
        <w:rPr>
          <w:rFonts w:asciiTheme="minorHAnsi" w:hAnsiTheme="minorHAnsi"/>
          <w:sz w:val="18"/>
          <w:szCs w:val="18"/>
        </w:rPr>
      </w:pPr>
      <w:r w:rsidRPr="001E4124">
        <w:rPr>
          <w:rFonts w:asciiTheme="minorHAnsi" w:eastAsia="Calibri" w:hAnsiTheme="minorHAnsi" w:cs="Calibri"/>
          <w:sz w:val="22"/>
          <w:szCs w:val="22"/>
        </w:rPr>
        <w:t>Identify and explain major categories of international security threats.</w:t>
      </w:r>
    </w:p>
    <w:p w14:paraId="21170650" w14:textId="77777777" w:rsidR="00010A1A" w:rsidRPr="001E4124" w:rsidRDefault="00000000" w:rsidP="00130E3E">
      <w:pPr>
        <w:pStyle w:val="ListParagraph"/>
        <w:numPr>
          <w:ilvl w:val="0"/>
          <w:numId w:val="2"/>
        </w:numPr>
        <w:spacing w:after="110"/>
        <w:contextualSpacing/>
        <w:jc w:val="both"/>
        <w:rPr>
          <w:rFonts w:asciiTheme="minorHAnsi" w:hAnsiTheme="minorHAnsi"/>
          <w:sz w:val="18"/>
          <w:szCs w:val="18"/>
        </w:rPr>
      </w:pPr>
      <w:r w:rsidRPr="001E4124">
        <w:rPr>
          <w:rFonts w:asciiTheme="minorHAnsi" w:eastAsia="Calibri" w:hAnsiTheme="minorHAnsi" w:cs="Calibri"/>
          <w:sz w:val="22"/>
          <w:szCs w:val="22"/>
        </w:rPr>
        <w:t>Apply concepts such as security, securitization, deterrence, coercion, interdependence, state capacity, vulnerability, and resilience to real-world cases.</w:t>
      </w:r>
    </w:p>
    <w:p w14:paraId="0B5A013C" w14:textId="77777777" w:rsidR="00010A1A" w:rsidRPr="001E4124" w:rsidRDefault="00000000" w:rsidP="00130E3E">
      <w:pPr>
        <w:pStyle w:val="ListParagraph"/>
        <w:numPr>
          <w:ilvl w:val="0"/>
          <w:numId w:val="2"/>
        </w:numPr>
        <w:spacing w:after="110"/>
        <w:contextualSpacing/>
        <w:jc w:val="both"/>
        <w:rPr>
          <w:rFonts w:asciiTheme="minorHAnsi" w:hAnsiTheme="minorHAnsi"/>
          <w:sz w:val="18"/>
          <w:szCs w:val="18"/>
        </w:rPr>
      </w:pPr>
      <w:r w:rsidRPr="001E4124">
        <w:rPr>
          <w:rFonts w:asciiTheme="minorHAnsi" w:eastAsia="Calibri" w:hAnsiTheme="minorHAnsi" w:cs="Calibri"/>
          <w:sz w:val="22"/>
          <w:szCs w:val="22"/>
        </w:rPr>
        <w:t>Analyze the interests, capabilities, vulnerabilities, and likely behavior of relevant security actors.</w:t>
      </w:r>
    </w:p>
    <w:p w14:paraId="1F8D722E" w14:textId="77777777" w:rsidR="00010A1A" w:rsidRPr="001E4124" w:rsidRDefault="00000000" w:rsidP="00130E3E">
      <w:pPr>
        <w:pStyle w:val="ListParagraph"/>
        <w:numPr>
          <w:ilvl w:val="0"/>
          <w:numId w:val="2"/>
        </w:numPr>
        <w:spacing w:after="110"/>
        <w:contextualSpacing/>
        <w:jc w:val="both"/>
        <w:rPr>
          <w:rFonts w:asciiTheme="minorHAnsi" w:hAnsiTheme="minorHAnsi"/>
          <w:sz w:val="18"/>
          <w:szCs w:val="18"/>
        </w:rPr>
      </w:pPr>
      <w:r w:rsidRPr="001E4124">
        <w:rPr>
          <w:rFonts w:asciiTheme="minorHAnsi" w:eastAsia="Calibri" w:hAnsiTheme="minorHAnsi" w:cs="Calibri"/>
          <w:sz w:val="22"/>
          <w:szCs w:val="22"/>
        </w:rPr>
        <w:t xml:space="preserve">Evaluate policy choices </w:t>
      </w:r>
      <w:proofErr w:type="gramStart"/>
      <w:r w:rsidRPr="001E4124">
        <w:rPr>
          <w:rFonts w:asciiTheme="minorHAnsi" w:eastAsia="Calibri" w:hAnsiTheme="minorHAnsi" w:cs="Calibri"/>
          <w:sz w:val="22"/>
          <w:szCs w:val="22"/>
        </w:rPr>
        <w:t>in light of</w:t>
      </w:r>
      <w:proofErr w:type="gramEnd"/>
      <w:r w:rsidRPr="001E4124">
        <w:rPr>
          <w:rFonts w:asciiTheme="minorHAnsi" w:eastAsia="Calibri" w:hAnsiTheme="minorHAnsi" w:cs="Calibri"/>
          <w:sz w:val="22"/>
          <w:szCs w:val="22"/>
        </w:rPr>
        <w:t xml:space="preserve"> feasibility, tradeoffs, likely reactions, and unintended consequences.</w:t>
      </w:r>
    </w:p>
    <w:p w14:paraId="10620736" w14:textId="77777777" w:rsidR="00010A1A" w:rsidRPr="001E4124" w:rsidRDefault="00000000" w:rsidP="00130E3E">
      <w:pPr>
        <w:pStyle w:val="ListParagraph"/>
        <w:numPr>
          <w:ilvl w:val="0"/>
          <w:numId w:val="2"/>
        </w:numPr>
        <w:spacing w:after="110"/>
        <w:contextualSpacing/>
        <w:jc w:val="both"/>
        <w:rPr>
          <w:rFonts w:asciiTheme="minorHAnsi" w:hAnsiTheme="minorHAnsi"/>
          <w:sz w:val="18"/>
          <w:szCs w:val="18"/>
        </w:rPr>
      </w:pPr>
      <w:r w:rsidRPr="001E4124">
        <w:rPr>
          <w:rFonts w:asciiTheme="minorHAnsi" w:eastAsia="Calibri" w:hAnsiTheme="minorHAnsi" w:cs="Calibri"/>
          <w:sz w:val="22"/>
          <w:szCs w:val="22"/>
        </w:rPr>
        <w:t>Develop and defend an evidence-based policy recommendation for a specific decision-maker or institution.</w:t>
      </w:r>
    </w:p>
    <w:p w14:paraId="58A73CDE" w14:textId="0B717010" w:rsidR="001E4124" w:rsidRPr="001E4124" w:rsidRDefault="001E4124" w:rsidP="001E4124">
      <w:pPr>
        <w:spacing w:after="110"/>
        <w:contextualSpacing/>
        <w:jc w:val="both"/>
        <w:rPr>
          <w:rFonts w:asciiTheme="minorHAnsi" w:hAnsiTheme="minorHAnsi"/>
          <w:b/>
          <w:bCs/>
          <w:color w:val="1F9A66"/>
          <w:sz w:val="24"/>
          <w:szCs w:val="24"/>
        </w:rPr>
      </w:pPr>
      <w:r w:rsidRPr="001E4124">
        <w:rPr>
          <w:rFonts w:asciiTheme="minorHAnsi" w:hAnsiTheme="minorHAnsi"/>
          <w:b/>
          <w:bCs/>
          <w:color w:val="1F9A66"/>
          <w:sz w:val="24"/>
          <w:szCs w:val="24"/>
        </w:rPr>
        <w:t>Required Textbooks</w:t>
      </w:r>
    </w:p>
    <w:p w14:paraId="2455C420" w14:textId="77777777" w:rsidR="00010A1A" w:rsidRPr="001E4124" w:rsidRDefault="00000000" w:rsidP="00130E3E">
      <w:pPr>
        <w:spacing w:after="160"/>
        <w:contextualSpacing/>
        <w:jc w:val="both"/>
        <w:rPr>
          <w:rFonts w:asciiTheme="minorHAnsi" w:hAnsiTheme="minorHAnsi"/>
          <w:sz w:val="18"/>
          <w:szCs w:val="18"/>
        </w:rPr>
      </w:pPr>
      <w:r w:rsidRPr="001E4124">
        <w:rPr>
          <w:rFonts w:asciiTheme="minorHAnsi" w:eastAsia="Calibri" w:hAnsiTheme="minorHAnsi" w:cs="Calibri"/>
          <w:sz w:val="22"/>
          <w:szCs w:val="22"/>
        </w:rPr>
        <w:t>All students will use the following two shared texts:</w:t>
      </w:r>
    </w:p>
    <w:p w14:paraId="0951C5B0" w14:textId="16BB416B" w:rsidR="00010A1A" w:rsidRPr="00130E3E" w:rsidRDefault="00000000" w:rsidP="00130E3E">
      <w:pPr>
        <w:pStyle w:val="ListParagraph"/>
        <w:numPr>
          <w:ilvl w:val="0"/>
          <w:numId w:val="4"/>
        </w:numPr>
        <w:spacing w:after="110"/>
        <w:contextualSpacing/>
        <w:jc w:val="both"/>
        <w:rPr>
          <w:rFonts w:asciiTheme="minorHAnsi" w:hAnsiTheme="minorHAnsi"/>
          <w:sz w:val="18"/>
          <w:szCs w:val="18"/>
        </w:rPr>
      </w:pPr>
      <w:r w:rsidRPr="00130E3E">
        <w:rPr>
          <w:rFonts w:asciiTheme="minorHAnsi" w:eastAsia="Calibri" w:hAnsiTheme="minorHAnsi" w:cs="Calibri"/>
          <w:sz w:val="22"/>
          <w:szCs w:val="22"/>
        </w:rPr>
        <w:t xml:space="preserve">Peter Hough, Understanding Global Security, 5th edition. </w:t>
      </w:r>
    </w:p>
    <w:p w14:paraId="21199E0C" w14:textId="77777777" w:rsidR="00010A1A" w:rsidRPr="00130E3E" w:rsidRDefault="00000000" w:rsidP="00130E3E">
      <w:pPr>
        <w:pStyle w:val="ListParagraph"/>
        <w:numPr>
          <w:ilvl w:val="0"/>
          <w:numId w:val="4"/>
        </w:numPr>
        <w:spacing w:after="110"/>
        <w:contextualSpacing/>
        <w:jc w:val="both"/>
        <w:rPr>
          <w:rFonts w:asciiTheme="minorHAnsi" w:hAnsiTheme="minorHAnsi"/>
          <w:sz w:val="18"/>
          <w:szCs w:val="18"/>
        </w:rPr>
      </w:pPr>
      <w:r w:rsidRPr="00130E3E">
        <w:rPr>
          <w:rFonts w:asciiTheme="minorHAnsi" w:eastAsia="Calibri" w:hAnsiTheme="minorHAnsi" w:cs="Calibri"/>
          <w:sz w:val="22"/>
          <w:szCs w:val="22"/>
        </w:rPr>
        <w:t>Annie Jacobsen, Nuclear War: A Scenario. Dutton, 2024.</w:t>
      </w:r>
    </w:p>
    <w:p w14:paraId="6ED0F32B" w14:textId="1A67A851" w:rsidR="00010A1A" w:rsidRPr="00130E3E" w:rsidRDefault="00000000" w:rsidP="00130E3E">
      <w:pPr>
        <w:spacing w:after="160"/>
        <w:contextualSpacing/>
        <w:jc w:val="both"/>
        <w:rPr>
          <w:rFonts w:asciiTheme="minorHAnsi" w:hAnsiTheme="minorHAnsi"/>
          <w:sz w:val="18"/>
          <w:szCs w:val="18"/>
        </w:rPr>
      </w:pPr>
      <w:r w:rsidRPr="00130E3E">
        <w:rPr>
          <w:rFonts w:asciiTheme="minorHAnsi" w:eastAsia="Calibri" w:hAnsiTheme="minorHAnsi" w:cs="Calibri"/>
          <w:sz w:val="22"/>
          <w:szCs w:val="22"/>
        </w:rPr>
        <w:t xml:space="preserve">Each student will also </w:t>
      </w:r>
      <w:r w:rsidR="00130E3E">
        <w:rPr>
          <w:rFonts w:asciiTheme="minorHAnsi" w:eastAsia="Calibri" w:hAnsiTheme="minorHAnsi" w:cs="Calibri"/>
          <w:sz w:val="22"/>
          <w:szCs w:val="22"/>
        </w:rPr>
        <w:t>select</w:t>
      </w:r>
      <w:r w:rsidRPr="00130E3E">
        <w:rPr>
          <w:rFonts w:asciiTheme="minorHAnsi" w:eastAsia="Calibri" w:hAnsiTheme="minorHAnsi" w:cs="Calibri"/>
          <w:sz w:val="22"/>
          <w:szCs w:val="22"/>
        </w:rPr>
        <w:t xml:space="preserve"> one</w:t>
      </w:r>
      <w:r w:rsidR="00130E3E">
        <w:rPr>
          <w:rFonts w:asciiTheme="minorHAnsi" w:eastAsia="Calibri" w:hAnsiTheme="minorHAnsi" w:cs="Calibri"/>
          <w:sz w:val="22"/>
          <w:szCs w:val="22"/>
        </w:rPr>
        <w:t xml:space="preserve"> of the following</w:t>
      </w:r>
      <w:r w:rsidRPr="00130E3E">
        <w:rPr>
          <w:rFonts w:asciiTheme="minorHAnsi" w:eastAsia="Calibri" w:hAnsiTheme="minorHAnsi" w:cs="Calibri"/>
          <w:sz w:val="22"/>
          <w:szCs w:val="22"/>
        </w:rPr>
        <w:t xml:space="preserve"> Book Club </w:t>
      </w:r>
      <w:r w:rsidR="00130E3E">
        <w:rPr>
          <w:rFonts w:asciiTheme="minorHAnsi" w:eastAsia="Calibri" w:hAnsiTheme="minorHAnsi" w:cs="Calibri"/>
          <w:sz w:val="22"/>
          <w:szCs w:val="22"/>
        </w:rPr>
        <w:t xml:space="preserve">books </w:t>
      </w:r>
      <w:r w:rsidRPr="00130E3E">
        <w:rPr>
          <w:rFonts w:asciiTheme="minorHAnsi" w:eastAsia="Calibri" w:hAnsiTheme="minorHAnsi" w:cs="Calibri"/>
          <w:sz w:val="22"/>
          <w:szCs w:val="22"/>
        </w:rPr>
        <w:t>focused on a specific area of international security:</w:t>
      </w:r>
    </w:p>
    <w:p w14:paraId="610DBD64" w14:textId="77777777" w:rsidR="00010A1A" w:rsidRPr="00130E3E" w:rsidRDefault="00000000" w:rsidP="00130E3E">
      <w:pPr>
        <w:pStyle w:val="ListParagraph"/>
        <w:numPr>
          <w:ilvl w:val="0"/>
          <w:numId w:val="2"/>
        </w:numPr>
        <w:spacing w:after="110"/>
        <w:contextualSpacing/>
        <w:jc w:val="both"/>
        <w:rPr>
          <w:rFonts w:asciiTheme="minorHAnsi" w:hAnsiTheme="minorHAnsi"/>
          <w:sz w:val="18"/>
          <w:szCs w:val="18"/>
        </w:rPr>
      </w:pPr>
      <w:r w:rsidRPr="00130E3E">
        <w:rPr>
          <w:rFonts w:asciiTheme="minorHAnsi" w:eastAsia="Calibri" w:hAnsiTheme="minorHAnsi" w:cs="Calibri"/>
          <w:b/>
          <w:bCs/>
          <w:sz w:val="22"/>
          <w:szCs w:val="22"/>
        </w:rPr>
        <w:t>Cyber Security Book Club</w:t>
      </w:r>
      <w:r w:rsidRPr="00130E3E">
        <w:rPr>
          <w:rFonts w:asciiTheme="minorHAnsi" w:eastAsia="Calibri" w:hAnsiTheme="minorHAnsi" w:cs="Calibri"/>
          <w:sz w:val="22"/>
          <w:szCs w:val="22"/>
        </w:rPr>
        <w:t xml:space="preserve"> - Andy Greenberg, Sandworm: A New Era of Cyberwar and the Hunt for the Kremlin's Most Dangerous Hackers.</w:t>
      </w:r>
    </w:p>
    <w:p w14:paraId="6727A06F" w14:textId="77777777" w:rsidR="00010A1A" w:rsidRPr="00130E3E" w:rsidRDefault="00000000" w:rsidP="00130E3E">
      <w:pPr>
        <w:pStyle w:val="ListParagraph"/>
        <w:numPr>
          <w:ilvl w:val="0"/>
          <w:numId w:val="2"/>
        </w:numPr>
        <w:spacing w:after="110"/>
        <w:contextualSpacing/>
        <w:jc w:val="both"/>
        <w:rPr>
          <w:rFonts w:asciiTheme="minorHAnsi" w:hAnsiTheme="minorHAnsi"/>
          <w:sz w:val="18"/>
          <w:szCs w:val="18"/>
        </w:rPr>
      </w:pPr>
      <w:r w:rsidRPr="00130E3E">
        <w:rPr>
          <w:rFonts w:asciiTheme="minorHAnsi" w:eastAsia="Calibri" w:hAnsiTheme="minorHAnsi" w:cs="Calibri"/>
          <w:b/>
          <w:bCs/>
          <w:sz w:val="22"/>
          <w:szCs w:val="22"/>
        </w:rPr>
        <w:t>Health Security Book Club</w:t>
      </w:r>
      <w:r w:rsidRPr="00130E3E">
        <w:rPr>
          <w:rFonts w:asciiTheme="minorHAnsi" w:eastAsia="Calibri" w:hAnsiTheme="minorHAnsi" w:cs="Calibri"/>
          <w:sz w:val="22"/>
          <w:szCs w:val="22"/>
        </w:rPr>
        <w:t xml:space="preserve"> - Jonathan Kennedy, Pathogenesis: A History of the World in Eight Plagues.</w:t>
      </w:r>
    </w:p>
    <w:p w14:paraId="7642ACDF" w14:textId="77777777" w:rsidR="00010A1A" w:rsidRPr="00130E3E" w:rsidRDefault="00000000" w:rsidP="00130E3E">
      <w:pPr>
        <w:pStyle w:val="ListParagraph"/>
        <w:numPr>
          <w:ilvl w:val="0"/>
          <w:numId w:val="2"/>
        </w:numPr>
        <w:spacing w:after="110"/>
        <w:contextualSpacing/>
        <w:jc w:val="both"/>
        <w:rPr>
          <w:rFonts w:asciiTheme="minorHAnsi" w:hAnsiTheme="minorHAnsi"/>
          <w:sz w:val="18"/>
          <w:szCs w:val="18"/>
        </w:rPr>
      </w:pPr>
      <w:r w:rsidRPr="00130E3E">
        <w:rPr>
          <w:rFonts w:asciiTheme="minorHAnsi" w:eastAsia="Calibri" w:hAnsiTheme="minorHAnsi" w:cs="Calibri"/>
          <w:b/>
          <w:bCs/>
          <w:sz w:val="22"/>
          <w:szCs w:val="22"/>
        </w:rPr>
        <w:lastRenderedPageBreak/>
        <w:t>Economic Security Book Club</w:t>
      </w:r>
      <w:r w:rsidRPr="00130E3E">
        <w:rPr>
          <w:rFonts w:asciiTheme="minorHAnsi" w:eastAsia="Calibri" w:hAnsiTheme="minorHAnsi" w:cs="Calibri"/>
          <w:sz w:val="22"/>
          <w:szCs w:val="22"/>
        </w:rPr>
        <w:t xml:space="preserve"> - Edward Fishman, Chokepoints: American Power in the Age of Economic Warfare.</w:t>
      </w:r>
    </w:p>
    <w:p w14:paraId="76EECC16" w14:textId="77777777" w:rsidR="00010A1A" w:rsidRPr="00130E3E" w:rsidRDefault="00000000" w:rsidP="00130E3E">
      <w:pPr>
        <w:pStyle w:val="ListParagraph"/>
        <w:numPr>
          <w:ilvl w:val="0"/>
          <w:numId w:val="2"/>
        </w:numPr>
        <w:spacing w:after="110"/>
        <w:contextualSpacing/>
        <w:jc w:val="both"/>
        <w:rPr>
          <w:rFonts w:asciiTheme="minorHAnsi" w:hAnsiTheme="minorHAnsi"/>
          <w:sz w:val="18"/>
          <w:szCs w:val="18"/>
        </w:rPr>
      </w:pPr>
      <w:r w:rsidRPr="00130E3E">
        <w:rPr>
          <w:rFonts w:asciiTheme="minorHAnsi" w:eastAsia="Calibri" w:hAnsiTheme="minorHAnsi" w:cs="Calibri"/>
          <w:b/>
          <w:bCs/>
          <w:sz w:val="22"/>
          <w:szCs w:val="22"/>
        </w:rPr>
        <w:t>Climate and Environmental Security Book Club</w:t>
      </w:r>
      <w:r w:rsidRPr="00130E3E">
        <w:rPr>
          <w:rFonts w:asciiTheme="minorHAnsi" w:eastAsia="Calibri" w:hAnsiTheme="minorHAnsi" w:cs="Calibri"/>
          <w:sz w:val="22"/>
          <w:szCs w:val="22"/>
        </w:rPr>
        <w:t xml:space="preserve"> - Michael T. Klare, All Hell Breaking Loose: The Pentagon's Perspective on Climate Change.</w:t>
      </w:r>
    </w:p>
    <w:p w14:paraId="4218698B" w14:textId="77777777" w:rsidR="00010A1A" w:rsidRPr="00130E3E" w:rsidRDefault="00000000" w:rsidP="00130E3E">
      <w:pPr>
        <w:pStyle w:val="ListParagraph"/>
        <w:numPr>
          <w:ilvl w:val="0"/>
          <w:numId w:val="2"/>
        </w:numPr>
        <w:spacing w:after="110"/>
        <w:contextualSpacing/>
        <w:jc w:val="both"/>
        <w:rPr>
          <w:rFonts w:asciiTheme="minorHAnsi" w:hAnsiTheme="minorHAnsi"/>
          <w:sz w:val="18"/>
          <w:szCs w:val="18"/>
        </w:rPr>
      </w:pPr>
      <w:r w:rsidRPr="00130E3E">
        <w:rPr>
          <w:rFonts w:asciiTheme="minorHAnsi" w:eastAsia="Calibri" w:hAnsiTheme="minorHAnsi" w:cs="Calibri"/>
          <w:b/>
          <w:bCs/>
          <w:sz w:val="22"/>
          <w:szCs w:val="22"/>
        </w:rPr>
        <w:t>Non-State Political Violence Book Club</w:t>
      </w:r>
      <w:r w:rsidRPr="00130E3E">
        <w:rPr>
          <w:rFonts w:asciiTheme="minorHAnsi" w:eastAsia="Calibri" w:hAnsiTheme="minorHAnsi" w:cs="Calibri"/>
          <w:sz w:val="22"/>
          <w:szCs w:val="22"/>
        </w:rPr>
        <w:t xml:space="preserve"> - Joby Warrick, Black Flags: The Rise of ISIS.</w:t>
      </w:r>
    </w:p>
    <w:p w14:paraId="3D95D595" w14:textId="77095BCC" w:rsidR="00010A1A" w:rsidRPr="00130E3E" w:rsidRDefault="00000000" w:rsidP="00130E3E">
      <w:pPr>
        <w:spacing w:after="160"/>
        <w:contextualSpacing/>
        <w:jc w:val="both"/>
        <w:rPr>
          <w:rFonts w:asciiTheme="minorHAnsi" w:hAnsiTheme="minorHAnsi"/>
          <w:sz w:val="18"/>
          <w:szCs w:val="18"/>
        </w:rPr>
      </w:pPr>
      <w:r w:rsidRPr="00130E3E">
        <w:rPr>
          <w:rFonts w:asciiTheme="minorHAnsi" w:eastAsia="Calibri" w:hAnsiTheme="minorHAnsi" w:cs="Calibri"/>
          <w:sz w:val="22"/>
          <w:szCs w:val="22"/>
        </w:rPr>
        <w:t xml:space="preserve">Do not purchase a Book Club book until your Book Club assignment has been confirmed. Students will rank their preferred Book Club options, and </w:t>
      </w:r>
      <w:r w:rsidR="00130E3E">
        <w:rPr>
          <w:rFonts w:asciiTheme="minorHAnsi" w:eastAsia="Calibri" w:hAnsiTheme="minorHAnsi" w:cs="Calibri"/>
          <w:sz w:val="22"/>
          <w:szCs w:val="22"/>
        </w:rPr>
        <w:t xml:space="preserve">Dr. McKay </w:t>
      </w:r>
      <w:r w:rsidRPr="00130E3E">
        <w:rPr>
          <w:rFonts w:asciiTheme="minorHAnsi" w:eastAsia="Calibri" w:hAnsiTheme="minorHAnsi" w:cs="Calibri"/>
          <w:sz w:val="22"/>
          <w:szCs w:val="22"/>
        </w:rPr>
        <w:t>will make assignments while trying to honor preferences and maintain workable group sizes.</w:t>
      </w:r>
    </w:p>
    <w:p w14:paraId="17F7C15D" w14:textId="39932797" w:rsidR="001E4124" w:rsidRPr="001E4124" w:rsidRDefault="001E4124" w:rsidP="00130E3E">
      <w:pPr>
        <w:pStyle w:val="Heading2"/>
        <w:spacing w:before="260" w:after="120"/>
        <w:contextualSpacing/>
        <w:rPr>
          <w:rFonts w:asciiTheme="minorHAnsi" w:eastAsia="Calibri" w:hAnsiTheme="minorHAnsi" w:cs="Calibri"/>
          <w:b/>
          <w:bCs/>
          <w:color w:val="1F9A66"/>
          <w:sz w:val="24"/>
          <w:szCs w:val="24"/>
        </w:rPr>
      </w:pPr>
      <w:r w:rsidRPr="001E4124">
        <w:rPr>
          <w:rFonts w:asciiTheme="minorHAnsi" w:eastAsia="Calibri" w:hAnsiTheme="minorHAnsi" w:cs="Calibri"/>
          <w:b/>
          <w:bCs/>
          <w:color w:val="1F9A66"/>
          <w:sz w:val="24"/>
          <w:szCs w:val="24"/>
        </w:rPr>
        <w:t>Course Components</w:t>
      </w:r>
    </w:p>
    <w:p w14:paraId="1C46AEFB" w14:textId="4574413E" w:rsidR="00010A1A" w:rsidRPr="00130E3E" w:rsidRDefault="00000000" w:rsidP="00130E3E">
      <w:pPr>
        <w:pStyle w:val="Heading2"/>
        <w:spacing w:before="260" w:after="120"/>
        <w:contextualSpacing/>
        <w:rPr>
          <w:rFonts w:asciiTheme="minorHAnsi" w:hAnsiTheme="minorHAnsi"/>
          <w:color w:val="auto"/>
          <w:sz w:val="22"/>
          <w:szCs w:val="22"/>
        </w:rPr>
      </w:pPr>
      <w:r w:rsidRPr="00130E3E">
        <w:rPr>
          <w:rFonts w:asciiTheme="minorHAnsi" w:eastAsia="Calibri" w:hAnsiTheme="minorHAnsi" w:cs="Calibri"/>
          <w:b/>
          <w:bCs/>
          <w:color w:val="auto"/>
          <w:sz w:val="22"/>
          <w:szCs w:val="22"/>
        </w:rPr>
        <w:t>Reading Preparation and Comprehension</w:t>
      </w:r>
    </w:p>
    <w:p w14:paraId="5EB39AD0" w14:textId="1802B9B5" w:rsidR="00010A1A" w:rsidRPr="00130E3E" w:rsidRDefault="00000000" w:rsidP="00130E3E">
      <w:pPr>
        <w:spacing w:after="160"/>
        <w:contextualSpacing/>
        <w:jc w:val="both"/>
        <w:rPr>
          <w:rFonts w:asciiTheme="minorHAnsi" w:hAnsiTheme="minorHAnsi"/>
          <w:sz w:val="22"/>
          <w:szCs w:val="22"/>
        </w:rPr>
      </w:pPr>
      <w:r w:rsidRPr="00130E3E">
        <w:rPr>
          <w:rFonts w:asciiTheme="minorHAnsi" w:eastAsia="Calibri" w:hAnsiTheme="minorHAnsi" w:cs="Calibri"/>
          <w:sz w:val="22"/>
          <w:szCs w:val="22"/>
        </w:rPr>
        <w:t>Students are expected to complete assigned readings before class and arrive prepared to use them. On days with new reading, class will normally begin with a brief comprehension check. Additional short reading-preparation or engagement activities may also be used. These activities are intended to reward consistent preparation and make class discussion more useful.</w:t>
      </w:r>
    </w:p>
    <w:p w14:paraId="2B471048" w14:textId="77777777" w:rsidR="00010A1A" w:rsidRPr="00130E3E" w:rsidRDefault="00000000" w:rsidP="00130E3E">
      <w:pPr>
        <w:pStyle w:val="Heading2"/>
        <w:spacing w:before="260" w:after="120"/>
        <w:contextualSpacing/>
        <w:rPr>
          <w:rFonts w:asciiTheme="minorHAnsi" w:hAnsiTheme="minorHAnsi"/>
          <w:color w:val="auto"/>
          <w:sz w:val="22"/>
          <w:szCs w:val="22"/>
        </w:rPr>
      </w:pPr>
      <w:r w:rsidRPr="00130E3E">
        <w:rPr>
          <w:rFonts w:asciiTheme="minorHAnsi" w:eastAsia="Calibri" w:hAnsiTheme="minorHAnsi" w:cs="Calibri"/>
          <w:b/>
          <w:bCs/>
          <w:color w:val="auto"/>
          <w:sz w:val="22"/>
          <w:szCs w:val="22"/>
        </w:rPr>
        <w:t>Applied In-Class Activities</w:t>
      </w:r>
    </w:p>
    <w:p w14:paraId="60485127" w14:textId="77777777" w:rsidR="00010A1A" w:rsidRPr="00130E3E" w:rsidRDefault="00000000" w:rsidP="00130E3E">
      <w:pPr>
        <w:spacing w:after="160"/>
        <w:contextualSpacing/>
        <w:jc w:val="both"/>
        <w:rPr>
          <w:rFonts w:asciiTheme="minorHAnsi" w:hAnsiTheme="minorHAnsi"/>
          <w:sz w:val="22"/>
          <w:szCs w:val="22"/>
        </w:rPr>
      </w:pPr>
      <w:r w:rsidRPr="00130E3E">
        <w:rPr>
          <w:rFonts w:asciiTheme="minorHAnsi" w:eastAsia="Calibri" w:hAnsiTheme="minorHAnsi" w:cs="Calibri"/>
          <w:sz w:val="22"/>
          <w:szCs w:val="22"/>
        </w:rPr>
        <w:t>International security analysis requires practice, not only reading. Throughout the semester, students will participate in simulations, case studies, tabletop exercises, negotiations, and other applied activities. These exercises may ask students to identify actors and interests, assess capabilities and vulnerabilities, weigh competing options, anticipate responses, and explain tradeoffs.</w:t>
      </w:r>
    </w:p>
    <w:p w14:paraId="515E2B72" w14:textId="4523A990" w:rsidR="00010A1A" w:rsidRPr="00130E3E" w:rsidRDefault="00130E3E" w:rsidP="00130E3E">
      <w:pPr>
        <w:pStyle w:val="Heading2"/>
        <w:spacing w:before="260" w:after="120"/>
        <w:contextualSpacing/>
        <w:rPr>
          <w:rFonts w:asciiTheme="minorHAnsi" w:hAnsiTheme="minorHAnsi"/>
          <w:color w:val="auto"/>
          <w:sz w:val="22"/>
          <w:szCs w:val="22"/>
        </w:rPr>
      </w:pPr>
      <w:r>
        <w:rPr>
          <w:rFonts w:asciiTheme="minorHAnsi" w:eastAsia="Calibri" w:hAnsiTheme="minorHAnsi" w:cs="Calibri"/>
          <w:b/>
          <w:bCs/>
          <w:color w:val="auto"/>
          <w:sz w:val="22"/>
          <w:szCs w:val="22"/>
        </w:rPr>
        <w:t>“</w:t>
      </w:r>
      <w:r w:rsidRPr="00130E3E">
        <w:rPr>
          <w:rFonts w:asciiTheme="minorHAnsi" w:eastAsia="Calibri" w:hAnsiTheme="minorHAnsi" w:cs="Calibri"/>
          <w:b/>
          <w:bCs/>
          <w:color w:val="auto"/>
          <w:sz w:val="22"/>
          <w:szCs w:val="22"/>
        </w:rPr>
        <w:t xml:space="preserve">Nuclear War </w:t>
      </w:r>
      <w:r>
        <w:rPr>
          <w:rFonts w:asciiTheme="minorHAnsi" w:eastAsia="Calibri" w:hAnsiTheme="minorHAnsi" w:cs="Calibri"/>
          <w:b/>
          <w:bCs/>
          <w:color w:val="auto"/>
          <w:sz w:val="22"/>
          <w:szCs w:val="22"/>
        </w:rPr>
        <w:t>“</w:t>
      </w:r>
      <w:r w:rsidRPr="00130E3E">
        <w:rPr>
          <w:rFonts w:asciiTheme="minorHAnsi" w:eastAsia="Calibri" w:hAnsiTheme="minorHAnsi" w:cs="Calibri"/>
          <w:b/>
          <w:bCs/>
          <w:color w:val="auto"/>
          <w:sz w:val="22"/>
          <w:szCs w:val="22"/>
        </w:rPr>
        <w:t>Common Read</w:t>
      </w:r>
    </w:p>
    <w:p w14:paraId="24B58BEF" w14:textId="77777777" w:rsidR="00010A1A" w:rsidRPr="00130E3E" w:rsidRDefault="00000000" w:rsidP="00130E3E">
      <w:pPr>
        <w:spacing w:after="160"/>
        <w:contextualSpacing/>
        <w:jc w:val="both"/>
        <w:rPr>
          <w:rFonts w:asciiTheme="minorHAnsi" w:hAnsiTheme="minorHAnsi"/>
          <w:sz w:val="22"/>
          <w:szCs w:val="22"/>
        </w:rPr>
      </w:pPr>
      <w:r w:rsidRPr="00130E3E">
        <w:rPr>
          <w:rFonts w:asciiTheme="minorHAnsi" w:eastAsia="Calibri" w:hAnsiTheme="minorHAnsi" w:cs="Calibri"/>
          <w:sz w:val="22"/>
          <w:szCs w:val="22"/>
        </w:rPr>
        <w:t>The class will read Annie Jacobsen's Nuclear War: A Scenario across the semester and discuss it on three common-read days. Students will submit a discussion question in advance, participate in a small-group question-selection process, and come to class prepared for substantive discussion. The purpose is not to summarize the book but to connect its scenario to course concepts including deterrence, escalation, uncertainty, institutions, decision-making, and consequences.</w:t>
      </w:r>
    </w:p>
    <w:p w14:paraId="63C6094B" w14:textId="77777777" w:rsidR="00010A1A" w:rsidRPr="00130E3E" w:rsidRDefault="00000000" w:rsidP="00130E3E">
      <w:pPr>
        <w:pStyle w:val="Heading2"/>
        <w:spacing w:before="260" w:after="120"/>
        <w:contextualSpacing/>
        <w:rPr>
          <w:rFonts w:asciiTheme="minorHAnsi" w:hAnsiTheme="minorHAnsi"/>
          <w:color w:val="auto"/>
          <w:sz w:val="22"/>
          <w:szCs w:val="22"/>
        </w:rPr>
      </w:pPr>
      <w:r w:rsidRPr="00130E3E">
        <w:rPr>
          <w:rFonts w:asciiTheme="minorHAnsi" w:eastAsia="Calibri" w:hAnsiTheme="minorHAnsi" w:cs="Calibri"/>
          <w:b/>
          <w:bCs/>
          <w:color w:val="auto"/>
          <w:sz w:val="22"/>
          <w:szCs w:val="22"/>
        </w:rPr>
        <w:t>Book Clubs</w:t>
      </w:r>
    </w:p>
    <w:p w14:paraId="4A311495" w14:textId="48EF16D8" w:rsidR="00010A1A" w:rsidRPr="00130E3E" w:rsidRDefault="00000000" w:rsidP="00130E3E">
      <w:pPr>
        <w:spacing w:after="160"/>
        <w:contextualSpacing/>
        <w:jc w:val="both"/>
        <w:rPr>
          <w:rFonts w:asciiTheme="minorHAnsi" w:hAnsiTheme="minorHAnsi"/>
          <w:sz w:val="22"/>
          <w:szCs w:val="22"/>
        </w:rPr>
      </w:pPr>
      <w:r w:rsidRPr="00130E3E">
        <w:rPr>
          <w:rFonts w:asciiTheme="minorHAnsi" w:eastAsia="Calibri" w:hAnsiTheme="minorHAnsi" w:cs="Calibri"/>
          <w:sz w:val="22"/>
          <w:szCs w:val="22"/>
        </w:rPr>
        <w:t>Each student will belong to a Book Club centered on one nonfiction security book. Book Club meetings are developmental working sessions rather than stand-alone book reports. Each meeting has a different purpose: identifying the emerging security problem, understanding how the threat operates, developing a comparative case, synthesizing evidence, and deliberating over policy.</w:t>
      </w:r>
      <w:r w:rsidR="00130E3E">
        <w:rPr>
          <w:rFonts w:asciiTheme="minorHAnsi" w:hAnsiTheme="minorHAnsi"/>
          <w:sz w:val="22"/>
          <w:szCs w:val="22"/>
        </w:rPr>
        <w:t xml:space="preserve"> </w:t>
      </w:r>
      <w:r w:rsidRPr="00130E3E">
        <w:rPr>
          <w:rFonts w:asciiTheme="minorHAnsi" w:eastAsia="Calibri" w:hAnsiTheme="minorHAnsi" w:cs="Calibri"/>
          <w:sz w:val="22"/>
          <w:szCs w:val="22"/>
        </w:rPr>
        <w:t>Book Club Phases help you develop your analysis. Project Stages are where you demonstrate your individual analysis.</w:t>
      </w:r>
    </w:p>
    <w:p w14:paraId="57EF8453" w14:textId="77777777" w:rsidR="00010A1A" w:rsidRPr="001E4124" w:rsidRDefault="00000000" w:rsidP="00130E3E">
      <w:pPr>
        <w:pStyle w:val="Heading2"/>
        <w:spacing w:before="260" w:after="120"/>
        <w:contextualSpacing/>
        <w:rPr>
          <w:rFonts w:asciiTheme="minorHAnsi" w:hAnsiTheme="minorHAnsi"/>
          <w:color w:val="auto"/>
          <w:sz w:val="22"/>
          <w:szCs w:val="22"/>
        </w:rPr>
      </w:pPr>
      <w:r w:rsidRPr="001E4124">
        <w:rPr>
          <w:rFonts w:asciiTheme="minorHAnsi" w:eastAsia="Calibri" w:hAnsiTheme="minorHAnsi" w:cs="Calibri"/>
          <w:b/>
          <w:bCs/>
          <w:color w:val="auto"/>
          <w:sz w:val="22"/>
          <w:szCs w:val="22"/>
        </w:rPr>
        <w:t>Comparative Security Case Project</w:t>
      </w:r>
    </w:p>
    <w:p w14:paraId="1AB44915" w14:textId="77777777" w:rsidR="00010A1A" w:rsidRPr="001E4124" w:rsidRDefault="00000000" w:rsidP="00130E3E">
      <w:pPr>
        <w:spacing w:after="160"/>
        <w:contextualSpacing/>
        <w:jc w:val="both"/>
        <w:rPr>
          <w:rFonts w:asciiTheme="minorHAnsi" w:eastAsia="Calibri" w:hAnsiTheme="minorHAnsi" w:cs="Calibri"/>
          <w:sz w:val="22"/>
          <w:szCs w:val="22"/>
        </w:rPr>
      </w:pPr>
      <w:r w:rsidRPr="001E4124">
        <w:rPr>
          <w:rFonts w:asciiTheme="minorHAnsi" w:eastAsia="Calibri" w:hAnsiTheme="minorHAnsi" w:cs="Calibri"/>
          <w:sz w:val="22"/>
          <w:szCs w:val="22"/>
        </w:rPr>
        <w:t>The semester project is a scaffolded policy-analysis project built around your Book Club book and an individually selected comparative case. The project develops in stages so that you move gradually from understanding a security problem to recommending and defending a policy response.</w:t>
      </w:r>
    </w:p>
    <w:p w14:paraId="0D46A90B" w14:textId="77777777" w:rsidR="00130E3E" w:rsidRPr="00130E3E" w:rsidRDefault="00130E3E" w:rsidP="00130E3E">
      <w:pPr>
        <w:spacing w:after="160"/>
        <w:contextualSpacing/>
        <w:rPr>
          <w:rFonts w:asciiTheme="minorHAnsi" w:hAnsiTheme="minorHAnsi"/>
          <w:sz w:val="22"/>
          <w:szCs w:val="22"/>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6500"/>
      </w:tblGrid>
      <w:tr w:rsidR="00010A1A" w:rsidRPr="0032403F" w14:paraId="14993F93" w14:textId="77777777" w:rsidTr="00130E3E">
        <w:trPr>
          <w:tblHeader/>
        </w:trPr>
        <w:tc>
          <w:tcPr>
            <w:tcW w:w="2900" w:type="dxa"/>
            <w:shd w:val="clear" w:color="auto" w:fill="1F9A66"/>
            <w:tcMar>
              <w:top w:w="90" w:type="dxa"/>
              <w:left w:w="110" w:type="dxa"/>
              <w:bottom w:w="90" w:type="dxa"/>
              <w:right w:w="110" w:type="dxa"/>
            </w:tcMar>
          </w:tcPr>
          <w:p w14:paraId="116477CF" w14:textId="77777777" w:rsidR="00010A1A" w:rsidRPr="0032403F" w:rsidRDefault="00000000" w:rsidP="00130E3E">
            <w:pPr>
              <w:contextualSpacing/>
              <w:rPr>
                <w:rFonts w:asciiTheme="minorHAnsi" w:hAnsiTheme="minorHAnsi"/>
                <w:color w:val="FFFFFF" w:themeColor="background1"/>
              </w:rPr>
            </w:pPr>
            <w:r w:rsidRPr="0032403F">
              <w:rPr>
                <w:rFonts w:asciiTheme="minorHAnsi" w:eastAsia="Calibri" w:hAnsiTheme="minorHAnsi" w:cs="Calibri"/>
                <w:b/>
                <w:bCs/>
                <w:color w:val="FFFFFF" w:themeColor="background1"/>
              </w:rPr>
              <w:t>Project Component</w:t>
            </w:r>
          </w:p>
        </w:tc>
        <w:tc>
          <w:tcPr>
            <w:tcW w:w="6500" w:type="dxa"/>
            <w:shd w:val="clear" w:color="auto" w:fill="1F9A66"/>
            <w:tcMar>
              <w:top w:w="90" w:type="dxa"/>
              <w:left w:w="110" w:type="dxa"/>
              <w:bottom w:w="90" w:type="dxa"/>
              <w:right w:w="110" w:type="dxa"/>
            </w:tcMar>
          </w:tcPr>
          <w:p w14:paraId="5654F71F" w14:textId="77777777" w:rsidR="00010A1A" w:rsidRPr="0032403F" w:rsidRDefault="00000000" w:rsidP="00130E3E">
            <w:pPr>
              <w:contextualSpacing/>
              <w:rPr>
                <w:rFonts w:asciiTheme="minorHAnsi" w:hAnsiTheme="minorHAnsi"/>
                <w:color w:val="FFFFFF" w:themeColor="background1"/>
              </w:rPr>
            </w:pPr>
            <w:r w:rsidRPr="0032403F">
              <w:rPr>
                <w:rFonts w:asciiTheme="minorHAnsi" w:eastAsia="Calibri" w:hAnsiTheme="minorHAnsi" w:cs="Calibri"/>
                <w:b/>
                <w:bCs/>
                <w:color w:val="FFFFFF" w:themeColor="background1"/>
              </w:rPr>
              <w:t>What It Involves</w:t>
            </w:r>
          </w:p>
        </w:tc>
      </w:tr>
      <w:tr w:rsidR="00010A1A" w:rsidRPr="0032403F" w14:paraId="7EC08CE8" w14:textId="77777777">
        <w:tc>
          <w:tcPr>
            <w:tcW w:w="2900" w:type="dxa"/>
            <w:tcMar>
              <w:top w:w="90" w:type="dxa"/>
              <w:left w:w="110" w:type="dxa"/>
              <w:bottom w:w="90" w:type="dxa"/>
              <w:right w:w="110" w:type="dxa"/>
            </w:tcMar>
          </w:tcPr>
          <w:p w14:paraId="56289FAD" w14:textId="49175FB1"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Stage 1: Preliminary Security Threat Analysis Memo</w:t>
            </w:r>
          </w:p>
        </w:tc>
        <w:tc>
          <w:tcPr>
            <w:tcW w:w="6500" w:type="dxa"/>
            <w:tcMar>
              <w:top w:w="90" w:type="dxa"/>
              <w:left w:w="110" w:type="dxa"/>
              <w:bottom w:w="90" w:type="dxa"/>
              <w:right w:w="110" w:type="dxa"/>
            </w:tcMar>
          </w:tcPr>
          <w:p w14:paraId="6F828F4E"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A short, preliminary analysis of the security problem emerging from your Book Club book. Your interpretation may change as you continue reading.</w:t>
            </w:r>
          </w:p>
        </w:tc>
      </w:tr>
      <w:tr w:rsidR="00010A1A" w:rsidRPr="0032403F" w14:paraId="1CB4E9D3" w14:textId="77777777">
        <w:tc>
          <w:tcPr>
            <w:tcW w:w="2900" w:type="dxa"/>
            <w:tcMar>
              <w:top w:w="90" w:type="dxa"/>
              <w:left w:w="110" w:type="dxa"/>
              <w:bottom w:w="90" w:type="dxa"/>
              <w:right w:w="110" w:type="dxa"/>
            </w:tcMar>
          </w:tcPr>
          <w:p w14:paraId="3BEA9DF0" w14:textId="57ADFEDE"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Comparative Case Approval</w:t>
            </w:r>
          </w:p>
        </w:tc>
        <w:tc>
          <w:tcPr>
            <w:tcW w:w="6500" w:type="dxa"/>
            <w:tcMar>
              <w:top w:w="90" w:type="dxa"/>
              <w:left w:w="110" w:type="dxa"/>
              <w:bottom w:w="90" w:type="dxa"/>
              <w:right w:w="110" w:type="dxa"/>
            </w:tcMar>
          </w:tcPr>
          <w:p w14:paraId="32B9CB31"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A brief proposal identifying a real-world case that can be meaningfully compared with the security problem in your Book Club book.</w:t>
            </w:r>
          </w:p>
        </w:tc>
      </w:tr>
      <w:tr w:rsidR="00010A1A" w:rsidRPr="0032403F" w14:paraId="1CC18C5B" w14:textId="77777777">
        <w:tc>
          <w:tcPr>
            <w:tcW w:w="2900" w:type="dxa"/>
            <w:tcMar>
              <w:top w:w="90" w:type="dxa"/>
              <w:left w:w="110" w:type="dxa"/>
              <w:bottom w:w="90" w:type="dxa"/>
              <w:right w:w="110" w:type="dxa"/>
            </w:tcMar>
          </w:tcPr>
          <w:p w14:paraId="637B0104" w14:textId="20BEE95C"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lastRenderedPageBreak/>
              <w:t>Stage 2: Comparative Security Case Brief</w:t>
            </w:r>
          </w:p>
        </w:tc>
        <w:tc>
          <w:tcPr>
            <w:tcW w:w="6500" w:type="dxa"/>
            <w:tcMar>
              <w:top w:w="90" w:type="dxa"/>
              <w:left w:w="110" w:type="dxa"/>
              <w:bottom w:w="90" w:type="dxa"/>
              <w:right w:w="110" w:type="dxa"/>
            </w:tcMar>
          </w:tcPr>
          <w:p w14:paraId="00E2ED98"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A direct comparison of the Book Club case and your approved outside case, using evidence and course concepts to explain important similarities and differences.</w:t>
            </w:r>
          </w:p>
        </w:tc>
      </w:tr>
      <w:tr w:rsidR="00010A1A" w:rsidRPr="0032403F" w14:paraId="7390B664" w14:textId="77777777">
        <w:tc>
          <w:tcPr>
            <w:tcW w:w="2900" w:type="dxa"/>
            <w:tcMar>
              <w:top w:w="90" w:type="dxa"/>
              <w:left w:w="110" w:type="dxa"/>
              <w:bottom w:w="90" w:type="dxa"/>
              <w:right w:w="110" w:type="dxa"/>
            </w:tcMar>
          </w:tcPr>
          <w:p w14:paraId="48323203" w14:textId="570B4304"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Security Analysis Workshop</w:t>
            </w:r>
          </w:p>
        </w:tc>
        <w:tc>
          <w:tcPr>
            <w:tcW w:w="6500" w:type="dxa"/>
            <w:tcMar>
              <w:top w:w="90" w:type="dxa"/>
              <w:left w:w="110" w:type="dxa"/>
              <w:bottom w:w="90" w:type="dxa"/>
              <w:right w:w="110" w:type="dxa"/>
            </w:tcMar>
          </w:tcPr>
          <w:p w14:paraId="48B56FD9"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An in-class developmental workshop that maps actors, interests, capabilities, vulnerabilities, likely reactions, escalation or failure points, and possible intervention points. This is not a separate formal project stage.</w:t>
            </w:r>
          </w:p>
        </w:tc>
      </w:tr>
      <w:tr w:rsidR="00010A1A" w:rsidRPr="0032403F" w14:paraId="735DB09A" w14:textId="77777777">
        <w:tc>
          <w:tcPr>
            <w:tcW w:w="2900" w:type="dxa"/>
            <w:tcMar>
              <w:top w:w="90" w:type="dxa"/>
              <w:left w:w="110" w:type="dxa"/>
              <w:bottom w:w="90" w:type="dxa"/>
              <w:right w:w="110" w:type="dxa"/>
            </w:tcMar>
          </w:tcPr>
          <w:p w14:paraId="11B1FD03" w14:textId="6616CD10"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Stage 3: Draft Policy Brief + Peer Review</w:t>
            </w:r>
          </w:p>
        </w:tc>
        <w:tc>
          <w:tcPr>
            <w:tcW w:w="6500" w:type="dxa"/>
            <w:tcMar>
              <w:top w:w="90" w:type="dxa"/>
              <w:left w:w="110" w:type="dxa"/>
              <w:bottom w:w="90" w:type="dxa"/>
              <w:right w:w="110" w:type="dxa"/>
            </w:tcMar>
          </w:tcPr>
          <w:p w14:paraId="7444181B"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A complete draft of your policy analysis, followed by structured peer feedback and revision planning.</w:t>
            </w:r>
          </w:p>
        </w:tc>
      </w:tr>
      <w:tr w:rsidR="00010A1A" w:rsidRPr="0032403F" w14:paraId="346B2317" w14:textId="77777777">
        <w:tc>
          <w:tcPr>
            <w:tcW w:w="2900" w:type="dxa"/>
            <w:tcMar>
              <w:top w:w="90" w:type="dxa"/>
              <w:left w:w="110" w:type="dxa"/>
              <w:bottom w:w="90" w:type="dxa"/>
              <w:right w:w="110" w:type="dxa"/>
            </w:tcMar>
          </w:tcPr>
          <w:p w14:paraId="6C4CFA41" w14:textId="13C5CC23"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Stage 4a: Final Security Policy Brief</w:t>
            </w:r>
          </w:p>
        </w:tc>
        <w:tc>
          <w:tcPr>
            <w:tcW w:w="6500" w:type="dxa"/>
            <w:tcMar>
              <w:top w:w="90" w:type="dxa"/>
              <w:left w:w="110" w:type="dxa"/>
              <w:bottom w:w="90" w:type="dxa"/>
              <w:right w:w="110" w:type="dxa"/>
            </w:tcMar>
          </w:tcPr>
          <w:p w14:paraId="6029889F" w14:textId="77777777" w:rsidR="00010A1A" w:rsidRPr="0032403F" w:rsidRDefault="00000000" w:rsidP="00130E3E">
            <w:pPr>
              <w:contextualSpacing/>
              <w:jc w:val="both"/>
              <w:rPr>
                <w:rFonts w:asciiTheme="minorHAnsi" w:hAnsiTheme="minorHAnsi"/>
              </w:rPr>
            </w:pPr>
            <w:r w:rsidRPr="0032403F">
              <w:rPr>
                <w:rFonts w:asciiTheme="minorHAnsi" w:eastAsia="Calibri" w:hAnsiTheme="minorHAnsi" w:cs="Calibri"/>
              </w:rPr>
              <w:t>Your final individual policy brief, written for a specific policy client and grounded in evidence, comparison, strategic analysis, and a clearly justified recommendation.</w:t>
            </w:r>
          </w:p>
        </w:tc>
      </w:tr>
      <w:tr w:rsidR="00010A1A" w:rsidRPr="0032403F" w14:paraId="5CBB5C1B" w14:textId="77777777">
        <w:tc>
          <w:tcPr>
            <w:tcW w:w="2900" w:type="dxa"/>
            <w:tcMar>
              <w:top w:w="90" w:type="dxa"/>
              <w:left w:w="110" w:type="dxa"/>
              <w:bottom w:w="90" w:type="dxa"/>
              <w:right w:w="110" w:type="dxa"/>
            </w:tcMar>
          </w:tcPr>
          <w:p w14:paraId="0D2DEF58" w14:textId="26350EB8" w:rsidR="00010A1A" w:rsidRPr="0032403F" w:rsidRDefault="00000000" w:rsidP="00130E3E">
            <w:pPr>
              <w:contextualSpacing/>
              <w:rPr>
                <w:rFonts w:asciiTheme="minorHAnsi" w:hAnsiTheme="minorHAnsi"/>
              </w:rPr>
            </w:pPr>
            <w:r w:rsidRPr="0032403F">
              <w:rPr>
                <w:rFonts w:asciiTheme="minorHAnsi" w:eastAsia="Calibri" w:hAnsiTheme="minorHAnsi" w:cs="Calibri"/>
                <w:b/>
                <w:bCs/>
              </w:rPr>
              <w:t>Stage 4b: Security Policy Panel + Q&amp;A</w:t>
            </w:r>
          </w:p>
        </w:tc>
        <w:tc>
          <w:tcPr>
            <w:tcW w:w="6500" w:type="dxa"/>
            <w:tcMar>
              <w:top w:w="90" w:type="dxa"/>
              <w:left w:w="110" w:type="dxa"/>
              <w:bottom w:w="90" w:type="dxa"/>
              <w:right w:w="110" w:type="dxa"/>
            </w:tcMar>
          </w:tcPr>
          <w:p w14:paraId="3643A91C"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rPr>
              <w:t>A Book Club panel in which group members synthesize their findings, develop a shared recommendation, and defend their reasoning during class Q&amp;A.</w:t>
            </w:r>
          </w:p>
        </w:tc>
      </w:tr>
    </w:tbl>
    <w:p w14:paraId="548E5637" w14:textId="77777777" w:rsidR="001E4124" w:rsidRDefault="001E4124" w:rsidP="00130E3E">
      <w:pPr>
        <w:spacing w:after="160"/>
        <w:contextualSpacing/>
        <w:rPr>
          <w:rFonts w:asciiTheme="minorHAnsi" w:eastAsia="Calibri" w:hAnsiTheme="minorHAnsi" w:cs="Calibri"/>
          <w:sz w:val="22"/>
          <w:szCs w:val="22"/>
        </w:rPr>
      </w:pPr>
    </w:p>
    <w:p w14:paraId="354B98CD" w14:textId="4686F17C" w:rsidR="001E4124" w:rsidRPr="001E4124" w:rsidRDefault="001E4124" w:rsidP="00130E3E">
      <w:pPr>
        <w:spacing w:after="160"/>
        <w:contextualSpacing/>
        <w:rPr>
          <w:rFonts w:asciiTheme="minorHAnsi" w:eastAsia="Calibri" w:hAnsiTheme="minorHAnsi" w:cs="Calibri"/>
          <w:b/>
          <w:bCs/>
          <w:color w:val="1F9A66"/>
          <w:sz w:val="24"/>
          <w:szCs w:val="24"/>
        </w:rPr>
      </w:pPr>
      <w:r w:rsidRPr="001E4124">
        <w:rPr>
          <w:rFonts w:asciiTheme="minorHAnsi" w:eastAsia="Calibri" w:hAnsiTheme="minorHAnsi" w:cs="Calibri"/>
          <w:b/>
          <w:bCs/>
          <w:color w:val="1F9A66"/>
          <w:sz w:val="24"/>
          <w:szCs w:val="24"/>
        </w:rPr>
        <w:t>Grading</w:t>
      </w:r>
    </w:p>
    <w:p w14:paraId="77DFC2C7" w14:textId="3C5C46A3" w:rsidR="00010A1A" w:rsidRPr="00130E3E" w:rsidRDefault="00000000" w:rsidP="0032403F">
      <w:pPr>
        <w:spacing w:after="160"/>
        <w:contextualSpacing/>
        <w:rPr>
          <w:rFonts w:asciiTheme="minorHAnsi" w:hAnsiTheme="minorHAnsi"/>
          <w:sz w:val="22"/>
          <w:szCs w:val="22"/>
        </w:rPr>
      </w:pPr>
      <w:r w:rsidRPr="00130E3E">
        <w:rPr>
          <w:rFonts w:asciiTheme="minorHAnsi" w:eastAsia="Calibri" w:hAnsiTheme="minorHAnsi" w:cs="Calibri"/>
          <w:sz w:val="22"/>
          <w:szCs w:val="22"/>
        </w:rPr>
        <w:t>The course currently includes the following assessment categories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0"/>
        <w:gridCol w:w="4700"/>
      </w:tblGrid>
      <w:tr w:rsidR="00010A1A" w:rsidRPr="0032403F" w14:paraId="6116B63A" w14:textId="77777777" w:rsidTr="001E4124">
        <w:trPr>
          <w:tblHeader/>
        </w:trPr>
        <w:tc>
          <w:tcPr>
            <w:tcW w:w="4700" w:type="dxa"/>
            <w:shd w:val="clear" w:color="auto" w:fill="1F9A66"/>
            <w:tcMar>
              <w:top w:w="90" w:type="dxa"/>
              <w:left w:w="110" w:type="dxa"/>
              <w:bottom w:w="90" w:type="dxa"/>
              <w:right w:w="110" w:type="dxa"/>
            </w:tcMar>
          </w:tcPr>
          <w:p w14:paraId="5E4034AB"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b/>
                <w:bCs/>
                <w:color w:val="FFFFFF"/>
              </w:rPr>
              <w:t>Assessment Category</w:t>
            </w:r>
          </w:p>
        </w:tc>
        <w:tc>
          <w:tcPr>
            <w:tcW w:w="4700" w:type="dxa"/>
            <w:shd w:val="clear" w:color="auto" w:fill="1F9A66"/>
            <w:tcMar>
              <w:top w:w="90" w:type="dxa"/>
              <w:left w:w="110" w:type="dxa"/>
              <w:bottom w:w="90" w:type="dxa"/>
              <w:right w:w="110" w:type="dxa"/>
            </w:tcMar>
          </w:tcPr>
          <w:p w14:paraId="60315F02"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b/>
                <w:bCs/>
                <w:color w:val="FFFFFF"/>
              </w:rPr>
              <w:t>Weight / Points</w:t>
            </w:r>
          </w:p>
        </w:tc>
      </w:tr>
      <w:tr w:rsidR="00010A1A" w:rsidRPr="0032403F" w14:paraId="2BFBC5B4" w14:textId="77777777">
        <w:tc>
          <w:tcPr>
            <w:tcW w:w="4700" w:type="dxa"/>
            <w:tcMar>
              <w:top w:w="90" w:type="dxa"/>
              <w:left w:w="110" w:type="dxa"/>
              <w:bottom w:w="90" w:type="dxa"/>
              <w:right w:w="110" w:type="dxa"/>
            </w:tcMar>
          </w:tcPr>
          <w:p w14:paraId="3F59BB7E"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rPr>
              <w:t>Comparative Security Case Project</w:t>
            </w:r>
          </w:p>
        </w:tc>
        <w:tc>
          <w:tcPr>
            <w:tcW w:w="4700" w:type="dxa"/>
            <w:tcMar>
              <w:top w:w="90" w:type="dxa"/>
              <w:left w:w="110" w:type="dxa"/>
              <w:bottom w:w="90" w:type="dxa"/>
              <w:right w:w="110" w:type="dxa"/>
            </w:tcMar>
          </w:tcPr>
          <w:p w14:paraId="707AA43E" w14:textId="3A72F9A5" w:rsidR="00010A1A" w:rsidRPr="0032403F" w:rsidRDefault="001E4124" w:rsidP="00130E3E">
            <w:pPr>
              <w:contextualSpacing/>
              <w:rPr>
                <w:rFonts w:asciiTheme="minorHAnsi" w:hAnsiTheme="minorHAnsi"/>
              </w:rPr>
            </w:pPr>
            <w:r w:rsidRPr="0032403F">
              <w:rPr>
                <w:rFonts w:asciiTheme="minorHAnsi" w:eastAsia="Calibri" w:hAnsiTheme="minorHAnsi" w:cs="Calibri"/>
              </w:rPr>
              <w:t>40%</w:t>
            </w:r>
          </w:p>
        </w:tc>
      </w:tr>
      <w:tr w:rsidR="00010A1A" w:rsidRPr="0032403F" w14:paraId="641DAB66" w14:textId="77777777">
        <w:tc>
          <w:tcPr>
            <w:tcW w:w="4700" w:type="dxa"/>
            <w:tcMar>
              <w:top w:w="90" w:type="dxa"/>
              <w:left w:w="110" w:type="dxa"/>
              <w:bottom w:w="90" w:type="dxa"/>
              <w:right w:w="110" w:type="dxa"/>
            </w:tcMar>
          </w:tcPr>
          <w:p w14:paraId="74DC4282"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rPr>
              <w:t>Reading Preparation / Comprehension</w:t>
            </w:r>
          </w:p>
        </w:tc>
        <w:tc>
          <w:tcPr>
            <w:tcW w:w="4700" w:type="dxa"/>
            <w:tcMar>
              <w:top w:w="90" w:type="dxa"/>
              <w:left w:w="110" w:type="dxa"/>
              <w:bottom w:w="90" w:type="dxa"/>
              <w:right w:w="110" w:type="dxa"/>
            </w:tcMar>
          </w:tcPr>
          <w:p w14:paraId="40F0774D" w14:textId="704F173F" w:rsidR="00010A1A" w:rsidRPr="0032403F" w:rsidRDefault="001E4124" w:rsidP="00130E3E">
            <w:pPr>
              <w:contextualSpacing/>
              <w:rPr>
                <w:rFonts w:asciiTheme="minorHAnsi" w:hAnsiTheme="minorHAnsi"/>
              </w:rPr>
            </w:pPr>
            <w:r w:rsidRPr="0032403F">
              <w:rPr>
                <w:rFonts w:asciiTheme="minorHAnsi" w:eastAsia="Calibri" w:hAnsiTheme="minorHAnsi" w:cs="Calibri"/>
              </w:rPr>
              <w:t>20%</w:t>
            </w:r>
          </w:p>
        </w:tc>
      </w:tr>
      <w:tr w:rsidR="00010A1A" w:rsidRPr="0032403F" w14:paraId="3E5877BA" w14:textId="77777777">
        <w:tc>
          <w:tcPr>
            <w:tcW w:w="4700" w:type="dxa"/>
            <w:tcMar>
              <w:top w:w="90" w:type="dxa"/>
              <w:left w:w="110" w:type="dxa"/>
              <w:bottom w:w="90" w:type="dxa"/>
              <w:right w:w="110" w:type="dxa"/>
            </w:tcMar>
          </w:tcPr>
          <w:p w14:paraId="61454D82"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rPr>
              <w:t>Applied In-Class Activities</w:t>
            </w:r>
          </w:p>
        </w:tc>
        <w:tc>
          <w:tcPr>
            <w:tcW w:w="4700" w:type="dxa"/>
            <w:tcMar>
              <w:top w:w="90" w:type="dxa"/>
              <w:left w:w="110" w:type="dxa"/>
              <w:bottom w:w="90" w:type="dxa"/>
              <w:right w:w="110" w:type="dxa"/>
            </w:tcMar>
          </w:tcPr>
          <w:p w14:paraId="3ABB4BD2" w14:textId="13BA4402" w:rsidR="00010A1A" w:rsidRPr="0032403F" w:rsidRDefault="001E4124" w:rsidP="00130E3E">
            <w:pPr>
              <w:contextualSpacing/>
              <w:rPr>
                <w:rFonts w:asciiTheme="minorHAnsi" w:hAnsiTheme="minorHAnsi"/>
              </w:rPr>
            </w:pPr>
            <w:r w:rsidRPr="0032403F">
              <w:rPr>
                <w:rFonts w:asciiTheme="minorHAnsi" w:eastAsia="Calibri" w:hAnsiTheme="minorHAnsi" w:cs="Calibri"/>
              </w:rPr>
              <w:t>20%</w:t>
            </w:r>
          </w:p>
        </w:tc>
      </w:tr>
      <w:tr w:rsidR="00010A1A" w:rsidRPr="0032403F" w14:paraId="0B6EA483" w14:textId="77777777">
        <w:tc>
          <w:tcPr>
            <w:tcW w:w="4700" w:type="dxa"/>
            <w:tcMar>
              <w:top w:w="90" w:type="dxa"/>
              <w:left w:w="110" w:type="dxa"/>
              <w:bottom w:w="90" w:type="dxa"/>
              <w:right w:w="110" w:type="dxa"/>
            </w:tcMar>
          </w:tcPr>
          <w:p w14:paraId="62F5FC80" w14:textId="77777777" w:rsidR="00010A1A" w:rsidRPr="0032403F" w:rsidRDefault="00000000" w:rsidP="00130E3E">
            <w:pPr>
              <w:contextualSpacing/>
              <w:rPr>
                <w:rFonts w:asciiTheme="minorHAnsi" w:hAnsiTheme="minorHAnsi"/>
              </w:rPr>
            </w:pPr>
            <w:r w:rsidRPr="0032403F">
              <w:rPr>
                <w:rFonts w:asciiTheme="minorHAnsi" w:eastAsia="Calibri" w:hAnsiTheme="minorHAnsi" w:cs="Calibri"/>
              </w:rPr>
              <w:t>Book Club</w:t>
            </w:r>
          </w:p>
        </w:tc>
        <w:tc>
          <w:tcPr>
            <w:tcW w:w="4700" w:type="dxa"/>
            <w:tcMar>
              <w:top w:w="90" w:type="dxa"/>
              <w:left w:w="110" w:type="dxa"/>
              <w:bottom w:w="90" w:type="dxa"/>
              <w:right w:w="110" w:type="dxa"/>
            </w:tcMar>
          </w:tcPr>
          <w:p w14:paraId="11E4A3DA" w14:textId="1320F6C6" w:rsidR="00010A1A" w:rsidRPr="0032403F" w:rsidRDefault="001E4124" w:rsidP="00130E3E">
            <w:pPr>
              <w:contextualSpacing/>
              <w:rPr>
                <w:rFonts w:asciiTheme="minorHAnsi" w:hAnsiTheme="minorHAnsi"/>
              </w:rPr>
            </w:pPr>
            <w:r w:rsidRPr="0032403F">
              <w:rPr>
                <w:rFonts w:asciiTheme="minorHAnsi" w:eastAsia="Calibri" w:hAnsiTheme="minorHAnsi" w:cs="Calibri"/>
              </w:rPr>
              <w:t>10%</w:t>
            </w:r>
          </w:p>
        </w:tc>
      </w:tr>
      <w:tr w:rsidR="00010A1A" w:rsidRPr="0032403F" w14:paraId="6E0E901B" w14:textId="77777777">
        <w:tc>
          <w:tcPr>
            <w:tcW w:w="4700" w:type="dxa"/>
            <w:tcMar>
              <w:top w:w="90" w:type="dxa"/>
              <w:left w:w="110" w:type="dxa"/>
              <w:bottom w:w="90" w:type="dxa"/>
              <w:right w:w="110" w:type="dxa"/>
            </w:tcMar>
          </w:tcPr>
          <w:p w14:paraId="2EA9DF8D" w14:textId="6872F5CA" w:rsidR="00010A1A" w:rsidRPr="0032403F" w:rsidRDefault="001E4124" w:rsidP="00130E3E">
            <w:pPr>
              <w:contextualSpacing/>
              <w:rPr>
                <w:rFonts w:asciiTheme="minorHAnsi" w:hAnsiTheme="minorHAnsi"/>
              </w:rPr>
            </w:pPr>
            <w:r w:rsidRPr="0032403F">
              <w:rPr>
                <w:rFonts w:asciiTheme="minorHAnsi" w:eastAsia="Calibri" w:hAnsiTheme="minorHAnsi" w:cs="Calibri"/>
              </w:rPr>
              <w:t>“Nuclear War” Common Read</w:t>
            </w:r>
          </w:p>
        </w:tc>
        <w:tc>
          <w:tcPr>
            <w:tcW w:w="4700" w:type="dxa"/>
            <w:tcMar>
              <w:top w:w="90" w:type="dxa"/>
              <w:left w:w="110" w:type="dxa"/>
              <w:bottom w:w="90" w:type="dxa"/>
              <w:right w:w="110" w:type="dxa"/>
            </w:tcMar>
          </w:tcPr>
          <w:p w14:paraId="45F1F346" w14:textId="6D0E20BB" w:rsidR="00010A1A" w:rsidRPr="0032403F" w:rsidRDefault="001E4124" w:rsidP="00130E3E">
            <w:pPr>
              <w:contextualSpacing/>
              <w:rPr>
                <w:rFonts w:asciiTheme="minorHAnsi" w:hAnsiTheme="minorHAnsi"/>
              </w:rPr>
            </w:pPr>
            <w:r w:rsidRPr="0032403F">
              <w:rPr>
                <w:rFonts w:asciiTheme="minorHAnsi" w:eastAsia="Calibri" w:hAnsiTheme="minorHAnsi" w:cs="Calibri"/>
              </w:rPr>
              <w:t>10%</w:t>
            </w:r>
          </w:p>
        </w:tc>
      </w:tr>
    </w:tbl>
    <w:p w14:paraId="303EE24F" w14:textId="48A970E5" w:rsidR="001E4124" w:rsidRPr="001E4124" w:rsidRDefault="001E4124" w:rsidP="00130E3E">
      <w:pPr>
        <w:pStyle w:val="Heading2"/>
        <w:spacing w:before="260" w:after="120"/>
        <w:contextualSpacing/>
        <w:rPr>
          <w:rFonts w:asciiTheme="minorHAnsi" w:eastAsia="Calibri" w:hAnsiTheme="minorHAnsi" w:cs="Calibri"/>
          <w:b/>
          <w:bCs/>
          <w:color w:val="1F9A66"/>
          <w:sz w:val="28"/>
          <w:szCs w:val="28"/>
        </w:rPr>
      </w:pPr>
      <w:r w:rsidRPr="001E4124">
        <w:rPr>
          <w:rFonts w:asciiTheme="minorHAnsi" w:eastAsia="Calibri" w:hAnsiTheme="minorHAnsi" w:cs="Calibri"/>
          <w:b/>
          <w:bCs/>
          <w:color w:val="1F9A66"/>
          <w:sz w:val="28"/>
          <w:szCs w:val="28"/>
        </w:rPr>
        <w:t>General Course Expectations</w:t>
      </w:r>
    </w:p>
    <w:p w14:paraId="2704BF61" w14:textId="77777777" w:rsidR="001E4124" w:rsidRPr="001E4124" w:rsidRDefault="00000000" w:rsidP="001E4124">
      <w:pPr>
        <w:pStyle w:val="Heading2"/>
        <w:spacing w:before="260" w:after="120"/>
        <w:contextualSpacing/>
        <w:rPr>
          <w:rFonts w:asciiTheme="minorHAnsi" w:eastAsia="Calibri" w:hAnsiTheme="minorHAnsi" w:cs="Calibri"/>
          <w:b/>
          <w:bCs/>
          <w:color w:val="auto"/>
          <w:sz w:val="22"/>
          <w:szCs w:val="22"/>
        </w:rPr>
      </w:pPr>
      <w:r w:rsidRPr="001E4124">
        <w:rPr>
          <w:rFonts w:asciiTheme="minorHAnsi" w:eastAsia="Calibri" w:hAnsiTheme="minorHAnsi" w:cs="Calibri"/>
          <w:b/>
          <w:bCs/>
          <w:color w:val="auto"/>
          <w:sz w:val="22"/>
          <w:szCs w:val="22"/>
        </w:rPr>
        <w:t>Preparation and Participation</w:t>
      </w:r>
    </w:p>
    <w:p w14:paraId="27A6E47F" w14:textId="4D71EFAE" w:rsidR="00010A1A" w:rsidRDefault="00000000" w:rsidP="0032403F">
      <w:pPr>
        <w:pStyle w:val="Heading2"/>
        <w:spacing w:before="260" w:after="120"/>
        <w:contextualSpacing/>
        <w:jc w:val="both"/>
        <w:rPr>
          <w:rFonts w:asciiTheme="minorHAnsi" w:eastAsia="Calibri" w:hAnsiTheme="minorHAnsi" w:cs="Calibri"/>
          <w:color w:val="auto"/>
          <w:sz w:val="22"/>
          <w:szCs w:val="22"/>
        </w:rPr>
      </w:pPr>
      <w:r w:rsidRPr="001E4124">
        <w:rPr>
          <w:rFonts w:asciiTheme="minorHAnsi" w:eastAsia="Calibri" w:hAnsiTheme="minorHAnsi" w:cs="Calibri"/>
          <w:color w:val="auto"/>
          <w:sz w:val="22"/>
          <w:szCs w:val="22"/>
        </w:rPr>
        <w:t>This is an upper-level course built around discussion, analysis, and application. Students should arrive having completed the assigned reading and be prepared to contribute to discussions, simulations, Book Clubs, workshops, and peer-review activities. Productive participation includes listening, asking questions, explaining reasoning, responding respectfully to classmates, and contributing to group work.</w:t>
      </w:r>
    </w:p>
    <w:p w14:paraId="6F9A4F96" w14:textId="77777777" w:rsidR="001E4124" w:rsidRPr="001E4124" w:rsidRDefault="001E4124" w:rsidP="0032403F">
      <w:pPr>
        <w:pStyle w:val="Heading2"/>
        <w:spacing w:before="260" w:after="120"/>
        <w:contextualSpacing/>
        <w:jc w:val="both"/>
        <w:rPr>
          <w:rFonts w:asciiTheme="minorHAnsi" w:hAnsiTheme="minorHAnsi"/>
          <w:color w:val="auto"/>
        </w:rPr>
      </w:pPr>
    </w:p>
    <w:p w14:paraId="4898B12E" w14:textId="77777777" w:rsidR="00010A1A" w:rsidRPr="001E4124" w:rsidRDefault="00000000" w:rsidP="0032403F">
      <w:pPr>
        <w:pStyle w:val="Heading2"/>
        <w:spacing w:before="260" w:after="120"/>
        <w:contextualSpacing/>
        <w:jc w:val="both"/>
        <w:rPr>
          <w:rFonts w:asciiTheme="minorHAnsi" w:eastAsia="Calibri" w:hAnsiTheme="minorHAnsi" w:cs="Calibri"/>
          <w:b/>
          <w:bCs/>
          <w:color w:val="auto"/>
          <w:sz w:val="22"/>
          <w:szCs w:val="22"/>
        </w:rPr>
      </w:pPr>
      <w:r w:rsidRPr="001E4124">
        <w:rPr>
          <w:rFonts w:asciiTheme="minorHAnsi" w:eastAsia="Calibri" w:hAnsiTheme="minorHAnsi" w:cs="Calibri"/>
          <w:b/>
          <w:bCs/>
          <w:color w:val="auto"/>
          <w:sz w:val="22"/>
          <w:szCs w:val="22"/>
        </w:rPr>
        <w:t>Attendance</w:t>
      </w:r>
    </w:p>
    <w:p w14:paraId="56D26361" w14:textId="7CAD7198" w:rsidR="00130E3E" w:rsidRPr="00B25DBD" w:rsidRDefault="00130E3E" w:rsidP="0032403F">
      <w:pPr>
        <w:pStyle w:val="Heading2"/>
        <w:spacing w:before="260" w:after="120"/>
        <w:contextualSpacing/>
        <w:jc w:val="both"/>
        <w:rPr>
          <w:rFonts w:asciiTheme="minorHAnsi" w:hAnsiTheme="minorHAnsi"/>
          <w:color w:val="auto"/>
          <w:sz w:val="22"/>
          <w:szCs w:val="22"/>
        </w:rPr>
      </w:pPr>
      <w:r w:rsidRPr="00B25DBD">
        <w:rPr>
          <w:rFonts w:asciiTheme="minorHAnsi" w:hAnsiTheme="minorHAnsi"/>
          <w:color w:val="auto"/>
          <w:sz w:val="22"/>
          <w:szCs w:val="22"/>
        </w:rPr>
        <w:t xml:space="preserve">Attendance is </w:t>
      </w:r>
      <w:r w:rsidR="00B25DBD" w:rsidRPr="00B25DBD">
        <w:rPr>
          <w:rFonts w:asciiTheme="minorHAnsi" w:hAnsiTheme="minorHAnsi"/>
          <w:color w:val="auto"/>
          <w:sz w:val="22"/>
          <w:szCs w:val="22"/>
        </w:rPr>
        <w:t xml:space="preserve">expected, although not tracked for a grade. Our class activities require attendance and engagement with a group or the entire class, therefore make up opportunities for missed in-class activities are not provided. </w:t>
      </w:r>
    </w:p>
    <w:p w14:paraId="08082ABD" w14:textId="77777777" w:rsidR="0032403F" w:rsidRPr="00B25DBD" w:rsidRDefault="0032403F" w:rsidP="00130E3E">
      <w:pPr>
        <w:pStyle w:val="Heading2"/>
        <w:spacing w:before="260" w:after="120"/>
        <w:contextualSpacing/>
        <w:rPr>
          <w:rFonts w:asciiTheme="minorHAnsi" w:hAnsiTheme="minorHAnsi"/>
          <w:color w:val="auto"/>
          <w:sz w:val="22"/>
          <w:szCs w:val="22"/>
        </w:rPr>
      </w:pPr>
    </w:p>
    <w:p w14:paraId="0663836F" w14:textId="2E16537F" w:rsidR="00B25DBD" w:rsidRPr="001E4124" w:rsidRDefault="00000000" w:rsidP="0032403F">
      <w:pPr>
        <w:pStyle w:val="Heading2"/>
        <w:spacing w:after="120"/>
        <w:contextualSpacing/>
        <w:rPr>
          <w:rFonts w:asciiTheme="minorHAnsi" w:eastAsia="Calibri" w:hAnsiTheme="minorHAnsi" w:cs="Calibri"/>
          <w:b/>
          <w:bCs/>
          <w:color w:val="auto"/>
          <w:sz w:val="22"/>
          <w:szCs w:val="22"/>
        </w:rPr>
      </w:pPr>
      <w:r w:rsidRPr="001E4124">
        <w:rPr>
          <w:rFonts w:asciiTheme="minorHAnsi" w:eastAsia="Calibri" w:hAnsiTheme="minorHAnsi" w:cs="Calibri"/>
          <w:b/>
          <w:bCs/>
          <w:color w:val="auto"/>
          <w:sz w:val="22"/>
          <w:szCs w:val="22"/>
        </w:rPr>
        <w:t>Late Work and Missed In-Class Work</w:t>
      </w:r>
    </w:p>
    <w:p w14:paraId="3EABCB06" w14:textId="77777777" w:rsidR="00B25DBD" w:rsidRPr="00B25DBD" w:rsidRDefault="00B25DBD" w:rsidP="0032403F">
      <w:pPr>
        <w:numPr>
          <w:ilvl w:val="0"/>
          <w:numId w:val="5"/>
        </w:numPr>
        <w:spacing w:after="100" w:afterAutospacing="1"/>
        <w:contextualSpacing/>
        <w:jc w:val="both"/>
        <w:rPr>
          <w:rFonts w:asciiTheme="minorHAnsi" w:hAnsiTheme="minorHAnsi"/>
          <w:sz w:val="22"/>
          <w:szCs w:val="22"/>
        </w:rPr>
      </w:pPr>
      <w:r w:rsidRPr="00B25DBD">
        <w:rPr>
          <w:rFonts w:asciiTheme="minorHAnsi" w:hAnsiTheme="minorHAnsi"/>
          <w:sz w:val="22"/>
          <w:szCs w:val="22"/>
        </w:rPr>
        <w:t xml:space="preserve">Due dates and times are clearly marked in Canvas for each assignment, and allowing students to turn in homework late is not an equitable approach to learning. All students have the same number of days to complete the same work. </w:t>
      </w:r>
    </w:p>
    <w:p w14:paraId="5F986B50" w14:textId="77777777" w:rsidR="00B25DBD" w:rsidRPr="00B25DBD" w:rsidRDefault="00B25DBD" w:rsidP="00B25DBD">
      <w:pPr>
        <w:numPr>
          <w:ilvl w:val="0"/>
          <w:numId w:val="6"/>
        </w:numPr>
        <w:spacing w:before="100" w:beforeAutospacing="1" w:after="100" w:afterAutospacing="1"/>
        <w:contextualSpacing/>
        <w:jc w:val="both"/>
        <w:rPr>
          <w:rFonts w:asciiTheme="minorHAnsi" w:hAnsiTheme="minorHAnsi"/>
          <w:sz w:val="22"/>
          <w:szCs w:val="22"/>
        </w:rPr>
      </w:pPr>
      <w:r w:rsidRPr="00B25DBD">
        <w:rPr>
          <w:rFonts w:asciiTheme="minorHAnsi" w:hAnsiTheme="minorHAnsi"/>
          <w:sz w:val="22"/>
          <w:szCs w:val="22"/>
        </w:rPr>
        <w:lastRenderedPageBreak/>
        <w:t xml:space="preserve">All assignments are due by 11:59 pm on the assigned due date. Not all homework is due on Sunday, please follow the schedule in Canvas. </w:t>
      </w:r>
    </w:p>
    <w:p w14:paraId="7559B67F" w14:textId="77777777" w:rsidR="00B25DBD" w:rsidRPr="00B25DBD" w:rsidRDefault="00B25DBD" w:rsidP="00B25DBD">
      <w:pPr>
        <w:numPr>
          <w:ilvl w:val="0"/>
          <w:numId w:val="7"/>
        </w:numPr>
        <w:spacing w:before="100" w:beforeAutospacing="1" w:after="100" w:afterAutospacing="1"/>
        <w:contextualSpacing/>
        <w:jc w:val="both"/>
        <w:rPr>
          <w:rFonts w:asciiTheme="minorHAnsi" w:hAnsiTheme="minorHAnsi"/>
          <w:sz w:val="22"/>
          <w:szCs w:val="22"/>
        </w:rPr>
      </w:pPr>
      <w:r w:rsidRPr="00B25DBD">
        <w:rPr>
          <w:rFonts w:asciiTheme="minorHAnsi" w:hAnsiTheme="minorHAnsi"/>
          <w:sz w:val="22"/>
          <w:szCs w:val="22"/>
        </w:rPr>
        <w:t>Please be mindful of potential overlapping class due dates and plan accordingly. I am unable to reschedule our semester around your other courses’ schedule.</w:t>
      </w:r>
    </w:p>
    <w:p w14:paraId="0DBB2F8F" w14:textId="70E83CD5" w:rsidR="00B25DBD" w:rsidRPr="00B25DBD" w:rsidRDefault="00B25DBD" w:rsidP="00B25DBD">
      <w:pPr>
        <w:numPr>
          <w:ilvl w:val="0"/>
          <w:numId w:val="8"/>
        </w:numPr>
        <w:spacing w:before="100" w:beforeAutospacing="1" w:after="100" w:afterAutospacing="1"/>
        <w:contextualSpacing/>
        <w:jc w:val="both"/>
        <w:rPr>
          <w:rFonts w:asciiTheme="minorHAnsi" w:hAnsiTheme="minorHAnsi"/>
          <w:sz w:val="22"/>
          <w:szCs w:val="22"/>
        </w:rPr>
      </w:pPr>
      <w:r w:rsidRPr="00B25DBD">
        <w:rPr>
          <w:rFonts w:asciiTheme="minorHAnsi" w:hAnsiTheme="minorHAnsi"/>
          <w:sz w:val="22"/>
          <w:szCs w:val="22"/>
        </w:rPr>
        <w:t xml:space="preserve">Late </w:t>
      </w:r>
      <w:r w:rsidRPr="00B25DBD">
        <w:rPr>
          <w:rFonts w:asciiTheme="minorHAnsi" w:hAnsiTheme="minorHAnsi"/>
          <w:i/>
          <w:iCs/>
          <w:sz w:val="22"/>
          <w:szCs w:val="22"/>
        </w:rPr>
        <w:t>project</w:t>
      </w:r>
      <w:r w:rsidRPr="00B25DBD">
        <w:rPr>
          <w:rFonts w:asciiTheme="minorHAnsi" w:hAnsiTheme="minorHAnsi"/>
          <w:sz w:val="22"/>
          <w:szCs w:val="22"/>
        </w:rPr>
        <w:t xml:space="preserve"> assignments will be accepted with a penalty of 10% per calendar day for up to 5 days. No credit will be given for late work after 5 days. </w:t>
      </w:r>
    </w:p>
    <w:p w14:paraId="611C395E" w14:textId="77777777" w:rsidR="00B25DBD" w:rsidRPr="00B25DBD" w:rsidRDefault="00B25DBD" w:rsidP="00B25DBD">
      <w:pPr>
        <w:numPr>
          <w:ilvl w:val="0"/>
          <w:numId w:val="9"/>
        </w:numPr>
        <w:spacing w:before="100" w:beforeAutospacing="1" w:after="100" w:afterAutospacing="1"/>
        <w:contextualSpacing/>
        <w:jc w:val="both"/>
        <w:rPr>
          <w:rFonts w:asciiTheme="minorHAnsi" w:hAnsiTheme="minorHAnsi"/>
          <w:sz w:val="22"/>
          <w:szCs w:val="22"/>
        </w:rPr>
      </w:pPr>
      <w:r w:rsidRPr="00B25DBD">
        <w:rPr>
          <w:rFonts w:asciiTheme="minorHAnsi" w:hAnsiTheme="minorHAnsi"/>
          <w:sz w:val="22"/>
          <w:szCs w:val="22"/>
        </w:rPr>
        <w:t>There are no makeup opportunities for in-class activities or exams.</w:t>
      </w:r>
    </w:p>
    <w:p w14:paraId="12D1C2BD" w14:textId="77777777" w:rsidR="00B25DBD" w:rsidRPr="00B25DBD" w:rsidRDefault="00B25DBD" w:rsidP="00B25DBD">
      <w:pPr>
        <w:numPr>
          <w:ilvl w:val="0"/>
          <w:numId w:val="10"/>
        </w:numPr>
        <w:spacing w:before="100" w:beforeAutospacing="1" w:after="100" w:afterAutospacing="1"/>
        <w:contextualSpacing/>
        <w:jc w:val="both"/>
        <w:rPr>
          <w:rFonts w:asciiTheme="minorHAnsi" w:hAnsiTheme="minorHAnsi"/>
          <w:sz w:val="22"/>
          <w:szCs w:val="22"/>
        </w:rPr>
      </w:pPr>
      <w:r w:rsidRPr="00B25DBD">
        <w:rPr>
          <w:rFonts w:asciiTheme="minorHAnsi" w:hAnsiTheme="minorHAnsi"/>
          <w:b/>
          <w:bCs/>
          <w:sz w:val="22"/>
          <w:szCs w:val="22"/>
        </w:rPr>
        <w:t>If you miss an assignment, it will not be the end of the world.</w:t>
      </w:r>
      <w:r w:rsidRPr="00B25DBD">
        <w:rPr>
          <w:rFonts w:asciiTheme="minorHAnsi" w:hAnsiTheme="minorHAnsi"/>
          <w:sz w:val="22"/>
          <w:szCs w:val="22"/>
        </w:rPr>
        <w:t xml:space="preserve"> If you become ill for an extended time or another barrier presents itself, reach out to me immediately so we can work out a plan to get caught up. </w:t>
      </w:r>
    </w:p>
    <w:p w14:paraId="342C48CD" w14:textId="77777777" w:rsidR="001E4124" w:rsidRPr="001E4124" w:rsidRDefault="00000000" w:rsidP="001E4124">
      <w:pPr>
        <w:pStyle w:val="Heading2"/>
        <w:spacing w:before="260" w:after="120"/>
        <w:contextualSpacing/>
        <w:rPr>
          <w:rFonts w:asciiTheme="minorHAnsi" w:eastAsia="Calibri" w:hAnsiTheme="minorHAnsi" w:cs="Calibri"/>
          <w:b/>
          <w:bCs/>
          <w:color w:val="auto"/>
          <w:sz w:val="22"/>
          <w:szCs w:val="22"/>
        </w:rPr>
      </w:pPr>
      <w:r w:rsidRPr="001E4124">
        <w:rPr>
          <w:rFonts w:asciiTheme="minorHAnsi" w:eastAsia="Calibri" w:hAnsiTheme="minorHAnsi" w:cs="Calibri"/>
          <w:b/>
          <w:bCs/>
          <w:color w:val="auto"/>
          <w:sz w:val="22"/>
          <w:szCs w:val="22"/>
        </w:rPr>
        <w:t>Use of Artificial Intelligence and Other Assistance</w:t>
      </w:r>
    </w:p>
    <w:p w14:paraId="0F2EBE52" w14:textId="12788252" w:rsidR="00B25DBD" w:rsidRPr="001E4124" w:rsidRDefault="00B25DBD" w:rsidP="001E4124">
      <w:pPr>
        <w:pStyle w:val="Heading2"/>
        <w:spacing w:before="260" w:after="120"/>
        <w:contextualSpacing/>
        <w:rPr>
          <w:rStyle w:val="agcmg"/>
          <w:rFonts w:asciiTheme="minorHAnsi" w:hAnsiTheme="minorHAnsi"/>
          <w:color w:val="auto"/>
          <w:sz w:val="24"/>
          <w:szCs w:val="24"/>
        </w:rPr>
      </w:pPr>
      <w:r w:rsidRPr="00B25DBD">
        <w:rPr>
          <w:rStyle w:val="agcmg"/>
          <w:rFonts w:asciiTheme="minorHAnsi" w:hAnsiTheme="minorHAnsi"/>
          <w:color w:val="auto"/>
          <w:sz w:val="22"/>
          <w:szCs w:val="22"/>
        </w:rPr>
        <w:t xml:space="preserve">The permissible use of GenAI tools is </w:t>
      </w:r>
      <w:r w:rsidRPr="00B25DBD">
        <w:rPr>
          <w:rStyle w:val="agcmg"/>
          <w:rFonts w:asciiTheme="minorHAnsi" w:hAnsiTheme="minorHAnsi"/>
          <w:b/>
          <w:bCs/>
          <w:color w:val="auto"/>
          <w:sz w:val="22"/>
          <w:szCs w:val="22"/>
        </w:rPr>
        <w:t>limited and student use for course assignments is directed by the instructor</w:t>
      </w:r>
      <w:r w:rsidRPr="00B25DBD">
        <w:rPr>
          <w:rStyle w:val="agcmg"/>
          <w:rFonts w:asciiTheme="minorHAnsi" w:hAnsiTheme="minorHAnsi"/>
          <w:color w:val="auto"/>
          <w:sz w:val="22"/>
          <w:szCs w:val="22"/>
        </w:rPr>
        <w:t xml:space="preserve">. Any other use requires explicit permission from Dr. McKay. In other words, unless I specifically instruct you to use GenAI for ANY work in this class, it is NOT ALLOWED. </w:t>
      </w:r>
    </w:p>
    <w:p w14:paraId="0FD4CF5B" w14:textId="0263A8EF" w:rsidR="00B25DBD" w:rsidRPr="00005F27" w:rsidRDefault="00B25DBD" w:rsidP="00005F27">
      <w:pPr>
        <w:pStyle w:val="cvgsua"/>
        <w:contextualSpacing/>
        <w:jc w:val="center"/>
        <w:rPr>
          <w:rFonts w:asciiTheme="minorHAnsi" w:hAnsiTheme="minorHAnsi"/>
          <w:color w:val="EE0000"/>
          <w:sz w:val="22"/>
          <w:szCs w:val="22"/>
        </w:rPr>
      </w:pPr>
      <w:r w:rsidRPr="001E4124">
        <w:rPr>
          <w:rStyle w:val="agcmg"/>
          <w:rFonts w:asciiTheme="minorHAnsi" w:hAnsiTheme="minorHAnsi"/>
          <w:b/>
          <w:bCs/>
          <w:color w:val="EE0000"/>
          <w:sz w:val="22"/>
          <w:szCs w:val="22"/>
        </w:rPr>
        <w:t>Any attempt to represent GenAI output inappropriately as a student’s own work will be considered plagiarism, fabrication, and/or cheating as determined on a case-by-case basis and will be subject to an academic integrity violation report.</w:t>
      </w:r>
    </w:p>
    <w:p w14:paraId="6AED2FDB" w14:textId="77777777" w:rsidR="001E4124" w:rsidRPr="001E4124" w:rsidRDefault="00000000" w:rsidP="001E4124">
      <w:pPr>
        <w:pStyle w:val="Heading2"/>
        <w:spacing w:before="260" w:after="120"/>
        <w:contextualSpacing/>
        <w:jc w:val="both"/>
        <w:rPr>
          <w:rFonts w:asciiTheme="minorHAnsi" w:eastAsia="Calibri" w:hAnsiTheme="minorHAnsi" w:cs="Calibri"/>
          <w:b/>
          <w:bCs/>
          <w:color w:val="auto"/>
          <w:sz w:val="25"/>
          <w:szCs w:val="25"/>
        </w:rPr>
      </w:pPr>
      <w:r w:rsidRPr="001E4124">
        <w:rPr>
          <w:rFonts w:asciiTheme="minorHAnsi" w:eastAsia="Calibri" w:hAnsiTheme="minorHAnsi" w:cs="Calibri"/>
          <w:b/>
          <w:bCs/>
          <w:color w:val="auto"/>
          <w:sz w:val="25"/>
          <w:szCs w:val="25"/>
        </w:rPr>
        <w:t>Academic Integrity</w:t>
      </w:r>
    </w:p>
    <w:p w14:paraId="63A611E0" w14:textId="5981FDA9" w:rsidR="00B25DBD" w:rsidRPr="001E4124" w:rsidRDefault="00B25DBD" w:rsidP="001E4124">
      <w:pPr>
        <w:pStyle w:val="Heading2"/>
        <w:spacing w:before="260" w:after="120"/>
        <w:contextualSpacing/>
        <w:jc w:val="both"/>
        <w:rPr>
          <w:rFonts w:asciiTheme="minorHAnsi" w:eastAsia="Calibri" w:hAnsiTheme="minorHAnsi" w:cs="Calibri"/>
          <w:color w:val="auto"/>
          <w:sz w:val="25"/>
          <w:szCs w:val="25"/>
        </w:rPr>
      </w:pPr>
      <w:r w:rsidRPr="001E4124">
        <w:rPr>
          <w:rFonts w:asciiTheme="minorHAnsi" w:hAnsiTheme="minorHAnsi"/>
          <w:color w:val="auto"/>
          <w:sz w:val="22"/>
          <w:szCs w:val="22"/>
        </w:rPr>
        <w:t>The words “academic integrity,” entails a commitment to honesty, trust, fairness, respect, responsibility, and courage.</w:t>
      </w:r>
    </w:p>
    <w:p w14:paraId="7508AB78" w14:textId="77777777" w:rsidR="00B25DBD" w:rsidRPr="001E4124" w:rsidRDefault="00B25DBD" w:rsidP="001E4124">
      <w:pPr>
        <w:numPr>
          <w:ilvl w:val="0"/>
          <w:numId w:val="11"/>
        </w:numPr>
        <w:spacing w:before="100" w:beforeAutospacing="1" w:after="100" w:afterAutospacing="1"/>
        <w:contextualSpacing/>
        <w:jc w:val="both"/>
        <w:rPr>
          <w:rFonts w:asciiTheme="minorHAnsi" w:hAnsiTheme="minorHAnsi"/>
          <w:sz w:val="22"/>
          <w:szCs w:val="22"/>
        </w:rPr>
      </w:pPr>
      <w:r w:rsidRPr="001E4124">
        <w:rPr>
          <w:rFonts w:asciiTheme="minorHAnsi" w:hAnsiTheme="minorHAnsi"/>
          <w:sz w:val="22"/>
          <w:szCs w:val="22"/>
        </w:rPr>
        <w:t xml:space="preserve">If work is found to be academically dishonest, I reserve the right to reassess past assignment submissions and regrade past assignments accordingly. </w:t>
      </w:r>
    </w:p>
    <w:p w14:paraId="68A7066A" w14:textId="77777777" w:rsidR="00B25DBD" w:rsidRPr="001E4124" w:rsidRDefault="00B25DBD" w:rsidP="001E4124">
      <w:pPr>
        <w:numPr>
          <w:ilvl w:val="0"/>
          <w:numId w:val="12"/>
        </w:numPr>
        <w:spacing w:before="100" w:beforeAutospacing="1" w:after="100" w:afterAutospacing="1"/>
        <w:contextualSpacing/>
        <w:jc w:val="both"/>
        <w:rPr>
          <w:rFonts w:asciiTheme="minorHAnsi" w:hAnsiTheme="minorHAnsi"/>
          <w:sz w:val="22"/>
          <w:szCs w:val="22"/>
        </w:rPr>
      </w:pPr>
      <w:r w:rsidRPr="001E4124">
        <w:rPr>
          <w:rFonts w:asciiTheme="minorHAnsi" w:hAnsiTheme="minorHAnsi"/>
          <w:sz w:val="22"/>
          <w:szCs w:val="22"/>
        </w:rPr>
        <w:t>If I discover any kind of cheating, plagiarism, or any other type of academic dishonesty, the assignment or exam will automatically receive a zero with no opportunity for resubmission.</w:t>
      </w:r>
    </w:p>
    <w:p w14:paraId="75A681B6" w14:textId="77777777" w:rsidR="00B25DBD" w:rsidRPr="001E4124" w:rsidRDefault="00B25DBD" w:rsidP="001E4124">
      <w:pPr>
        <w:numPr>
          <w:ilvl w:val="0"/>
          <w:numId w:val="14"/>
        </w:numPr>
        <w:spacing w:before="100" w:beforeAutospacing="1" w:after="100" w:afterAutospacing="1"/>
        <w:contextualSpacing/>
        <w:jc w:val="both"/>
        <w:rPr>
          <w:rFonts w:asciiTheme="minorHAnsi" w:hAnsiTheme="minorHAnsi"/>
          <w:sz w:val="22"/>
          <w:szCs w:val="22"/>
        </w:rPr>
      </w:pPr>
      <w:r w:rsidRPr="001E4124">
        <w:rPr>
          <w:rFonts w:asciiTheme="minorHAnsi" w:hAnsiTheme="minorHAnsi"/>
          <w:sz w:val="22"/>
          <w:szCs w:val="22"/>
        </w:rPr>
        <w:t xml:space="preserve">I will file an academic dishonesty report with the university for every violation of the policy. </w:t>
      </w:r>
    </w:p>
    <w:p w14:paraId="2F3790A8" w14:textId="718425AE" w:rsidR="00B25DBD" w:rsidRPr="001E4124" w:rsidRDefault="00B25DBD" w:rsidP="001E4124">
      <w:pPr>
        <w:numPr>
          <w:ilvl w:val="1"/>
          <w:numId w:val="14"/>
        </w:numPr>
        <w:spacing w:before="100" w:beforeAutospacing="1" w:after="100" w:afterAutospacing="1"/>
        <w:contextualSpacing/>
        <w:jc w:val="both"/>
        <w:rPr>
          <w:rFonts w:asciiTheme="minorHAnsi" w:hAnsiTheme="minorHAnsi"/>
          <w:sz w:val="22"/>
          <w:szCs w:val="22"/>
        </w:rPr>
      </w:pPr>
      <w:r w:rsidRPr="001E4124">
        <w:rPr>
          <w:rFonts w:asciiTheme="minorHAnsi" w:hAnsiTheme="minorHAnsi"/>
          <w:sz w:val="22"/>
          <w:szCs w:val="22"/>
        </w:rPr>
        <w:t>This includes any uncited AI-generated content, AI-generated content submitted as the student's own, or any other unauthorized use of AI.</w:t>
      </w:r>
    </w:p>
    <w:p w14:paraId="659D03CA" w14:textId="77777777" w:rsidR="00010A1A" w:rsidRPr="001E4124" w:rsidRDefault="00000000" w:rsidP="00130E3E">
      <w:pPr>
        <w:pStyle w:val="Heading2"/>
        <w:spacing w:before="260" w:after="120"/>
        <w:contextualSpacing/>
        <w:rPr>
          <w:rFonts w:asciiTheme="minorHAnsi" w:hAnsiTheme="minorHAnsi"/>
          <w:color w:val="auto"/>
        </w:rPr>
      </w:pPr>
      <w:r w:rsidRPr="001E4124">
        <w:rPr>
          <w:rFonts w:asciiTheme="minorHAnsi" w:eastAsia="Calibri" w:hAnsiTheme="minorHAnsi" w:cs="Calibri"/>
          <w:b/>
          <w:bCs/>
          <w:color w:val="auto"/>
          <w:sz w:val="25"/>
          <w:szCs w:val="25"/>
        </w:rPr>
        <w:t>Communication</w:t>
      </w:r>
    </w:p>
    <w:p w14:paraId="53A758B0" w14:textId="6977501E" w:rsidR="00010A1A" w:rsidRPr="001E4124" w:rsidRDefault="00000000" w:rsidP="00130E3E">
      <w:pPr>
        <w:spacing w:after="160"/>
        <w:contextualSpacing/>
        <w:rPr>
          <w:rFonts w:asciiTheme="minorHAnsi" w:hAnsiTheme="minorHAnsi"/>
        </w:rPr>
      </w:pPr>
      <w:r w:rsidRPr="001E4124">
        <w:rPr>
          <w:rFonts w:asciiTheme="minorHAnsi" w:eastAsia="Calibri" w:hAnsiTheme="minorHAnsi" w:cs="Calibri"/>
          <w:sz w:val="23"/>
          <w:szCs w:val="23"/>
        </w:rPr>
        <w:t>Course announcements, assignment instructions, reading milestones, and schedule adjustments will be posted in Canvas. Students are responsible for checking Canvas and their university email regularly</w:t>
      </w:r>
      <w:r w:rsidR="00B25DBD" w:rsidRPr="001E4124">
        <w:rPr>
          <w:rFonts w:asciiTheme="minorHAnsi" w:eastAsia="Calibri" w:hAnsiTheme="minorHAnsi" w:cs="Calibri"/>
          <w:sz w:val="23"/>
          <w:szCs w:val="23"/>
        </w:rPr>
        <w:t>.</w:t>
      </w:r>
    </w:p>
    <w:p w14:paraId="56023EE3" w14:textId="77777777" w:rsidR="00010A1A" w:rsidRPr="001E4124" w:rsidRDefault="00000000" w:rsidP="00130E3E">
      <w:pPr>
        <w:pStyle w:val="Heading2"/>
        <w:spacing w:before="260" w:after="120"/>
        <w:contextualSpacing/>
        <w:rPr>
          <w:rFonts w:asciiTheme="minorHAnsi" w:hAnsiTheme="minorHAnsi"/>
          <w:color w:val="auto"/>
        </w:rPr>
      </w:pPr>
      <w:r w:rsidRPr="001E4124">
        <w:rPr>
          <w:rFonts w:asciiTheme="minorHAnsi" w:eastAsia="Calibri" w:hAnsiTheme="minorHAnsi" w:cs="Calibri"/>
          <w:b/>
          <w:bCs/>
          <w:color w:val="auto"/>
          <w:sz w:val="25"/>
          <w:szCs w:val="25"/>
        </w:rPr>
        <w:t>Accessibility and Accommodations</w:t>
      </w:r>
    </w:p>
    <w:p w14:paraId="1C65BCBE" w14:textId="6DA758EA" w:rsidR="00B25DBD" w:rsidRPr="001E4124" w:rsidRDefault="00B25DBD" w:rsidP="00B25DBD">
      <w:pPr>
        <w:pStyle w:val="Heading2"/>
        <w:spacing w:before="260" w:after="120"/>
        <w:contextualSpacing/>
        <w:jc w:val="both"/>
        <w:rPr>
          <w:rFonts w:asciiTheme="minorHAnsi" w:eastAsia="Calibri" w:hAnsiTheme="minorHAnsi" w:cs="Calibri"/>
          <w:b/>
          <w:bCs/>
          <w:color w:val="auto"/>
          <w:sz w:val="22"/>
          <w:szCs w:val="22"/>
        </w:rPr>
      </w:pPr>
      <w:r w:rsidRPr="001E4124">
        <w:rPr>
          <w:rFonts w:asciiTheme="minorHAnsi" w:hAnsiTheme="minorHAnsi"/>
          <w:color w:val="auto"/>
          <w:sz w:val="22"/>
          <w:szCs w:val="22"/>
          <w:shd w:val="clear" w:color="auto" w:fill="FFFFFF"/>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1E4124">
        <w:rPr>
          <w:rFonts w:asciiTheme="minorHAnsi" w:hAnsiTheme="minorHAnsi"/>
          <w:color w:val="auto"/>
          <w:sz w:val="22"/>
          <w:szCs w:val="22"/>
          <w:shd w:val="clear" w:color="auto" w:fill="FFFFFF"/>
        </w:rPr>
        <w:t>time,</w:t>
      </w:r>
      <w:proofErr w:type="gramEnd"/>
      <w:r w:rsidRPr="001E4124">
        <w:rPr>
          <w:rFonts w:asciiTheme="minorHAnsi" w:hAnsiTheme="minorHAnsi"/>
          <w:color w:val="auto"/>
          <w:sz w:val="22"/>
          <w:szCs w:val="22"/>
          <w:shd w:val="clear" w:color="auto" w:fill="FFFFFF"/>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43EA39E9" w14:textId="77777777" w:rsidR="00B25DBD" w:rsidRPr="001E4124" w:rsidRDefault="00B25DBD" w:rsidP="00130E3E">
      <w:pPr>
        <w:pStyle w:val="Heading2"/>
        <w:spacing w:before="260" w:after="120"/>
        <w:contextualSpacing/>
        <w:rPr>
          <w:rFonts w:asciiTheme="minorHAnsi" w:eastAsia="Calibri" w:hAnsiTheme="minorHAnsi" w:cs="Calibri"/>
          <w:b/>
          <w:bCs/>
          <w:color w:val="auto"/>
          <w:sz w:val="25"/>
          <w:szCs w:val="25"/>
        </w:rPr>
      </w:pPr>
    </w:p>
    <w:p w14:paraId="351A9464" w14:textId="77777777" w:rsidR="001E4124" w:rsidRDefault="00000000" w:rsidP="001E4124">
      <w:pPr>
        <w:pStyle w:val="Heading2"/>
        <w:spacing w:before="260" w:after="120"/>
        <w:contextualSpacing/>
        <w:rPr>
          <w:rFonts w:asciiTheme="minorHAnsi" w:eastAsia="Calibri" w:hAnsiTheme="minorHAnsi" w:cs="Calibri"/>
          <w:b/>
          <w:bCs/>
          <w:color w:val="auto"/>
          <w:sz w:val="25"/>
          <w:szCs w:val="25"/>
        </w:rPr>
      </w:pPr>
      <w:r w:rsidRPr="001E4124">
        <w:rPr>
          <w:rFonts w:asciiTheme="minorHAnsi" w:eastAsia="Calibri" w:hAnsiTheme="minorHAnsi" w:cs="Calibri"/>
          <w:b/>
          <w:bCs/>
          <w:color w:val="auto"/>
          <w:sz w:val="25"/>
          <w:szCs w:val="25"/>
        </w:rPr>
        <w:t>Additional University Policies</w:t>
      </w:r>
    </w:p>
    <w:p w14:paraId="10B0F650" w14:textId="02DB60BB" w:rsidR="00B25DBD" w:rsidRPr="001E4124" w:rsidRDefault="00B25DBD" w:rsidP="001E4124">
      <w:pPr>
        <w:pStyle w:val="Heading2"/>
        <w:spacing w:before="260" w:after="120"/>
        <w:contextualSpacing/>
        <w:rPr>
          <w:rFonts w:asciiTheme="minorHAnsi" w:hAnsiTheme="minorHAnsi"/>
          <w:color w:val="auto"/>
        </w:rPr>
      </w:pPr>
      <w:r w:rsidRPr="001E4124">
        <w:rPr>
          <w:rStyle w:val="Strong"/>
          <w:rFonts w:asciiTheme="minorHAnsi" w:hAnsiTheme="minorHAnsi"/>
          <w:color w:val="auto"/>
          <w:sz w:val="20"/>
          <w:szCs w:val="20"/>
        </w:rPr>
        <w:lastRenderedPageBreak/>
        <w:t>Emergency Notification &amp; Procedures: </w:t>
      </w:r>
      <w:r w:rsidRPr="001E4124">
        <w:rPr>
          <w:rFonts w:asciiTheme="minorHAnsi" w:hAnsiTheme="minorHAnsi"/>
          <w:color w:val="auto"/>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66CBA12F" w14:textId="77777777" w:rsidR="00B25DBD" w:rsidRPr="001E4124" w:rsidRDefault="00B25DBD" w:rsidP="00B25DBD">
      <w:pPr>
        <w:pStyle w:val="NormalWeb"/>
        <w:shd w:val="clear" w:color="auto" w:fill="FFFFFF"/>
        <w:contextualSpacing/>
        <w:jc w:val="both"/>
        <w:rPr>
          <w:rFonts w:asciiTheme="minorHAnsi" w:hAnsiTheme="minorHAnsi"/>
          <w:sz w:val="20"/>
          <w:szCs w:val="20"/>
        </w:rPr>
      </w:pPr>
      <w:r w:rsidRPr="001E4124">
        <w:rPr>
          <w:rStyle w:val="Strong"/>
          <w:rFonts w:asciiTheme="minorHAnsi" w:hAnsiTheme="minorHAnsi"/>
          <w:sz w:val="20"/>
          <w:szCs w:val="20"/>
        </w:rPr>
        <w:t>Acceptable Student Behavior:</w:t>
      </w:r>
      <w:r w:rsidRPr="001E4124">
        <w:rPr>
          <w:rFonts w:asciiTheme="minorHAnsi" w:hAnsiTheme="minorHAnsi"/>
          <w:sz w:val="20"/>
          <w:szCs w:val="20"/>
        </w:rPr>
        <w:t>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9" w:tgtFrame="_blank" w:history="1">
        <w:r w:rsidRPr="001E4124">
          <w:rPr>
            <w:rStyle w:val="Hyperlink"/>
            <w:rFonts w:asciiTheme="minorHAnsi" w:hAnsiTheme="minorHAnsi"/>
            <w:color w:val="auto"/>
            <w:sz w:val="20"/>
            <w:szCs w:val="20"/>
          </w:rPr>
          <w:t>deanofstudents.unt.edu/conduct</w:t>
        </w:r>
      </w:hyperlink>
      <w:r w:rsidRPr="001E4124">
        <w:rPr>
          <w:rFonts w:asciiTheme="minorHAnsi" w:hAnsiTheme="minorHAnsi"/>
          <w:sz w:val="20"/>
          <w:szCs w:val="20"/>
        </w:rPr>
        <w:t>.</w:t>
      </w:r>
    </w:p>
    <w:p w14:paraId="3BA949DB" w14:textId="77777777" w:rsidR="00B25DBD" w:rsidRPr="001E4124" w:rsidRDefault="00B25DBD" w:rsidP="00B25DBD">
      <w:pPr>
        <w:pStyle w:val="NormalWeb"/>
        <w:shd w:val="clear" w:color="auto" w:fill="FFFFFF"/>
        <w:contextualSpacing/>
        <w:jc w:val="both"/>
        <w:rPr>
          <w:rStyle w:val="Strong"/>
          <w:rFonts w:asciiTheme="minorHAnsi" w:hAnsiTheme="minorHAnsi"/>
          <w:sz w:val="20"/>
          <w:szCs w:val="20"/>
        </w:rPr>
      </w:pPr>
    </w:p>
    <w:p w14:paraId="19FC0A9E" w14:textId="7F15BC81" w:rsidR="00B25DBD" w:rsidRPr="00B25DBD" w:rsidRDefault="00B25DBD" w:rsidP="00B25DBD">
      <w:pPr>
        <w:pStyle w:val="NormalWeb"/>
        <w:shd w:val="clear" w:color="auto" w:fill="FFFFFF"/>
        <w:contextualSpacing/>
        <w:jc w:val="both"/>
        <w:rPr>
          <w:rFonts w:asciiTheme="minorHAnsi" w:hAnsiTheme="minorHAnsi"/>
          <w:color w:val="000000"/>
          <w:sz w:val="20"/>
          <w:szCs w:val="20"/>
        </w:rPr>
      </w:pPr>
      <w:r w:rsidRPr="00B25DBD">
        <w:rPr>
          <w:rStyle w:val="Strong"/>
          <w:rFonts w:asciiTheme="minorHAnsi" w:hAnsiTheme="minorHAnsi"/>
          <w:color w:val="000000"/>
          <w:sz w:val="20"/>
          <w:szCs w:val="20"/>
        </w:rPr>
        <w:t>Survivor Advocacy:</w:t>
      </w:r>
      <w:r w:rsidRPr="00B25DBD">
        <w:rPr>
          <w:rFonts w:asciiTheme="minorHAnsi" w:hAnsiTheme="minorHAnsi"/>
          <w:color w:val="000000"/>
          <w:sz w:val="20"/>
          <w:szCs w:val="20"/>
        </w:rPr>
        <w:t xml:space="preserve"> 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25DBD">
        <w:rPr>
          <w:rFonts w:asciiTheme="minorHAnsi" w:hAnsiTheme="minorHAnsi"/>
          <w:color w:val="000000"/>
          <w:sz w:val="20"/>
          <w:szCs w:val="20"/>
        </w:rPr>
        <w:t>on the basis of</w:t>
      </w:r>
      <w:proofErr w:type="gramEnd"/>
      <w:r w:rsidRPr="00B25DBD">
        <w:rPr>
          <w:rFonts w:asciiTheme="minorHAnsi" w:hAnsiTheme="minorHAnsi"/>
          <w:color w:val="000000"/>
          <w:sz w:val="20"/>
          <w:szCs w:val="20"/>
        </w:rPr>
        <w:t xml:space="preserve"> </w:t>
      </w:r>
      <w:proofErr w:type="gramStart"/>
      <w:r w:rsidRPr="00B25DBD">
        <w:rPr>
          <w:rFonts w:asciiTheme="minorHAnsi" w:hAnsiTheme="minorHAnsi"/>
          <w:color w:val="000000"/>
          <w:sz w:val="20"/>
          <w:szCs w:val="20"/>
        </w:rPr>
        <w:t>sex, and</w:t>
      </w:r>
      <w:proofErr w:type="gramEnd"/>
      <w:r w:rsidRPr="00B25DBD">
        <w:rPr>
          <w:rFonts w:asciiTheme="minorHAnsi" w:hAnsiTheme="minorHAnsi"/>
          <w:color w:val="000000"/>
          <w:sz w:val="20"/>
          <w:szCs w:val="20"/>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940-565-2648. Additionally, alleged sexual misconduct can be non-confidentially reported to the Title IX Coordinator at oeo@unt.edu or at (940) 565 2759</w:t>
      </w:r>
    </w:p>
    <w:p w14:paraId="1D92B2AB" w14:textId="1C378B74" w:rsidR="001E4124" w:rsidRPr="00005F27" w:rsidRDefault="001E4124" w:rsidP="00B25DBD">
      <w:pPr>
        <w:spacing w:after="160"/>
        <w:contextualSpacing/>
        <w:jc w:val="both"/>
        <w:rPr>
          <w:rFonts w:asciiTheme="minorHAnsi" w:eastAsia="Calibri" w:hAnsiTheme="minorHAnsi" w:cs="Calibri"/>
          <w:b/>
          <w:bCs/>
          <w:color w:val="1F9A66"/>
          <w:sz w:val="24"/>
          <w:szCs w:val="24"/>
        </w:rPr>
      </w:pPr>
      <w:r w:rsidRPr="00005F27">
        <w:rPr>
          <w:rFonts w:asciiTheme="minorHAnsi" w:eastAsia="Calibri" w:hAnsiTheme="minorHAnsi" w:cs="Calibri"/>
          <w:b/>
          <w:bCs/>
          <w:color w:val="1F9A66"/>
          <w:sz w:val="24"/>
          <w:szCs w:val="24"/>
        </w:rPr>
        <w:t>Course Schedule</w:t>
      </w:r>
    </w:p>
    <w:p w14:paraId="741BEADC" w14:textId="08681FA5" w:rsidR="00010A1A" w:rsidRDefault="00000000" w:rsidP="00B25DBD">
      <w:pPr>
        <w:spacing w:after="160"/>
        <w:contextualSpacing/>
        <w:jc w:val="both"/>
        <w:rPr>
          <w:rFonts w:asciiTheme="minorHAnsi" w:eastAsia="Calibri" w:hAnsiTheme="minorHAnsi" w:cs="Calibri"/>
          <w:sz w:val="22"/>
          <w:szCs w:val="22"/>
        </w:rPr>
      </w:pPr>
      <w:r w:rsidRPr="00B25DBD">
        <w:rPr>
          <w:rFonts w:asciiTheme="minorHAnsi" w:eastAsia="Calibri" w:hAnsiTheme="minorHAnsi" w:cs="Calibri"/>
          <w:sz w:val="22"/>
          <w:szCs w:val="22"/>
        </w:rPr>
        <w:t>The schedule below identifies the primary topic for each week. Detailed readings, preparation instructions, Book Club milestones, project deadlines, and class activities will be posted in Canvas. The instructor may make reasonable adjustments to the schedule as needed; any changes will be announced in Canvas.</w:t>
      </w:r>
    </w:p>
    <w:p w14:paraId="15E6C86E" w14:textId="77777777" w:rsidR="00B25DBD" w:rsidRPr="00B25DBD" w:rsidRDefault="00B25DBD" w:rsidP="00B25DBD">
      <w:pPr>
        <w:spacing w:after="160"/>
        <w:contextualSpacing/>
        <w:jc w:val="both"/>
        <w:rPr>
          <w:rFonts w:asciiTheme="minorHAnsi" w:hAnsiTheme="minorHAnsi"/>
          <w:sz w:val="18"/>
          <w:szCs w:val="1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8765"/>
      </w:tblGrid>
      <w:tr w:rsidR="00010A1A" w:rsidRPr="0032403F" w14:paraId="6E1C1145" w14:textId="77777777" w:rsidTr="00B25DBD">
        <w:trPr>
          <w:tblHeader/>
        </w:trPr>
        <w:tc>
          <w:tcPr>
            <w:tcW w:w="1400" w:type="dxa"/>
            <w:shd w:val="clear" w:color="auto" w:fill="1F9A66"/>
            <w:tcMar>
              <w:top w:w="90" w:type="dxa"/>
              <w:left w:w="110" w:type="dxa"/>
              <w:bottom w:w="90" w:type="dxa"/>
              <w:right w:w="110" w:type="dxa"/>
            </w:tcMar>
          </w:tcPr>
          <w:p w14:paraId="6E0DEFB5"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FFFFFF"/>
                <w:sz w:val="21"/>
                <w:szCs w:val="21"/>
              </w:rPr>
              <w:t>Week</w:t>
            </w:r>
          </w:p>
        </w:tc>
        <w:tc>
          <w:tcPr>
            <w:tcW w:w="8765" w:type="dxa"/>
            <w:shd w:val="clear" w:color="auto" w:fill="1F9A66"/>
            <w:tcMar>
              <w:top w:w="90" w:type="dxa"/>
              <w:left w:w="110" w:type="dxa"/>
              <w:bottom w:w="90" w:type="dxa"/>
              <w:right w:w="110" w:type="dxa"/>
            </w:tcMar>
          </w:tcPr>
          <w:p w14:paraId="27B1E146"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FFFFFF"/>
                <w:sz w:val="21"/>
                <w:szCs w:val="21"/>
              </w:rPr>
              <w:t>Topic</w:t>
            </w:r>
          </w:p>
        </w:tc>
      </w:tr>
      <w:tr w:rsidR="00010A1A" w:rsidRPr="0032403F" w14:paraId="598200D6" w14:textId="77777777" w:rsidTr="00B25DBD">
        <w:tc>
          <w:tcPr>
            <w:tcW w:w="1400" w:type="dxa"/>
            <w:tcMar>
              <w:top w:w="90" w:type="dxa"/>
              <w:left w:w="110" w:type="dxa"/>
              <w:bottom w:w="90" w:type="dxa"/>
              <w:right w:w="110" w:type="dxa"/>
            </w:tcMar>
          </w:tcPr>
          <w:p w14:paraId="45CF71E9"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w:t>
            </w:r>
          </w:p>
        </w:tc>
        <w:tc>
          <w:tcPr>
            <w:tcW w:w="8765" w:type="dxa"/>
            <w:tcMar>
              <w:top w:w="90" w:type="dxa"/>
              <w:left w:w="110" w:type="dxa"/>
              <w:bottom w:w="90" w:type="dxa"/>
              <w:right w:w="110" w:type="dxa"/>
            </w:tcMar>
          </w:tcPr>
          <w:p w14:paraId="4251DC6C"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Course Foundations and Orientation</w:t>
            </w:r>
          </w:p>
        </w:tc>
      </w:tr>
      <w:tr w:rsidR="00010A1A" w:rsidRPr="0032403F" w14:paraId="05A40CCF" w14:textId="77777777" w:rsidTr="00B25DBD">
        <w:tc>
          <w:tcPr>
            <w:tcW w:w="1400" w:type="dxa"/>
            <w:shd w:val="clear" w:color="auto" w:fill="F7F9FC"/>
            <w:tcMar>
              <w:top w:w="90" w:type="dxa"/>
              <w:left w:w="110" w:type="dxa"/>
              <w:bottom w:w="90" w:type="dxa"/>
              <w:right w:w="110" w:type="dxa"/>
            </w:tcMar>
          </w:tcPr>
          <w:p w14:paraId="6B66F745"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2</w:t>
            </w:r>
          </w:p>
        </w:tc>
        <w:tc>
          <w:tcPr>
            <w:tcW w:w="8765" w:type="dxa"/>
            <w:shd w:val="clear" w:color="auto" w:fill="F7F9FC"/>
            <w:tcMar>
              <w:top w:w="90" w:type="dxa"/>
              <w:left w:w="110" w:type="dxa"/>
              <w:bottom w:w="90" w:type="dxa"/>
              <w:right w:w="110" w:type="dxa"/>
            </w:tcMar>
          </w:tcPr>
          <w:p w14:paraId="6828F0A0"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Security and Securitization</w:t>
            </w:r>
          </w:p>
        </w:tc>
      </w:tr>
      <w:tr w:rsidR="00010A1A" w:rsidRPr="0032403F" w14:paraId="733C3F59" w14:textId="77777777" w:rsidTr="00B25DBD">
        <w:tc>
          <w:tcPr>
            <w:tcW w:w="1400" w:type="dxa"/>
            <w:tcMar>
              <w:top w:w="90" w:type="dxa"/>
              <w:left w:w="110" w:type="dxa"/>
              <w:bottom w:w="90" w:type="dxa"/>
              <w:right w:w="110" w:type="dxa"/>
            </w:tcMar>
          </w:tcPr>
          <w:p w14:paraId="018C1D25"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3</w:t>
            </w:r>
          </w:p>
        </w:tc>
        <w:tc>
          <w:tcPr>
            <w:tcW w:w="8765" w:type="dxa"/>
            <w:tcMar>
              <w:top w:w="90" w:type="dxa"/>
              <w:left w:w="110" w:type="dxa"/>
              <w:bottom w:w="90" w:type="dxa"/>
              <w:right w:w="110" w:type="dxa"/>
            </w:tcMar>
          </w:tcPr>
          <w:p w14:paraId="7746D3E7"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Military Threats and Security Decision-Making</w:t>
            </w:r>
          </w:p>
        </w:tc>
      </w:tr>
      <w:tr w:rsidR="00010A1A" w:rsidRPr="0032403F" w14:paraId="7152409F" w14:textId="77777777" w:rsidTr="00B25DBD">
        <w:tc>
          <w:tcPr>
            <w:tcW w:w="1400" w:type="dxa"/>
            <w:shd w:val="clear" w:color="auto" w:fill="F7F9FC"/>
            <w:tcMar>
              <w:top w:w="90" w:type="dxa"/>
              <w:left w:w="110" w:type="dxa"/>
              <w:bottom w:w="90" w:type="dxa"/>
              <w:right w:w="110" w:type="dxa"/>
            </w:tcMar>
          </w:tcPr>
          <w:p w14:paraId="69573D6E"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4</w:t>
            </w:r>
          </w:p>
        </w:tc>
        <w:tc>
          <w:tcPr>
            <w:tcW w:w="8765" w:type="dxa"/>
            <w:shd w:val="clear" w:color="auto" w:fill="F7F9FC"/>
            <w:tcMar>
              <w:top w:w="90" w:type="dxa"/>
              <w:left w:w="110" w:type="dxa"/>
              <w:bottom w:w="90" w:type="dxa"/>
              <w:right w:w="110" w:type="dxa"/>
            </w:tcMar>
          </w:tcPr>
          <w:p w14:paraId="52DC87CA" w14:textId="7EA6A342"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Accidental Threats and Understanding Your Case</w:t>
            </w:r>
            <w:r w:rsidR="00B25DBD" w:rsidRPr="0032403F">
              <w:rPr>
                <w:rFonts w:asciiTheme="minorHAnsi" w:eastAsia="Calibri" w:hAnsiTheme="minorHAnsi" w:cs="Calibri"/>
                <w:sz w:val="21"/>
                <w:szCs w:val="21"/>
              </w:rPr>
              <w:t xml:space="preserve"> Analysis</w:t>
            </w:r>
          </w:p>
        </w:tc>
      </w:tr>
      <w:tr w:rsidR="00010A1A" w:rsidRPr="0032403F" w14:paraId="10E4234A" w14:textId="77777777" w:rsidTr="00B25DBD">
        <w:tc>
          <w:tcPr>
            <w:tcW w:w="1400" w:type="dxa"/>
            <w:tcMar>
              <w:top w:w="90" w:type="dxa"/>
              <w:left w:w="110" w:type="dxa"/>
              <w:bottom w:w="90" w:type="dxa"/>
              <w:right w:w="110" w:type="dxa"/>
            </w:tcMar>
          </w:tcPr>
          <w:p w14:paraId="7B8617B5"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5</w:t>
            </w:r>
          </w:p>
        </w:tc>
        <w:tc>
          <w:tcPr>
            <w:tcW w:w="8765" w:type="dxa"/>
            <w:tcMar>
              <w:top w:w="90" w:type="dxa"/>
              <w:left w:w="110" w:type="dxa"/>
              <w:bottom w:w="90" w:type="dxa"/>
              <w:right w:w="110" w:type="dxa"/>
            </w:tcMar>
          </w:tcPr>
          <w:p w14:paraId="62487602"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Threat Analysis and Escalation</w:t>
            </w:r>
          </w:p>
        </w:tc>
      </w:tr>
      <w:tr w:rsidR="00010A1A" w:rsidRPr="0032403F" w14:paraId="25EE0D91" w14:textId="77777777" w:rsidTr="00B25DBD">
        <w:tc>
          <w:tcPr>
            <w:tcW w:w="1400" w:type="dxa"/>
            <w:shd w:val="clear" w:color="auto" w:fill="F7F9FC"/>
            <w:tcMar>
              <w:top w:w="90" w:type="dxa"/>
              <w:left w:w="110" w:type="dxa"/>
              <w:bottom w:w="90" w:type="dxa"/>
              <w:right w:w="110" w:type="dxa"/>
            </w:tcMar>
          </w:tcPr>
          <w:p w14:paraId="1B2A8B54"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6</w:t>
            </w:r>
          </w:p>
        </w:tc>
        <w:tc>
          <w:tcPr>
            <w:tcW w:w="8765" w:type="dxa"/>
            <w:shd w:val="clear" w:color="auto" w:fill="F7F9FC"/>
            <w:tcMar>
              <w:top w:w="90" w:type="dxa"/>
              <w:left w:w="110" w:type="dxa"/>
              <w:bottom w:w="90" w:type="dxa"/>
              <w:right w:w="110" w:type="dxa"/>
            </w:tcMar>
          </w:tcPr>
          <w:p w14:paraId="4A2FC6E5"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Non-State and Criminal Threats</w:t>
            </w:r>
          </w:p>
        </w:tc>
      </w:tr>
      <w:tr w:rsidR="00010A1A" w:rsidRPr="0032403F" w14:paraId="205E09BC" w14:textId="77777777" w:rsidTr="00B25DBD">
        <w:tc>
          <w:tcPr>
            <w:tcW w:w="1400" w:type="dxa"/>
            <w:tcMar>
              <w:top w:w="90" w:type="dxa"/>
              <w:left w:w="110" w:type="dxa"/>
              <w:bottom w:w="90" w:type="dxa"/>
              <w:right w:w="110" w:type="dxa"/>
            </w:tcMar>
          </w:tcPr>
          <w:p w14:paraId="388B4D5E"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7</w:t>
            </w:r>
          </w:p>
        </w:tc>
        <w:tc>
          <w:tcPr>
            <w:tcW w:w="8765" w:type="dxa"/>
            <w:tcMar>
              <w:top w:w="90" w:type="dxa"/>
              <w:left w:w="110" w:type="dxa"/>
              <w:bottom w:w="90" w:type="dxa"/>
              <w:right w:w="110" w:type="dxa"/>
            </w:tcMar>
          </w:tcPr>
          <w:p w14:paraId="5323D2E2"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Economic Security</w:t>
            </w:r>
          </w:p>
        </w:tc>
      </w:tr>
      <w:tr w:rsidR="00010A1A" w:rsidRPr="0032403F" w14:paraId="262B2266" w14:textId="77777777" w:rsidTr="00B25DBD">
        <w:tc>
          <w:tcPr>
            <w:tcW w:w="1400" w:type="dxa"/>
            <w:shd w:val="clear" w:color="auto" w:fill="F7F9FC"/>
            <w:tcMar>
              <w:top w:w="90" w:type="dxa"/>
              <w:left w:w="110" w:type="dxa"/>
              <w:bottom w:w="90" w:type="dxa"/>
              <w:right w:w="110" w:type="dxa"/>
            </w:tcMar>
          </w:tcPr>
          <w:p w14:paraId="52A83EC6"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8</w:t>
            </w:r>
          </w:p>
        </w:tc>
        <w:tc>
          <w:tcPr>
            <w:tcW w:w="8765" w:type="dxa"/>
            <w:shd w:val="clear" w:color="auto" w:fill="F7F9FC"/>
            <w:tcMar>
              <w:top w:w="90" w:type="dxa"/>
              <w:left w:w="110" w:type="dxa"/>
              <w:bottom w:w="90" w:type="dxa"/>
              <w:right w:w="110" w:type="dxa"/>
            </w:tcMar>
          </w:tcPr>
          <w:p w14:paraId="1B7D04BA"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Identity, Society, and Comparative Case Design</w:t>
            </w:r>
          </w:p>
        </w:tc>
      </w:tr>
      <w:tr w:rsidR="00010A1A" w:rsidRPr="0032403F" w14:paraId="453818D8" w14:textId="77777777" w:rsidTr="00B25DBD">
        <w:tc>
          <w:tcPr>
            <w:tcW w:w="1400" w:type="dxa"/>
            <w:tcMar>
              <w:top w:w="90" w:type="dxa"/>
              <w:left w:w="110" w:type="dxa"/>
              <w:bottom w:w="90" w:type="dxa"/>
              <w:right w:w="110" w:type="dxa"/>
            </w:tcMar>
          </w:tcPr>
          <w:p w14:paraId="5FD359D3"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9</w:t>
            </w:r>
          </w:p>
        </w:tc>
        <w:tc>
          <w:tcPr>
            <w:tcW w:w="8765" w:type="dxa"/>
            <w:tcMar>
              <w:top w:w="90" w:type="dxa"/>
              <w:left w:w="110" w:type="dxa"/>
              <w:bottom w:w="90" w:type="dxa"/>
              <w:right w:w="110" w:type="dxa"/>
            </w:tcMar>
          </w:tcPr>
          <w:p w14:paraId="4A29EB63"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Environmental and Natural Threats</w:t>
            </w:r>
          </w:p>
        </w:tc>
      </w:tr>
      <w:tr w:rsidR="00010A1A" w:rsidRPr="0032403F" w14:paraId="119270CC" w14:textId="77777777" w:rsidTr="00B25DBD">
        <w:tc>
          <w:tcPr>
            <w:tcW w:w="1400" w:type="dxa"/>
            <w:shd w:val="clear" w:color="auto" w:fill="F7F9FC"/>
            <w:tcMar>
              <w:top w:w="90" w:type="dxa"/>
              <w:left w:w="110" w:type="dxa"/>
              <w:bottom w:w="90" w:type="dxa"/>
              <w:right w:w="110" w:type="dxa"/>
            </w:tcMar>
          </w:tcPr>
          <w:p w14:paraId="141DF52E"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10</w:t>
            </w:r>
          </w:p>
        </w:tc>
        <w:tc>
          <w:tcPr>
            <w:tcW w:w="8765" w:type="dxa"/>
            <w:shd w:val="clear" w:color="auto" w:fill="F7F9FC"/>
            <w:tcMar>
              <w:top w:w="90" w:type="dxa"/>
              <w:left w:w="110" w:type="dxa"/>
              <w:bottom w:w="90" w:type="dxa"/>
              <w:right w:w="110" w:type="dxa"/>
            </w:tcMar>
          </w:tcPr>
          <w:p w14:paraId="5C53AFF7"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Health Security and Response Capacity</w:t>
            </w:r>
          </w:p>
        </w:tc>
      </w:tr>
      <w:tr w:rsidR="00010A1A" w:rsidRPr="0032403F" w14:paraId="40366F0F" w14:textId="77777777" w:rsidTr="00B25DBD">
        <w:tc>
          <w:tcPr>
            <w:tcW w:w="1400" w:type="dxa"/>
            <w:tcMar>
              <w:top w:w="90" w:type="dxa"/>
              <w:left w:w="110" w:type="dxa"/>
              <w:bottom w:w="90" w:type="dxa"/>
              <w:right w:w="110" w:type="dxa"/>
            </w:tcMar>
          </w:tcPr>
          <w:p w14:paraId="39FE0253"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11</w:t>
            </w:r>
          </w:p>
        </w:tc>
        <w:tc>
          <w:tcPr>
            <w:tcW w:w="8765" w:type="dxa"/>
            <w:tcMar>
              <w:top w:w="90" w:type="dxa"/>
              <w:left w:w="110" w:type="dxa"/>
              <w:bottom w:w="90" w:type="dxa"/>
              <w:right w:w="110" w:type="dxa"/>
            </w:tcMar>
          </w:tcPr>
          <w:p w14:paraId="60ABF72D"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Comparative Security Analysis</w:t>
            </w:r>
          </w:p>
        </w:tc>
      </w:tr>
      <w:tr w:rsidR="00010A1A" w:rsidRPr="0032403F" w14:paraId="23AEE6F9" w14:textId="77777777" w:rsidTr="00B25DBD">
        <w:tc>
          <w:tcPr>
            <w:tcW w:w="1400" w:type="dxa"/>
            <w:shd w:val="clear" w:color="auto" w:fill="F7F9FC"/>
            <w:tcMar>
              <w:top w:w="90" w:type="dxa"/>
              <w:left w:w="110" w:type="dxa"/>
              <w:bottom w:w="90" w:type="dxa"/>
              <w:right w:w="110" w:type="dxa"/>
            </w:tcMar>
          </w:tcPr>
          <w:p w14:paraId="034F7A01"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12</w:t>
            </w:r>
          </w:p>
        </w:tc>
        <w:tc>
          <w:tcPr>
            <w:tcW w:w="8765" w:type="dxa"/>
            <w:shd w:val="clear" w:color="auto" w:fill="F7F9FC"/>
            <w:tcMar>
              <w:top w:w="90" w:type="dxa"/>
              <w:left w:w="110" w:type="dxa"/>
              <w:bottom w:w="90" w:type="dxa"/>
              <w:right w:w="110" w:type="dxa"/>
            </w:tcMar>
          </w:tcPr>
          <w:p w14:paraId="1B082CE4"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Global Security and Strategic Analysis</w:t>
            </w:r>
          </w:p>
        </w:tc>
      </w:tr>
      <w:tr w:rsidR="00010A1A" w:rsidRPr="0032403F" w14:paraId="25405DD4" w14:textId="77777777" w:rsidTr="00B25DBD">
        <w:tc>
          <w:tcPr>
            <w:tcW w:w="1400" w:type="dxa"/>
            <w:tcMar>
              <w:top w:w="90" w:type="dxa"/>
              <w:left w:w="110" w:type="dxa"/>
              <w:bottom w:w="90" w:type="dxa"/>
              <w:right w:w="110" w:type="dxa"/>
            </w:tcMar>
          </w:tcPr>
          <w:p w14:paraId="07DF9529"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lastRenderedPageBreak/>
              <w:t>13</w:t>
            </w:r>
          </w:p>
        </w:tc>
        <w:tc>
          <w:tcPr>
            <w:tcW w:w="8765" w:type="dxa"/>
            <w:tcMar>
              <w:top w:w="90" w:type="dxa"/>
              <w:left w:w="110" w:type="dxa"/>
              <w:bottom w:w="90" w:type="dxa"/>
              <w:right w:w="110" w:type="dxa"/>
            </w:tcMar>
          </w:tcPr>
          <w:p w14:paraId="2769E9F0"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Policy Analysis and Strategic Decision-Making</w:t>
            </w:r>
          </w:p>
        </w:tc>
      </w:tr>
      <w:tr w:rsidR="00010A1A" w:rsidRPr="0032403F" w14:paraId="5F20D03E" w14:textId="77777777" w:rsidTr="00B25DBD">
        <w:tc>
          <w:tcPr>
            <w:tcW w:w="1400" w:type="dxa"/>
            <w:shd w:val="clear" w:color="auto" w:fill="F7F9FC"/>
            <w:tcMar>
              <w:top w:w="90" w:type="dxa"/>
              <w:left w:w="110" w:type="dxa"/>
              <w:bottom w:w="90" w:type="dxa"/>
              <w:right w:w="110" w:type="dxa"/>
            </w:tcMar>
          </w:tcPr>
          <w:p w14:paraId="315C45FD"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14</w:t>
            </w:r>
          </w:p>
        </w:tc>
        <w:tc>
          <w:tcPr>
            <w:tcW w:w="8765" w:type="dxa"/>
            <w:shd w:val="clear" w:color="auto" w:fill="F7F9FC"/>
            <w:tcMar>
              <w:top w:w="90" w:type="dxa"/>
              <w:left w:w="110" w:type="dxa"/>
              <w:bottom w:w="90" w:type="dxa"/>
              <w:right w:w="110" w:type="dxa"/>
            </w:tcMar>
          </w:tcPr>
          <w:p w14:paraId="3BF5C8B0"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Policy Deliberation and Panel Preparation</w:t>
            </w:r>
          </w:p>
        </w:tc>
      </w:tr>
      <w:tr w:rsidR="00010A1A" w:rsidRPr="0032403F" w14:paraId="4978CD0A" w14:textId="77777777" w:rsidTr="00B25DBD">
        <w:tc>
          <w:tcPr>
            <w:tcW w:w="1400" w:type="dxa"/>
            <w:shd w:val="clear" w:color="auto" w:fill="FDF3E3"/>
            <w:tcMar>
              <w:top w:w="90" w:type="dxa"/>
              <w:left w:w="110" w:type="dxa"/>
              <w:bottom w:w="90" w:type="dxa"/>
              <w:right w:w="110" w:type="dxa"/>
            </w:tcMar>
          </w:tcPr>
          <w:p w14:paraId="08E1BF3B" w14:textId="239DB6BA" w:rsidR="00010A1A" w:rsidRPr="0032403F" w:rsidRDefault="00010A1A" w:rsidP="00130E3E">
            <w:pPr>
              <w:contextualSpacing/>
              <w:rPr>
                <w:rFonts w:asciiTheme="minorHAnsi" w:hAnsiTheme="minorHAnsi"/>
                <w:sz w:val="21"/>
                <w:szCs w:val="21"/>
              </w:rPr>
            </w:pPr>
          </w:p>
        </w:tc>
        <w:tc>
          <w:tcPr>
            <w:tcW w:w="8765" w:type="dxa"/>
            <w:shd w:val="clear" w:color="auto" w:fill="FDF3E3"/>
            <w:tcMar>
              <w:top w:w="90" w:type="dxa"/>
              <w:left w:w="110" w:type="dxa"/>
              <w:bottom w:w="90" w:type="dxa"/>
              <w:right w:w="110" w:type="dxa"/>
            </w:tcMar>
          </w:tcPr>
          <w:p w14:paraId="5771F2B4"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Thanksgiving Break</w:t>
            </w:r>
          </w:p>
        </w:tc>
      </w:tr>
      <w:tr w:rsidR="00010A1A" w:rsidRPr="0032403F" w14:paraId="0CE6208A" w14:textId="77777777" w:rsidTr="00B25DBD">
        <w:tc>
          <w:tcPr>
            <w:tcW w:w="1400" w:type="dxa"/>
            <w:shd w:val="clear" w:color="auto" w:fill="F7F9FC"/>
            <w:tcMar>
              <w:top w:w="90" w:type="dxa"/>
              <w:left w:w="110" w:type="dxa"/>
              <w:bottom w:w="90" w:type="dxa"/>
              <w:right w:w="110" w:type="dxa"/>
            </w:tcMar>
          </w:tcPr>
          <w:p w14:paraId="3A5ED6D1" w14:textId="2F03A8B4"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b/>
                <w:bCs/>
                <w:color w:val="4B5568"/>
                <w:sz w:val="21"/>
                <w:szCs w:val="21"/>
              </w:rPr>
              <w:t>1</w:t>
            </w:r>
            <w:r w:rsidR="0032403F" w:rsidRPr="0032403F">
              <w:rPr>
                <w:rFonts w:asciiTheme="minorHAnsi" w:eastAsia="Calibri" w:hAnsiTheme="minorHAnsi" w:cs="Calibri"/>
                <w:b/>
                <w:bCs/>
                <w:color w:val="4B5568"/>
                <w:sz w:val="21"/>
                <w:szCs w:val="21"/>
              </w:rPr>
              <w:t>5</w:t>
            </w:r>
          </w:p>
        </w:tc>
        <w:tc>
          <w:tcPr>
            <w:tcW w:w="8765" w:type="dxa"/>
            <w:shd w:val="clear" w:color="auto" w:fill="F7F9FC"/>
            <w:tcMar>
              <w:top w:w="90" w:type="dxa"/>
              <w:left w:w="110" w:type="dxa"/>
              <w:bottom w:w="90" w:type="dxa"/>
              <w:right w:w="110" w:type="dxa"/>
            </w:tcMar>
          </w:tcPr>
          <w:p w14:paraId="6363F620" w14:textId="77777777" w:rsidR="00010A1A" w:rsidRPr="0032403F" w:rsidRDefault="00000000" w:rsidP="00130E3E">
            <w:pPr>
              <w:contextualSpacing/>
              <w:rPr>
                <w:rFonts w:asciiTheme="minorHAnsi" w:hAnsiTheme="minorHAnsi"/>
                <w:sz w:val="21"/>
                <w:szCs w:val="21"/>
              </w:rPr>
            </w:pPr>
            <w:r w:rsidRPr="0032403F">
              <w:rPr>
                <w:rFonts w:asciiTheme="minorHAnsi" w:eastAsia="Calibri" w:hAnsiTheme="minorHAnsi" w:cs="Calibri"/>
                <w:sz w:val="21"/>
                <w:szCs w:val="21"/>
              </w:rPr>
              <w:t>Final Security Policy Panels</w:t>
            </w:r>
          </w:p>
        </w:tc>
      </w:tr>
    </w:tbl>
    <w:p w14:paraId="44349E81" w14:textId="31B185B8" w:rsidR="00005F27" w:rsidRDefault="00005F27" w:rsidP="00130E3E">
      <w:pPr>
        <w:spacing w:after="160"/>
        <w:contextualSpacing/>
        <w:rPr>
          <w:rFonts w:asciiTheme="minorHAnsi" w:eastAsia="Calibri" w:hAnsiTheme="minorHAnsi" w:cs="Calibri"/>
          <w:sz w:val="23"/>
          <w:szCs w:val="23"/>
        </w:rPr>
      </w:pPr>
    </w:p>
    <w:p w14:paraId="11AB4EE5" w14:textId="2F5753BF" w:rsidR="00010A1A" w:rsidRPr="0032403F" w:rsidRDefault="00000000" w:rsidP="0032403F">
      <w:pPr>
        <w:spacing w:after="160"/>
        <w:contextualSpacing/>
        <w:jc w:val="both"/>
        <w:rPr>
          <w:rFonts w:asciiTheme="minorHAnsi" w:eastAsia="Calibri" w:hAnsiTheme="minorHAnsi" w:cs="Calibri"/>
          <w:sz w:val="22"/>
          <w:szCs w:val="22"/>
        </w:rPr>
      </w:pPr>
      <w:r w:rsidRPr="0032403F">
        <w:rPr>
          <w:rFonts w:asciiTheme="minorHAnsi" w:eastAsia="Calibri" w:hAnsiTheme="minorHAnsi" w:cs="Calibri"/>
          <w:sz w:val="22"/>
          <w:szCs w:val="22"/>
        </w:rPr>
        <w:t>This syllabus provides the general structure and expectations for the course. More detailed instructions for readings, assignments, Book Club meetings, workshops, and weekly preparation are available in Canvas. Students are responsible for consulting Canvas regularly throughout the semester.</w:t>
      </w:r>
    </w:p>
    <w:p w14:paraId="512E1EDD" w14:textId="77777777" w:rsidR="00B25DBD" w:rsidRDefault="00B25DBD" w:rsidP="00130E3E">
      <w:pPr>
        <w:spacing w:after="160"/>
        <w:contextualSpacing/>
        <w:rPr>
          <w:rFonts w:asciiTheme="minorHAnsi" w:eastAsia="Calibri" w:hAnsiTheme="minorHAnsi" w:cs="Calibri"/>
          <w:sz w:val="23"/>
          <w:szCs w:val="23"/>
        </w:rPr>
      </w:pPr>
    </w:p>
    <w:p w14:paraId="3E76D9E5" w14:textId="498DC51A" w:rsidR="00B25DBD" w:rsidRPr="00130E3E" w:rsidRDefault="00B25DBD" w:rsidP="00130E3E">
      <w:pPr>
        <w:spacing w:after="160"/>
        <w:contextualSpacing/>
        <w:rPr>
          <w:rFonts w:asciiTheme="minorHAnsi" w:hAnsiTheme="minorHAnsi"/>
        </w:rPr>
      </w:pPr>
      <w:r>
        <w:rPr>
          <w:rFonts w:asciiTheme="minorHAnsi" w:eastAsia="Calibri" w:hAnsiTheme="minorHAnsi" w:cs="Calibri"/>
          <w:sz w:val="23"/>
          <w:szCs w:val="23"/>
        </w:rPr>
        <w:t xml:space="preserve">Dr. McKay reserves the right to make changes to this syllabus as the needs of the semester dictate. </w:t>
      </w:r>
    </w:p>
    <w:sectPr w:rsidR="00B25DBD" w:rsidRPr="00130E3E">
      <w:footerReference w:type="even" r:id="rId10"/>
      <w:footerReference w:type="default" r:id="rId11"/>
      <w:pgSz w:w="12240" w:h="15840"/>
      <w:pgMar w:top="900" w:right="1050" w:bottom="1000" w:left="10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0417FC" w14:textId="77777777" w:rsidR="00BB48BF" w:rsidRDefault="00BB48BF" w:rsidP="00B25DBD">
      <w:r>
        <w:separator/>
      </w:r>
    </w:p>
  </w:endnote>
  <w:endnote w:type="continuationSeparator" w:id="0">
    <w:p w14:paraId="27E052E4" w14:textId="77777777" w:rsidR="00BB48BF" w:rsidRDefault="00BB48BF" w:rsidP="00B2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44655222"/>
      <w:docPartObj>
        <w:docPartGallery w:val="Page Numbers (Bottom of Page)"/>
        <w:docPartUnique/>
      </w:docPartObj>
    </w:sdtPr>
    <w:sdtContent>
      <w:p w14:paraId="7CFD43FE" w14:textId="294E7CA9" w:rsidR="00B25DBD" w:rsidRDefault="00B25DBD" w:rsidP="006A22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8D50314" w14:textId="77777777" w:rsidR="00B25DBD" w:rsidRDefault="00B25DBD" w:rsidP="00B25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0013188"/>
      <w:docPartObj>
        <w:docPartGallery w:val="Page Numbers (Bottom of Page)"/>
        <w:docPartUnique/>
      </w:docPartObj>
    </w:sdtPr>
    <w:sdtContent>
      <w:p w14:paraId="1D96EAC7" w14:textId="52EE203F" w:rsidR="00B25DBD" w:rsidRDefault="00B25DBD" w:rsidP="006A22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AC3DEDD" w14:textId="29F05F5E" w:rsidR="00B25DBD" w:rsidRPr="00B25DBD" w:rsidRDefault="00B25DBD" w:rsidP="00B25DBD">
    <w:pPr>
      <w:pStyle w:val="Footer"/>
      <w:ind w:right="360"/>
      <w:rPr>
        <w:rFonts w:asciiTheme="minorHAnsi" w:hAnsiTheme="minorHAnsi"/>
        <w:sz w:val="16"/>
        <w:szCs w:val="16"/>
      </w:rPr>
    </w:pPr>
    <w:r w:rsidRPr="00B25DBD">
      <w:rPr>
        <w:rFonts w:asciiTheme="minorHAnsi" w:hAnsiTheme="minorHAnsi"/>
        <w:sz w:val="16"/>
        <w:szCs w:val="16"/>
      </w:rPr>
      <w:t>INST 4851 &amp; PSCI 4820 – International Security Studies</w:t>
    </w:r>
  </w:p>
  <w:p w14:paraId="36257EAC" w14:textId="22F2789F" w:rsidR="00B25DBD" w:rsidRPr="00B25DBD" w:rsidRDefault="00B25DBD">
    <w:pPr>
      <w:pStyle w:val="Footer"/>
      <w:rPr>
        <w:rFonts w:asciiTheme="minorHAnsi" w:hAnsiTheme="minorHAnsi"/>
        <w:sz w:val="16"/>
        <w:szCs w:val="16"/>
      </w:rPr>
    </w:pPr>
    <w:r w:rsidRPr="00B25DBD">
      <w:rPr>
        <w:rFonts w:asciiTheme="minorHAnsi" w:hAnsiTheme="minorHAnsi"/>
        <w:sz w:val="16"/>
        <w:szCs w:val="16"/>
      </w:rPr>
      <w:t>Fall 2026</w:t>
    </w:r>
  </w:p>
  <w:p w14:paraId="5E96B63E" w14:textId="76ABF5FA" w:rsidR="00B25DBD" w:rsidRPr="00B25DBD" w:rsidRDefault="00B25DBD">
    <w:pPr>
      <w:pStyle w:val="Footer"/>
      <w:rPr>
        <w:rFonts w:asciiTheme="minorHAnsi" w:hAnsiTheme="minorHAnsi"/>
        <w:sz w:val="16"/>
        <w:szCs w:val="16"/>
      </w:rPr>
    </w:pPr>
    <w:r w:rsidRPr="00B25DBD">
      <w:rPr>
        <w:rFonts w:asciiTheme="minorHAnsi" w:hAnsiTheme="minorHAnsi"/>
        <w:sz w:val="16"/>
        <w:szCs w:val="16"/>
      </w:rPr>
      <w:t>Dr. McKay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BD90AE" w14:textId="77777777" w:rsidR="00BB48BF" w:rsidRDefault="00BB48BF" w:rsidP="00B25DBD">
      <w:r>
        <w:separator/>
      </w:r>
    </w:p>
  </w:footnote>
  <w:footnote w:type="continuationSeparator" w:id="0">
    <w:p w14:paraId="676268A0" w14:textId="77777777" w:rsidR="00BB48BF" w:rsidRDefault="00BB48BF" w:rsidP="00B25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B1CB3"/>
    <w:multiLevelType w:val="multilevel"/>
    <w:tmpl w:val="7984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35558"/>
    <w:multiLevelType w:val="hybridMultilevel"/>
    <w:tmpl w:val="AA3AF298"/>
    <w:lvl w:ilvl="0" w:tplc="633ED176">
      <w:start w:val="1"/>
      <w:numFmt w:val="bullet"/>
      <w:lvlText w:val="●"/>
      <w:lvlJc w:val="left"/>
      <w:pPr>
        <w:ind w:left="720" w:hanging="360"/>
      </w:pPr>
    </w:lvl>
    <w:lvl w:ilvl="1" w:tplc="56A08D90">
      <w:start w:val="1"/>
      <w:numFmt w:val="bullet"/>
      <w:lvlText w:val="○"/>
      <w:lvlJc w:val="left"/>
      <w:pPr>
        <w:ind w:left="1440" w:hanging="360"/>
      </w:pPr>
    </w:lvl>
    <w:lvl w:ilvl="2" w:tplc="5A4A20D8">
      <w:start w:val="1"/>
      <w:numFmt w:val="bullet"/>
      <w:lvlText w:val="■"/>
      <w:lvlJc w:val="left"/>
      <w:pPr>
        <w:ind w:left="2160" w:hanging="360"/>
      </w:pPr>
    </w:lvl>
    <w:lvl w:ilvl="3" w:tplc="40B6D910">
      <w:start w:val="1"/>
      <w:numFmt w:val="bullet"/>
      <w:lvlText w:val="●"/>
      <w:lvlJc w:val="left"/>
      <w:pPr>
        <w:ind w:left="2880" w:hanging="360"/>
      </w:pPr>
    </w:lvl>
    <w:lvl w:ilvl="4" w:tplc="B55C0948">
      <w:start w:val="1"/>
      <w:numFmt w:val="bullet"/>
      <w:lvlText w:val="○"/>
      <w:lvlJc w:val="left"/>
      <w:pPr>
        <w:ind w:left="3600" w:hanging="360"/>
      </w:pPr>
    </w:lvl>
    <w:lvl w:ilvl="5" w:tplc="646AA3A8">
      <w:start w:val="1"/>
      <w:numFmt w:val="bullet"/>
      <w:lvlText w:val="■"/>
      <w:lvlJc w:val="left"/>
      <w:pPr>
        <w:ind w:left="4320" w:hanging="360"/>
      </w:pPr>
    </w:lvl>
    <w:lvl w:ilvl="6" w:tplc="D2246AA6">
      <w:start w:val="1"/>
      <w:numFmt w:val="bullet"/>
      <w:lvlText w:val="●"/>
      <w:lvlJc w:val="left"/>
      <w:pPr>
        <w:ind w:left="5040" w:hanging="360"/>
      </w:pPr>
    </w:lvl>
    <w:lvl w:ilvl="7" w:tplc="FE0A8F38">
      <w:start w:val="1"/>
      <w:numFmt w:val="bullet"/>
      <w:lvlText w:val="●"/>
      <w:lvlJc w:val="left"/>
      <w:pPr>
        <w:ind w:left="5760" w:hanging="360"/>
      </w:pPr>
    </w:lvl>
    <w:lvl w:ilvl="8" w:tplc="D618D108">
      <w:start w:val="1"/>
      <w:numFmt w:val="bullet"/>
      <w:lvlText w:val="●"/>
      <w:lvlJc w:val="left"/>
      <w:pPr>
        <w:ind w:left="6480" w:hanging="360"/>
      </w:pPr>
    </w:lvl>
  </w:abstractNum>
  <w:abstractNum w:abstractNumId="2" w15:restartNumberingAfterBreak="0">
    <w:nsid w:val="185E0005"/>
    <w:multiLevelType w:val="multilevel"/>
    <w:tmpl w:val="CCCC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5427A"/>
    <w:multiLevelType w:val="hybridMultilevel"/>
    <w:tmpl w:val="0F849DCA"/>
    <w:lvl w:ilvl="0" w:tplc="C44087EC">
      <w:start w:val="1"/>
      <w:numFmt w:val="bullet"/>
      <w:lvlText w:val="•"/>
      <w:lvlJc w:val="left"/>
      <w:pPr>
        <w:ind w:left="380" w:hanging="260"/>
      </w:pPr>
    </w:lvl>
    <w:lvl w:ilvl="1" w:tplc="D946F43A">
      <w:numFmt w:val="decimal"/>
      <w:lvlText w:val=""/>
      <w:lvlJc w:val="left"/>
    </w:lvl>
    <w:lvl w:ilvl="2" w:tplc="EAB01DCE">
      <w:numFmt w:val="decimal"/>
      <w:lvlText w:val=""/>
      <w:lvlJc w:val="left"/>
    </w:lvl>
    <w:lvl w:ilvl="3" w:tplc="DE029686">
      <w:numFmt w:val="decimal"/>
      <w:lvlText w:val=""/>
      <w:lvlJc w:val="left"/>
    </w:lvl>
    <w:lvl w:ilvl="4" w:tplc="3C6ED90A">
      <w:numFmt w:val="decimal"/>
      <w:lvlText w:val=""/>
      <w:lvlJc w:val="left"/>
    </w:lvl>
    <w:lvl w:ilvl="5" w:tplc="09E6FF10">
      <w:numFmt w:val="decimal"/>
      <w:lvlText w:val=""/>
      <w:lvlJc w:val="left"/>
    </w:lvl>
    <w:lvl w:ilvl="6" w:tplc="90187782">
      <w:numFmt w:val="decimal"/>
      <w:lvlText w:val=""/>
      <w:lvlJc w:val="left"/>
    </w:lvl>
    <w:lvl w:ilvl="7" w:tplc="202483F0">
      <w:numFmt w:val="decimal"/>
      <w:lvlText w:val=""/>
      <w:lvlJc w:val="left"/>
    </w:lvl>
    <w:lvl w:ilvl="8" w:tplc="01AC9600">
      <w:numFmt w:val="decimal"/>
      <w:lvlText w:val=""/>
      <w:lvlJc w:val="left"/>
    </w:lvl>
  </w:abstractNum>
  <w:abstractNum w:abstractNumId="4" w15:restartNumberingAfterBreak="0">
    <w:nsid w:val="1AA739FF"/>
    <w:multiLevelType w:val="hybridMultilevel"/>
    <w:tmpl w:val="CE38D13C"/>
    <w:lvl w:ilvl="0" w:tplc="0409000F">
      <w:start w:val="1"/>
      <w:numFmt w:val="decimal"/>
      <w:lvlText w:val="%1."/>
      <w:lvlJc w:val="left"/>
      <w:pPr>
        <w:ind w:left="4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1706B30"/>
    <w:multiLevelType w:val="multilevel"/>
    <w:tmpl w:val="A534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F0035"/>
    <w:multiLevelType w:val="multilevel"/>
    <w:tmpl w:val="3198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A24251"/>
    <w:multiLevelType w:val="multilevel"/>
    <w:tmpl w:val="C3145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0006E8"/>
    <w:multiLevelType w:val="multilevel"/>
    <w:tmpl w:val="4696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D6B8E"/>
    <w:multiLevelType w:val="multilevel"/>
    <w:tmpl w:val="E234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C247C"/>
    <w:multiLevelType w:val="multilevel"/>
    <w:tmpl w:val="C0AA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EA3AA8"/>
    <w:multiLevelType w:val="multilevel"/>
    <w:tmpl w:val="076C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AF01C0"/>
    <w:multiLevelType w:val="multilevel"/>
    <w:tmpl w:val="8FD2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666880">
    <w:abstractNumId w:val="1"/>
    <w:lvlOverride w:ilvl="0">
      <w:startOverride w:val="1"/>
    </w:lvlOverride>
  </w:num>
  <w:num w:numId="2" w16cid:durableId="633877185">
    <w:abstractNumId w:val="3"/>
    <w:lvlOverride w:ilvl="0">
      <w:startOverride w:val="1"/>
    </w:lvlOverride>
  </w:num>
  <w:num w:numId="3" w16cid:durableId="2067533225">
    <w:abstractNumId w:val="3"/>
  </w:num>
  <w:num w:numId="4" w16cid:durableId="855340068">
    <w:abstractNumId w:val="4"/>
  </w:num>
  <w:num w:numId="5" w16cid:durableId="1414666902">
    <w:abstractNumId w:val="9"/>
  </w:num>
  <w:num w:numId="6" w16cid:durableId="495148251">
    <w:abstractNumId w:val="5"/>
  </w:num>
  <w:num w:numId="7" w16cid:durableId="712115353">
    <w:abstractNumId w:val="10"/>
  </w:num>
  <w:num w:numId="8" w16cid:durableId="212041139">
    <w:abstractNumId w:val="0"/>
  </w:num>
  <w:num w:numId="9" w16cid:durableId="1457065399">
    <w:abstractNumId w:val="2"/>
  </w:num>
  <w:num w:numId="10" w16cid:durableId="2047872168">
    <w:abstractNumId w:val="8"/>
  </w:num>
  <w:num w:numId="11" w16cid:durableId="618876482">
    <w:abstractNumId w:val="6"/>
  </w:num>
  <w:num w:numId="12" w16cid:durableId="405033295">
    <w:abstractNumId w:val="12"/>
  </w:num>
  <w:num w:numId="13" w16cid:durableId="2038266072">
    <w:abstractNumId w:val="11"/>
  </w:num>
  <w:num w:numId="14" w16cid:durableId="124880987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A1A"/>
    <w:rsid w:val="00005F27"/>
    <w:rsid w:val="00010A1A"/>
    <w:rsid w:val="00105231"/>
    <w:rsid w:val="00130E3E"/>
    <w:rsid w:val="001E4124"/>
    <w:rsid w:val="002A4913"/>
    <w:rsid w:val="002E31F1"/>
    <w:rsid w:val="0032403F"/>
    <w:rsid w:val="00620EF3"/>
    <w:rsid w:val="00B25DBD"/>
    <w:rsid w:val="00BB48BF"/>
    <w:rsid w:val="00C70F04"/>
    <w:rsid w:val="00EA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30E6BA"/>
  <w15:docId w15:val="{EC130766-DF74-BD41-B292-914FF1F9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30E3E"/>
    <w:rPr>
      <w:color w:val="605E5C"/>
      <w:shd w:val="clear" w:color="auto" w:fill="E1DFDD"/>
    </w:rPr>
  </w:style>
  <w:style w:type="character" w:customStyle="1" w:styleId="agcmg">
    <w:name w:val="a_gcmg"/>
    <w:basedOn w:val="DefaultParagraphFont"/>
    <w:rsid w:val="00B25DBD"/>
  </w:style>
  <w:style w:type="paragraph" w:customStyle="1" w:styleId="cvgsua">
    <w:name w:val="cvgsua"/>
    <w:basedOn w:val="Normal"/>
    <w:rsid w:val="00B25DBD"/>
    <w:pPr>
      <w:spacing w:before="100" w:beforeAutospacing="1" w:after="100" w:afterAutospacing="1"/>
    </w:pPr>
    <w:rPr>
      <w:sz w:val="24"/>
      <w:szCs w:val="24"/>
    </w:rPr>
  </w:style>
  <w:style w:type="character" w:styleId="Strong">
    <w:name w:val="Strong"/>
    <w:basedOn w:val="DefaultParagraphFont"/>
    <w:uiPriority w:val="22"/>
    <w:qFormat/>
    <w:rsid w:val="00B25DBD"/>
    <w:rPr>
      <w:b/>
      <w:bCs/>
    </w:rPr>
  </w:style>
  <w:style w:type="paragraph" w:styleId="NormalWeb">
    <w:name w:val="Normal (Web)"/>
    <w:basedOn w:val="Normal"/>
    <w:uiPriority w:val="99"/>
    <w:unhideWhenUsed/>
    <w:rsid w:val="00B25DBD"/>
    <w:pPr>
      <w:spacing w:before="100" w:beforeAutospacing="1" w:after="100" w:afterAutospacing="1"/>
    </w:pPr>
    <w:rPr>
      <w:sz w:val="24"/>
      <w:szCs w:val="24"/>
    </w:rPr>
  </w:style>
  <w:style w:type="paragraph" w:styleId="Header">
    <w:name w:val="header"/>
    <w:basedOn w:val="Normal"/>
    <w:link w:val="HeaderChar"/>
    <w:uiPriority w:val="99"/>
    <w:unhideWhenUsed/>
    <w:rsid w:val="00B25DBD"/>
    <w:pPr>
      <w:tabs>
        <w:tab w:val="center" w:pos="4680"/>
        <w:tab w:val="right" w:pos="9360"/>
      </w:tabs>
    </w:pPr>
  </w:style>
  <w:style w:type="character" w:customStyle="1" w:styleId="HeaderChar">
    <w:name w:val="Header Char"/>
    <w:basedOn w:val="DefaultParagraphFont"/>
    <w:link w:val="Header"/>
    <w:uiPriority w:val="99"/>
    <w:rsid w:val="00B25DBD"/>
  </w:style>
  <w:style w:type="paragraph" w:styleId="Footer">
    <w:name w:val="footer"/>
    <w:basedOn w:val="Normal"/>
    <w:link w:val="FooterChar"/>
    <w:uiPriority w:val="99"/>
    <w:unhideWhenUsed/>
    <w:rsid w:val="00B25DBD"/>
    <w:pPr>
      <w:tabs>
        <w:tab w:val="center" w:pos="4680"/>
        <w:tab w:val="right" w:pos="9360"/>
      </w:tabs>
    </w:pPr>
  </w:style>
  <w:style w:type="character" w:customStyle="1" w:styleId="FooterChar">
    <w:name w:val="Footer Char"/>
    <w:basedOn w:val="DefaultParagraphFont"/>
    <w:link w:val="Footer"/>
    <w:uiPriority w:val="99"/>
    <w:rsid w:val="00B25DBD"/>
  </w:style>
  <w:style w:type="character" w:styleId="PageNumber">
    <w:name w:val="page number"/>
    <w:basedOn w:val="DefaultParagraphFont"/>
    <w:uiPriority w:val="99"/>
    <w:semiHidden/>
    <w:unhideWhenUsed/>
    <w:rsid w:val="00B25DBD"/>
  </w:style>
  <w:style w:type="character" w:styleId="FollowedHyperlink">
    <w:name w:val="FollowedHyperlink"/>
    <w:basedOn w:val="DefaultParagraphFont"/>
    <w:uiPriority w:val="99"/>
    <w:semiHidden/>
    <w:unhideWhenUsed/>
    <w:rsid w:val="001E41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lissa.mckay@un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tudentaffairs.unt.edu/dean-of-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2067</Words>
  <Characters>12301</Characters>
  <Application>Microsoft Office Word</Application>
  <DocSecurity>0</DocSecurity>
  <Lines>261</Lines>
  <Paragraphs>161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dc:creator>
  <cp:keywords/>
  <dc:description/>
  <cp:lastModifiedBy>McKay, Melissa</cp:lastModifiedBy>
  <cp:revision>2</cp:revision>
  <cp:lastPrinted>2026-08-17T19:47:00Z</cp:lastPrinted>
  <dcterms:created xsi:type="dcterms:W3CDTF">2026-08-20T02:13:00Z</dcterms:created>
  <dcterms:modified xsi:type="dcterms:W3CDTF">2026-08-20T02:13:00Z</dcterms:modified>
  <cp:category/>
</cp:coreProperties>
</file>