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557F4" w14:textId="77777777" w:rsidR="000A6599" w:rsidRDefault="000A6599" w:rsidP="000A6599">
      <w:pPr>
        <w:jc w:val="center"/>
        <w:rPr>
          <w:sz w:val="36"/>
          <w:szCs w:val="36"/>
        </w:rPr>
      </w:pPr>
      <w:r w:rsidRPr="000A6599">
        <w:rPr>
          <w:sz w:val="36"/>
          <w:szCs w:val="36"/>
        </w:rPr>
        <w:t>EPSY 2010: How People Learn</w:t>
      </w:r>
    </w:p>
    <w:p w14:paraId="58297E94" w14:textId="60A12064" w:rsidR="00BB69E1" w:rsidRPr="000A6599" w:rsidRDefault="00BB69E1" w:rsidP="000A6599">
      <w:pPr>
        <w:jc w:val="center"/>
        <w:rPr>
          <w:sz w:val="36"/>
          <w:szCs w:val="36"/>
        </w:rPr>
      </w:pPr>
      <w:r>
        <w:rPr>
          <w:sz w:val="36"/>
          <w:szCs w:val="36"/>
        </w:rPr>
        <w:t>Fall 2025 Section 00</w:t>
      </w:r>
      <w:r w:rsidR="00CE374C">
        <w:rPr>
          <w:sz w:val="36"/>
          <w:szCs w:val="36"/>
        </w:rPr>
        <w:t>1</w:t>
      </w:r>
    </w:p>
    <w:p w14:paraId="513160F5" w14:textId="77777777" w:rsidR="000A6599" w:rsidRDefault="000A6599" w:rsidP="000A6599">
      <w:pPr>
        <w:pStyle w:val="Heading1"/>
      </w:pPr>
    </w:p>
    <w:p w14:paraId="37041B3A" w14:textId="7FD81B9E" w:rsidR="00BB69E1" w:rsidRPr="000A6599" w:rsidRDefault="00BB69E1" w:rsidP="00BB69E1">
      <w:pPr>
        <w:pStyle w:val="Heading1"/>
      </w:pPr>
      <w:r>
        <w:t>Instructor</w:t>
      </w:r>
    </w:p>
    <w:p w14:paraId="004FF5DD" w14:textId="7CC124E2" w:rsidR="00BB69E1" w:rsidRDefault="00BB69E1" w:rsidP="00BB69E1">
      <w:r>
        <w:t xml:space="preserve">Dr. </w:t>
      </w:r>
      <w:r w:rsidR="00CE374C">
        <w:t>Max K Sherard</w:t>
      </w:r>
    </w:p>
    <w:p w14:paraId="2243FB38" w14:textId="77777777" w:rsidR="00BB69E1" w:rsidRPr="00BB69E1" w:rsidRDefault="00BB69E1" w:rsidP="00BB69E1"/>
    <w:p w14:paraId="21BBE231" w14:textId="47DBAAB9" w:rsidR="000A6599" w:rsidRPr="000A6599" w:rsidRDefault="000A6599" w:rsidP="000A6599">
      <w:pPr>
        <w:pStyle w:val="Heading1"/>
      </w:pPr>
      <w:r w:rsidRPr="000A6599">
        <w:t>Course Description</w:t>
      </w:r>
    </w:p>
    <w:p w14:paraId="1A1ADF81" w14:textId="4249CB7D" w:rsidR="000A6599" w:rsidRDefault="000A6599" w:rsidP="000A6599">
      <w:r>
        <w:t>This course examines human learning across the multiple contexts of our daily lives, especially those outside of school. This course will consider the role of social context and culture in shaping learning processes; the various ways learning is demonstrated; and the ways people engage with/in disciplinary</w:t>
      </w:r>
    </w:p>
    <w:p w14:paraId="23F55079" w14:textId="18B0E592" w:rsidR="000A6599" w:rsidRDefault="000A6599" w:rsidP="000A6599">
      <w:r>
        <w:t>practices in their daily lives.</w:t>
      </w:r>
    </w:p>
    <w:p w14:paraId="185E8E9F" w14:textId="77777777" w:rsidR="000A6599" w:rsidRDefault="000A6599" w:rsidP="000A6599"/>
    <w:p w14:paraId="6CE842F1" w14:textId="241064BC" w:rsidR="000A6599" w:rsidRDefault="000A6599" w:rsidP="000A6599">
      <w:pPr>
        <w:pStyle w:val="Heading1"/>
      </w:pPr>
      <w:r>
        <w:t>Course Prerequisites</w:t>
      </w:r>
    </w:p>
    <w:p w14:paraId="12A5CD76" w14:textId="5563C211" w:rsidR="000A6599" w:rsidRDefault="000A6599" w:rsidP="000A6599">
      <w:r>
        <w:t>None</w:t>
      </w:r>
    </w:p>
    <w:p w14:paraId="465BC020" w14:textId="77777777" w:rsidR="000A6599" w:rsidRDefault="000A6599" w:rsidP="000A6599"/>
    <w:p w14:paraId="7AB66EB6" w14:textId="151CF313" w:rsidR="000A6599" w:rsidRDefault="000A6599" w:rsidP="000A6599">
      <w:pPr>
        <w:pStyle w:val="Heading1"/>
      </w:pPr>
      <w:r>
        <w:t>Course Goals</w:t>
      </w:r>
    </w:p>
    <w:p w14:paraId="0DDD7AE2" w14:textId="77777777" w:rsidR="000A6599" w:rsidRPr="00072465" w:rsidRDefault="000A6599" w:rsidP="000A6599">
      <w:r>
        <w:t xml:space="preserve">Course </w:t>
      </w:r>
      <w:r w:rsidRPr="00072465">
        <w:t xml:space="preserve">goals are focused on exploring </w:t>
      </w:r>
      <w:r>
        <w:t>four</w:t>
      </w:r>
      <w:r w:rsidRPr="00072465">
        <w:t xml:space="preserve"> primary questions: </w:t>
      </w:r>
    </w:p>
    <w:p w14:paraId="04BFF783" w14:textId="77777777" w:rsidR="000A6599" w:rsidRPr="00072465" w:rsidRDefault="000A6599" w:rsidP="000A6599">
      <w:pPr>
        <w:pStyle w:val="ListParagraph"/>
        <w:numPr>
          <w:ilvl w:val="0"/>
          <w:numId w:val="3"/>
        </w:numPr>
      </w:pPr>
      <w:r w:rsidRPr="00072465">
        <w:t>What is 'learning' and what does it mean 'to learn'?</w:t>
      </w:r>
      <w:r>
        <w:t xml:space="preserve"> </w:t>
      </w:r>
      <w:r w:rsidRPr="00072465">
        <w:t>How do we know when someone has learned something?</w:t>
      </w:r>
      <w:r>
        <w:t xml:space="preserve"> </w:t>
      </w:r>
    </w:p>
    <w:p w14:paraId="53871409" w14:textId="77777777" w:rsidR="000A6599" w:rsidRDefault="000A6599" w:rsidP="000A6599">
      <w:pPr>
        <w:pStyle w:val="ListParagraph"/>
        <w:numPr>
          <w:ilvl w:val="0"/>
          <w:numId w:val="3"/>
        </w:numPr>
      </w:pPr>
      <w:r w:rsidRPr="00072465">
        <w:t>What is 'knowledge' and what does it mean 'to know'?</w:t>
      </w:r>
      <w:r>
        <w:t xml:space="preserve"> How do we know when someone knows something? </w:t>
      </w:r>
    </w:p>
    <w:p w14:paraId="001886FF" w14:textId="77777777" w:rsidR="000A6599" w:rsidRDefault="000A6599" w:rsidP="000A6599">
      <w:pPr>
        <w:pStyle w:val="ListParagraph"/>
        <w:numPr>
          <w:ilvl w:val="0"/>
          <w:numId w:val="3"/>
        </w:numPr>
      </w:pPr>
      <w:r w:rsidRPr="00072465">
        <w:t>How are</w:t>
      </w:r>
      <w:r>
        <w:t xml:space="preserve"> learning and knowing</w:t>
      </w:r>
      <w:r w:rsidRPr="00072465">
        <w:t xml:space="preserve"> shaped by the context in which teaching, learning, and knowing occur?</w:t>
      </w:r>
    </w:p>
    <w:p w14:paraId="47FFA36D" w14:textId="77777777" w:rsidR="000A6599" w:rsidRPr="00C65F3D" w:rsidRDefault="000A6599" w:rsidP="000A6599">
      <w:pPr>
        <w:pStyle w:val="ListParagraph"/>
        <w:numPr>
          <w:ilvl w:val="0"/>
          <w:numId w:val="3"/>
        </w:numPr>
      </w:pPr>
      <w:r w:rsidRPr="00710EFA">
        <w:t>What is smartness? What does it mean to be intelligent? Who "gets" to be "smart"/"intelligent"?</w:t>
      </w:r>
    </w:p>
    <w:p w14:paraId="1573E030" w14:textId="6F18F092" w:rsidR="000A6599" w:rsidRDefault="000A6599" w:rsidP="000A6599">
      <w:r w:rsidRPr="00710EFA">
        <w:t xml:space="preserve">To address these questions, students will come to understand multiple theories of knowledge, learning, and assessment. Students will study historical theories, expand those theories with more recent updates from ongoing research, and apply those expanded understandings to analyze real world data of learning in action. </w:t>
      </w:r>
    </w:p>
    <w:p w14:paraId="4A2B53C3" w14:textId="77777777" w:rsidR="000A6599" w:rsidRDefault="000A6599" w:rsidP="000A6599"/>
    <w:p w14:paraId="46562496" w14:textId="296A7204" w:rsidR="000A6599" w:rsidRDefault="000A6599" w:rsidP="000A6599">
      <w:pPr>
        <w:pStyle w:val="Heading1"/>
      </w:pPr>
      <w:r>
        <w:t>Course Texts</w:t>
      </w:r>
    </w:p>
    <w:p w14:paraId="0DBB3089" w14:textId="2AD20E8C" w:rsidR="000A6599" w:rsidRDefault="000A6599" w:rsidP="000A6599">
      <w:r>
        <w:t>None. All course readings will be provided via Canvas.</w:t>
      </w:r>
    </w:p>
    <w:p w14:paraId="60913569" w14:textId="77777777" w:rsidR="000A6599" w:rsidRDefault="000A6599" w:rsidP="000A6599"/>
    <w:p w14:paraId="65E7BC2B" w14:textId="77777777" w:rsidR="000A6599" w:rsidRDefault="000A6599" w:rsidP="000A6599">
      <w:pPr>
        <w:pStyle w:val="Heading1"/>
      </w:pPr>
      <w:r>
        <w:t>Learning Activities and Assignments</w:t>
      </w:r>
    </w:p>
    <w:p w14:paraId="654F8854" w14:textId="5CDBFC60" w:rsidR="000A6599" w:rsidRPr="002C3469" w:rsidRDefault="000A6599" w:rsidP="000A6599">
      <w:r w:rsidRPr="002C3469">
        <w:t>In addition to course readings and class activities, the instructor will use the following graded learning activities as indicators of progress and understanding over the duration of the semester. These primary activities are described briefly below. Additional details will be provided at the beginning of the semester and/or prior to each assignment due date. All assignments wi</w:t>
      </w:r>
      <w:r>
        <w:t>ll be submitted through Canvas or</w:t>
      </w:r>
      <w:r w:rsidR="00BB69E1">
        <w:t xml:space="preserve"> in class</w:t>
      </w:r>
      <w:r>
        <w:t>.</w:t>
      </w:r>
    </w:p>
    <w:p w14:paraId="372DEDB6" w14:textId="77777777" w:rsidR="000A6599" w:rsidRPr="002C3469" w:rsidRDefault="000A6599" w:rsidP="00BB69E1">
      <w:pPr>
        <w:pStyle w:val="ListParagraph"/>
        <w:numPr>
          <w:ilvl w:val="0"/>
          <w:numId w:val="7"/>
        </w:numPr>
      </w:pPr>
      <w:r w:rsidRPr="002C3469">
        <w:t xml:space="preserve">20% </w:t>
      </w:r>
      <w:r w:rsidRPr="002C3469">
        <w:tab/>
        <w:t xml:space="preserve">Class </w:t>
      </w:r>
      <w:r>
        <w:t xml:space="preserve">Preparation &amp; Learning Community </w:t>
      </w:r>
      <w:r w:rsidRPr="002C3469">
        <w:t>Participation</w:t>
      </w:r>
      <w:r>
        <w:t xml:space="preserve"> </w:t>
      </w:r>
    </w:p>
    <w:p w14:paraId="780527DF" w14:textId="77777777" w:rsidR="000A6599" w:rsidRPr="002C3469" w:rsidRDefault="000A6599" w:rsidP="00BB69E1">
      <w:pPr>
        <w:pStyle w:val="ListParagraph"/>
        <w:numPr>
          <w:ilvl w:val="0"/>
          <w:numId w:val="7"/>
        </w:numPr>
      </w:pPr>
      <w:r>
        <w:t>20%</w:t>
      </w:r>
      <w:r>
        <w:tab/>
        <w:t>Modeling Learning Assignments</w:t>
      </w:r>
    </w:p>
    <w:p w14:paraId="78D77E29" w14:textId="5F652467" w:rsidR="000A6599" w:rsidRDefault="00CE374C" w:rsidP="00BB69E1">
      <w:pPr>
        <w:pStyle w:val="ListParagraph"/>
        <w:numPr>
          <w:ilvl w:val="0"/>
          <w:numId w:val="7"/>
        </w:numPr>
      </w:pPr>
      <w:r>
        <w:t>20</w:t>
      </w:r>
      <w:r w:rsidR="000A6599" w:rsidRPr="002C3469">
        <w:t>%</w:t>
      </w:r>
      <w:r w:rsidR="000A6599" w:rsidRPr="002C3469">
        <w:tab/>
      </w:r>
      <w:r w:rsidR="000A6599">
        <w:t>K12 Autobiography Assignments</w:t>
      </w:r>
    </w:p>
    <w:p w14:paraId="7E0FD72A" w14:textId="5F0A54A5" w:rsidR="000A6599" w:rsidRPr="002C3469" w:rsidRDefault="00CE374C" w:rsidP="00BB69E1">
      <w:pPr>
        <w:pStyle w:val="ListParagraph"/>
        <w:numPr>
          <w:ilvl w:val="0"/>
          <w:numId w:val="7"/>
        </w:numPr>
      </w:pPr>
      <w:r>
        <w:lastRenderedPageBreak/>
        <w:t>20</w:t>
      </w:r>
      <w:r w:rsidR="000A6599" w:rsidRPr="002C3469">
        <w:t xml:space="preserve">% </w:t>
      </w:r>
      <w:r w:rsidR="000A6599" w:rsidRPr="002C3469">
        <w:tab/>
        <w:t>Observations of Learning</w:t>
      </w:r>
    </w:p>
    <w:p w14:paraId="40BE523B" w14:textId="588BB4A2" w:rsidR="000A6599" w:rsidRPr="002C3469" w:rsidRDefault="00CE374C" w:rsidP="00BB69E1">
      <w:pPr>
        <w:pStyle w:val="ListParagraph"/>
        <w:numPr>
          <w:ilvl w:val="0"/>
          <w:numId w:val="7"/>
        </w:numPr>
      </w:pPr>
      <w:r>
        <w:t>20</w:t>
      </w:r>
      <w:r w:rsidR="000A6599" w:rsidRPr="002C3469">
        <w:t>%</w:t>
      </w:r>
      <w:r w:rsidR="000A6599" w:rsidRPr="002C3469">
        <w:tab/>
        <w:t>Analysis of and Reflection on Learning Arrangement “in the Wild”</w:t>
      </w:r>
    </w:p>
    <w:p w14:paraId="5161EC7D" w14:textId="22684AB4" w:rsidR="000D05AE" w:rsidRDefault="000A6599" w:rsidP="000A6599">
      <w:r w:rsidRPr="00812CC5">
        <w:t xml:space="preserve">If a student wishes to know the instructor’s assessment of their participation and current understanding, they are encouraged to seek a conference. The instructor will notify any student if there is a concern regarding their participation. </w:t>
      </w:r>
    </w:p>
    <w:p w14:paraId="61FA3C9A" w14:textId="77777777" w:rsidR="00BB69E1" w:rsidRDefault="00BB69E1" w:rsidP="000A6599"/>
    <w:p w14:paraId="416F490A" w14:textId="0542EBC9" w:rsidR="00BB69E1" w:rsidRDefault="00BB69E1" w:rsidP="00BB69E1">
      <w:pPr>
        <w:pStyle w:val="Heading1"/>
      </w:pPr>
      <w:r>
        <w:t>Course Topics</w:t>
      </w:r>
    </w:p>
    <w:tbl>
      <w:tblPr>
        <w:tblStyle w:val="TableGrid"/>
        <w:tblW w:w="953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797"/>
        <w:gridCol w:w="8126"/>
      </w:tblGrid>
      <w:tr w:rsidR="00BB69E1" w:rsidRPr="00D507D0" w14:paraId="73263317" w14:textId="77777777" w:rsidTr="00BB69E1">
        <w:tc>
          <w:tcPr>
            <w:tcW w:w="612" w:type="dxa"/>
          </w:tcPr>
          <w:p w14:paraId="18596ADB" w14:textId="77777777" w:rsidR="00BB69E1" w:rsidRPr="00BB69E1" w:rsidRDefault="00BB69E1" w:rsidP="00154B84">
            <w:pPr>
              <w:rPr>
                <w:color w:val="156082" w:themeColor="accent1"/>
                <w:sz w:val="19"/>
                <w:szCs w:val="19"/>
                <w:highlight w:val="white"/>
                <w:u w:val="single"/>
              </w:rPr>
            </w:pPr>
            <w:r w:rsidRPr="00BB69E1">
              <w:rPr>
                <w:sz w:val="19"/>
                <w:szCs w:val="19"/>
                <w:highlight w:val="white"/>
                <w:u w:val="single"/>
              </w:rPr>
              <w:t>Part</w:t>
            </w:r>
          </w:p>
        </w:tc>
        <w:tc>
          <w:tcPr>
            <w:tcW w:w="731" w:type="dxa"/>
          </w:tcPr>
          <w:p w14:paraId="39652335" w14:textId="5ECB18F9" w:rsidR="00BB69E1" w:rsidRPr="00BB69E1" w:rsidRDefault="00BB69E1" w:rsidP="00154B84">
            <w:pPr>
              <w:rPr>
                <w:color w:val="156082" w:themeColor="accent1"/>
                <w:sz w:val="19"/>
                <w:szCs w:val="19"/>
                <w:highlight w:val="white"/>
                <w:u w:val="single"/>
              </w:rPr>
            </w:pPr>
            <w:r w:rsidRPr="00BB69E1">
              <w:rPr>
                <w:sz w:val="19"/>
                <w:szCs w:val="19"/>
                <w:highlight w:val="white"/>
                <w:u w:val="single"/>
              </w:rPr>
              <w:t>Week</w:t>
            </w:r>
            <w:r>
              <w:rPr>
                <w:sz w:val="19"/>
                <w:szCs w:val="19"/>
                <w:highlight w:val="white"/>
                <w:u w:val="single"/>
              </w:rPr>
              <w:t>s</w:t>
            </w:r>
          </w:p>
        </w:tc>
        <w:tc>
          <w:tcPr>
            <w:tcW w:w="8192" w:type="dxa"/>
          </w:tcPr>
          <w:p w14:paraId="78048550" w14:textId="344539E7" w:rsidR="00BB69E1" w:rsidRPr="00BB69E1" w:rsidRDefault="00BB69E1" w:rsidP="00154B84">
            <w:pPr>
              <w:rPr>
                <w:color w:val="156082" w:themeColor="accent1"/>
                <w:sz w:val="19"/>
                <w:szCs w:val="19"/>
                <w:highlight w:val="white"/>
                <w:u w:val="single"/>
              </w:rPr>
            </w:pPr>
            <w:r w:rsidRPr="00BB69E1">
              <w:rPr>
                <w:sz w:val="19"/>
                <w:szCs w:val="19"/>
                <w:highlight w:val="white"/>
                <w:u w:val="single"/>
              </w:rPr>
              <w:t>Topic</w:t>
            </w:r>
          </w:p>
        </w:tc>
      </w:tr>
      <w:tr w:rsidR="00BB69E1" w:rsidRPr="00D507D0" w14:paraId="6BAF0EEC" w14:textId="77777777" w:rsidTr="00BB69E1">
        <w:trPr>
          <w:trHeight w:val="77"/>
        </w:trPr>
        <w:tc>
          <w:tcPr>
            <w:tcW w:w="612" w:type="dxa"/>
            <w:vAlign w:val="center"/>
          </w:tcPr>
          <w:p w14:paraId="1B82DEA9" w14:textId="77777777" w:rsidR="00BB69E1" w:rsidRPr="00D507D0" w:rsidRDefault="00BB69E1" w:rsidP="00154B84">
            <w:pPr>
              <w:rPr>
                <w:sz w:val="19"/>
                <w:szCs w:val="19"/>
                <w:highlight w:val="white"/>
              </w:rPr>
            </w:pPr>
            <w:r w:rsidRPr="00D507D0">
              <w:rPr>
                <w:sz w:val="19"/>
                <w:szCs w:val="19"/>
                <w:highlight w:val="white"/>
              </w:rPr>
              <w:t>0</w:t>
            </w:r>
          </w:p>
        </w:tc>
        <w:tc>
          <w:tcPr>
            <w:tcW w:w="731" w:type="dxa"/>
            <w:vAlign w:val="center"/>
          </w:tcPr>
          <w:p w14:paraId="06A4C30E" w14:textId="042C1E2B" w:rsidR="00BB69E1" w:rsidRPr="00D507D0" w:rsidRDefault="00BB69E1" w:rsidP="00154B84">
            <w:pPr>
              <w:rPr>
                <w:sz w:val="19"/>
                <w:szCs w:val="19"/>
                <w:highlight w:val="white"/>
              </w:rPr>
            </w:pPr>
            <w:r w:rsidRPr="00D507D0">
              <w:rPr>
                <w:sz w:val="19"/>
                <w:szCs w:val="19"/>
                <w:highlight w:val="white"/>
              </w:rPr>
              <w:t>1</w:t>
            </w:r>
            <w:r>
              <w:rPr>
                <w:sz w:val="19"/>
                <w:szCs w:val="19"/>
                <w:highlight w:val="white"/>
              </w:rPr>
              <w:t>-</w:t>
            </w:r>
            <w:r w:rsidRPr="00D507D0">
              <w:rPr>
                <w:sz w:val="19"/>
                <w:szCs w:val="19"/>
                <w:highlight w:val="white"/>
              </w:rPr>
              <w:t>2</w:t>
            </w:r>
          </w:p>
        </w:tc>
        <w:tc>
          <w:tcPr>
            <w:tcW w:w="8192" w:type="dxa"/>
            <w:vAlign w:val="center"/>
          </w:tcPr>
          <w:p w14:paraId="79DB9266" w14:textId="13EF3113" w:rsidR="00BB69E1" w:rsidRPr="00D507D0" w:rsidRDefault="00BB69E1" w:rsidP="00BB69E1">
            <w:pPr>
              <w:rPr>
                <w:sz w:val="19"/>
                <w:szCs w:val="19"/>
                <w:highlight w:val="white"/>
              </w:rPr>
            </w:pPr>
            <w:r>
              <w:rPr>
                <w:sz w:val="19"/>
                <w:szCs w:val="19"/>
                <w:highlight w:val="white"/>
              </w:rPr>
              <w:t xml:space="preserve">Course Introduction </w:t>
            </w:r>
          </w:p>
        </w:tc>
      </w:tr>
      <w:tr w:rsidR="00BB69E1" w:rsidRPr="00D507D0" w14:paraId="643B7294" w14:textId="77777777" w:rsidTr="00BB69E1">
        <w:trPr>
          <w:trHeight w:val="77"/>
        </w:trPr>
        <w:tc>
          <w:tcPr>
            <w:tcW w:w="612" w:type="dxa"/>
            <w:vAlign w:val="center"/>
          </w:tcPr>
          <w:p w14:paraId="7349DBC7" w14:textId="77777777" w:rsidR="00BB69E1" w:rsidRPr="00D507D0" w:rsidRDefault="00BB69E1" w:rsidP="00154B84">
            <w:pPr>
              <w:rPr>
                <w:sz w:val="19"/>
                <w:szCs w:val="19"/>
                <w:highlight w:val="white"/>
              </w:rPr>
            </w:pPr>
            <w:r w:rsidRPr="00D507D0">
              <w:rPr>
                <w:sz w:val="19"/>
                <w:szCs w:val="19"/>
                <w:highlight w:val="white"/>
              </w:rPr>
              <w:t>1</w:t>
            </w:r>
          </w:p>
        </w:tc>
        <w:tc>
          <w:tcPr>
            <w:tcW w:w="731" w:type="dxa"/>
            <w:vAlign w:val="center"/>
          </w:tcPr>
          <w:p w14:paraId="73816876" w14:textId="69BC6A13" w:rsidR="00BB69E1" w:rsidRPr="00D507D0" w:rsidRDefault="00BB69E1" w:rsidP="00154B84">
            <w:pPr>
              <w:rPr>
                <w:sz w:val="19"/>
                <w:szCs w:val="19"/>
                <w:highlight w:val="white"/>
              </w:rPr>
            </w:pPr>
            <w:r w:rsidRPr="00D507D0">
              <w:rPr>
                <w:sz w:val="19"/>
                <w:szCs w:val="19"/>
                <w:highlight w:val="white"/>
              </w:rPr>
              <w:t>3</w:t>
            </w:r>
            <w:r>
              <w:rPr>
                <w:sz w:val="19"/>
                <w:szCs w:val="19"/>
                <w:highlight w:val="white"/>
              </w:rPr>
              <w:t>-</w:t>
            </w:r>
            <w:r w:rsidRPr="00D507D0">
              <w:rPr>
                <w:sz w:val="19"/>
                <w:szCs w:val="19"/>
                <w:highlight w:val="white"/>
              </w:rPr>
              <w:t>5</w:t>
            </w:r>
          </w:p>
        </w:tc>
        <w:tc>
          <w:tcPr>
            <w:tcW w:w="8192" w:type="dxa"/>
            <w:vAlign w:val="center"/>
          </w:tcPr>
          <w:p w14:paraId="23811A15" w14:textId="50031BDE" w:rsidR="00BB69E1" w:rsidRPr="00BB69E1" w:rsidRDefault="00BB69E1" w:rsidP="00BB69E1">
            <w:pPr>
              <w:rPr>
                <w:sz w:val="19"/>
                <w:szCs w:val="19"/>
                <w:highlight w:val="white"/>
              </w:rPr>
            </w:pPr>
            <w:r w:rsidRPr="00BB69E1">
              <w:rPr>
                <w:sz w:val="19"/>
                <w:szCs w:val="19"/>
              </w:rPr>
              <w:t>Past and Present Theories of Knowledge, Learning, and Assessment</w:t>
            </w:r>
          </w:p>
        </w:tc>
      </w:tr>
      <w:tr w:rsidR="00BB69E1" w:rsidRPr="00D507D0" w14:paraId="4C06E92D" w14:textId="77777777" w:rsidTr="00BB69E1">
        <w:trPr>
          <w:trHeight w:val="77"/>
        </w:trPr>
        <w:tc>
          <w:tcPr>
            <w:tcW w:w="612" w:type="dxa"/>
            <w:vAlign w:val="center"/>
          </w:tcPr>
          <w:p w14:paraId="4C0E5B26" w14:textId="77777777" w:rsidR="00BB69E1" w:rsidRPr="00D507D0" w:rsidRDefault="00BB69E1" w:rsidP="00154B84">
            <w:pPr>
              <w:rPr>
                <w:sz w:val="19"/>
                <w:szCs w:val="19"/>
                <w:highlight w:val="white"/>
              </w:rPr>
            </w:pPr>
            <w:r w:rsidRPr="00D507D0">
              <w:rPr>
                <w:sz w:val="19"/>
                <w:szCs w:val="19"/>
                <w:highlight w:val="white"/>
              </w:rPr>
              <w:t>2</w:t>
            </w:r>
          </w:p>
        </w:tc>
        <w:tc>
          <w:tcPr>
            <w:tcW w:w="731" w:type="dxa"/>
            <w:vAlign w:val="center"/>
          </w:tcPr>
          <w:p w14:paraId="5DCBA715" w14:textId="7D7392E8" w:rsidR="00BB69E1" w:rsidRPr="00D507D0" w:rsidRDefault="00BB69E1" w:rsidP="00154B84">
            <w:pPr>
              <w:rPr>
                <w:sz w:val="19"/>
                <w:szCs w:val="19"/>
                <w:highlight w:val="white"/>
              </w:rPr>
            </w:pPr>
            <w:r w:rsidRPr="00D507D0">
              <w:rPr>
                <w:sz w:val="19"/>
                <w:szCs w:val="19"/>
                <w:highlight w:val="white"/>
              </w:rPr>
              <w:t>6</w:t>
            </w:r>
            <w:r>
              <w:rPr>
                <w:sz w:val="19"/>
                <w:szCs w:val="19"/>
                <w:highlight w:val="white"/>
              </w:rPr>
              <w:t>-</w:t>
            </w:r>
            <w:r w:rsidRPr="00D507D0">
              <w:rPr>
                <w:sz w:val="19"/>
                <w:szCs w:val="19"/>
                <w:highlight w:val="white"/>
              </w:rPr>
              <w:t>11</w:t>
            </w:r>
          </w:p>
        </w:tc>
        <w:tc>
          <w:tcPr>
            <w:tcW w:w="8192" w:type="dxa"/>
            <w:vAlign w:val="center"/>
          </w:tcPr>
          <w:p w14:paraId="0A3199A9" w14:textId="1E38F768" w:rsidR="00BB69E1" w:rsidRPr="00BB69E1" w:rsidRDefault="00BB69E1" w:rsidP="00BB69E1">
            <w:pPr>
              <w:rPr>
                <w:sz w:val="19"/>
                <w:szCs w:val="19"/>
                <w:highlight w:val="white"/>
              </w:rPr>
            </w:pPr>
            <w:r w:rsidRPr="00BB69E1">
              <w:rPr>
                <w:sz w:val="19"/>
                <w:szCs w:val="19"/>
              </w:rPr>
              <w:t>Deepening Theories of Knowledge, Learning, and Assessment</w:t>
            </w:r>
          </w:p>
        </w:tc>
      </w:tr>
      <w:tr w:rsidR="00BB69E1" w:rsidRPr="00D507D0" w14:paraId="1239055E" w14:textId="77777777" w:rsidTr="00BB69E1">
        <w:trPr>
          <w:trHeight w:val="77"/>
        </w:trPr>
        <w:tc>
          <w:tcPr>
            <w:tcW w:w="612" w:type="dxa"/>
            <w:vAlign w:val="center"/>
          </w:tcPr>
          <w:p w14:paraId="7D1090E2" w14:textId="77777777" w:rsidR="00BB69E1" w:rsidRPr="00D507D0" w:rsidRDefault="00BB69E1" w:rsidP="00154B84">
            <w:pPr>
              <w:rPr>
                <w:sz w:val="19"/>
                <w:szCs w:val="19"/>
                <w:highlight w:val="white"/>
              </w:rPr>
            </w:pPr>
            <w:r w:rsidRPr="00D507D0">
              <w:rPr>
                <w:sz w:val="19"/>
                <w:szCs w:val="19"/>
                <w:highlight w:val="white"/>
              </w:rPr>
              <w:t>3</w:t>
            </w:r>
          </w:p>
        </w:tc>
        <w:tc>
          <w:tcPr>
            <w:tcW w:w="731" w:type="dxa"/>
            <w:vAlign w:val="center"/>
          </w:tcPr>
          <w:p w14:paraId="7F93259C" w14:textId="4FD7A24C" w:rsidR="00BB69E1" w:rsidRPr="00D507D0" w:rsidRDefault="00BB69E1" w:rsidP="00154B84">
            <w:pPr>
              <w:rPr>
                <w:sz w:val="19"/>
                <w:szCs w:val="19"/>
                <w:highlight w:val="white"/>
              </w:rPr>
            </w:pPr>
            <w:r w:rsidRPr="00D507D0">
              <w:rPr>
                <w:sz w:val="19"/>
                <w:szCs w:val="19"/>
                <w:highlight w:val="white"/>
              </w:rPr>
              <w:t>12</w:t>
            </w:r>
            <w:r>
              <w:rPr>
                <w:sz w:val="19"/>
                <w:szCs w:val="19"/>
                <w:highlight w:val="white"/>
              </w:rPr>
              <w:t>-</w:t>
            </w:r>
            <w:r w:rsidRPr="00D507D0">
              <w:rPr>
                <w:sz w:val="19"/>
                <w:szCs w:val="19"/>
                <w:highlight w:val="white"/>
              </w:rPr>
              <w:t>16</w:t>
            </w:r>
          </w:p>
        </w:tc>
        <w:tc>
          <w:tcPr>
            <w:tcW w:w="8192" w:type="dxa"/>
            <w:vAlign w:val="center"/>
          </w:tcPr>
          <w:p w14:paraId="4B16C716" w14:textId="308A024B" w:rsidR="00BB69E1" w:rsidRPr="00D507D0" w:rsidRDefault="00BB69E1" w:rsidP="00BB69E1">
            <w:pPr>
              <w:rPr>
                <w:sz w:val="19"/>
                <w:szCs w:val="19"/>
                <w:highlight w:val="white"/>
              </w:rPr>
            </w:pPr>
            <w:r w:rsidRPr="00BB69E1">
              <w:rPr>
                <w:sz w:val="19"/>
                <w:szCs w:val="19"/>
              </w:rPr>
              <w:t xml:space="preserve">Applying our Theories of Knowledge, Learning, and Assessment </w:t>
            </w:r>
          </w:p>
        </w:tc>
      </w:tr>
    </w:tbl>
    <w:p w14:paraId="0E8ED3A0" w14:textId="77777777" w:rsidR="00BB69E1" w:rsidRDefault="00BB69E1" w:rsidP="000A6599"/>
    <w:sectPr w:rsidR="00BB69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3ABE"/>
    <w:multiLevelType w:val="hybridMultilevel"/>
    <w:tmpl w:val="BAFA9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512EA"/>
    <w:multiLevelType w:val="hybridMultilevel"/>
    <w:tmpl w:val="2D88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543D4"/>
    <w:multiLevelType w:val="hybridMultilevel"/>
    <w:tmpl w:val="C3BC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517BB"/>
    <w:multiLevelType w:val="hybridMultilevel"/>
    <w:tmpl w:val="12546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41014D"/>
    <w:multiLevelType w:val="hybridMultilevel"/>
    <w:tmpl w:val="335A497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8C53C2E"/>
    <w:multiLevelType w:val="multilevel"/>
    <w:tmpl w:val="E0D61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2F16394"/>
    <w:multiLevelType w:val="hybridMultilevel"/>
    <w:tmpl w:val="CFB261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10159289">
    <w:abstractNumId w:val="0"/>
  </w:num>
  <w:num w:numId="2" w16cid:durableId="1123380531">
    <w:abstractNumId w:val="3"/>
  </w:num>
  <w:num w:numId="3" w16cid:durableId="1420175793">
    <w:abstractNumId w:val="1"/>
  </w:num>
  <w:num w:numId="4" w16cid:durableId="867135062">
    <w:abstractNumId w:val="2"/>
  </w:num>
  <w:num w:numId="5" w16cid:durableId="1586300788">
    <w:abstractNumId w:val="5"/>
  </w:num>
  <w:num w:numId="6" w16cid:durableId="73359329">
    <w:abstractNumId w:val="4"/>
  </w:num>
  <w:num w:numId="7" w16cid:durableId="18886402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599"/>
    <w:rsid w:val="000A6599"/>
    <w:rsid w:val="000D05AE"/>
    <w:rsid w:val="00261DA7"/>
    <w:rsid w:val="00711987"/>
    <w:rsid w:val="009308DA"/>
    <w:rsid w:val="00BB69E1"/>
    <w:rsid w:val="00CE374C"/>
    <w:rsid w:val="00DA0173"/>
    <w:rsid w:val="00F93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545125"/>
  <w15:chartTrackingRefBased/>
  <w15:docId w15:val="{9FDF6398-7DC8-E440-971A-6471A405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599"/>
    <w:pPr>
      <w:outlineLvl w:val="0"/>
    </w:pPr>
    <w:rPr>
      <w:b/>
      <w:bCs/>
    </w:rPr>
  </w:style>
  <w:style w:type="paragraph" w:styleId="Heading2">
    <w:name w:val="heading 2"/>
    <w:basedOn w:val="Normal"/>
    <w:next w:val="Normal"/>
    <w:link w:val="Heading2Char"/>
    <w:uiPriority w:val="9"/>
    <w:semiHidden/>
    <w:unhideWhenUsed/>
    <w:qFormat/>
    <w:rsid w:val="000A65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65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65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65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65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65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65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65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599"/>
    <w:rPr>
      <w:b/>
      <w:bCs/>
    </w:rPr>
  </w:style>
  <w:style w:type="character" w:customStyle="1" w:styleId="Heading2Char">
    <w:name w:val="Heading 2 Char"/>
    <w:basedOn w:val="DefaultParagraphFont"/>
    <w:link w:val="Heading2"/>
    <w:uiPriority w:val="9"/>
    <w:semiHidden/>
    <w:rsid w:val="000A65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65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65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65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65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65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65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6599"/>
    <w:rPr>
      <w:rFonts w:eastAsiaTheme="majorEastAsia" w:cstheme="majorBidi"/>
      <w:color w:val="272727" w:themeColor="text1" w:themeTint="D8"/>
    </w:rPr>
  </w:style>
  <w:style w:type="paragraph" w:styleId="Title">
    <w:name w:val="Title"/>
    <w:basedOn w:val="Normal"/>
    <w:next w:val="Normal"/>
    <w:link w:val="TitleChar"/>
    <w:uiPriority w:val="10"/>
    <w:qFormat/>
    <w:rsid w:val="000A65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65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659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65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65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A6599"/>
    <w:rPr>
      <w:i/>
      <w:iCs/>
      <w:color w:val="404040" w:themeColor="text1" w:themeTint="BF"/>
    </w:rPr>
  </w:style>
  <w:style w:type="paragraph" w:styleId="ListParagraph">
    <w:name w:val="List Paragraph"/>
    <w:basedOn w:val="Normal"/>
    <w:uiPriority w:val="34"/>
    <w:qFormat/>
    <w:rsid w:val="000A6599"/>
    <w:pPr>
      <w:ind w:left="720"/>
      <w:contextualSpacing/>
    </w:pPr>
  </w:style>
  <w:style w:type="character" w:styleId="IntenseEmphasis">
    <w:name w:val="Intense Emphasis"/>
    <w:basedOn w:val="DefaultParagraphFont"/>
    <w:uiPriority w:val="21"/>
    <w:qFormat/>
    <w:rsid w:val="000A6599"/>
    <w:rPr>
      <w:i/>
      <w:iCs/>
      <w:color w:val="0F4761" w:themeColor="accent1" w:themeShade="BF"/>
    </w:rPr>
  </w:style>
  <w:style w:type="paragraph" w:styleId="IntenseQuote">
    <w:name w:val="Intense Quote"/>
    <w:basedOn w:val="Normal"/>
    <w:next w:val="Normal"/>
    <w:link w:val="IntenseQuoteChar"/>
    <w:uiPriority w:val="30"/>
    <w:qFormat/>
    <w:rsid w:val="000A65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6599"/>
    <w:rPr>
      <w:i/>
      <w:iCs/>
      <w:color w:val="0F4761" w:themeColor="accent1" w:themeShade="BF"/>
    </w:rPr>
  </w:style>
  <w:style w:type="character" w:styleId="IntenseReference">
    <w:name w:val="Intense Reference"/>
    <w:basedOn w:val="DefaultParagraphFont"/>
    <w:uiPriority w:val="32"/>
    <w:qFormat/>
    <w:rsid w:val="000A6599"/>
    <w:rPr>
      <w:b/>
      <w:bCs/>
      <w:smallCaps/>
      <w:color w:val="0F4761" w:themeColor="accent1" w:themeShade="BF"/>
      <w:spacing w:val="5"/>
    </w:rPr>
  </w:style>
  <w:style w:type="table" w:styleId="TableGrid">
    <w:name w:val="Table Grid"/>
    <w:basedOn w:val="TableNormal"/>
    <w:uiPriority w:val="39"/>
    <w:rsid w:val="000A6599"/>
    <w:rPr>
      <w:rFonts w:ascii="Arial" w:eastAsia="Arial" w:hAnsi="Arial"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02788">
      <w:bodyDiv w:val="1"/>
      <w:marLeft w:val="0"/>
      <w:marRight w:val="0"/>
      <w:marTop w:val="0"/>
      <w:marBottom w:val="0"/>
      <w:divBdr>
        <w:top w:val="none" w:sz="0" w:space="0" w:color="auto"/>
        <w:left w:val="none" w:sz="0" w:space="0" w:color="auto"/>
        <w:bottom w:val="none" w:sz="0" w:space="0" w:color="auto"/>
        <w:right w:val="none" w:sz="0" w:space="0" w:color="auto"/>
      </w:divBdr>
    </w:div>
    <w:div w:id="310404606">
      <w:bodyDiv w:val="1"/>
      <w:marLeft w:val="0"/>
      <w:marRight w:val="0"/>
      <w:marTop w:val="0"/>
      <w:marBottom w:val="0"/>
      <w:divBdr>
        <w:top w:val="none" w:sz="0" w:space="0" w:color="auto"/>
        <w:left w:val="none" w:sz="0" w:space="0" w:color="auto"/>
        <w:bottom w:val="none" w:sz="0" w:space="0" w:color="auto"/>
        <w:right w:val="none" w:sz="0" w:space="0" w:color="auto"/>
      </w:divBdr>
    </w:div>
    <w:div w:id="341511263">
      <w:bodyDiv w:val="1"/>
      <w:marLeft w:val="0"/>
      <w:marRight w:val="0"/>
      <w:marTop w:val="0"/>
      <w:marBottom w:val="0"/>
      <w:divBdr>
        <w:top w:val="none" w:sz="0" w:space="0" w:color="auto"/>
        <w:left w:val="none" w:sz="0" w:space="0" w:color="auto"/>
        <w:bottom w:val="none" w:sz="0" w:space="0" w:color="auto"/>
        <w:right w:val="none" w:sz="0" w:space="0" w:color="auto"/>
      </w:divBdr>
    </w:div>
    <w:div w:id="141859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Teo Keifert</dc:creator>
  <cp:keywords/>
  <dc:description/>
  <cp:lastModifiedBy>Sherard, Maximilan</cp:lastModifiedBy>
  <cp:revision>3</cp:revision>
  <dcterms:created xsi:type="dcterms:W3CDTF">2025-08-21T02:45:00Z</dcterms:created>
  <dcterms:modified xsi:type="dcterms:W3CDTF">2025-08-21T02:46:00Z</dcterms:modified>
</cp:coreProperties>
</file>