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A7AA2" w14:textId="77777777" w:rsidR="00F055D1" w:rsidRPr="00F055D1" w:rsidRDefault="00F055D1" w:rsidP="00D14D6A">
      <w:pPr>
        <w:pStyle w:val="Heading1"/>
        <w:spacing w:before="0" w:after="0"/>
        <w:jc w:val="center"/>
        <w:rPr>
          <w:sz w:val="44"/>
          <w:szCs w:val="44"/>
        </w:rPr>
      </w:pPr>
      <w:r w:rsidRPr="00F055D1">
        <w:rPr>
          <w:sz w:val="44"/>
          <w:szCs w:val="44"/>
        </w:rPr>
        <w:t xml:space="preserve">Introduction to Operating </w:t>
      </w:r>
      <w:proofErr w:type="spellStart"/>
      <w:r w:rsidRPr="00F055D1">
        <w:rPr>
          <w:sz w:val="44"/>
          <w:szCs w:val="44"/>
        </w:rPr>
        <w:t>Systems</w:t>
      </w:r>
      <w:proofErr w:type="spellEnd"/>
    </w:p>
    <w:p w14:paraId="7A6F170D" w14:textId="20E400AC" w:rsidR="00BD6B02" w:rsidRPr="00D14D6A" w:rsidRDefault="00584431" w:rsidP="00D14D6A">
      <w:pPr>
        <w:pStyle w:val="Heading1"/>
        <w:spacing w:before="0"/>
        <w:jc w:val="center"/>
        <w:rPr>
          <w:sz w:val="36"/>
          <w:szCs w:val="36"/>
        </w:rPr>
      </w:pPr>
      <w:r w:rsidRPr="00D14D6A">
        <w:rPr>
          <w:sz w:val="36"/>
          <w:szCs w:val="36"/>
        </w:rPr>
        <w:t>CSCE 4600</w:t>
      </w:r>
    </w:p>
    <w:p w14:paraId="22ACBB67" w14:textId="77777777" w:rsidR="00FC2073" w:rsidRDefault="00584431" w:rsidP="00584431">
      <w:r w:rsidRPr="00584431">
        <w:rPr>
          <w:b/>
          <w:bCs/>
        </w:rPr>
        <w:t>Name:                 Mark D. Hoffman - CISSP</w:t>
      </w:r>
      <w:r w:rsidRPr="00584431">
        <w:rPr>
          <w:b/>
          <w:bCs/>
        </w:rPr>
        <w:br/>
        <w:t>Office Hours:     B</w:t>
      </w:r>
      <w:r w:rsidRPr="00584431">
        <w:rPr>
          <w:b/>
          <w:bCs/>
          <w:u w:val="single"/>
        </w:rPr>
        <w:t>y Appointment Only</w:t>
      </w:r>
    </w:p>
    <w:p w14:paraId="7B2DA8E5" w14:textId="5A11AB6E" w:rsidR="00584431" w:rsidRPr="00584431" w:rsidRDefault="00584431" w:rsidP="00584431">
      <w:r w:rsidRPr="00584431">
        <w:rPr>
          <w:b/>
          <w:bCs/>
        </w:rPr>
        <w:t xml:space="preserve">Email:                  </w:t>
      </w:r>
      <w:hyperlink r:id="rId5" w:history="1">
        <w:r w:rsidRPr="00584431">
          <w:rPr>
            <w:rStyle w:val="Hyperlink"/>
            <w:b/>
            <w:bCs/>
          </w:rPr>
          <w:t>Mark.Hoffman@unt.edu</w:t>
        </w:r>
      </w:hyperlink>
      <w:r w:rsidRPr="00584431">
        <w:rPr>
          <w:b/>
          <w:bCs/>
        </w:rPr>
        <w:br/>
        <w:t>Meets:</w:t>
      </w:r>
      <w:r w:rsidRPr="00584431">
        <w:t xml:space="preserve">                </w:t>
      </w:r>
      <w:r w:rsidRPr="00584431">
        <w:rPr>
          <w:b/>
          <w:bCs/>
        </w:rPr>
        <w:t>Monday/Wednesday 5:00pm-6:20pm in Frisco FRLD 380</w:t>
      </w:r>
      <w:r w:rsidRPr="00584431">
        <w:rPr>
          <w:b/>
          <w:bCs/>
        </w:rPr>
        <w:br/>
        <w:t>Recitations:       Monday 11:00am to 11:50pm in Frisco FRLD 480</w:t>
      </w:r>
      <w:r w:rsidRPr="00584431">
        <w:rPr>
          <w:b/>
          <w:bCs/>
        </w:rPr>
        <w:br/>
        <w:t>Final:                   Monday May 4th, 5:00pm-6:20pm in FRLD 380</w:t>
      </w:r>
    </w:p>
    <w:p w14:paraId="21B55C65" w14:textId="77777777" w:rsidR="00584431" w:rsidRPr="00584431" w:rsidRDefault="00584431" w:rsidP="00584431">
      <w:r w:rsidRPr="00584431">
        <w:rPr>
          <w:b/>
          <w:bCs/>
        </w:rPr>
        <w:t> </w:t>
      </w:r>
    </w:p>
    <w:p w14:paraId="0DCE1D53" w14:textId="77777777" w:rsidR="00086BF5" w:rsidRPr="00584431" w:rsidRDefault="00086BF5" w:rsidP="00086BF5">
      <w:pPr>
        <w:rPr>
          <w:b/>
          <w:bCs/>
        </w:rPr>
      </w:pPr>
      <w:r w:rsidRPr="00584431">
        <w:rPr>
          <w:b/>
          <w:bCs/>
        </w:rPr>
        <w:t>Course Description</w:t>
      </w:r>
    </w:p>
    <w:p w14:paraId="1F0494D3" w14:textId="645BD8D9" w:rsidR="00086BF5" w:rsidRPr="00086BF5" w:rsidRDefault="00086BF5" w:rsidP="00584431">
      <w:r w:rsidRPr="00584431">
        <w:t>Concepts in operating system analysis and design</w:t>
      </w:r>
      <w:proofErr w:type="gramStart"/>
      <w:r w:rsidRPr="00584431">
        <w:t xml:space="preserve">. </w:t>
      </w:r>
      <w:proofErr w:type="gramEnd"/>
      <w:r w:rsidRPr="00584431">
        <w:t>General topics of process, resource, and file management are presented and analyzed in the context of different system architectures and performance constraints.</w:t>
      </w:r>
    </w:p>
    <w:p w14:paraId="45A64444" w14:textId="08B19097" w:rsidR="00584431" w:rsidRPr="00584431" w:rsidRDefault="00584431" w:rsidP="00584431">
      <w:pPr>
        <w:rPr>
          <w:b/>
          <w:bCs/>
        </w:rPr>
      </w:pPr>
      <w:r w:rsidRPr="00584431">
        <w:rPr>
          <w:b/>
          <w:bCs/>
        </w:rPr>
        <w:t>Communication Expectations</w:t>
      </w:r>
    </w:p>
    <w:p w14:paraId="1695B9AD" w14:textId="77777777" w:rsidR="00584431" w:rsidRPr="00584431" w:rsidRDefault="00584431" w:rsidP="00584431">
      <w:r w:rsidRPr="00584431">
        <w:t xml:space="preserve">The best way to reach me outside of class is via email.  During the week, I will respond to your email within 24 hours.  </w:t>
      </w:r>
      <w:proofErr w:type="gramStart"/>
      <w:r w:rsidRPr="00584431">
        <w:t>On</w:t>
      </w:r>
      <w:proofErr w:type="gramEnd"/>
      <w:r w:rsidRPr="00584431">
        <w:t xml:space="preserve"> the weekends, the response time may extend up to 48 hours.  You may discuss personal concerns or questions about the class or an assignment.  I strive to get grades back between 1 to 1.5 weeks from the due date, although that may vary depending on class size.  Communication is expected to be professional and respectful</w:t>
      </w:r>
      <w:proofErr w:type="gramStart"/>
      <w:r w:rsidRPr="00584431">
        <w:t xml:space="preserve">. </w:t>
      </w:r>
      <w:proofErr w:type="gramEnd"/>
      <w:r w:rsidRPr="00584431">
        <w:br/>
      </w:r>
      <w:r w:rsidRPr="00584431">
        <w:br/>
        <w:t xml:space="preserve">For effective communication, please review the  </w:t>
      </w:r>
      <w:hyperlink r:id="rId6" w:tgtFrame="_blank" w:history="1">
        <w:r w:rsidRPr="00584431">
          <w:rPr>
            <w:rStyle w:val="Hyperlink"/>
          </w:rPr>
          <w:t>Online Communication Tips</w:t>
        </w:r>
      </w:hyperlink>
      <w:r w:rsidRPr="00584431">
        <w:t xml:space="preserve"> (https://clear.unt.edu/online-communication-tips), which cover key aspects of respectful and clear online interactions.  </w:t>
      </w:r>
      <w:r w:rsidRPr="00584431">
        <w:rPr>
          <w:b/>
          <w:bCs/>
        </w:rPr>
        <w:t>Please include "CSCE 4600" in the subject line of all emails for easier identification and a prompt response.</w:t>
      </w:r>
    </w:p>
    <w:p w14:paraId="7E272F22" w14:textId="77777777" w:rsidR="00584431" w:rsidRPr="00584431" w:rsidRDefault="00584431" w:rsidP="00584431">
      <w:pPr>
        <w:rPr>
          <w:b/>
          <w:bCs/>
        </w:rPr>
      </w:pPr>
      <w:r w:rsidRPr="00584431">
        <w:rPr>
          <w:b/>
          <w:bCs/>
        </w:rPr>
        <w:t>Course Prerequisites or Other Restrictions</w:t>
      </w:r>
    </w:p>
    <w:p w14:paraId="40481C45" w14:textId="77777777" w:rsidR="00584431" w:rsidRPr="00584431" w:rsidRDefault="00584431" w:rsidP="00584431">
      <w:r w:rsidRPr="00584431">
        <w:t>You are required to have passed the following courses:</w:t>
      </w:r>
    </w:p>
    <w:p w14:paraId="297152B8" w14:textId="77777777" w:rsidR="00584431" w:rsidRPr="00584431" w:rsidRDefault="00584431" w:rsidP="00584431">
      <w:pPr>
        <w:numPr>
          <w:ilvl w:val="0"/>
          <w:numId w:val="1"/>
        </w:numPr>
      </w:pPr>
      <w:r w:rsidRPr="00584431">
        <w:t>CSCE 3600 (Systems Programming)</w:t>
      </w:r>
    </w:p>
    <w:p w14:paraId="7B7F138A" w14:textId="77777777" w:rsidR="00584431" w:rsidRPr="00584431" w:rsidRDefault="00584431" w:rsidP="00584431">
      <w:pPr>
        <w:numPr>
          <w:ilvl w:val="0"/>
          <w:numId w:val="1"/>
        </w:numPr>
      </w:pPr>
      <w:r w:rsidRPr="00584431">
        <w:t>CSCE 2100 (Computing Foundations I),</w:t>
      </w:r>
    </w:p>
    <w:p w14:paraId="6A88BFA4" w14:textId="77777777" w:rsidR="003B768C" w:rsidRDefault="00584431" w:rsidP="00584431">
      <w:pPr>
        <w:numPr>
          <w:ilvl w:val="0"/>
          <w:numId w:val="1"/>
        </w:numPr>
      </w:pPr>
      <w:r w:rsidRPr="00584431">
        <w:t>CSCE 1040 (Computer Science II).</w:t>
      </w:r>
    </w:p>
    <w:p w14:paraId="012C3668" w14:textId="54D3D464" w:rsidR="00584431" w:rsidRDefault="00584431" w:rsidP="00516772">
      <w:pPr>
        <w:ind w:left="720"/>
      </w:pPr>
      <w:r w:rsidRPr="00584431">
        <w:t>If you are not comfortable with the material covered in these courses, please see me to discuss your situation.</w:t>
      </w:r>
    </w:p>
    <w:p w14:paraId="178ED464" w14:textId="77777777" w:rsidR="008B03B7" w:rsidRDefault="008B03B7" w:rsidP="00516772">
      <w:pPr>
        <w:ind w:left="720"/>
      </w:pPr>
    </w:p>
    <w:p w14:paraId="2EE80B7B" w14:textId="77777777" w:rsidR="008B03B7" w:rsidRPr="00584431" w:rsidRDefault="008B03B7" w:rsidP="00516772">
      <w:pPr>
        <w:ind w:left="720"/>
      </w:pPr>
    </w:p>
    <w:p w14:paraId="182FD61A" w14:textId="77777777" w:rsidR="00584431" w:rsidRPr="00584431" w:rsidRDefault="00584431" w:rsidP="00584431">
      <w:pPr>
        <w:rPr>
          <w:b/>
          <w:bCs/>
        </w:rPr>
      </w:pPr>
      <w:r w:rsidRPr="00584431">
        <w:rPr>
          <w:b/>
          <w:bCs/>
        </w:rPr>
        <w:lastRenderedPageBreak/>
        <w:t>Attendance and Participation</w:t>
      </w:r>
    </w:p>
    <w:p w14:paraId="7E355E43" w14:textId="77777777" w:rsidR="00584431" w:rsidRPr="00584431" w:rsidRDefault="00584431" w:rsidP="00584431">
      <w:r w:rsidRPr="00584431">
        <w:t>Attendance at both lectures and recitations is mandatory.  Historically, low attendance has correlated with poor overall performance, which we aim to improve.</w:t>
      </w:r>
    </w:p>
    <w:p w14:paraId="606E2C3B" w14:textId="3C834A45" w:rsidR="00584431" w:rsidRPr="00584431" w:rsidRDefault="00584431" w:rsidP="00584431">
      <w:r w:rsidRPr="00584431">
        <w:t>Regular attendance at lectures is crucial for understanding the material and keeping up with the course.  In-class activities. </w:t>
      </w:r>
      <w:r w:rsidR="00D976C2">
        <w:t xml:space="preserve"> </w:t>
      </w:r>
      <w:r w:rsidRPr="00584431">
        <w:t xml:space="preserve">Half of your </w:t>
      </w:r>
      <w:r w:rsidR="00D976C2">
        <w:t>attendance</w:t>
      </w:r>
      <w:r w:rsidRPr="00584431">
        <w:t xml:space="preserve"> grade is extra credit, which allows a few missed lectures without serious consequences, and can boost your overall grade if you have good attendance and study the material.</w:t>
      </w:r>
      <w:r w:rsidRPr="00584431">
        <w:br/>
      </w:r>
      <w:r w:rsidRPr="00584431">
        <w:br/>
        <w:t>Recitations are designed to reinforce lecture content through hands-on practice and discussion.  Attendance is mandatory and will be tracked.  Missing recitations will negatively impact your final grade.  Specifically, for every two missed recitations, your final grade will be reduced by one letter grade.  However, absences with valid excuses with appropriate documentation will not be penalized.</w:t>
      </w:r>
    </w:p>
    <w:p w14:paraId="7DA3CDA3" w14:textId="77777777" w:rsidR="00584431" w:rsidRPr="00584431" w:rsidRDefault="00584431" w:rsidP="00584431">
      <w:pPr>
        <w:rPr>
          <w:b/>
          <w:bCs/>
        </w:rPr>
      </w:pPr>
      <w:r w:rsidRPr="00584431">
        <w:rPr>
          <w:b/>
          <w:bCs/>
        </w:rPr>
        <w:t>Course Objectives</w:t>
      </w:r>
    </w:p>
    <w:p w14:paraId="1014F03C" w14:textId="77777777" w:rsidR="00584431" w:rsidRPr="00584431" w:rsidRDefault="00584431" w:rsidP="00584431">
      <w:r w:rsidRPr="00584431">
        <w:t>Course outcomes are measurable achievements to be accomplished by the completion of a course</w:t>
      </w:r>
      <w:proofErr w:type="gramStart"/>
      <w:r w:rsidRPr="00584431">
        <w:t xml:space="preserve">. </w:t>
      </w:r>
      <w:proofErr w:type="gramEnd"/>
      <w:r w:rsidRPr="00584431">
        <w:t>These outcomes are evaluated as part of our ABET accreditation process</w:t>
      </w:r>
      <w:proofErr w:type="gramStart"/>
      <w:r w:rsidRPr="00584431">
        <w:t xml:space="preserve">. </w:t>
      </w:r>
      <w:proofErr w:type="gramEnd"/>
      <w:r w:rsidRPr="00584431">
        <w:t>By the end of this course, students will be able to:</w:t>
      </w:r>
    </w:p>
    <w:p w14:paraId="0E50F7C1" w14:textId="77777777" w:rsidR="00584431" w:rsidRPr="00584431" w:rsidRDefault="00584431" w:rsidP="00584431">
      <w:pPr>
        <w:numPr>
          <w:ilvl w:val="0"/>
          <w:numId w:val="2"/>
        </w:numPr>
      </w:pPr>
      <w:r w:rsidRPr="00584431">
        <w:t>Use the principles of processes and threads for abstraction of real-world events</w:t>
      </w:r>
    </w:p>
    <w:p w14:paraId="533D654E" w14:textId="77777777" w:rsidR="00584431" w:rsidRPr="00584431" w:rsidRDefault="00584431" w:rsidP="00584431">
      <w:pPr>
        <w:numPr>
          <w:ilvl w:val="0"/>
          <w:numId w:val="2"/>
        </w:numPr>
      </w:pPr>
      <w:r w:rsidRPr="00584431">
        <w:t>Formulate solutions for mutual exclusion and process synchronization</w:t>
      </w:r>
    </w:p>
    <w:p w14:paraId="75643208" w14:textId="77777777" w:rsidR="00584431" w:rsidRPr="00584431" w:rsidRDefault="00584431" w:rsidP="00584431">
      <w:pPr>
        <w:numPr>
          <w:ilvl w:val="0"/>
          <w:numId w:val="2"/>
        </w:numPr>
      </w:pPr>
      <w:r w:rsidRPr="00584431">
        <w:t>Understand the concept of deadlock to develop deadlock free systems of processes</w:t>
      </w:r>
    </w:p>
    <w:p w14:paraId="1FE04ECD" w14:textId="77777777" w:rsidR="00584431" w:rsidRPr="00584431" w:rsidRDefault="00584431" w:rsidP="00584431">
      <w:pPr>
        <w:numPr>
          <w:ilvl w:val="0"/>
          <w:numId w:val="2"/>
        </w:numPr>
      </w:pPr>
      <w:r w:rsidRPr="00584431">
        <w:t>Understand principles of memory and resource management</w:t>
      </w:r>
    </w:p>
    <w:p w14:paraId="7B3BC58B" w14:textId="77777777" w:rsidR="00584431" w:rsidRPr="00584431" w:rsidRDefault="00584431" w:rsidP="00584431">
      <w:pPr>
        <w:numPr>
          <w:ilvl w:val="0"/>
          <w:numId w:val="2"/>
        </w:numPr>
      </w:pPr>
      <w:r w:rsidRPr="00584431">
        <w:t xml:space="preserve">Identify different </w:t>
      </w:r>
      <w:proofErr w:type="gramStart"/>
      <w:r w:rsidRPr="00584431">
        <w:t>process</w:t>
      </w:r>
      <w:proofErr w:type="gramEnd"/>
      <w:r w:rsidRPr="00584431">
        <w:t xml:space="preserve"> scheduling paradigms and </w:t>
      </w:r>
      <w:proofErr w:type="gramStart"/>
      <w:r w:rsidRPr="00584431">
        <w:t>utilize</w:t>
      </w:r>
      <w:proofErr w:type="gramEnd"/>
      <w:r w:rsidRPr="00584431">
        <w:t xml:space="preserve"> them in system development</w:t>
      </w:r>
    </w:p>
    <w:p w14:paraId="3F1652BE" w14:textId="77777777" w:rsidR="00584431" w:rsidRPr="00584431" w:rsidRDefault="00584431" w:rsidP="00584431">
      <w:pPr>
        <w:numPr>
          <w:ilvl w:val="0"/>
          <w:numId w:val="2"/>
        </w:numPr>
      </w:pPr>
      <w:r w:rsidRPr="00584431">
        <w:t>Develop fundamental security features to protect systems and data</w:t>
      </w:r>
    </w:p>
    <w:p w14:paraId="56711691" w14:textId="77777777" w:rsidR="00584431" w:rsidRPr="00584431" w:rsidRDefault="00584431" w:rsidP="00584431">
      <w:pPr>
        <w:rPr>
          <w:b/>
          <w:bCs/>
        </w:rPr>
      </w:pPr>
      <w:r w:rsidRPr="00584431">
        <w:rPr>
          <w:b/>
          <w:bCs/>
        </w:rPr>
        <w:t>Required Materials</w:t>
      </w:r>
    </w:p>
    <w:p w14:paraId="4B7BA6D2" w14:textId="5DCE4B4D" w:rsidR="00584431" w:rsidRPr="00584431" w:rsidRDefault="00584431" w:rsidP="00263A33">
      <w:r w:rsidRPr="00584431">
        <w:rPr>
          <w:i/>
          <w:iCs/>
        </w:rPr>
        <w:t>(</w:t>
      </w:r>
      <w:proofErr w:type="spellStart"/>
      <w:r w:rsidRPr="00584431">
        <w:rPr>
          <w:i/>
          <w:iCs/>
        </w:rPr>
        <w:t>Zybooks</w:t>
      </w:r>
      <w:proofErr w:type="spellEnd"/>
      <w:r w:rsidRPr="00584431">
        <w:rPr>
          <w:i/>
          <w:iCs/>
        </w:rPr>
        <w:t xml:space="preserve">) Operating Systems Concepts </w:t>
      </w:r>
      <w:proofErr w:type="gramStart"/>
      <w:r w:rsidRPr="00584431">
        <w:rPr>
          <w:i/>
          <w:iCs/>
        </w:rPr>
        <w:t>- ,</w:t>
      </w:r>
      <w:proofErr w:type="gramEnd"/>
      <w:r w:rsidRPr="00584431">
        <w:rPr>
          <w:i/>
          <w:iCs/>
        </w:rPr>
        <w:t xml:space="preserve"> </w:t>
      </w:r>
      <w:r w:rsidR="009147DA">
        <w:rPr>
          <w:i/>
          <w:iCs/>
        </w:rPr>
        <w:t>10th</w:t>
      </w:r>
      <w:r w:rsidRPr="00584431">
        <w:rPr>
          <w:i/>
          <w:iCs/>
        </w:rPr>
        <w:t xml:space="preserve"> Edition, by Silberschatz, Galvin, and Gagne, Wiley, 20</w:t>
      </w:r>
      <w:r w:rsidR="009147DA">
        <w:rPr>
          <w:i/>
          <w:iCs/>
        </w:rPr>
        <w:t>25</w:t>
      </w:r>
      <w:r w:rsidRPr="00584431">
        <w:rPr>
          <w:i/>
          <w:iCs/>
        </w:rPr>
        <w:t xml:space="preserve">.  </w:t>
      </w:r>
      <w:proofErr w:type="spellStart"/>
      <w:r w:rsidR="00266902" w:rsidRPr="00266902">
        <w:rPr>
          <w:i/>
          <w:iCs/>
        </w:rPr>
        <w:t>zyBook</w:t>
      </w:r>
      <w:proofErr w:type="spellEnd"/>
      <w:r w:rsidR="00266902" w:rsidRPr="00266902">
        <w:rPr>
          <w:i/>
          <w:iCs/>
        </w:rPr>
        <w:t xml:space="preserve"> ISBN: 979-8-203-21282-5</w:t>
      </w:r>
    </w:p>
    <w:p w14:paraId="61BBA093" w14:textId="77777777" w:rsidR="00584431" w:rsidRPr="00584431" w:rsidRDefault="00584431" w:rsidP="00584431">
      <w:pPr>
        <w:rPr>
          <w:b/>
          <w:bCs/>
        </w:rPr>
      </w:pPr>
      <w:r w:rsidRPr="00584431">
        <w:rPr>
          <w:b/>
          <w:bCs/>
        </w:rPr>
        <w:t>Teaching Philosophy</w:t>
      </w:r>
    </w:p>
    <w:p w14:paraId="760C22E2" w14:textId="77777777" w:rsidR="00584431" w:rsidRDefault="00584431" w:rsidP="00584431">
      <w:r w:rsidRPr="00584431">
        <w:t>This course is very hands-on</w:t>
      </w:r>
      <w:proofErr w:type="gramStart"/>
      <w:r w:rsidRPr="00584431">
        <w:t xml:space="preserve">. </w:t>
      </w:r>
      <w:proofErr w:type="gramEnd"/>
      <w:r w:rsidRPr="00584431">
        <w:t>I expect you to apply material from prior courses as well as learn new skills appropriate to the assignments</w:t>
      </w:r>
      <w:proofErr w:type="gramStart"/>
      <w:r w:rsidRPr="00584431">
        <w:t xml:space="preserve">. </w:t>
      </w:r>
      <w:proofErr w:type="gramEnd"/>
      <w:r w:rsidRPr="00584431">
        <w:t>My slides are talking points and are not replacements for the textbook</w:t>
      </w:r>
      <w:proofErr w:type="gramStart"/>
      <w:r w:rsidRPr="00584431">
        <w:t xml:space="preserve">. </w:t>
      </w:r>
      <w:proofErr w:type="gramEnd"/>
      <w:r w:rsidRPr="00584431">
        <w:t>They should not be the sole material that you study.</w:t>
      </w:r>
    </w:p>
    <w:p w14:paraId="1C0AAF8C" w14:textId="77777777" w:rsidR="00E61984" w:rsidRDefault="00E61984" w:rsidP="00584431"/>
    <w:p w14:paraId="71D9AE38" w14:textId="77777777" w:rsidR="00E61984" w:rsidRDefault="00E61984" w:rsidP="00584431"/>
    <w:p w14:paraId="06532A52" w14:textId="77777777" w:rsidR="00E61984" w:rsidRDefault="00E61984" w:rsidP="00584431"/>
    <w:p w14:paraId="5EC725B0" w14:textId="77777777" w:rsidR="00E61984" w:rsidRPr="00584431" w:rsidRDefault="00E61984" w:rsidP="00584431"/>
    <w:p w14:paraId="6EEE0589" w14:textId="6BFAC7CD" w:rsidR="00584431" w:rsidRPr="0045302A" w:rsidRDefault="00584431" w:rsidP="00584431">
      <w:pPr>
        <w:rPr>
          <w:b/>
          <w:bCs/>
        </w:rPr>
      </w:pPr>
      <w:r w:rsidRPr="00584431">
        <w:rPr>
          <w:b/>
          <w:bCs/>
        </w:rPr>
        <w:lastRenderedPageBreak/>
        <w:t>Grade Components</w:t>
      </w:r>
    </w:p>
    <w:tbl>
      <w:tblPr>
        <w:tblW w:w="0" w:type="auto"/>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870"/>
        <w:gridCol w:w="2370"/>
        <w:gridCol w:w="3120"/>
      </w:tblGrid>
      <w:tr w:rsidR="00584431" w:rsidRPr="00584431" w14:paraId="43CA37F4" w14:textId="77777777">
        <w:trPr>
          <w:tblHeader/>
        </w:trPr>
        <w:tc>
          <w:tcPr>
            <w:tcW w:w="3870" w:type="dxa"/>
            <w:tcBorders>
              <w:top w:val="outset" w:sz="6" w:space="0" w:color="auto"/>
              <w:left w:val="outset" w:sz="6" w:space="0" w:color="auto"/>
              <w:bottom w:val="outset" w:sz="6" w:space="0" w:color="auto"/>
              <w:right w:val="outset" w:sz="6" w:space="0" w:color="auto"/>
            </w:tcBorders>
            <w:shd w:val="clear" w:color="auto" w:fill="C2E0F4"/>
            <w:vAlign w:val="center"/>
            <w:hideMark/>
          </w:tcPr>
          <w:p w14:paraId="3C573CB9" w14:textId="77777777" w:rsidR="00584431" w:rsidRPr="00584431" w:rsidRDefault="00584431" w:rsidP="00584431">
            <w:r w:rsidRPr="00584431">
              <w:t>Assignment</w:t>
            </w:r>
          </w:p>
        </w:tc>
        <w:tc>
          <w:tcPr>
            <w:tcW w:w="2370" w:type="dxa"/>
            <w:tcBorders>
              <w:top w:val="outset" w:sz="6" w:space="0" w:color="auto"/>
              <w:left w:val="outset" w:sz="6" w:space="0" w:color="auto"/>
              <w:bottom w:val="outset" w:sz="6" w:space="0" w:color="auto"/>
              <w:right w:val="outset" w:sz="6" w:space="0" w:color="auto"/>
            </w:tcBorders>
            <w:shd w:val="clear" w:color="auto" w:fill="C2E0F4"/>
            <w:vAlign w:val="center"/>
            <w:hideMark/>
          </w:tcPr>
          <w:p w14:paraId="79C16B08" w14:textId="77777777" w:rsidR="00584431" w:rsidRPr="00584431" w:rsidRDefault="00584431" w:rsidP="00584431">
            <w:r w:rsidRPr="00584431">
              <w:t>Points Possible</w:t>
            </w:r>
          </w:p>
        </w:tc>
        <w:tc>
          <w:tcPr>
            <w:tcW w:w="3120" w:type="dxa"/>
            <w:tcBorders>
              <w:top w:val="outset" w:sz="6" w:space="0" w:color="auto"/>
              <w:left w:val="outset" w:sz="6" w:space="0" w:color="auto"/>
              <w:bottom w:val="outset" w:sz="6" w:space="0" w:color="auto"/>
              <w:right w:val="outset" w:sz="6" w:space="0" w:color="auto"/>
            </w:tcBorders>
            <w:shd w:val="clear" w:color="auto" w:fill="C2E0F4"/>
            <w:vAlign w:val="center"/>
            <w:hideMark/>
          </w:tcPr>
          <w:p w14:paraId="0C340C58" w14:textId="77777777" w:rsidR="00584431" w:rsidRPr="00584431" w:rsidRDefault="00584431" w:rsidP="00584431">
            <w:r w:rsidRPr="00584431">
              <w:t>Percentage of Final Grade</w:t>
            </w:r>
          </w:p>
        </w:tc>
      </w:tr>
      <w:tr w:rsidR="00584431" w:rsidRPr="00584431" w14:paraId="1864D7DF" w14:textId="77777777">
        <w:tc>
          <w:tcPr>
            <w:tcW w:w="3870" w:type="dxa"/>
            <w:tcBorders>
              <w:top w:val="outset" w:sz="6" w:space="0" w:color="auto"/>
              <w:left w:val="outset" w:sz="6" w:space="0" w:color="auto"/>
              <w:bottom w:val="outset" w:sz="6" w:space="0" w:color="auto"/>
              <w:right w:val="outset" w:sz="6" w:space="0" w:color="auto"/>
            </w:tcBorders>
            <w:vAlign w:val="center"/>
            <w:hideMark/>
          </w:tcPr>
          <w:p w14:paraId="3FD15705" w14:textId="77777777" w:rsidR="00584431" w:rsidRPr="00584431" w:rsidRDefault="00584431" w:rsidP="00584431">
            <w:r w:rsidRPr="00584431">
              <w:t xml:space="preserve">Attendance, Participation, </w:t>
            </w:r>
            <w:proofErr w:type="spellStart"/>
            <w:r w:rsidRPr="00584431">
              <w:t>iClicker</w:t>
            </w:r>
            <w:proofErr w:type="spellEnd"/>
          </w:p>
        </w:tc>
        <w:tc>
          <w:tcPr>
            <w:tcW w:w="2370" w:type="dxa"/>
            <w:tcBorders>
              <w:top w:val="outset" w:sz="6" w:space="0" w:color="auto"/>
              <w:left w:val="outset" w:sz="6" w:space="0" w:color="auto"/>
              <w:bottom w:val="outset" w:sz="6" w:space="0" w:color="auto"/>
              <w:right w:val="outset" w:sz="6" w:space="0" w:color="auto"/>
            </w:tcBorders>
            <w:vAlign w:val="center"/>
            <w:hideMark/>
          </w:tcPr>
          <w:p w14:paraId="5D042A50" w14:textId="77777777" w:rsidR="00584431" w:rsidRPr="00584431" w:rsidRDefault="00584431" w:rsidP="00584431">
            <w:r w:rsidRPr="00584431">
              <w:t>Variable</w:t>
            </w:r>
          </w:p>
        </w:tc>
        <w:tc>
          <w:tcPr>
            <w:tcW w:w="3120" w:type="dxa"/>
            <w:tcBorders>
              <w:top w:val="outset" w:sz="6" w:space="0" w:color="auto"/>
              <w:left w:val="outset" w:sz="6" w:space="0" w:color="auto"/>
              <w:bottom w:val="outset" w:sz="6" w:space="0" w:color="auto"/>
              <w:right w:val="outset" w:sz="6" w:space="0" w:color="auto"/>
            </w:tcBorders>
            <w:vAlign w:val="center"/>
            <w:hideMark/>
          </w:tcPr>
          <w:p w14:paraId="03D8348E" w14:textId="77777777" w:rsidR="00584431" w:rsidRPr="00584431" w:rsidRDefault="00584431" w:rsidP="00584431">
            <w:r w:rsidRPr="00584431">
              <w:t>5%</w:t>
            </w:r>
          </w:p>
        </w:tc>
      </w:tr>
      <w:tr w:rsidR="00584431" w:rsidRPr="00584431" w14:paraId="0E1FF736" w14:textId="77777777">
        <w:tc>
          <w:tcPr>
            <w:tcW w:w="3870" w:type="dxa"/>
            <w:tcBorders>
              <w:top w:val="outset" w:sz="6" w:space="0" w:color="auto"/>
              <w:left w:val="outset" w:sz="6" w:space="0" w:color="auto"/>
              <w:bottom w:val="outset" w:sz="6" w:space="0" w:color="auto"/>
              <w:right w:val="outset" w:sz="6" w:space="0" w:color="auto"/>
            </w:tcBorders>
            <w:vAlign w:val="center"/>
            <w:hideMark/>
          </w:tcPr>
          <w:p w14:paraId="6FBA46E6" w14:textId="77777777" w:rsidR="00584431" w:rsidRPr="00584431" w:rsidRDefault="00584431" w:rsidP="00584431">
            <w:r w:rsidRPr="00584431">
              <w:t>Recitation assignments</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83ECAEE" w14:textId="77777777" w:rsidR="00584431" w:rsidRPr="00584431" w:rsidRDefault="00584431" w:rsidP="00584431">
            <w:r w:rsidRPr="00584431">
              <w:t>Variable</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BFC0385" w14:textId="77777777" w:rsidR="00584431" w:rsidRPr="00584431" w:rsidRDefault="00584431" w:rsidP="00584431">
            <w:r w:rsidRPr="00584431">
              <w:t>5%</w:t>
            </w:r>
          </w:p>
        </w:tc>
      </w:tr>
      <w:tr w:rsidR="00584431" w:rsidRPr="00584431" w14:paraId="03D6638D" w14:textId="77777777">
        <w:tc>
          <w:tcPr>
            <w:tcW w:w="3870" w:type="dxa"/>
            <w:tcBorders>
              <w:top w:val="outset" w:sz="6" w:space="0" w:color="auto"/>
              <w:left w:val="outset" w:sz="6" w:space="0" w:color="auto"/>
              <w:bottom w:val="outset" w:sz="6" w:space="0" w:color="auto"/>
              <w:right w:val="outset" w:sz="6" w:space="0" w:color="auto"/>
            </w:tcBorders>
            <w:vAlign w:val="center"/>
            <w:hideMark/>
          </w:tcPr>
          <w:p w14:paraId="7B5B89B0" w14:textId="77777777" w:rsidR="00584431" w:rsidRPr="00584431" w:rsidRDefault="00584431" w:rsidP="00584431">
            <w:r w:rsidRPr="00584431">
              <w:t>5 Written Homework Assignments</w:t>
            </w:r>
          </w:p>
        </w:tc>
        <w:tc>
          <w:tcPr>
            <w:tcW w:w="2370" w:type="dxa"/>
            <w:tcBorders>
              <w:top w:val="outset" w:sz="6" w:space="0" w:color="auto"/>
              <w:left w:val="outset" w:sz="6" w:space="0" w:color="auto"/>
              <w:bottom w:val="outset" w:sz="6" w:space="0" w:color="auto"/>
              <w:right w:val="outset" w:sz="6" w:space="0" w:color="auto"/>
            </w:tcBorders>
            <w:vAlign w:val="center"/>
            <w:hideMark/>
          </w:tcPr>
          <w:p w14:paraId="01BE1230" w14:textId="77777777" w:rsidR="00584431" w:rsidRPr="00584431" w:rsidRDefault="00584431" w:rsidP="00584431">
            <w:r w:rsidRPr="00584431">
              <w:t>500</w:t>
            </w:r>
          </w:p>
        </w:tc>
        <w:tc>
          <w:tcPr>
            <w:tcW w:w="3120" w:type="dxa"/>
            <w:tcBorders>
              <w:top w:val="outset" w:sz="6" w:space="0" w:color="auto"/>
              <w:left w:val="outset" w:sz="6" w:space="0" w:color="auto"/>
              <w:bottom w:val="outset" w:sz="6" w:space="0" w:color="auto"/>
              <w:right w:val="outset" w:sz="6" w:space="0" w:color="auto"/>
            </w:tcBorders>
            <w:vAlign w:val="center"/>
            <w:hideMark/>
          </w:tcPr>
          <w:p w14:paraId="73CC689E" w14:textId="77777777" w:rsidR="00584431" w:rsidRPr="00584431" w:rsidRDefault="00584431" w:rsidP="00584431">
            <w:r w:rsidRPr="00584431">
              <w:t>20% (about 4% each)</w:t>
            </w:r>
          </w:p>
        </w:tc>
      </w:tr>
      <w:tr w:rsidR="00584431" w:rsidRPr="00584431" w14:paraId="366105F3" w14:textId="77777777">
        <w:tc>
          <w:tcPr>
            <w:tcW w:w="3870" w:type="dxa"/>
            <w:tcBorders>
              <w:top w:val="outset" w:sz="6" w:space="0" w:color="auto"/>
              <w:left w:val="outset" w:sz="6" w:space="0" w:color="auto"/>
              <w:bottom w:val="outset" w:sz="6" w:space="0" w:color="auto"/>
              <w:right w:val="outset" w:sz="6" w:space="0" w:color="auto"/>
            </w:tcBorders>
            <w:vAlign w:val="center"/>
            <w:hideMark/>
          </w:tcPr>
          <w:p w14:paraId="52B5BCDD" w14:textId="77777777" w:rsidR="00584431" w:rsidRPr="00584431" w:rsidRDefault="00584431" w:rsidP="00584431">
            <w:r w:rsidRPr="00584431">
              <w:t>5 Programming Assignments</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11B3D4F" w14:textId="77777777" w:rsidR="00584431" w:rsidRPr="00584431" w:rsidRDefault="00584431" w:rsidP="00584431">
            <w:r w:rsidRPr="00584431">
              <w:t>500</w:t>
            </w:r>
          </w:p>
        </w:tc>
        <w:tc>
          <w:tcPr>
            <w:tcW w:w="3120" w:type="dxa"/>
            <w:tcBorders>
              <w:top w:val="outset" w:sz="6" w:space="0" w:color="auto"/>
              <w:left w:val="outset" w:sz="6" w:space="0" w:color="auto"/>
              <w:bottom w:val="outset" w:sz="6" w:space="0" w:color="auto"/>
              <w:right w:val="outset" w:sz="6" w:space="0" w:color="auto"/>
            </w:tcBorders>
            <w:vAlign w:val="center"/>
            <w:hideMark/>
          </w:tcPr>
          <w:p w14:paraId="2D0BBD11" w14:textId="77777777" w:rsidR="00584431" w:rsidRPr="00584431" w:rsidRDefault="00584431" w:rsidP="00584431">
            <w:r w:rsidRPr="00584431">
              <w:t>30% (6% each)</w:t>
            </w:r>
          </w:p>
        </w:tc>
      </w:tr>
      <w:tr w:rsidR="00584431" w:rsidRPr="00584431" w14:paraId="33166151" w14:textId="77777777">
        <w:tc>
          <w:tcPr>
            <w:tcW w:w="3870" w:type="dxa"/>
            <w:tcBorders>
              <w:top w:val="outset" w:sz="6" w:space="0" w:color="auto"/>
              <w:left w:val="outset" w:sz="6" w:space="0" w:color="auto"/>
              <w:bottom w:val="outset" w:sz="6" w:space="0" w:color="auto"/>
              <w:right w:val="outset" w:sz="6" w:space="0" w:color="auto"/>
            </w:tcBorders>
            <w:vAlign w:val="center"/>
            <w:hideMark/>
          </w:tcPr>
          <w:p w14:paraId="432E0DC6" w14:textId="77777777" w:rsidR="00584431" w:rsidRPr="00584431" w:rsidRDefault="00584431" w:rsidP="00584431">
            <w:r w:rsidRPr="00584431">
              <w:t>Midterm Exam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58D33E3E" w14:textId="77777777" w:rsidR="00584431" w:rsidRPr="00584431" w:rsidRDefault="00584431" w:rsidP="00584431">
            <w:r w:rsidRPr="00584431">
              <w:t>100</w:t>
            </w:r>
          </w:p>
        </w:tc>
        <w:tc>
          <w:tcPr>
            <w:tcW w:w="3120" w:type="dxa"/>
            <w:tcBorders>
              <w:top w:val="outset" w:sz="6" w:space="0" w:color="auto"/>
              <w:left w:val="outset" w:sz="6" w:space="0" w:color="auto"/>
              <w:bottom w:val="outset" w:sz="6" w:space="0" w:color="auto"/>
              <w:right w:val="outset" w:sz="6" w:space="0" w:color="auto"/>
            </w:tcBorders>
            <w:vAlign w:val="center"/>
            <w:hideMark/>
          </w:tcPr>
          <w:p w14:paraId="3B07BE25" w14:textId="77777777" w:rsidR="00584431" w:rsidRPr="00584431" w:rsidRDefault="00584431" w:rsidP="00584431">
            <w:r w:rsidRPr="00584431">
              <w:t>20%</w:t>
            </w:r>
          </w:p>
        </w:tc>
      </w:tr>
      <w:tr w:rsidR="00584431" w:rsidRPr="00584431" w14:paraId="363BF867" w14:textId="77777777">
        <w:tc>
          <w:tcPr>
            <w:tcW w:w="3870" w:type="dxa"/>
            <w:tcBorders>
              <w:top w:val="outset" w:sz="6" w:space="0" w:color="auto"/>
              <w:left w:val="outset" w:sz="6" w:space="0" w:color="auto"/>
              <w:bottom w:val="outset" w:sz="6" w:space="0" w:color="auto"/>
              <w:right w:val="outset" w:sz="6" w:space="0" w:color="auto"/>
            </w:tcBorders>
            <w:vAlign w:val="center"/>
            <w:hideMark/>
          </w:tcPr>
          <w:p w14:paraId="7CA02C06" w14:textId="77777777" w:rsidR="00584431" w:rsidRPr="00584431" w:rsidRDefault="00584431" w:rsidP="00584431">
            <w:r w:rsidRPr="00584431">
              <w:t>Comprehensive Final Exam</w:t>
            </w:r>
          </w:p>
        </w:tc>
        <w:tc>
          <w:tcPr>
            <w:tcW w:w="2370" w:type="dxa"/>
            <w:tcBorders>
              <w:top w:val="outset" w:sz="6" w:space="0" w:color="auto"/>
              <w:left w:val="outset" w:sz="6" w:space="0" w:color="auto"/>
              <w:bottom w:val="outset" w:sz="6" w:space="0" w:color="auto"/>
              <w:right w:val="outset" w:sz="6" w:space="0" w:color="auto"/>
            </w:tcBorders>
            <w:vAlign w:val="center"/>
            <w:hideMark/>
          </w:tcPr>
          <w:p w14:paraId="27C5ECF3" w14:textId="77777777" w:rsidR="00584431" w:rsidRPr="00584431" w:rsidRDefault="00584431" w:rsidP="00584431">
            <w:r w:rsidRPr="00584431">
              <w:t>100</w:t>
            </w:r>
          </w:p>
        </w:tc>
        <w:tc>
          <w:tcPr>
            <w:tcW w:w="3120" w:type="dxa"/>
            <w:tcBorders>
              <w:top w:val="outset" w:sz="6" w:space="0" w:color="auto"/>
              <w:left w:val="outset" w:sz="6" w:space="0" w:color="auto"/>
              <w:bottom w:val="outset" w:sz="6" w:space="0" w:color="auto"/>
              <w:right w:val="outset" w:sz="6" w:space="0" w:color="auto"/>
            </w:tcBorders>
            <w:vAlign w:val="center"/>
            <w:hideMark/>
          </w:tcPr>
          <w:p w14:paraId="6F1FE909" w14:textId="77777777" w:rsidR="00584431" w:rsidRPr="00584431" w:rsidRDefault="00584431" w:rsidP="00584431">
            <w:r w:rsidRPr="00584431">
              <w:t>20%</w:t>
            </w:r>
          </w:p>
        </w:tc>
      </w:tr>
    </w:tbl>
    <w:p w14:paraId="35B56441" w14:textId="77777777" w:rsidR="00584431" w:rsidRPr="00584431" w:rsidRDefault="00584431" w:rsidP="00584431">
      <w:r w:rsidRPr="00584431">
        <w:t> </w:t>
      </w:r>
    </w:p>
    <w:p w14:paraId="0AD3ED7B" w14:textId="77777777" w:rsidR="00584431" w:rsidRPr="00584431" w:rsidRDefault="00584431" w:rsidP="00584431">
      <w:pPr>
        <w:rPr>
          <w:b/>
          <w:bCs/>
        </w:rPr>
      </w:pPr>
      <w:r w:rsidRPr="00584431">
        <w:rPr>
          <w:b/>
          <w:bCs/>
        </w:rPr>
        <w:t>Grading Policy</w:t>
      </w:r>
    </w:p>
    <w:p w14:paraId="7F4A2F51" w14:textId="77777777" w:rsidR="00584431" w:rsidRPr="00584431" w:rsidRDefault="00584431" w:rsidP="00584431">
      <w:r w:rsidRPr="00584431">
        <w:rPr>
          <w:u w:val="single"/>
        </w:rPr>
        <w:t>If you believe that there is a mistake in the grading of one of your assignments, you must bring these inquiries to the professor within one week of when the assignment is returned</w:t>
      </w:r>
      <w:proofErr w:type="gramStart"/>
      <w:r w:rsidRPr="00584431">
        <w:rPr>
          <w:u w:val="single"/>
        </w:rPr>
        <w:t xml:space="preserve">. </w:t>
      </w:r>
      <w:proofErr w:type="gramEnd"/>
      <w:r w:rsidRPr="00584431">
        <w:t>After this period, it is too late to consider, except for an arithmetic error in calculating the score.</w:t>
      </w:r>
    </w:p>
    <w:p w14:paraId="5C063A00" w14:textId="77777777" w:rsidR="00584431" w:rsidRPr="00584431" w:rsidRDefault="00584431" w:rsidP="00584431">
      <w:pPr>
        <w:rPr>
          <w:b/>
          <w:bCs/>
        </w:rPr>
      </w:pPr>
      <w:r w:rsidRPr="00584431">
        <w:rPr>
          <w:b/>
          <w:bCs/>
        </w:rPr>
        <w:t>Grading Scale</w:t>
      </w:r>
    </w:p>
    <w:p w14:paraId="75EBEA56" w14:textId="77777777" w:rsidR="00584431" w:rsidRPr="00584431" w:rsidRDefault="00584431" w:rsidP="00584431">
      <w:r w:rsidRPr="00584431">
        <w:t>A = 90% - 100%</w:t>
      </w:r>
      <w:r w:rsidRPr="00584431">
        <w:br/>
        <w:t>B = 80% - 89%</w:t>
      </w:r>
      <w:r w:rsidRPr="00584431">
        <w:br/>
        <w:t>C = 70% - 79%</w:t>
      </w:r>
      <w:r w:rsidRPr="00584431">
        <w:br/>
        <w:t>D = 60% - 69%</w:t>
      </w:r>
      <w:r w:rsidRPr="00584431">
        <w:br/>
        <w:t>F = 0% - 59%</w:t>
      </w:r>
    </w:p>
    <w:p w14:paraId="7689EB5C" w14:textId="77777777" w:rsidR="00584431" w:rsidRPr="00584431" w:rsidRDefault="00584431" w:rsidP="00584431">
      <w:pPr>
        <w:rPr>
          <w:b/>
          <w:bCs/>
        </w:rPr>
      </w:pPr>
      <w:r w:rsidRPr="00584431">
        <w:rPr>
          <w:b/>
          <w:bCs/>
        </w:rPr>
        <w:t>Late Submission and Extension Policy</w:t>
      </w:r>
    </w:p>
    <w:p w14:paraId="24172E05" w14:textId="77777777" w:rsidR="00584431" w:rsidRPr="00584431" w:rsidRDefault="00584431" w:rsidP="00584431">
      <w:r w:rsidRPr="00584431">
        <w:rPr>
          <w:b/>
          <w:bCs/>
        </w:rPr>
        <w:t>Written Homework Assignments</w:t>
      </w:r>
      <w:proofErr w:type="gramStart"/>
      <w:r w:rsidRPr="00584431">
        <w:rPr>
          <w:b/>
          <w:bCs/>
        </w:rPr>
        <w:t xml:space="preserve">:  </w:t>
      </w:r>
      <w:r w:rsidRPr="00584431">
        <w:t>Homework</w:t>
      </w:r>
      <w:proofErr w:type="gramEnd"/>
      <w:r w:rsidRPr="00584431">
        <w:t xml:space="preserve"> assignments are due on Canvas on the assigned due date.  Under no circumstances should you email submissions without permission.  Late homework will not be </w:t>
      </w:r>
      <w:proofErr w:type="gramStart"/>
      <w:r w:rsidRPr="00584431">
        <w:t>graded</w:t>
      </w:r>
      <w:proofErr w:type="gramEnd"/>
      <w:r w:rsidRPr="00584431">
        <w:t>.</w:t>
      </w:r>
    </w:p>
    <w:p w14:paraId="74A0527F" w14:textId="42F9FF3F" w:rsidR="00584431" w:rsidRPr="00584431" w:rsidRDefault="00584431" w:rsidP="00584431">
      <w:r w:rsidRPr="00584431">
        <w:rPr>
          <w:b/>
          <w:bCs/>
        </w:rPr>
        <w:t>Programming Assignments</w:t>
      </w:r>
      <w:proofErr w:type="gramStart"/>
      <w:r w:rsidRPr="00584431">
        <w:t>:  Program</w:t>
      </w:r>
      <w:proofErr w:type="gramEnd"/>
      <w:r w:rsidRPr="00584431">
        <w:t xml:space="preserve"> source code must be written in C or </w:t>
      </w:r>
      <w:proofErr w:type="gramStart"/>
      <w:r w:rsidRPr="00584431">
        <w:t>C++, and</w:t>
      </w:r>
      <w:proofErr w:type="gramEnd"/>
      <w:r w:rsidRPr="00584431">
        <w:t xml:space="preserve"> must be submitted on Canvas on the assigned due date to avoid a late penalty.  There is a penalty of 20% per day after the due date.  This means after 5 days, a late submission has no value.  Please note that under this policy programs are accepted late, but written homework is not.</w:t>
      </w:r>
      <w:r w:rsidRPr="00584431">
        <w:br/>
      </w:r>
      <w:r w:rsidRPr="00584431">
        <w:br/>
      </w:r>
      <w:r w:rsidRPr="00584431">
        <w:rPr>
          <w:b/>
          <w:bCs/>
        </w:rPr>
        <w:t>Makeup Exams and Incompletes</w:t>
      </w:r>
      <w:r w:rsidRPr="00584431">
        <w:t>:  Makeup exams and incompletes will only be given as a result of a verified emergency.</w:t>
      </w:r>
      <w:r w:rsidRPr="00584431">
        <w:br/>
      </w:r>
      <w:r w:rsidRPr="00584431">
        <w:br/>
      </w:r>
      <w:r w:rsidRPr="00584431">
        <w:rPr>
          <w:b/>
          <w:bCs/>
        </w:rPr>
        <w:t>Extensions</w:t>
      </w:r>
      <w:r w:rsidRPr="00584431">
        <w:t xml:space="preserve">:  </w:t>
      </w:r>
      <w:r w:rsidRPr="00584431">
        <w:rPr>
          <w:b/>
          <w:bCs/>
        </w:rPr>
        <w:t>ALL</w:t>
      </w:r>
      <w:r w:rsidRPr="00584431">
        <w:t xml:space="preserve"> requests for extensions on assignments must be made </w:t>
      </w:r>
      <w:r w:rsidRPr="00584431">
        <w:rPr>
          <w:u w:val="single"/>
        </w:rPr>
        <w:t>prior</w:t>
      </w:r>
      <w:r w:rsidRPr="00584431">
        <w:t xml:space="preserve"> to the due date and must be for a valid “emergency” reason. In extreme circumstances, contact after the due date may be accepted if there is a </w:t>
      </w:r>
      <w:r w:rsidRPr="00584431">
        <w:rPr>
          <w:b/>
          <w:bCs/>
        </w:rPr>
        <w:t>COMPELLING</w:t>
      </w:r>
      <w:r w:rsidRPr="00584431">
        <w:t xml:space="preserve"> reason. </w:t>
      </w:r>
    </w:p>
    <w:p w14:paraId="53587CEC" w14:textId="77777777" w:rsidR="004B0E23" w:rsidRDefault="004B0E23" w:rsidP="00584431">
      <w:pPr>
        <w:rPr>
          <w:b/>
          <w:bCs/>
        </w:rPr>
      </w:pPr>
    </w:p>
    <w:p w14:paraId="4589B6EA" w14:textId="62E3AC5E" w:rsidR="00584431" w:rsidRPr="00584431" w:rsidRDefault="00584431" w:rsidP="00584431">
      <w:pPr>
        <w:rPr>
          <w:b/>
          <w:bCs/>
        </w:rPr>
      </w:pPr>
      <w:r w:rsidRPr="00584431">
        <w:rPr>
          <w:b/>
          <w:bCs/>
        </w:rPr>
        <w:t>Syllabus Change Policy</w:t>
      </w:r>
    </w:p>
    <w:p w14:paraId="4F3B14AF" w14:textId="05DF4EEE" w:rsidR="00584431" w:rsidRPr="00584431" w:rsidRDefault="00584431" w:rsidP="00584431">
      <w:r w:rsidRPr="00584431">
        <w:t>The instructor reserves the right to change the course as needed, including but not limited to topics, due dates, and assignments/assessment items</w:t>
      </w:r>
      <w:proofErr w:type="gramStart"/>
      <w:r w:rsidRPr="00584431">
        <w:t xml:space="preserve">. </w:t>
      </w:r>
      <w:proofErr w:type="gramEnd"/>
      <w:r w:rsidRPr="00584431">
        <w:t>The pace of the course may also be adjusted based on student progress and understanding</w:t>
      </w:r>
      <w:proofErr w:type="gramStart"/>
      <w:r w:rsidRPr="00584431">
        <w:t xml:space="preserve">. </w:t>
      </w:r>
      <w:proofErr w:type="gramEnd"/>
      <w:r w:rsidRPr="00584431">
        <w:t>Any changes will be made after careful consideration of the course objectives and student progress.</w:t>
      </w:r>
    </w:p>
    <w:p w14:paraId="28956A12" w14:textId="77777777" w:rsidR="00584431" w:rsidRPr="00584431" w:rsidRDefault="00584431" w:rsidP="00584431">
      <w:pPr>
        <w:rPr>
          <w:b/>
          <w:bCs/>
        </w:rPr>
      </w:pPr>
      <w:r w:rsidRPr="00584431">
        <w:rPr>
          <w:b/>
          <w:bCs/>
        </w:rPr>
        <w:t>UNT Policies</w:t>
      </w:r>
    </w:p>
    <w:p w14:paraId="07130EFB" w14:textId="77777777" w:rsidR="00584431" w:rsidRPr="00584431" w:rsidRDefault="00584431" w:rsidP="00584431">
      <w:pPr>
        <w:rPr>
          <w:b/>
          <w:bCs/>
        </w:rPr>
      </w:pPr>
      <w:r w:rsidRPr="00584431">
        <w:rPr>
          <w:b/>
          <w:bCs/>
        </w:rPr>
        <w:t>Academic Integrity Policy</w:t>
      </w:r>
    </w:p>
    <w:p w14:paraId="01326FE1" w14:textId="77777777" w:rsidR="00584431" w:rsidRPr="00584431" w:rsidRDefault="00584431" w:rsidP="00584431">
      <w:r w:rsidRPr="00584431">
        <w:t>According to UNT Policy 06.003, Student Academic Integrity, academic dishonesty occurs when students engage in behaviors including, but not limited to cheating, fabrication, facilitating academic dishonesty, forgery, plagiarism, and sabotage</w:t>
      </w:r>
      <w:proofErr w:type="gramStart"/>
      <w:r w:rsidRPr="00584431">
        <w:t xml:space="preserve">. </w:t>
      </w:r>
      <w:proofErr w:type="gramEnd"/>
      <w:r w:rsidRPr="00584431">
        <w:t>A finding of academic dishonesty may result in a range of academic penalties or sanctions from admonition to expulsion from the University.</w:t>
      </w:r>
    </w:p>
    <w:p w14:paraId="06FAC32A" w14:textId="77777777" w:rsidR="00584431" w:rsidRPr="00584431" w:rsidRDefault="00584431" w:rsidP="00584431">
      <w:r w:rsidRPr="00584431">
        <w:t>Based on this policy, any form of “unauthorized assistance” constitutes cheating.  If the use of artificial intelligence is not authorized for the assignment in question, then a violation has occurred.</w:t>
      </w:r>
    </w:p>
    <w:p w14:paraId="5D1DCD1E" w14:textId="77777777" w:rsidR="00584431" w:rsidRPr="00584431" w:rsidRDefault="00584431" w:rsidP="00584431">
      <w:pPr>
        <w:rPr>
          <w:b/>
          <w:bCs/>
        </w:rPr>
      </w:pPr>
      <w:r w:rsidRPr="00584431">
        <w:rPr>
          <w:b/>
          <w:bCs/>
        </w:rPr>
        <w:t>ADA Policy</w:t>
      </w:r>
    </w:p>
    <w:p w14:paraId="5B52D957" w14:textId="77777777" w:rsidR="00584431" w:rsidRPr="00584431" w:rsidRDefault="00584431" w:rsidP="00584431">
      <w:r w:rsidRPr="00584431">
        <w:t>UNT makes reasonable academic accommodation for students with disabilities</w:t>
      </w:r>
      <w:proofErr w:type="gramStart"/>
      <w:r w:rsidRPr="00584431">
        <w:t xml:space="preserve">. </w:t>
      </w:r>
      <w:proofErr w:type="gramEnd"/>
      <w:r w:rsidRPr="00584431">
        <w:t xml:space="preserve">Students seeking </w:t>
      </w:r>
      <w:proofErr w:type="gramStart"/>
      <w:r w:rsidRPr="00584431">
        <w:t>accommodations</w:t>
      </w:r>
      <w:proofErr w:type="gramEnd"/>
      <w:r w:rsidRPr="00584431">
        <w:t xml:space="preserve"> must first register with the Office of Disability Accommodation (ODA) to verify their eligibility</w:t>
      </w:r>
      <w:proofErr w:type="gramStart"/>
      <w:r w:rsidRPr="00584431">
        <w:t xml:space="preserve">. </w:t>
      </w:r>
      <w:proofErr w:type="gramEnd"/>
      <w:r w:rsidRPr="00584431">
        <w:t>If a disability is verified, the ODA will provide a student with an accommodation letter to be delivered to faculty to begin a private discussion regarding specific course needs</w:t>
      </w:r>
      <w:proofErr w:type="gramStart"/>
      <w:r w:rsidRPr="00584431">
        <w:t xml:space="preserve">. </w:t>
      </w:r>
      <w:proofErr w:type="gramEnd"/>
      <w:r w:rsidRPr="00584431">
        <w:t xml:space="preserve">Students may request </w:t>
      </w:r>
      <w:proofErr w:type="gramStart"/>
      <w:r w:rsidRPr="00584431">
        <w:t>accommodations</w:t>
      </w:r>
      <w:proofErr w:type="gramEnd"/>
      <w:r w:rsidRPr="00584431">
        <w:t xml:space="preserve"> at any time; however, ODA notices of accommodation should be provided as early as possible in the semester to avoid any delay in implementation</w:t>
      </w:r>
      <w:proofErr w:type="gramStart"/>
      <w:r w:rsidRPr="00584431">
        <w:t xml:space="preserve">. </w:t>
      </w:r>
      <w:proofErr w:type="gramEnd"/>
      <w:r w:rsidRPr="00584431">
        <w:t>Note that students must obtain a new letter of accommodation for each semester and must meet with each faculty member prior to implementation in each class</w:t>
      </w:r>
      <w:proofErr w:type="gramStart"/>
      <w:r w:rsidRPr="00584431">
        <w:t xml:space="preserve">. </w:t>
      </w:r>
      <w:proofErr w:type="gramEnd"/>
      <w:r w:rsidRPr="00584431">
        <w:t xml:space="preserve">For additional information see the </w:t>
      </w:r>
      <w:hyperlink r:id="rId7" w:history="1">
        <w:r w:rsidRPr="00584431">
          <w:rPr>
            <w:rStyle w:val="Hyperlink"/>
          </w:rPr>
          <w:t>ODA website</w:t>
        </w:r>
      </w:hyperlink>
      <w:r w:rsidRPr="00584431">
        <w:t xml:space="preserve"> (</w:t>
      </w:r>
      <w:hyperlink r:id="rId8" w:history="1">
        <w:r w:rsidRPr="00584431">
          <w:rPr>
            <w:rStyle w:val="Hyperlink"/>
          </w:rPr>
          <w:t>https://disability.unt.edu/</w:t>
        </w:r>
      </w:hyperlink>
      <w:r w:rsidRPr="00584431">
        <w:t>).</w:t>
      </w:r>
    </w:p>
    <w:p w14:paraId="477931DE" w14:textId="77777777" w:rsidR="00584431" w:rsidRDefault="00584431"/>
    <w:sectPr w:rsidR="00584431" w:rsidSect="008B03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F7789"/>
    <w:multiLevelType w:val="multilevel"/>
    <w:tmpl w:val="3BB28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424AB4"/>
    <w:multiLevelType w:val="multilevel"/>
    <w:tmpl w:val="4EE2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954774">
    <w:abstractNumId w:val="1"/>
  </w:num>
  <w:num w:numId="2" w16cid:durableId="2125881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31"/>
    <w:rsid w:val="00086BF5"/>
    <w:rsid w:val="001B780C"/>
    <w:rsid w:val="00263A33"/>
    <w:rsid w:val="00266902"/>
    <w:rsid w:val="003B768C"/>
    <w:rsid w:val="0045302A"/>
    <w:rsid w:val="004B0E23"/>
    <w:rsid w:val="00516772"/>
    <w:rsid w:val="00584431"/>
    <w:rsid w:val="008B03B7"/>
    <w:rsid w:val="008D397F"/>
    <w:rsid w:val="008F7604"/>
    <w:rsid w:val="009147DA"/>
    <w:rsid w:val="00BD6B02"/>
    <w:rsid w:val="00C258CE"/>
    <w:rsid w:val="00C402CD"/>
    <w:rsid w:val="00D14D6A"/>
    <w:rsid w:val="00D976C2"/>
    <w:rsid w:val="00E61984"/>
    <w:rsid w:val="00F055D1"/>
    <w:rsid w:val="00F20750"/>
    <w:rsid w:val="00FC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2599"/>
  <w15:chartTrackingRefBased/>
  <w15:docId w15:val="{0F766BC4-5E7F-4DB3-85A9-46B8D435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431"/>
    <w:rPr>
      <w:rFonts w:eastAsiaTheme="majorEastAsia" w:cstheme="majorBidi"/>
      <w:color w:val="272727" w:themeColor="text1" w:themeTint="D8"/>
    </w:rPr>
  </w:style>
  <w:style w:type="paragraph" w:styleId="Title">
    <w:name w:val="Title"/>
    <w:basedOn w:val="Normal"/>
    <w:next w:val="Normal"/>
    <w:link w:val="TitleChar"/>
    <w:uiPriority w:val="10"/>
    <w:qFormat/>
    <w:rsid w:val="00584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431"/>
    <w:pPr>
      <w:spacing w:before="160"/>
      <w:jc w:val="center"/>
    </w:pPr>
    <w:rPr>
      <w:i/>
      <w:iCs/>
      <w:color w:val="404040" w:themeColor="text1" w:themeTint="BF"/>
    </w:rPr>
  </w:style>
  <w:style w:type="character" w:customStyle="1" w:styleId="QuoteChar">
    <w:name w:val="Quote Char"/>
    <w:basedOn w:val="DefaultParagraphFont"/>
    <w:link w:val="Quote"/>
    <w:uiPriority w:val="29"/>
    <w:rsid w:val="00584431"/>
    <w:rPr>
      <w:i/>
      <w:iCs/>
      <w:color w:val="404040" w:themeColor="text1" w:themeTint="BF"/>
    </w:rPr>
  </w:style>
  <w:style w:type="paragraph" w:styleId="ListParagraph">
    <w:name w:val="List Paragraph"/>
    <w:basedOn w:val="Normal"/>
    <w:uiPriority w:val="34"/>
    <w:qFormat/>
    <w:rsid w:val="00584431"/>
    <w:pPr>
      <w:ind w:left="720"/>
      <w:contextualSpacing/>
    </w:pPr>
  </w:style>
  <w:style w:type="character" w:styleId="IntenseEmphasis">
    <w:name w:val="Intense Emphasis"/>
    <w:basedOn w:val="DefaultParagraphFont"/>
    <w:uiPriority w:val="21"/>
    <w:qFormat/>
    <w:rsid w:val="00584431"/>
    <w:rPr>
      <w:i/>
      <w:iCs/>
      <w:color w:val="0F4761" w:themeColor="accent1" w:themeShade="BF"/>
    </w:rPr>
  </w:style>
  <w:style w:type="paragraph" w:styleId="IntenseQuote">
    <w:name w:val="Intense Quote"/>
    <w:basedOn w:val="Normal"/>
    <w:next w:val="Normal"/>
    <w:link w:val="IntenseQuoteChar"/>
    <w:uiPriority w:val="30"/>
    <w:qFormat/>
    <w:rsid w:val="00584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431"/>
    <w:rPr>
      <w:i/>
      <w:iCs/>
      <w:color w:val="0F4761" w:themeColor="accent1" w:themeShade="BF"/>
    </w:rPr>
  </w:style>
  <w:style w:type="character" w:styleId="IntenseReference">
    <w:name w:val="Intense Reference"/>
    <w:basedOn w:val="DefaultParagraphFont"/>
    <w:uiPriority w:val="32"/>
    <w:qFormat/>
    <w:rsid w:val="00584431"/>
    <w:rPr>
      <w:b/>
      <w:bCs/>
      <w:smallCaps/>
      <w:color w:val="0F4761" w:themeColor="accent1" w:themeShade="BF"/>
      <w:spacing w:val="5"/>
    </w:rPr>
  </w:style>
  <w:style w:type="character" w:styleId="Hyperlink">
    <w:name w:val="Hyperlink"/>
    <w:basedOn w:val="DefaultParagraphFont"/>
    <w:uiPriority w:val="99"/>
    <w:unhideWhenUsed/>
    <w:rsid w:val="00584431"/>
    <w:rPr>
      <w:color w:val="467886" w:themeColor="hyperlink"/>
      <w:u w:val="single"/>
    </w:rPr>
  </w:style>
  <w:style w:type="character" w:styleId="UnresolvedMention">
    <w:name w:val="Unresolved Mention"/>
    <w:basedOn w:val="DefaultParagraphFont"/>
    <w:uiPriority w:val="99"/>
    <w:semiHidden/>
    <w:unhideWhenUsed/>
    <w:rsid w:val="00584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unt.edu/" TargetMode="External"/><Relationship Id="rId3" Type="http://schemas.openxmlformats.org/officeDocument/2006/relationships/settings" Target="settings.xml"/><Relationship Id="rId7" Type="http://schemas.openxmlformats.org/officeDocument/2006/relationships/hyperlink" Target="https://disability.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ear.unt.edu/online-communication-tips" TargetMode="External"/><Relationship Id="rId5" Type="http://schemas.openxmlformats.org/officeDocument/2006/relationships/hyperlink" Target="mailto:mark.hoffman@unt.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1133</Words>
  <Characters>6267</Characters>
  <Application>Microsoft Office Word</Application>
  <DocSecurity>0</DocSecurity>
  <Lines>149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Hoffman</dc:creator>
  <cp:keywords/>
  <dc:description/>
  <cp:lastModifiedBy>Mark Hoffman</cp:lastModifiedBy>
  <cp:revision>18</cp:revision>
  <dcterms:created xsi:type="dcterms:W3CDTF">2026-02-17T23:16:00Z</dcterms:created>
  <dcterms:modified xsi:type="dcterms:W3CDTF">2026-02-18T04:45:00Z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ea5b2f5b-e67c-4929-b4ae-3a53a6069b98</vt:lpwstr>
  </property>
</Properties>
</file>