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C96B" w14:textId="058B42C1" w:rsidR="00AB41E7" w:rsidRDefault="00102BA4" w:rsidP="00AB41E7">
      <w:pPr>
        <w:jc w:val="center"/>
        <w:rPr>
          <w:b/>
          <w:bCs/>
          <w:sz w:val="28"/>
          <w:szCs w:val="28"/>
        </w:rPr>
      </w:pPr>
      <w:r w:rsidRPr="00102BA4">
        <w:rPr>
          <w:b/>
          <w:bCs/>
          <w:sz w:val="28"/>
          <w:szCs w:val="28"/>
        </w:rPr>
        <w:t>Computer Forensics</w:t>
      </w:r>
    </w:p>
    <w:p w14:paraId="0F65C219" w14:textId="7058621E" w:rsidR="00AB41E7" w:rsidRPr="00AB41E7" w:rsidRDefault="00AB41E7" w:rsidP="00AB41E7">
      <w:pPr>
        <w:spacing w:after="0"/>
        <w:jc w:val="center"/>
      </w:pPr>
      <w:r w:rsidRPr="00102BA4">
        <w:rPr>
          <w:b/>
          <w:bCs/>
        </w:rPr>
        <w:t>CSCE 455</w:t>
      </w:r>
      <w:r>
        <w:rPr>
          <w:b/>
          <w:bCs/>
        </w:rPr>
        <w:t>5</w:t>
      </w:r>
    </w:p>
    <w:p w14:paraId="1B76EA29" w14:textId="24639527" w:rsidR="00102BA4" w:rsidRDefault="00102BA4" w:rsidP="00AB41E7">
      <w:pPr>
        <w:spacing w:after="0"/>
        <w:jc w:val="center"/>
        <w:rPr>
          <w:b/>
          <w:bCs/>
          <w:sz w:val="28"/>
          <w:szCs w:val="28"/>
        </w:rPr>
      </w:pPr>
      <w:r w:rsidRPr="00102BA4">
        <w:rPr>
          <w:b/>
          <w:bCs/>
          <w:sz w:val="28"/>
          <w:szCs w:val="28"/>
        </w:rPr>
        <w:t>(Digital Forensic Essentials)</w:t>
      </w:r>
    </w:p>
    <w:p w14:paraId="1A8EB05C" w14:textId="77777777" w:rsidR="00AB41E7" w:rsidRPr="00AB41E7" w:rsidRDefault="00AB41E7" w:rsidP="00AB41E7">
      <w:pPr>
        <w:spacing w:after="0"/>
        <w:jc w:val="center"/>
        <w:rPr>
          <w:b/>
          <w:bCs/>
          <w:sz w:val="28"/>
          <w:szCs w:val="28"/>
        </w:rPr>
      </w:pPr>
    </w:p>
    <w:p w14:paraId="3C01E2D6" w14:textId="77777777" w:rsidR="00102BA4" w:rsidRPr="00102BA4" w:rsidRDefault="00102BA4" w:rsidP="00102BA4">
      <w:r w:rsidRPr="00102BA4">
        <w:rPr>
          <w:b/>
          <w:bCs/>
        </w:rPr>
        <w:t>Location</w:t>
      </w:r>
      <w:proofErr w:type="gramStart"/>
      <w:r w:rsidRPr="00102BA4">
        <w:rPr>
          <w:b/>
          <w:bCs/>
        </w:rPr>
        <w:t>:  UNT</w:t>
      </w:r>
      <w:proofErr w:type="gramEnd"/>
      <w:r w:rsidRPr="00102BA4">
        <w:rPr>
          <w:b/>
          <w:bCs/>
        </w:rPr>
        <w:t xml:space="preserve"> Denton, Discovery Park B142</w:t>
      </w:r>
    </w:p>
    <w:p w14:paraId="2F681192" w14:textId="77777777" w:rsidR="00102BA4" w:rsidRPr="00102BA4" w:rsidRDefault="00102BA4" w:rsidP="00102BA4">
      <w:r w:rsidRPr="00102BA4">
        <w:rPr>
          <w:b/>
          <w:bCs/>
        </w:rPr>
        <w:t>Time</w:t>
      </w:r>
      <w:proofErr w:type="gramStart"/>
      <w:r w:rsidRPr="00102BA4">
        <w:rPr>
          <w:b/>
          <w:bCs/>
        </w:rPr>
        <w:t>:  Thursdays</w:t>
      </w:r>
      <w:proofErr w:type="gramEnd"/>
      <w:r w:rsidRPr="00102BA4">
        <w:rPr>
          <w:b/>
          <w:bCs/>
        </w:rPr>
        <w:t xml:space="preserve"> 5:30pm - 8:20pm, January 15th to April 30th (Final Exam)</w:t>
      </w:r>
    </w:p>
    <w:p w14:paraId="4676E21C" w14:textId="77777777" w:rsidR="00102BA4" w:rsidRPr="00102BA4" w:rsidRDefault="00102BA4" w:rsidP="00102BA4">
      <w:hyperlink r:id="rId5" w:tgtFrame="_blank" w:tooltip="Link" w:history="1">
        <w:r w:rsidRPr="00102BA4">
          <w:rPr>
            <w:rStyle w:val="Hyperlink"/>
          </w:rPr>
          <w:t>UNT Spring 2026 Calendar</w:t>
        </w:r>
      </w:hyperlink>
    </w:p>
    <w:p w14:paraId="2D12DFF4" w14:textId="77777777" w:rsidR="00102BA4" w:rsidRPr="00102BA4" w:rsidRDefault="00102BA4" w:rsidP="00AB41E7">
      <w:pPr>
        <w:spacing w:after="0" w:line="240" w:lineRule="auto"/>
      </w:pPr>
      <w:r w:rsidRPr="00102BA4">
        <w:rPr>
          <w:b/>
          <w:bCs/>
        </w:rPr>
        <w:t>Instructor Name</w:t>
      </w:r>
      <w:proofErr w:type="gramStart"/>
      <w:r w:rsidRPr="00102BA4">
        <w:rPr>
          <w:b/>
          <w:bCs/>
        </w:rPr>
        <w:t>:  Mark</w:t>
      </w:r>
      <w:proofErr w:type="gramEnd"/>
      <w:r w:rsidRPr="00102BA4">
        <w:rPr>
          <w:b/>
          <w:bCs/>
        </w:rPr>
        <w:t xml:space="preserve"> D. Hoffman - CISSP</w:t>
      </w:r>
    </w:p>
    <w:p w14:paraId="48266B62" w14:textId="77777777" w:rsidR="00102BA4" w:rsidRPr="00102BA4" w:rsidRDefault="00102BA4" w:rsidP="00AB41E7">
      <w:pPr>
        <w:spacing w:after="0" w:line="240" w:lineRule="auto"/>
      </w:pPr>
      <w:r w:rsidRPr="00102BA4">
        <w:rPr>
          <w:b/>
          <w:bCs/>
        </w:rPr>
        <w:t>Email: mark.hoffman@unt.edu</w:t>
      </w:r>
    </w:p>
    <w:p w14:paraId="04F25CFB" w14:textId="77777777" w:rsidR="00102BA4" w:rsidRDefault="00102BA4" w:rsidP="00AB41E7">
      <w:pPr>
        <w:spacing w:after="0" w:line="240" w:lineRule="auto"/>
        <w:rPr>
          <w:b/>
          <w:bCs/>
        </w:rPr>
      </w:pPr>
      <w:r w:rsidRPr="00102BA4">
        <w:rPr>
          <w:b/>
          <w:bCs/>
        </w:rPr>
        <w:t>Office Hours</w:t>
      </w:r>
      <w:proofErr w:type="gramStart"/>
      <w:r w:rsidRPr="00102BA4">
        <w:rPr>
          <w:b/>
          <w:bCs/>
        </w:rPr>
        <w:t>:  By</w:t>
      </w:r>
      <w:proofErr w:type="gramEnd"/>
      <w:r w:rsidRPr="00102BA4">
        <w:rPr>
          <w:b/>
          <w:bCs/>
        </w:rPr>
        <w:t xml:space="preserve"> Appointment Only</w:t>
      </w:r>
    </w:p>
    <w:p w14:paraId="5F592A64" w14:textId="1E342D12" w:rsidR="00AB41E7" w:rsidRPr="00102BA4" w:rsidRDefault="00AB41E7" w:rsidP="00AB41E7">
      <w:pPr>
        <w:spacing w:after="0" w:line="240" w:lineRule="auto"/>
      </w:pPr>
    </w:p>
    <w:p w14:paraId="60E5BC82" w14:textId="2FB85CAE" w:rsidR="00102BA4" w:rsidRPr="00102BA4" w:rsidRDefault="00102BA4" w:rsidP="00102BA4">
      <w:pPr>
        <w:rPr>
          <w:b/>
          <w:bCs/>
        </w:rPr>
      </w:pPr>
      <w:r w:rsidRPr="00102BA4">
        <w:rPr>
          <w:b/>
          <w:bCs/>
        </w:rPr>
        <w:t>Purpose of Class  </w:t>
      </w:r>
    </w:p>
    <w:p w14:paraId="687DB153" w14:textId="77777777" w:rsidR="00102BA4" w:rsidRPr="00102BA4" w:rsidRDefault="00102BA4" w:rsidP="00102BA4">
      <w:r w:rsidRPr="00102BA4">
        <w:t>This class is intended to train students to perform computer forensics measures that meet an established minimum standard for credentialing entry-level information security specialists, to inform the public that credentialed individuals meet or exceed these minimum standards, and to reinforce computer forensics as a unique and self-regulating profession.</w:t>
      </w:r>
    </w:p>
    <w:p w14:paraId="39089EC9" w14:textId="6319B764" w:rsidR="00102BA4" w:rsidRPr="00102BA4" w:rsidRDefault="00102BA4" w:rsidP="00102BA4">
      <w:pPr>
        <w:rPr>
          <w:b/>
          <w:bCs/>
        </w:rPr>
      </w:pPr>
      <w:r w:rsidRPr="00102BA4">
        <w:rPr>
          <w:b/>
          <w:bCs/>
        </w:rPr>
        <w:t>Course Objectives  </w:t>
      </w:r>
    </w:p>
    <w:p w14:paraId="1AC0527F" w14:textId="77777777" w:rsidR="00102BA4" w:rsidRPr="00102BA4" w:rsidRDefault="00102BA4" w:rsidP="00102BA4">
      <w:r w:rsidRPr="00102BA4">
        <w:t>Students who successfully complete this class will be able to:</w:t>
      </w:r>
    </w:p>
    <w:p w14:paraId="5F29A4EE" w14:textId="77777777" w:rsidR="00102BA4" w:rsidRPr="00102BA4" w:rsidRDefault="00102BA4" w:rsidP="00102BA4">
      <w:pPr>
        <w:numPr>
          <w:ilvl w:val="0"/>
          <w:numId w:val="9"/>
        </w:numPr>
      </w:pPr>
      <w:r w:rsidRPr="00102BA4">
        <w:t>Discuss the fundamental concepts of computer forensics, digital evidence, forensic readiness, identify the roles and responsibilities of a forensic investigator and review legal compliance issues in computer forensics.</w:t>
      </w:r>
    </w:p>
    <w:p w14:paraId="5BA933A6" w14:textId="77777777" w:rsidR="00102BA4" w:rsidRPr="00102BA4" w:rsidRDefault="00102BA4" w:rsidP="00102BA4">
      <w:pPr>
        <w:numPr>
          <w:ilvl w:val="0"/>
          <w:numId w:val="9"/>
        </w:numPr>
      </w:pPr>
      <w:r w:rsidRPr="00102BA4">
        <w:t>Examine the computer forensic investigation process and its phases.</w:t>
      </w:r>
    </w:p>
    <w:p w14:paraId="052F4472" w14:textId="77777777" w:rsidR="00102BA4" w:rsidRPr="00102BA4" w:rsidRDefault="00102BA4" w:rsidP="00102BA4">
      <w:pPr>
        <w:numPr>
          <w:ilvl w:val="0"/>
          <w:numId w:val="9"/>
        </w:numPr>
      </w:pPr>
      <w:r w:rsidRPr="00102BA4">
        <w:t>Describe different disk drives, characteristics, and logical structure, understand Windows, Linux, and Mac boot processes, and examine various file systems and</w:t>
      </w:r>
    </w:p>
    <w:p w14:paraId="0161746D" w14:textId="77777777" w:rsidR="00102BA4" w:rsidRPr="00102BA4" w:rsidRDefault="00102BA4" w:rsidP="00102BA4">
      <w:pPr>
        <w:numPr>
          <w:ilvl w:val="0"/>
          <w:numId w:val="9"/>
        </w:numPr>
      </w:pPr>
      <w:r w:rsidRPr="00102BA4">
        <w:t>Discuss data acquisition concepts, types, format, and</w:t>
      </w:r>
    </w:p>
    <w:p w14:paraId="12BC371E" w14:textId="77777777" w:rsidR="00102BA4" w:rsidRPr="00102BA4" w:rsidRDefault="00102BA4" w:rsidP="00102BA4">
      <w:pPr>
        <w:numPr>
          <w:ilvl w:val="0"/>
          <w:numId w:val="9"/>
        </w:numPr>
      </w:pPr>
      <w:r w:rsidRPr="00102BA4">
        <w:t>Examine various anti-forensics techniques and identify</w:t>
      </w:r>
    </w:p>
    <w:p w14:paraId="599B323F" w14:textId="77777777" w:rsidR="00102BA4" w:rsidRPr="00102BA4" w:rsidRDefault="00102BA4" w:rsidP="00102BA4">
      <w:pPr>
        <w:numPr>
          <w:ilvl w:val="0"/>
          <w:numId w:val="9"/>
        </w:numPr>
      </w:pPr>
      <w:r w:rsidRPr="00102BA4">
        <w:t>Examine various volatile and non-volatile information-gathering techniques for Windows, Linux, and macOS, including Windows memory and registry analysis, cache, cookie, and history analysis, and metadata investigation.</w:t>
      </w:r>
    </w:p>
    <w:p w14:paraId="31E370A5" w14:textId="77777777" w:rsidR="00102BA4" w:rsidRPr="00102BA4" w:rsidRDefault="00102BA4" w:rsidP="00102BA4">
      <w:pPr>
        <w:numPr>
          <w:ilvl w:val="0"/>
          <w:numId w:val="9"/>
        </w:numPr>
      </w:pPr>
      <w:r w:rsidRPr="00102BA4">
        <w:t>Explain network forensics fundamentals, event correlation, and perform network traffic investigation.</w:t>
      </w:r>
    </w:p>
    <w:p w14:paraId="7D652C53" w14:textId="77777777" w:rsidR="00102BA4" w:rsidRPr="00102BA4" w:rsidRDefault="00102BA4" w:rsidP="00102BA4">
      <w:pPr>
        <w:numPr>
          <w:ilvl w:val="0"/>
          <w:numId w:val="9"/>
        </w:numPr>
      </w:pPr>
      <w:r w:rsidRPr="00102BA4">
        <w:t>Comprehend web server logs and perform web application forensics to detect and investigate various attacks on web applications.</w:t>
      </w:r>
    </w:p>
    <w:p w14:paraId="2D6269CF" w14:textId="77777777" w:rsidR="00102BA4" w:rsidRPr="00102BA4" w:rsidRDefault="00102BA4" w:rsidP="00102BA4">
      <w:pPr>
        <w:numPr>
          <w:ilvl w:val="0"/>
          <w:numId w:val="9"/>
        </w:numPr>
      </w:pPr>
      <w:r w:rsidRPr="00102BA4">
        <w:t>Discuss the working of the dark web and email systems, and perform Dark Web, TOR browser, and email forensics.</w:t>
      </w:r>
    </w:p>
    <w:p w14:paraId="3381F534" w14:textId="77777777" w:rsidR="00102BA4" w:rsidRPr="00102BA4" w:rsidRDefault="00102BA4" w:rsidP="00102BA4">
      <w:pPr>
        <w:numPr>
          <w:ilvl w:val="0"/>
          <w:numId w:val="9"/>
        </w:numPr>
      </w:pPr>
      <w:r w:rsidRPr="00102BA4">
        <w:lastRenderedPageBreak/>
        <w:t xml:space="preserve">Discuss malware forensics fundamentals, list and perform different types of </w:t>
      </w:r>
      <w:proofErr w:type="gramStart"/>
      <w:r w:rsidRPr="00102BA4">
        <w:t>malware</w:t>
      </w:r>
      <w:proofErr w:type="gramEnd"/>
    </w:p>
    <w:p w14:paraId="1BA89EEA" w14:textId="34410075" w:rsidR="00102BA4" w:rsidRPr="00102BA4" w:rsidRDefault="00102BA4" w:rsidP="00102BA4">
      <w:pPr>
        <w:rPr>
          <w:b/>
          <w:bCs/>
        </w:rPr>
      </w:pPr>
      <w:r w:rsidRPr="00102BA4">
        <w:rPr>
          <w:b/>
          <w:bCs/>
        </w:rPr>
        <w:t>Course Grading Policy and Structure  </w:t>
      </w:r>
    </w:p>
    <w:p w14:paraId="35F2EEA4" w14:textId="77777777" w:rsidR="00102BA4" w:rsidRPr="00102BA4" w:rsidRDefault="00102BA4" w:rsidP="00102BA4">
      <w:r w:rsidRPr="00102BA4">
        <w:rPr>
          <w:b/>
          <w:bCs/>
        </w:rPr>
        <w:t>Point-grade breakdown:</w:t>
      </w:r>
    </w:p>
    <w:p w14:paraId="43B9D974" w14:textId="77777777" w:rsidR="00102BA4" w:rsidRPr="00102BA4" w:rsidRDefault="00102BA4" w:rsidP="00102BA4">
      <w:r w:rsidRPr="00102BA4">
        <w:t>The DFE Course grading structure will follow the Academic Grading Symbols and Quality Points Earned.</w:t>
      </w:r>
    </w:p>
    <w:tbl>
      <w:tblPr>
        <w:tblW w:w="466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1227"/>
        <w:gridCol w:w="1227"/>
        <w:gridCol w:w="4044"/>
        <w:gridCol w:w="2201"/>
      </w:tblGrid>
      <w:tr w:rsidR="00102BA4" w:rsidRPr="00102BA4" w14:paraId="4A90593A" w14:textId="77777777">
        <w:trPr>
          <w:trHeight w:val="780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4BD802BE" w14:textId="77777777" w:rsidR="00102BA4" w:rsidRPr="00102BA4" w:rsidRDefault="00102BA4" w:rsidP="00102BA4">
            <w:r w:rsidRPr="00102BA4">
              <w:rPr>
                <w:b/>
                <w:bCs/>
              </w:rPr>
              <w:t>Percentage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38EE176E" w14:textId="77777777" w:rsidR="00102BA4" w:rsidRPr="00102BA4" w:rsidRDefault="00102BA4" w:rsidP="00102BA4">
            <w:r w:rsidRPr="00102BA4">
              <w:rPr>
                <w:b/>
                <w:bCs/>
              </w:rPr>
              <w:t>Points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210599B9" w14:textId="77777777" w:rsidR="00102BA4" w:rsidRPr="00102BA4" w:rsidRDefault="00102BA4" w:rsidP="00102BA4">
            <w:r w:rsidRPr="00102BA4">
              <w:rPr>
                <w:b/>
                <w:bCs/>
              </w:rPr>
              <w:t>Grade</w:t>
            </w:r>
          </w:p>
        </w:tc>
        <w:tc>
          <w:tcPr>
            <w:tcW w:w="2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6EE721F9" w14:textId="77777777" w:rsidR="00102BA4" w:rsidRPr="00102BA4" w:rsidRDefault="00102BA4" w:rsidP="00102BA4">
            <w:r w:rsidRPr="00102BA4">
              <w:rPr>
                <w:b/>
                <w:bCs/>
              </w:rPr>
              <w:t>Comments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340F5082" w14:textId="77777777" w:rsidR="00102BA4" w:rsidRPr="00102BA4" w:rsidRDefault="00102BA4" w:rsidP="00102BA4">
            <w:r w:rsidRPr="00102BA4">
              <w:rPr>
                <w:b/>
                <w:bCs/>
              </w:rPr>
              <w:t>Quality Points Earned</w:t>
            </w:r>
          </w:p>
        </w:tc>
      </w:tr>
      <w:tr w:rsidR="00102BA4" w:rsidRPr="00102BA4" w14:paraId="5D111E80" w14:textId="77777777">
        <w:trPr>
          <w:trHeight w:val="780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BE349" w14:textId="77777777" w:rsidR="00102BA4" w:rsidRPr="00102BA4" w:rsidRDefault="00102BA4" w:rsidP="00102BA4">
            <w:r w:rsidRPr="00102BA4">
              <w:t>90–100%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B1980" w14:textId="77777777" w:rsidR="00102BA4" w:rsidRPr="00102BA4" w:rsidRDefault="00102BA4" w:rsidP="00102BA4">
            <w:r w:rsidRPr="00102BA4">
              <w:t>324-360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DFCE6" w14:textId="77777777" w:rsidR="00102BA4" w:rsidRPr="00102BA4" w:rsidRDefault="00102BA4" w:rsidP="00102BA4">
            <w:r w:rsidRPr="00102BA4">
              <w:t>A</w:t>
            </w:r>
          </w:p>
        </w:tc>
        <w:tc>
          <w:tcPr>
            <w:tcW w:w="2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BBC47" w14:textId="77777777" w:rsidR="00102BA4" w:rsidRPr="00102BA4" w:rsidRDefault="00102BA4" w:rsidP="00102BA4">
            <w:r w:rsidRPr="00102BA4">
              <w:t>Superior Attainment of Course Outcomes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2B687" w14:textId="77777777" w:rsidR="00102BA4" w:rsidRPr="00102BA4" w:rsidRDefault="00102BA4" w:rsidP="00102BA4">
            <w:r w:rsidRPr="00102BA4">
              <w:t>4.0</w:t>
            </w:r>
          </w:p>
        </w:tc>
      </w:tr>
      <w:tr w:rsidR="00102BA4" w:rsidRPr="00102BA4" w14:paraId="0082C696" w14:textId="77777777">
        <w:trPr>
          <w:trHeight w:val="780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BFCF2" w14:textId="77777777" w:rsidR="00102BA4" w:rsidRPr="00102BA4" w:rsidRDefault="00102BA4" w:rsidP="00102BA4">
            <w:r w:rsidRPr="00102BA4">
              <w:t>80–89%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3D80F" w14:textId="77777777" w:rsidR="00102BA4" w:rsidRPr="00102BA4" w:rsidRDefault="00102BA4" w:rsidP="00102BA4">
            <w:r w:rsidRPr="00102BA4">
              <w:t>288-323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492F0" w14:textId="77777777" w:rsidR="00102BA4" w:rsidRPr="00102BA4" w:rsidRDefault="00102BA4" w:rsidP="00102BA4">
            <w:r w:rsidRPr="00102BA4">
              <w:t>B</w:t>
            </w:r>
          </w:p>
        </w:tc>
        <w:tc>
          <w:tcPr>
            <w:tcW w:w="2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5D2B5" w14:textId="77777777" w:rsidR="00102BA4" w:rsidRPr="00102BA4" w:rsidRDefault="00102BA4" w:rsidP="00102BA4">
            <w:r w:rsidRPr="00102BA4">
              <w:t>Good Attainment of Course Outcomes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15B92" w14:textId="77777777" w:rsidR="00102BA4" w:rsidRPr="00102BA4" w:rsidRDefault="00102BA4" w:rsidP="00102BA4">
            <w:r w:rsidRPr="00102BA4">
              <w:t>3.0</w:t>
            </w:r>
          </w:p>
        </w:tc>
      </w:tr>
      <w:tr w:rsidR="00102BA4" w:rsidRPr="00102BA4" w14:paraId="06126A9B" w14:textId="77777777">
        <w:trPr>
          <w:trHeight w:val="1140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9141A" w14:textId="77777777" w:rsidR="00102BA4" w:rsidRPr="00102BA4" w:rsidRDefault="00102BA4" w:rsidP="00102BA4">
            <w:r w:rsidRPr="00102BA4">
              <w:t>70–79%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4F858" w14:textId="77777777" w:rsidR="00102BA4" w:rsidRPr="00102BA4" w:rsidRDefault="00102BA4" w:rsidP="00102BA4">
            <w:r w:rsidRPr="00102BA4">
              <w:t>252-287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83793" w14:textId="77777777" w:rsidR="00102BA4" w:rsidRPr="00102BA4" w:rsidRDefault="00102BA4" w:rsidP="00102BA4">
            <w:r w:rsidRPr="00102BA4">
              <w:t>C</w:t>
            </w:r>
          </w:p>
        </w:tc>
        <w:tc>
          <w:tcPr>
            <w:tcW w:w="2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8DE44" w14:textId="77777777" w:rsidR="00102BA4" w:rsidRPr="00102BA4" w:rsidRDefault="00102BA4" w:rsidP="00102BA4">
            <w:r w:rsidRPr="00102BA4">
              <w:t>Acceptable Attainment of Course Outcomes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3A4B4" w14:textId="77777777" w:rsidR="00102BA4" w:rsidRPr="00102BA4" w:rsidRDefault="00102BA4" w:rsidP="00102BA4">
            <w:r w:rsidRPr="00102BA4">
              <w:t>2.0</w:t>
            </w:r>
          </w:p>
        </w:tc>
      </w:tr>
      <w:tr w:rsidR="00102BA4" w:rsidRPr="00102BA4" w14:paraId="7FCBD3F4" w14:textId="77777777">
        <w:trPr>
          <w:trHeight w:val="780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06E4A" w14:textId="77777777" w:rsidR="00102BA4" w:rsidRPr="00102BA4" w:rsidRDefault="00102BA4" w:rsidP="00102BA4">
            <w:r w:rsidRPr="00102BA4">
              <w:t>60–69%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3C647" w14:textId="77777777" w:rsidR="00102BA4" w:rsidRPr="00102BA4" w:rsidRDefault="00102BA4" w:rsidP="00102BA4">
            <w:r w:rsidRPr="00102BA4">
              <w:t>216-251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A70E1" w14:textId="77777777" w:rsidR="00102BA4" w:rsidRPr="00102BA4" w:rsidRDefault="00102BA4" w:rsidP="00102BA4">
            <w:r w:rsidRPr="00102BA4">
              <w:t>D</w:t>
            </w:r>
          </w:p>
        </w:tc>
        <w:tc>
          <w:tcPr>
            <w:tcW w:w="2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92E79" w14:textId="77777777" w:rsidR="00102BA4" w:rsidRPr="00102BA4" w:rsidRDefault="00102BA4" w:rsidP="00102BA4">
            <w:r w:rsidRPr="00102BA4">
              <w:t>Poor Attainment of Course Outcomes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89D6A" w14:textId="77777777" w:rsidR="00102BA4" w:rsidRPr="00102BA4" w:rsidRDefault="00102BA4" w:rsidP="00102BA4">
            <w:r w:rsidRPr="00102BA4">
              <w:t>1.0</w:t>
            </w:r>
          </w:p>
        </w:tc>
      </w:tr>
      <w:tr w:rsidR="00102BA4" w:rsidRPr="00102BA4" w14:paraId="71BDD36C" w14:textId="77777777">
        <w:trPr>
          <w:trHeight w:val="780"/>
        </w:trPr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3FC9" w14:textId="77777777" w:rsidR="00102BA4" w:rsidRPr="00102BA4" w:rsidRDefault="00102BA4" w:rsidP="00102BA4">
            <w:r w:rsidRPr="00102BA4">
              <w:t>0–59%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EDD83" w14:textId="77777777" w:rsidR="00102BA4" w:rsidRPr="00102BA4" w:rsidRDefault="00102BA4" w:rsidP="00102BA4">
            <w:r w:rsidRPr="00102BA4">
              <w:t>000-215</w:t>
            </w:r>
          </w:p>
        </w:tc>
        <w:tc>
          <w:tcPr>
            <w:tcW w:w="6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495BF" w14:textId="77777777" w:rsidR="00102BA4" w:rsidRPr="00102BA4" w:rsidRDefault="00102BA4" w:rsidP="00102BA4">
            <w:r w:rsidRPr="00102BA4">
              <w:t>F</w:t>
            </w:r>
          </w:p>
        </w:tc>
        <w:tc>
          <w:tcPr>
            <w:tcW w:w="2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1B235" w14:textId="77777777" w:rsidR="00102BA4" w:rsidRPr="00102BA4" w:rsidRDefault="00102BA4" w:rsidP="00102BA4">
            <w:r w:rsidRPr="00102BA4">
              <w:t>Non-Attainment of Course Outcomes</w:t>
            </w:r>
          </w:p>
        </w:tc>
        <w:tc>
          <w:tcPr>
            <w:tcW w:w="1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E4B5C" w14:textId="77777777" w:rsidR="00102BA4" w:rsidRPr="00102BA4" w:rsidRDefault="00102BA4" w:rsidP="00102BA4">
            <w:r w:rsidRPr="00102BA4">
              <w:t>0.0</w:t>
            </w:r>
          </w:p>
        </w:tc>
      </w:tr>
    </w:tbl>
    <w:p w14:paraId="2DB0C92E" w14:textId="77777777" w:rsidR="00AB41E7" w:rsidRDefault="00AB41E7" w:rsidP="00102BA4">
      <w:pPr>
        <w:rPr>
          <w:b/>
          <w:bCs/>
        </w:rPr>
      </w:pPr>
    </w:p>
    <w:p w14:paraId="362B7E25" w14:textId="77777777" w:rsidR="00AB41E7" w:rsidRDefault="00AB41E7" w:rsidP="00102BA4">
      <w:pPr>
        <w:rPr>
          <w:b/>
          <w:bCs/>
        </w:rPr>
      </w:pPr>
    </w:p>
    <w:p w14:paraId="4E6F632D" w14:textId="77777777" w:rsidR="00AB41E7" w:rsidRDefault="00AB41E7" w:rsidP="00102BA4">
      <w:pPr>
        <w:rPr>
          <w:b/>
          <w:bCs/>
        </w:rPr>
      </w:pPr>
    </w:p>
    <w:p w14:paraId="0B3394BF" w14:textId="77777777" w:rsidR="00AB41E7" w:rsidRDefault="00AB41E7" w:rsidP="00102BA4">
      <w:pPr>
        <w:rPr>
          <w:b/>
          <w:bCs/>
        </w:rPr>
      </w:pPr>
    </w:p>
    <w:p w14:paraId="68B25BD9" w14:textId="77777777" w:rsidR="00AB41E7" w:rsidRDefault="00AB41E7" w:rsidP="00102BA4">
      <w:pPr>
        <w:rPr>
          <w:b/>
          <w:bCs/>
        </w:rPr>
      </w:pPr>
    </w:p>
    <w:p w14:paraId="0243324F" w14:textId="77777777" w:rsidR="00AB41E7" w:rsidRDefault="00AB41E7" w:rsidP="00102BA4">
      <w:pPr>
        <w:rPr>
          <w:b/>
          <w:bCs/>
        </w:rPr>
      </w:pPr>
    </w:p>
    <w:p w14:paraId="1A64CF9F" w14:textId="1D7A9217" w:rsidR="00102BA4" w:rsidRPr="00102BA4" w:rsidRDefault="00102BA4" w:rsidP="00102BA4">
      <w:r w:rsidRPr="00102BA4">
        <w:rPr>
          <w:b/>
          <w:bCs/>
        </w:rPr>
        <w:t>DFE Grading Structure:</w:t>
      </w:r>
    </w:p>
    <w:tbl>
      <w:tblPr>
        <w:tblW w:w="468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2702"/>
        <w:gridCol w:w="3902"/>
        <w:gridCol w:w="2110"/>
      </w:tblGrid>
      <w:tr w:rsidR="00102BA4" w:rsidRPr="00102BA4" w14:paraId="4DF9D227" w14:textId="77777777">
        <w:trPr>
          <w:trHeight w:val="780"/>
          <w:tblCellSpacing w:w="15" w:type="dxa"/>
        </w:trPr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287DC421" w14:textId="77777777" w:rsidR="00102BA4" w:rsidRPr="00102BA4" w:rsidRDefault="00102BA4" w:rsidP="00102BA4">
            <w:r w:rsidRPr="00102BA4">
              <w:rPr>
                <w:b/>
                <w:bCs/>
              </w:rPr>
              <w:t>S. No.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7BD9F6C2" w14:textId="77777777" w:rsidR="00102BA4" w:rsidRPr="00102BA4" w:rsidRDefault="00102BA4" w:rsidP="00102BA4">
            <w:r w:rsidRPr="00102BA4">
              <w:rPr>
                <w:b/>
                <w:bCs/>
              </w:rPr>
              <w:t>Assessment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73DC6955" w14:textId="77777777" w:rsidR="00102BA4" w:rsidRPr="00102BA4" w:rsidRDefault="00102BA4" w:rsidP="00102BA4">
            <w:r w:rsidRPr="00102BA4">
              <w:rPr>
                <w:b/>
                <w:bCs/>
              </w:rPr>
              <w:t>Details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69C1E1A1" w14:textId="77777777" w:rsidR="00102BA4" w:rsidRPr="00102BA4" w:rsidRDefault="00102BA4" w:rsidP="00102BA4">
            <w:r w:rsidRPr="00102BA4">
              <w:rPr>
                <w:b/>
                <w:bCs/>
              </w:rPr>
              <w:t>Points</w:t>
            </w:r>
          </w:p>
        </w:tc>
      </w:tr>
      <w:tr w:rsidR="00102BA4" w:rsidRPr="00102BA4" w14:paraId="1E45EE47" w14:textId="77777777">
        <w:trPr>
          <w:trHeight w:val="1140"/>
          <w:tblCellSpacing w:w="15" w:type="dxa"/>
        </w:trPr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FF4E5" w14:textId="77777777" w:rsidR="00102BA4" w:rsidRPr="00102BA4" w:rsidRDefault="00102BA4" w:rsidP="00102BA4">
            <w:r w:rsidRPr="00102BA4">
              <w:t>2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296B0" w14:textId="77777777" w:rsidR="00102BA4" w:rsidRPr="00102BA4" w:rsidRDefault="00102BA4" w:rsidP="00102BA4">
            <w:r w:rsidRPr="00102BA4">
              <w:rPr>
                <w:b/>
                <w:bCs/>
              </w:rPr>
              <w:t>Assignments from Reading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B98D5" w14:textId="77777777" w:rsidR="00102BA4" w:rsidRPr="00102BA4" w:rsidRDefault="00102BA4" w:rsidP="00102BA4">
            <w:r w:rsidRPr="00102BA4">
              <w:t>There are 13 Readings (each question is worth 6 pts.)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2F460" w14:textId="77777777" w:rsidR="00102BA4" w:rsidRPr="00102BA4" w:rsidRDefault="00102BA4" w:rsidP="00102BA4">
            <w:r w:rsidRPr="00102BA4">
              <w:rPr>
                <w:b/>
                <w:bCs/>
              </w:rPr>
              <w:t>78</w:t>
            </w:r>
          </w:p>
        </w:tc>
      </w:tr>
      <w:tr w:rsidR="00102BA4" w:rsidRPr="00102BA4" w14:paraId="754F8444" w14:textId="77777777">
        <w:trPr>
          <w:trHeight w:val="780"/>
          <w:tblCellSpacing w:w="15" w:type="dxa"/>
        </w:trPr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2E6BE" w14:textId="77777777" w:rsidR="00102BA4" w:rsidRPr="00102BA4" w:rsidRDefault="00102BA4" w:rsidP="00102BA4">
            <w:r w:rsidRPr="00102BA4">
              <w:t>3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AF5C4" w14:textId="77777777" w:rsidR="00102BA4" w:rsidRPr="00102BA4" w:rsidRDefault="00102BA4" w:rsidP="00102BA4">
            <w:r w:rsidRPr="00102BA4">
              <w:rPr>
                <w:b/>
                <w:bCs/>
              </w:rPr>
              <w:t>Lab Assignments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34C07" w14:textId="77777777" w:rsidR="00102BA4" w:rsidRPr="00102BA4" w:rsidRDefault="00102BA4" w:rsidP="00102BA4">
            <w:r w:rsidRPr="00102BA4">
              <w:t>There are 11 lab assignments, and points may vary per lab assignment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86AA1" w14:textId="77777777" w:rsidR="00102BA4" w:rsidRPr="00102BA4" w:rsidRDefault="00102BA4" w:rsidP="00102BA4">
            <w:r w:rsidRPr="00102BA4">
              <w:rPr>
                <w:b/>
                <w:bCs/>
              </w:rPr>
              <w:t>104</w:t>
            </w:r>
          </w:p>
        </w:tc>
      </w:tr>
      <w:tr w:rsidR="00102BA4" w:rsidRPr="00102BA4" w14:paraId="26AF72DB" w14:textId="77777777">
        <w:trPr>
          <w:trHeight w:val="780"/>
          <w:tblCellSpacing w:w="15" w:type="dxa"/>
        </w:trPr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2267C" w14:textId="77777777" w:rsidR="00102BA4" w:rsidRPr="00102BA4" w:rsidRDefault="00102BA4" w:rsidP="00102BA4">
            <w:r w:rsidRPr="00102BA4">
              <w:lastRenderedPageBreak/>
              <w:t>4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B073D" w14:textId="77777777" w:rsidR="00102BA4" w:rsidRPr="00102BA4" w:rsidRDefault="00102BA4" w:rsidP="00102BA4">
            <w:r w:rsidRPr="00102BA4">
              <w:rPr>
                <w:b/>
                <w:bCs/>
              </w:rPr>
              <w:t>Course Quizzes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17EBD" w14:textId="77777777" w:rsidR="00102BA4" w:rsidRPr="00102BA4" w:rsidRDefault="00102BA4" w:rsidP="00102BA4">
            <w:r w:rsidRPr="00102BA4">
              <w:t>There are 28 quiz questions (each question is worth 1 pt.)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7C864" w14:textId="77777777" w:rsidR="00102BA4" w:rsidRPr="00102BA4" w:rsidRDefault="00102BA4" w:rsidP="00102BA4">
            <w:r w:rsidRPr="00102BA4">
              <w:rPr>
                <w:b/>
                <w:bCs/>
              </w:rPr>
              <w:t>28</w:t>
            </w:r>
          </w:p>
        </w:tc>
      </w:tr>
      <w:tr w:rsidR="00102BA4" w:rsidRPr="00102BA4" w14:paraId="7FD5030A" w14:textId="77777777">
        <w:trPr>
          <w:trHeight w:val="780"/>
          <w:tblCellSpacing w:w="15" w:type="dxa"/>
        </w:trPr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60853" w14:textId="77777777" w:rsidR="00102BA4" w:rsidRPr="00102BA4" w:rsidRDefault="00102BA4" w:rsidP="00102BA4">
            <w:r w:rsidRPr="00102BA4">
              <w:t>5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A224B" w14:textId="77777777" w:rsidR="00102BA4" w:rsidRPr="00102BA4" w:rsidRDefault="00102BA4" w:rsidP="00102BA4">
            <w:r w:rsidRPr="00102BA4">
              <w:rPr>
                <w:b/>
                <w:bCs/>
              </w:rPr>
              <w:t>Research Project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27A0A" w14:textId="77777777" w:rsidR="00102BA4" w:rsidRPr="00102BA4" w:rsidRDefault="00102BA4" w:rsidP="00102BA4">
            <w:r w:rsidRPr="00102BA4">
              <w:t>There is 1 Research Project (worth 50 pts.)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0AB37" w14:textId="77777777" w:rsidR="00102BA4" w:rsidRPr="00102BA4" w:rsidRDefault="00102BA4" w:rsidP="00102BA4">
            <w:r w:rsidRPr="00102BA4">
              <w:rPr>
                <w:b/>
                <w:bCs/>
              </w:rPr>
              <w:t>50</w:t>
            </w:r>
          </w:p>
        </w:tc>
      </w:tr>
      <w:tr w:rsidR="00102BA4" w:rsidRPr="00102BA4" w14:paraId="76096502" w14:textId="77777777">
        <w:trPr>
          <w:trHeight w:val="780"/>
          <w:tblCellSpacing w:w="15" w:type="dxa"/>
        </w:trPr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2A154" w14:textId="77777777" w:rsidR="00102BA4" w:rsidRPr="00102BA4" w:rsidRDefault="00102BA4" w:rsidP="00102BA4">
            <w:r w:rsidRPr="00102BA4">
              <w:t>6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3CF61" w14:textId="77777777" w:rsidR="00102BA4" w:rsidRPr="00102BA4" w:rsidRDefault="00102BA4" w:rsidP="00102BA4">
            <w:r w:rsidRPr="00102BA4">
              <w:rPr>
                <w:b/>
                <w:bCs/>
              </w:rPr>
              <w:t>Final Exam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7C177" w14:textId="77777777" w:rsidR="00102BA4" w:rsidRPr="00102BA4" w:rsidRDefault="00102BA4" w:rsidP="00102BA4">
            <w:r w:rsidRPr="00102BA4">
              <w:t>There is 1 Final Exam (worth 100 pts.)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5A435" w14:textId="77777777" w:rsidR="00102BA4" w:rsidRPr="00102BA4" w:rsidRDefault="00102BA4" w:rsidP="00102BA4">
            <w:r w:rsidRPr="00102BA4">
              <w:rPr>
                <w:b/>
                <w:bCs/>
              </w:rPr>
              <w:t>100</w:t>
            </w:r>
          </w:p>
        </w:tc>
      </w:tr>
      <w:tr w:rsidR="00102BA4" w:rsidRPr="00102BA4" w14:paraId="7BFE76F4" w14:textId="77777777">
        <w:trPr>
          <w:trHeight w:val="780"/>
          <w:tblCellSpacing w:w="15" w:type="dxa"/>
        </w:trPr>
        <w:tc>
          <w:tcPr>
            <w:tcW w:w="207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5032C" w14:textId="77777777" w:rsidR="00102BA4" w:rsidRPr="00102BA4" w:rsidRDefault="00102BA4" w:rsidP="00102BA4">
            <w:r w:rsidRPr="00102BA4">
              <w:rPr>
                <w:b/>
                <w:bCs/>
              </w:rPr>
              <w:t>Total Points: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79C27" w14:textId="77777777" w:rsidR="00102BA4" w:rsidRPr="00102BA4" w:rsidRDefault="00102BA4" w:rsidP="00102BA4">
            <w:r w:rsidRPr="00102BA4">
              <w:rPr>
                <w:b/>
                <w:bCs/>
              </w:rPr>
              <w:t>360</w:t>
            </w:r>
          </w:p>
        </w:tc>
      </w:tr>
    </w:tbl>
    <w:p w14:paraId="6C267955" w14:textId="77777777" w:rsidR="00102BA4" w:rsidRPr="00102BA4" w:rsidRDefault="00102BA4" w:rsidP="00102BA4">
      <w:r w:rsidRPr="00102BA4">
        <w:rPr>
          <w:b/>
          <w:bCs/>
        </w:rPr>
        <w:t>NOTE: Each week you will have assessments that you must complete for class credit.</w:t>
      </w:r>
    </w:p>
    <w:p w14:paraId="1B09941D" w14:textId="17C7D0DE" w:rsidR="00102BA4" w:rsidRPr="00102BA4" w:rsidRDefault="00AB41E7" w:rsidP="00102BA4">
      <w:pPr>
        <w:rPr>
          <w:b/>
          <w:bCs/>
        </w:rPr>
      </w:pPr>
      <w:r>
        <w:rPr>
          <w:b/>
          <w:bCs/>
        </w:rPr>
        <w:t>Course</w:t>
      </w:r>
      <w:r w:rsidR="00102BA4" w:rsidRPr="00102BA4">
        <w:rPr>
          <w:b/>
          <w:bCs/>
        </w:rPr>
        <w:t xml:space="preserve"> O</w:t>
      </w:r>
      <w:r>
        <w:rPr>
          <w:b/>
          <w:bCs/>
        </w:rPr>
        <w:t>bjectives</w:t>
      </w:r>
      <w:r w:rsidR="00102BA4" w:rsidRPr="00102BA4">
        <w:rPr>
          <w:b/>
          <w:bCs/>
        </w:rPr>
        <w:t>:  </w:t>
      </w:r>
    </w:p>
    <w:p w14:paraId="5983D51B" w14:textId="77777777" w:rsidR="00102BA4" w:rsidRPr="00102BA4" w:rsidRDefault="00102BA4" w:rsidP="00102BA4">
      <w:pPr>
        <w:numPr>
          <w:ilvl w:val="0"/>
          <w:numId w:val="11"/>
        </w:numPr>
      </w:pPr>
      <w:r w:rsidRPr="00102BA4">
        <w:t>Application of technical strategies, tools, and techniques to secure data and information for a customer or client</w:t>
      </w:r>
    </w:p>
    <w:p w14:paraId="31934BF8" w14:textId="77777777" w:rsidR="00102BA4" w:rsidRPr="00102BA4" w:rsidRDefault="00102BA4" w:rsidP="00102BA4">
      <w:pPr>
        <w:numPr>
          <w:ilvl w:val="0"/>
          <w:numId w:val="11"/>
        </w:numPr>
      </w:pPr>
      <w:r w:rsidRPr="00102BA4">
        <w:t>Adherence to a high standard of ethical behavior</w:t>
      </w:r>
    </w:p>
    <w:p w14:paraId="7AD636CB" w14:textId="77777777" w:rsidR="00102BA4" w:rsidRPr="00102BA4" w:rsidRDefault="00102BA4" w:rsidP="00102BA4">
      <w:pPr>
        <w:numPr>
          <w:ilvl w:val="0"/>
          <w:numId w:val="11"/>
        </w:numPr>
      </w:pPr>
      <w:r w:rsidRPr="00102BA4">
        <w:t>Use of research in both established venues and innovative applications to expand the body of knowledge in information assurance</w:t>
      </w:r>
    </w:p>
    <w:p w14:paraId="0700F173" w14:textId="77777777" w:rsidR="00102BA4" w:rsidRPr="00102BA4" w:rsidRDefault="00102BA4" w:rsidP="00102BA4">
      <w:pPr>
        <w:numPr>
          <w:ilvl w:val="0"/>
          <w:numId w:val="11"/>
        </w:numPr>
      </w:pPr>
      <w:r w:rsidRPr="00102BA4">
        <w:t>Application of principles of critical thinking to creatively and systematically solve the problems and meet the challenges of the ever-changing environments of cybersecurity</w:t>
      </w:r>
    </w:p>
    <w:p w14:paraId="4A3B8B3D" w14:textId="77777777" w:rsidR="00102BA4" w:rsidRPr="00102BA4" w:rsidRDefault="00102BA4" w:rsidP="00102BA4">
      <w:pPr>
        <w:numPr>
          <w:ilvl w:val="0"/>
          <w:numId w:val="11"/>
        </w:numPr>
      </w:pPr>
      <w:r w:rsidRPr="00102BA4">
        <w:t>Mastery of the skills necessary to move into leadership roles in companies, agencies, divisions, or departments</w:t>
      </w:r>
    </w:p>
    <w:p w14:paraId="29C6D30B" w14:textId="5FDA9894" w:rsidR="00102BA4" w:rsidRPr="00102BA4" w:rsidRDefault="00102BA4" w:rsidP="00102BA4">
      <w:pPr>
        <w:rPr>
          <w:b/>
          <w:bCs/>
        </w:rPr>
      </w:pPr>
      <w:r w:rsidRPr="00102BA4">
        <w:rPr>
          <w:b/>
          <w:bCs/>
        </w:rPr>
        <w:t xml:space="preserve">Learning </w:t>
      </w:r>
      <w:proofErr w:type="gramStart"/>
      <w:r w:rsidRPr="00102BA4">
        <w:rPr>
          <w:b/>
          <w:bCs/>
        </w:rPr>
        <w:t>Standards  </w:t>
      </w:r>
      <w:r w:rsidR="00AB41E7">
        <w:rPr>
          <w:b/>
          <w:bCs/>
        </w:rPr>
        <w:t>-</w:t>
      </w:r>
      <w:proofErr w:type="gramEnd"/>
      <w:r w:rsidR="00AB41E7">
        <w:rPr>
          <w:b/>
          <w:bCs/>
        </w:rPr>
        <w:t xml:space="preserve"> </w:t>
      </w:r>
      <w:r w:rsidRPr="00102BA4">
        <w:rPr>
          <w:b/>
          <w:bCs/>
        </w:rPr>
        <w:t>Four Standards of Performance  </w:t>
      </w:r>
    </w:p>
    <w:p w14:paraId="4B9B196C" w14:textId="77777777" w:rsidR="00102BA4" w:rsidRPr="00102BA4" w:rsidRDefault="00102BA4" w:rsidP="00102BA4">
      <w:r w:rsidRPr="00102BA4">
        <w:t>Always use these performance standards anytime you author a research paper, respond to a case study, or answer discussion threads.</w:t>
      </w:r>
    </w:p>
    <w:p w14:paraId="182B2891" w14:textId="77777777" w:rsidR="00102BA4" w:rsidRPr="00102BA4" w:rsidRDefault="00102BA4" w:rsidP="00102BA4">
      <w:r w:rsidRPr="00102BA4">
        <w:t xml:space="preserve">The following </w:t>
      </w:r>
      <w:r w:rsidRPr="00102BA4">
        <w:rPr>
          <w:b/>
          <w:bCs/>
        </w:rPr>
        <w:t>Four Standards of Performance,</w:t>
      </w:r>
      <w:r w:rsidRPr="00102BA4">
        <w:t xml:space="preserve"> when used completely, will produce </w:t>
      </w:r>
      <w:proofErr w:type="gramStart"/>
      <w:r w:rsidRPr="00102BA4">
        <w:t>an excellent</w:t>
      </w:r>
      <w:proofErr w:type="gramEnd"/>
      <w:r w:rsidRPr="00102BA4">
        <w:t xml:space="preserve"> paper:</w:t>
      </w:r>
    </w:p>
    <w:p w14:paraId="4ABFFE78" w14:textId="77777777" w:rsidR="00102BA4" w:rsidRPr="00102BA4" w:rsidRDefault="00102BA4" w:rsidP="00102BA4">
      <w:pPr>
        <w:numPr>
          <w:ilvl w:val="0"/>
          <w:numId w:val="12"/>
        </w:numPr>
      </w:pPr>
      <w:r w:rsidRPr="00102BA4">
        <w:rPr>
          <w:b/>
          <w:bCs/>
        </w:rPr>
        <w:t xml:space="preserve">Depth of Reflection: </w:t>
      </w:r>
      <w:r w:rsidRPr="00102BA4">
        <w:t>Demonstrate a conscious and thorough understanding of the writing prompt and subject matter; analyze the evidence from several perspectives; and draw conclusions based on evidence, research, and experience.</w:t>
      </w:r>
    </w:p>
    <w:p w14:paraId="4292197C" w14:textId="77777777" w:rsidR="00102BA4" w:rsidRPr="00102BA4" w:rsidRDefault="00102BA4" w:rsidP="00102BA4">
      <w:pPr>
        <w:numPr>
          <w:ilvl w:val="0"/>
          <w:numId w:val="12"/>
        </w:numPr>
      </w:pPr>
      <w:r w:rsidRPr="00102BA4">
        <w:rPr>
          <w:b/>
          <w:bCs/>
        </w:rPr>
        <w:t xml:space="preserve">Sequencing Information: </w:t>
      </w:r>
      <w:r w:rsidRPr="00102BA4">
        <w:t>Ensure that your work has a clear and appropriate beginning, development, and conclusion; information is organized clearly and logically; and paragraphing and transitions are adequate.</w:t>
      </w:r>
    </w:p>
    <w:p w14:paraId="79E8865B" w14:textId="77777777" w:rsidR="00102BA4" w:rsidRPr="00102BA4" w:rsidRDefault="00102BA4" w:rsidP="00102BA4">
      <w:pPr>
        <w:numPr>
          <w:ilvl w:val="0"/>
          <w:numId w:val="12"/>
        </w:numPr>
      </w:pPr>
      <w:r w:rsidRPr="00102BA4">
        <w:rPr>
          <w:b/>
          <w:bCs/>
        </w:rPr>
        <w:t xml:space="preserve">Conclusions: </w:t>
      </w:r>
      <w:r w:rsidRPr="00102BA4">
        <w:t>Draw conclusions based on evidence, research, or experience, and use the context of your readings and your assumptions.</w:t>
      </w:r>
    </w:p>
    <w:p w14:paraId="687748DE" w14:textId="77777777" w:rsidR="00102BA4" w:rsidRPr="00102BA4" w:rsidRDefault="00102BA4" w:rsidP="00102BA4">
      <w:pPr>
        <w:numPr>
          <w:ilvl w:val="0"/>
          <w:numId w:val="12"/>
        </w:numPr>
      </w:pPr>
      <w:r w:rsidRPr="00102BA4">
        <w:rPr>
          <w:b/>
          <w:bCs/>
        </w:rPr>
        <w:t>Language Use:</w:t>
      </w:r>
      <w:r w:rsidRPr="00102BA4">
        <w:t xml:space="preserve"> Use sophisticated language that is precise and interesting, with grammatical sentence structure.</w:t>
      </w:r>
    </w:p>
    <w:p w14:paraId="43335792" w14:textId="61E77877" w:rsidR="00102BA4" w:rsidRPr="00102BA4" w:rsidRDefault="00102BA4" w:rsidP="00102BA4">
      <w:pPr>
        <w:rPr>
          <w:b/>
          <w:bCs/>
        </w:rPr>
      </w:pPr>
      <w:r w:rsidRPr="00102BA4">
        <w:rPr>
          <w:b/>
          <w:bCs/>
        </w:rPr>
        <w:lastRenderedPageBreak/>
        <w:t>Additional Notes and Expectations  </w:t>
      </w:r>
    </w:p>
    <w:p w14:paraId="55F6E6C1" w14:textId="77777777" w:rsidR="00102BA4" w:rsidRPr="00102BA4" w:rsidRDefault="00102BA4" w:rsidP="00102BA4">
      <w:pPr>
        <w:rPr>
          <w:b/>
          <w:bCs/>
        </w:rPr>
      </w:pPr>
      <w:r w:rsidRPr="00102BA4">
        <w:rPr>
          <w:b/>
          <w:bCs/>
        </w:rPr>
        <w:t>Late Assignments  </w:t>
      </w:r>
    </w:p>
    <w:p w14:paraId="7BFF578C" w14:textId="77777777" w:rsidR="00102BA4" w:rsidRPr="00102BA4" w:rsidRDefault="00102BA4" w:rsidP="00102BA4">
      <w:r w:rsidRPr="00102BA4">
        <w:t>Late assignments are not in the student's best interest</w:t>
      </w:r>
      <w:proofErr w:type="gramStart"/>
      <w:r w:rsidRPr="00102BA4">
        <w:t xml:space="preserve">. </w:t>
      </w:r>
      <w:proofErr w:type="gramEnd"/>
      <w:r w:rsidRPr="00102BA4">
        <w:t>If you have a problem that will not allow you to complete the assignments in a timely manner, please send the instructor an immediate request and explanation</w:t>
      </w:r>
      <w:proofErr w:type="gramStart"/>
      <w:r w:rsidRPr="00102BA4">
        <w:t xml:space="preserve">. </w:t>
      </w:r>
      <w:proofErr w:type="gramEnd"/>
      <w:r w:rsidRPr="00102BA4">
        <w:t>It is the instructor’s option, decision, and discretion to accept or reject the student’s request</w:t>
      </w:r>
      <w:proofErr w:type="gramStart"/>
      <w:r w:rsidRPr="00102BA4">
        <w:t xml:space="preserve">. </w:t>
      </w:r>
      <w:proofErr w:type="gramEnd"/>
      <w:r w:rsidRPr="00102BA4">
        <w:t>Continued requests will not be accepted, and the student may be dropped from the course at the instructor’s direction.</w:t>
      </w:r>
    </w:p>
    <w:p w14:paraId="4688765B" w14:textId="77777777" w:rsidR="00102BA4" w:rsidRPr="00102BA4" w:rsidRDefault="00102BA4" w:rsidP="00102BA4">
      <w:r w:rsidRPr="00102BA4">
        <w:rPr>
          <w:b/>
          <w:bCs/>
        </w:rPr>
        <w:t>Course Policies on Cheating and Plagiarism</w:t>
      </w:r>
      <w:r w:rsidRPr="00102BA4">
        <w:t xml:space="preserve"> </w:t>
      </w:r>
    </w:p>
    <w:p w14:paraId="7C3148D6" w14:textId="77777777" w:rsidR="00102BA4" w:rsidRPr="00102BA4" w:rsidRDefault="00102BA4" w:rsidP="00102BA4">
      <w:r w:rsidRPr="00102BA4">
        <w:t>As a model of the highest ethical standards and as an institution of higher learning, the University expects its students to conduct themselves with an unquestionable level of honesty and integrity</w:t>
      </w:r>
      <w:proofErr w:type="gramStart"/>
      <w:r w:rsidRPr="00102BA4">
        <w:t xml:space="preserve">. </w:t>
      </w:r>
      <w:proofErr w:type="gramEnd"/>
      <w:r w:rsidRPr="00102BA4">
        <w:t>The University will not tolerate academic cheating or plagiarism in any form</w:t>
      </w:r>
      <w:proofErr w:type="gramStart"/>
      <w:r w:rsidRPr="00102BA4">
        <w:t xml:space="preserve">. </w:t>
      </w:r>
      <w:proofErr w:type="gramEnd"/>
      <w:r w:rsidRPr="00102BA4">
        <w:t>Learning to think and work independently is an educational process</w:t>
      </w:r>
      <w:proofErr w:type="gramStart"/>
      <w:r w:rsidRPr="00102BA4">
        <w:t xml:space="preserve">. </w:t>
      </w:r>
      <w:proofErr w:type="gramEnd"/>
      <w:r w:rsidRPr="00102BA4">
        <w:t>Cheating or plagiarism in any form is considered a serious violation of university policy, which each student agreed to when accepted into the program</w:t>
      </w:r>
      <w:proofErr w:type="gramStart"/>
      <w:r w:rsidRPr="00102BA4">
        <w:t xml:space="preserve">. </w:t>
      </w:r>
      <w:proofErr w:type="gramEnd"/>
      <w:r w:rsidRPr="00102BA4">
        <w:t>Student academic behaviors that violate the university policy will result in disciplinary action without exception.</w:t>
      </w:r>
    </w:p>
    <w:p w14:paraId="09C43A66" w14:textId="1E1A0C36" w:rsidR="00102BA4" w:rsidRPr="00102BA4" w:rsidRDefault="00102BA4" w:rsidP="00102BA4">
      <w:r w:rsidRPr="00102BA4">
        <w:t>Some examples of cheating and plagiarism include</w:t>
      </w:r>
      <w:r w:rsidR="00AB41E7">
        <w:t>,</w:t>
      </w:r>
      <w:r w:rsidRPr="00102BA4">
        <w:t xml:space="preserve"> but are not limited to:</w:t>
      </w:r>
    </w:p>
    <w:tbl>
      <w:tblPr>
        <w:tblW w:w="483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4"/>
        <w:gridCol w:w="5214"/>
      </w:tblGrid>
      <w:tr w:rsidR="00102BA4" w:rsidRPr="00102BA4" w14:paraId="70CDB86E" w14:textId="77777777">
        <w:tc>
          <w:tcPr>
            <w:tcW w:w="2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109E2" w14:textId="77777777" w:rsidR="00102BA4" w:rsidRPr="00102BA4" w:rsidRDefault="00102BA4" w:rsidP="00102BA4">
            <w:pPr>
              <w:rPr>
                <w:b/>
                <w:bCs/>
              </w:rPr>
            </w:pPr>
            <w:r w:rsidRPr="00102BA4">
              <w:rPr>
                <w:b/>
                <w:bCs/>
              </w:rPr>
              <w:t>Cheating</w:t>
            </w:r>
          </w:p>
        </w:tc>
        <w:tc>
          <w:tcPr>
            <w:tcW w:w="2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51118" w14:textId="77777777" w:rsidR="00102BA4" w:rsidRPr="00102BA4" w:rsidRDefault="00102BA4" w:rsidP="00102BA4">
            <w:r w:rsidRPr="00102BA4">
              <w:t>Use of material, information, or study aids not permitted by the faculty</w:t>
            </w:r>
          </w:p>
        </w:tc>
      </w:tr>
      <w:tr w:rsidR="00102BA4" w:rsidRPr="00102BA4" w14:paraId="1AF75E7A" w14:textId="77777777" w:rsidTr="00AB41E7">
        <w:trPr>
          <w:trHeight w:val="1005"/>
        </w:trPr>
        <w:tc>
          <w:tcPr>
            <w:tcW w:w="2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957C3" w14:textId="77777777" w:rsidR="00102BA4" w:rsidRPr="00102BA4" w:rsidRDefault="00102BA4" w:rsidP="00102BA4">
            <w:pPr>
              <w:rPr>
                <w:b/>
                <w:bCs/>
              </w:rPr>
            </w:pPr>
            <w:r w:rsidRPr="00102BA4">
              <w:rPr>
                <w:b/>
                <w:bCs/>
              </w:rPr>
              <w:t>Plagiarism</w:t>
            </w:r>
          </w:p>
        </w:tc>
        <w:tc>
          <w:tcPr>
            <w:tcW w:w="2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89ACD" w14:textId="77777777" w:rsidR="00102BA4" w:rsidRPr="00102BA4" w:rsidRDefault="00102BA4" w:rsidP="00102BA4">
            <w:r w:rsidRPr="00102BA4">
              <w:t>Use of another’s words or ideas without acknowledging the source of the information</w:t>
            </w:r>
          </w:p>
        </w:tc>
      </w:tr>
      <w:tr w:rsidR="00102BA4" w:rsidRPr="00102BA4" w14:paraId="08C71AC5" w14:textId="77777777">
        <w:tc>
          <w:tcPr>
            <w:tcW w:w="2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0240C" w14:textId="77777777" w:rsidR="00102BA4" w:rsidRPr="00102BA4" w:rsidRDefault="00102BA4" w:rsidP="00102BA4">
            <w:pPr>
              <w:rPr>
                <w:b/>
                <w:bCs/>
              </w:rPr>
            </w:pPr>
            <w:r w:rsidRPr="00102BA4">
              <w:rPr>
                <w:b/>
                <w:bCs/>
              </w:rPr>
              <w:t>Falsification or Fabrication</w:t>
            </w:r>
          </w:p>
        </w:tc>
        <w:tc>
          <w:tcPr>
            <w:tcW w:w="2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39CE6" w14:textId="77777777" w:rsidR="00102BA4" w:rsidRPr="00102BA4" w:rsidRDefault="00102BA4" w:rsidP="00102BA4">
            <w:r w:rsidRPr="00102BA4">
              <w:t>Changing or altering data, quotes, citations, grades, or academic records</w:t>
            </w:r>
          </w:p>
        </w:tc>
      </w:tr>
      <w:tr w:rsidR="00102BA4" w:rsidRPr="00102BA4" w14:paraId="09674FF4" w14:textId="77777777">
        <w:tc>
          <w:tcPr>
            <w:tcW w:w="2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AAABE" w14:textId="77777777" w:rsidR="00102BA4" w:rsidRPr="00102BA4" w:rsidRDefault="00102BA4" w:rsidP="00102BA4">
            <w:pPr>
              <w:rPr>
                <w:b/>
                <w:bCs/>
              </w:rPr>
            </w:pPr>
            <w:r w:rsidRPr="00102BA4">
              <w:rPr>
                <w:b/>
                <w:bCs/>
              </w:rPr>
              <w:t>Unauthorized Collaboration</w:t>
            </w:r>
          </w:p>
        </w:tc>
        <w:tc>
          <w:tcPr>
            <w:tcW w:w="2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51730" w14:textId="77777777" w:rsidR="00102BA4" w:rsidRPr="00102BA4" w:rsidRDefault="00102BA4" w:rsidP="00102BA4">
            <w:r w:rsidRPr="00102BA4">
              <w:t>Intentional sharing of information when the faculty does not approve of such collaboration</w:t>
            </w:r>
          </w:p>
        </w:tc>
      </w:tr>
    </w:tbl>
    <w:p w14:paraId="5B72EA01" w14:textId="041C2FBF" w:rsidR="00102BA4" w:rsidRPr="00102BA4" w:rsidRDefault="00102BA4" w:rsidP="00102BA4">
      <w:r w:rsidRPr="00102BA4">
        <w:rPr>
          <w:b/>
          <w:bCs/>
        </w:rPr>
        <w:br/>
      </w:r>
      <w:r w:rsidRPr="00102BA4">
        <w:rPr>
          <w:b/>
          <w:bCs/>
        </w:rPr>
        <w:br/>
      </w:r>
      <w:r w:rsidRPr="00102BA4">
        <w:t>Steps that may be taken in the instance of academic dishonesty are:</w:t>
      </w:r>
    </w:p>
    <w:p w14:paraId="62880233" w14:textId="77777777" w:rsidR="00102BA4" w:rsidRPr="00102BA4" w:rsidRDefault="00102BA4" w:rsidP="00102BA4">
      <w:pPr>
        <w:numPr>
          <w:ilvl w:val="0"/>
          <w:numId w:val="14"/>
        </w:numPr>
      </w:pPr>
      <w:r w:rsidRPr="00102BA4">
        <w:t>The instructor informs the student of the allegation, providing evidence, while offering the student the opportunity to respond and rectify the issue.</w:t>
      </w:r>
    </w:p>
    <w:p w14:paraId="16C95691" w14:textId="77777777" w:rsidR="00102BA4" w:rsidRPr="00102BA4" w:rsidRDefault="00102BA4" w:rsidP="00102BA4">
      <w:pPr>
        <w:numPr>
          <w:ilvl w:val="0"/>
          <w:numId w:val="14"/>
        </w:numPr>
      </w:pPr>
      <w:r w:rsidRPr="00102BA4">
        <w:t>Once the student has had a chance to respond, the instructor determines if academic dishonesty has occurred and to what severity</w:t>
      </w:r>
      <w:proofErr w:type="gramStart"/>
      <w:r w:rsidRPr="00102BA4">
        <w:t xml:space="preserve">. </w:t>
      </w:r>
      <w:proofErr w:type="gramEnd"/>
      <w:r w:rsidRPr="00102BA4">
        <w:t>If the instructor concludes that academic dishonesty has occurred and has proof, they may take further action as needed according to their respective policies.</w:t>
      </w:r>
    </w:p>
    <w:p w14:paraId="450AABB4" w14:textId="77777777" w:rsidR="00102BA4" w:rsidRPr="00102BA4" w:rsidRDefault="00102BA4" w:rsidP="00102BA4">
      <w:r w:rsidRPr="00102BA4">
        <w:rPr>
          <w:b/>
          <w:bCs/>
        </w:rPr>
        <w:t>Citing Sources</w:t>
      </w:r>
      <w:r w:rsidRPr="00102BA4">
        <w:t xml:space="preserve"> </w:t>
      </w:r>
    </w:p>
    <w:p w14:paraId="4569E69E" w14:textId="77777777" w:rsidR="00102BA4" w:rsidRPr="00102BA4" w:rsidRDefault="00102BA4" w:rsidP="00102BA4">
      <w:r w:rsidRPr="00102BA4">
        <w:lastRenderedPageBreak/>
        <w:t>To avoid plagiarism, proper ethics of research and attribution require that information sources are credited for their research, data, quotations, and other forms of content</w:t>
      </w:r>
      <w:proofErr w:type="gramStart"/>
      <w:r w:rsidRPr="00102BA4">
        <w:t xml:space="preserve">. </w:t>
      </w:r>
      <w:proofErr w:type="gramEnd"/>
      <w:r w:rsidRPr="00102BA4">
        <w:t xml:space="preserve">Students must provide a proper citation and/or footnote anywhere an information source is </w:t>
      </w:r>
      <w:proofErr w:type="gramStart"/>
      <w:r w:rsidRPr="00102BA4">
        <w:t>referenced</w:t>
      </w:r>
      <w:proofErr w:type="gramEnd"/>
      <w:r w:rsidRPr="00102BA4">
        <w:t>. </w:t>
      </w:r>
    </w:p>
    <w:p w14:paraId="0AC10728" w14:textId="77777777" w:rsidR="00102BA4" w:rsidRPr="00102BA4" w:rsidRDefault="00102BA4" w:rsidP="00102BA4">
      <w:r w:rsidRPr="00102BA4">
        <w:rPr>
          <w:b/>
          <w:bCs/>
        </w:rPr>
        <w:t>Original Content</w:t>
      </w:r>
      <w:r w:rsidRPr="00102BA4">
        <w:t xml:space="preserve"> </w:t>
      </w:r>
    </w:p>
    <w:p w14:paraId="2A3C2F26" w14:textId="3940C040" w:rsidR="00102BA4" w:rsidRPr="00102BA4" w:rsidRDefault="00102BA4" w:rsidP="00102BA4">
      <w:r w:rsidRPr="00102BA4">
        <w:t>Students are expected to create their assignments</w:t>
      </w:r>
      <w:r>
        <w:t xml:space="preserve"> </w:t>
      </w:r>
      <w:r w:rsidRPr="00102BA4">
        <w:t xml:space="preserve">and essays </w:t>
      </w:r>
      <w:r w:rsidRPr="00102BA4">
        <w:rPr>
          <w:b/>
          <w:bCs/>
          <w:u w:val="single"/>
        </w:rPr>
        <w:t>using their own personal thoughts and ideas</w:t>
      </w:r>
      <w:proofErr w:type="gramStart"/>
      <w:r w:rsidRPr="00102BA4">
        <w:t xml:space="preserve">. </w:t>
      </w:r>
      <w:proofErr w:type="gramEnd"/>
      <w:r w:rsidRPr="00102BA4">
        <w:t>All works must contain a minimum of 75% original work</w:t>
      </w:r>
      <w:proofErr w:type="gramStart"/>
      <w:r w:rsidRPr="00102BA4">
        <w:t xml:space="preserve">. </w:t>
      </w:r>
      <w:proofErr w:type="gramEnd"/>
      <w:r w:rsidRPr="00102BA4">
        <w:t>Any work submitted that has more than 25% unoriginal work will not be accepted, regardless of whether the sources are cited properly, unless otherwise indicated by your instructor.</w:t>
      </w:r>
    </w:p>
    <w:p w14:paraId="55C667AC" w14:textId="00A78953" w:rsidR="00102BA4" w:rsidRPr="00102BA4" w:rsidRDefault="00102BA4" w:rsidP="00102BA4">
      <w:r w:rsidRPr="00102BA4">
        <w:rPr>
          <w:b/>
          <w:bCs/>
        </w:rPr>
        <w:t>Timeline</w:t>
      </w:r>
      <w:r w:rsidRPr="00102BA4">
        <w:t xml:space="preserve"> </w:t>
      </w:r>
      <w:r w:rsidR="00AB41E7">
        <w:t xml:space="preserve">- </w:t>
      </w:r>
      <w:r w:rsidRPr="00102BA4">
        <w:t>Discovery of a violation of the Academic Honesty Policy can occur at any time.</w:t>
      </w:r>
    </w:p>
    <w:p w14:paraId="7C60D5CB" w14:textId="7615CF4F" w:rsidR="00102BA4" w:rsidRPr="00102BA4" w:rsidRDefault="00102BA4" w:rsidP="00102BA4">
      <w:pPr>
        <w:rPr>
          <w:b/>
          <w:bCs/>
        </w:rPr>
      </w:pPr>
      <w:r w:rsidRPr="00102BA4">
        <w:rPr>
          <w:b/>
          <w:bCs/>
        </w:rPr>
        <w:t xml:space="preserve">Required </w:t>
      </w:r>
      <w:r w:rsidR="00AB41E7">
        <w:rPr>
          <w:b/>
          <w:bCs/>
        </w:rPr>
        <w:t xml:space="preserve">Material - </w:t>
      </w:r>
      <w:r w:rsidRPr="00102BA4">
        <w:rPr>
          <w:b/>
          <w:bCs/>
        </w:rPr>
        <w:t xml:space="preserve">EC-Council Official </w:t>
      </w:r>
      <w:proofErr w:type="spellStart"/>
      <w:r w:rsidRPr="00102BA4">
        <w:rPr>
          <w:b/>
          <w:bCs/>
        </w:rPr>
        <w:t>eCourseware</w:t>
      </w:r>
      <w:proofErr w:type="spellEnd"/>
      <w:r w:rsidRPr="00102BA4">
        <w:rPr>
          <w:b/>
          <w:bCs/>
        </w:rPr>
        <w:t>  </w:t>
      </w:r>
    </w:p>
    <w:p w14:paraId="29F6C216" w14:textId="77777777" w:rsidR="00102BA4" w:rsidRPr="00102BA4" w:rsidRDefault="00102BA4" w:rsidP="00102BA4">
      <w:r w:rsidRPr="00102BA4">
        <w:t>The following materials will be required for this course:</w:t>
      </w:r>
    </w:p>
    <w:p w14:paraId="7A808AD9" w14:textId="77777777" w:rsidR="00102BA4" w:rsidRPr="00102BA4" w:rsidRDefault="00102BA4" w:rsidP="00102BA4">
      <w:pPr>
        <w:numPr>
          <w:ilvl w:val="0"/>
          <w:numId w:val="16"/>
        </w:numPr>
      </w:pPr>
      <w:r w:rsidRPr="00102BA4">
        <w:t xml:space="preserve">We will be using the EC-Council DFE course material for </w:t>
      </w:r>
      <w:proofErr w:type="gramStart"/>
      <w:r w:rsidRPr="00102BA4">
        <w:t>the book</w:t>
      </w:r>
      <w:proofErr w:type="gramEnd"/>
      <w:r w:rsidRPr="00102BA4">
        <w:t xml:space="preserve"> and lab access for this course.  This is cheaper than most college-level textbooks on the subject, will greatly simplify how labs are handled, and will grant you a testing voucher to earn a Certification that can help you on your cybersecurity career path.  To purchase this access, you will need to use the following link:</w:t>
      </w:r>
    </w:p>
    <w:p w14:paraId="305BA443" w14:textId="77777777" w:rsidR="00102BA4" w:rsidRPr="00102BA4" w:rsidRDefault="00102BA4" w:rsidP="00102BA4">
      <w:pPr>
        <w:ind w:left="360"/>
      </w:pPr>
      <w:r w:rsidRPr="00102BA4">
        <w:rPr>
          <w:b/>
          <w:bCs/>
        </w:rPr>
        <w:t>DFEv1</w:t>
      </w:r>
    </w:p>
    <w:p w14:paraId="46B97AE0" w14:textId="77777777" w:rsidR="00102BA4" w:rsidRPr="00102BA4" w:rsidRDefault="00102BA4" w:rsidP="00102BA4">
      <w:pPr>
        <w:ind w:left="360"/>
      </w:pPr>
      <w:r w:rsidRPr="00102BA4">
        <w:t>979-8-89472-062-3-UNT</w:t>
      </w:r>
      <w:r w:rsidRPr="00102BA4">
        <w:t> </w:t>
      </w:r>
      <w:r w:rsidRPr="00102BA4">
        <w:t> </w:t>
      </w:r>
      <w:r w:rsidRPr="00102BA4">
        <w:t> </w:t>
      </w:r>
    </w:p>
    <w:p w14:paraId="54ABC9BA" w14:textId="77777777" w:rsidR="00102BA4" w:rsidRPr="00102BA4" w:rsidRDefault="00102BA4" w:rsidP="00102BA4">
      <w:pPr>
        <w:ind w:left="360"/>
      </w:pPr>
      <w:r w:rsidRPr="00102BA4">
        <w:t>University of North Texas: DFE v1 CyberQv2 Labs w/ CTF, Exam Prep, Exam Voucher - RPS Testing (Pledge Rate Admin Fee)</w:t>
      </w:r>
      <w:r w:rsidRPr="00102BA4">
        <w:t> </w:t>
      </w:r>
      <w:r w:rsidRPr="00102BA4">
        <w:t> </w:t>
      </w:r>
      <w:r w:rsidRPr="00102BA4">
        <w:t> </w:t>
      </w:r>
    </w:p>
    <w:p w14:paraId="5D66C30E" w14:textId="77777777" w:rsidR="00102BA4" w:rsidRPr="00102BA4" w:rsidRDefault="00102BA4" w:rsidP="00102BA4">
      <w:pPr>
        <w:ind w:left="360"/>
      </w:pPr>
      <w:r w:rsidRPr="00102BA4">
        <w:t>Purchase Link: </w:t>
      </w:r>
      <w:hyperlink r:id="rId6" w:tgtFrame="_blank" w:tooltip="https://nam04.safelinks.protection.outlook.com/?url=https%3A%2F%2Fsmp.gilmore.ca%2FDeepLink%2F7bae65f4-20e0-4937-b3b8-6f0c7dd4a660&amp;data=05%7C02%7CMark.Hoffman%40unt.edu%7Cb9e28171e8b0487e7ede08de518be5e9%7C70de199207c6480fa318a1afcba03983%7C0%7C0%7C63903785856" w:history="1">
        <w:r w:rsidRPr="00102BA4">
          <w:rPr>
            <w:rStyle w:val="Hyperlink"/>
          </w:rPr>
          <w:t>https://smp.gilmore.ca/DeepLink/7bae65f4-20e0-4937-b3b8-6f0c7dd4a660Links to an external site.</w:t>
        </w:r>
      </w:hyperlink>
      <w:r w:rsidRPr="00102BA4">
        <w:t> </w:t>
      </w:r>
    </w:p>
    <w:p w14:paraId="4A55CBCC" w14:textId="77777777" w:rsidR="00102BA4" w:rsidRPr="00102BA4" w:rsidRDefault="00102BA4" w:rsidP="00102BA4">
      <w:pPr>
        <w:ind w:left="360"/>
      </w:pPr>
      <w:r w:rsidRPr="00102BA4">
        <w:t>$75.99/ 6-month labs access, 12-month exam prep access &amp; 12-month exam voucher validity.</w:t>
      </w:r>
    </w:p>
    <w:p w14:paraId="58783789" w14:textId="77777777" w:rsidR="00102BA4" w:rsidRPr="00102BA4" w:rsidRDefault="00102BA4" w:rsidP="00102BA4">
      <w:pPr>
        <w:ind w:left="360"/>
      </w:pPr>
      <w:r w:rsidRPr="00102BA4">
        <w:t>After you purchase access, follow the instructions below to redeem your lab access for the course.</w:t>
      </w:r>
    </w:p>
    <w:p w14:paraId="16F7683A" w14:textId="77777777" w:rsidR="00102BA4" w:rsidRPr="00102BA4" w:rsidRDefault="00102BA4" w:rsidP="00102BA4">
      <w:pPr>
        <w:ind w:left="360"/>
      </w:pPr>
      <w:r w:rsidRPr="00102BA4">
        <w:rPr>
          <w:b/>
          <w:bCs/>
          <w:u w:val="single"/>
        </w:rPr>
        <w:t>LAB ACCOUNT CREATION &amp; KEY REDEMPTION</w:t>
      </w:r>
    </w:p>
    <w:p w14:paraId="2C662A4D" w14:textId="77777777" w:rsidR="00102BA4" w:rsidRPr="00102BA4" w:rsidRDefault="00102BA4" w:rsidP="00102BA4">
      <w:pPr>
        <w:ind w:left="360"/>
      </w:pPr>
      <w:r w:rsidRPr="00102BA4">
        <w:rPr>
          <w:b/>
          <w:bCs/>
        </w:rPr>
        <w:t>IMPORTANT: </w:t>
      </w:r>
      <w:r w:rsidRPr="00102BA4">
        <w:t>Students, you must use the registration link for a new account below for the </w:t>
      </w:r>
      <w:r w:rsidRPr="00102BA4">
        <w:rPr>
          <w:b/>
          <w:bCs/>
          <w:u w:val="single"/>
        </w:rPr>
        <w:t>University of North Texas </w:t>
      </w:r>
      <w:r w:rsidRPr="00102BA4">
        <w:t>so that you have no issue redeeming your lab training key.</w:t>
      </w:r>
    </w:p>
    <w:p w14:paraId="66718C69" w14:textId="77777777" w:rsidR="00102BA4" w:rsidRPr="00102BA4" w:rsidRDefault="00102BA4" w:rsidP="00102BA4">
      <w:pPr>
        <w:ind w:left="360"/>
      </w:pPr>
      <w:r w:rsidRPr="00102BA4">
        <w:t>If you registered and then key is invalid, please contact our reps directly to get your account fixed (send email to </w:t>
      </w:r>
      <w:hyperlink r:id="rId7" w:history="1">
        <w:r w:rsidRPr="00102BA4">
          <w:rPr>
            <w:rStyle w:val="Hyperlink"/>
          </w:rPr>
          <w:t>yenni.md@eccouncil.org</w:t>
        </w:r>
      </w:hyperlink>
      <w:r w:rsidRPr="00102BA4">
        <w:t>)</w:t>
      </w:r>
    </w:p>
    <w:p w14:paraId="2D247A14" w14:textId="77777777" w:rsidR="00102BA4" w:rsidRPr="00102BA4" w:rsidRDefault="00102BA4" w:rsidP="00102BA4">
      <w:pPr>
        <w:numPr>
          <w:ilvl w:val="1"/>
          <w:numId w:val="16"/>
        </w:numPr>
        <w:tabs>
          <w:tab w:val="clear" w:pos="1440"/>
          <w:tab w:val="num" w:pos="1800"/>
        </w:tabs>
        <w:ind w:left="1800"/>
      </w:pPr>
      <w:hyperlink r:id="rId8" w:tgtFrame="_blank" w:history="1">
        <w:r w:rsidRPr="00102BA4">
          <w:rPr>
            <w:rStyle w:val="Hyperlink"/>
          </w:rPr>
          <w:t>Digital Forensics Essentials (DFE) Academia Series</w:t>
        </w:r>
      </w:hyperlink>
    </w:p>
    <w:p w14:paraId="6B6C1440" w14:textId="77777777" w:rsidR="00102BA4" w:rsidRPr="00102BA4" w:rsidRDefault="00102BA4" w:rsidP="00102BA4">
      <w:pPr>
        <w:ind w:left="360"/>
      </w:pPr>
      <w:r w:rsidRPr="00102BA4">
        <w:t>These are embedded in the General Section of your course</w:t>
      </w:r>
      <w:proofErr w:type="gramStart"/>
      <w:r w:rsidRPr="00102BA4">
        <w:t xml:space="preserve">. </w:t>
      </w:r>
      <w:proofErr w:type="gramEnd"/>
      <w:r w:rsidRPr="00102BA4">
        <w:t>The corresponding chapters for each week are embedded in your weekly readings.</w:t>
      </w:r>
    </w:p>
    <w:p w14:paraId="2C51C3ED" w14:textId="77777777" w:rsidR="00102BA4" w:rsidRPr="00102BA4" w:rsidRDefault="00102BA4" w:rsidP="00102BA4">
      <w:pPr>
        <w:rPr>
          <w:b/>
          <w:bCs/>
        </w:rPr>
      </w:pPr>
      <w:r w:rsidRPr="00102BA4">
        <w:rPr>
          <w:b/>
          <w:bCs/>
        </w:rPr>
        <w:t>Syllabus Change Policy</w:t>
      </w:r>
    </w:p>
    <w:p w14:paraId="57D62B7F" w14:textId="77777777" w:rsidR="00102BA4" w:rsidRPr="00102BA4" w:rsidRDefault="00102BA4" w:rsidP="00102BA4">
      <w:r w:rsidRPr="00102BA4">
        <w:rPr>
          <w:b/>
          <w:bCs/>
        </w:rPr>
        <w:lastRenderedPageBreak/>
        <w:br/>
      </w:r>
      <w:r w:rsidRPr="00102BA4">
        <w:t>The instructor reserves the right to change the course as needed, including but not limited to topics, due dates, and assignments/assessment items</w:t>
      </w:r>
      <w:proofErr w:type="gramStart"/>
      <w:r w:rsidRPr="00102BA4">
        <w:t xml:space="preserve">. </w:t>
      </w:r>
      <w:proofErr w:type="gramEnd"/>
      <w:r w:rsidRPr="00102BA4">
        <w:t>The pace of the course may also be adjusted based on student progress and understanding</w:t>
      </w:r>
      <w:proofErr w:type="gramStart"/>
      <w:r w:rsidRPr="00102BA4">
        <w:t xml:space="preserve">. </w:t>
      </w:r>
      <w:proofErr w:type="gramEnd"/>
      <w:r w:rsidRPr="00102BA4">
        <w:t>Any changes will be made after careful consideration of the course objectives and student progress.</w:t>
      </w:r>
    </w:p>
    <w:p w14:paraId="4E4F7D27" w14:textId="77777777" w:rsidR="00102BA4" w:rsidRPr="00102BA4" w:rsidRDefault="00102BA4" w:rsidP="00102BA4">
      <w:pPr>
        <w:rPr>
          <w:b/>
          <w:bCs/>
        </w:rPr>
      </w:pPr>
      <w:r w:rsidRPr="00102BA4">
        <w:rPr>
          <w:b/>
          <w:bCs/>
        </w:rPr>
        <w:t>UNT Policies</w:t>
      </w:r>
    </w:p>
    <w:p w14:paraId="5A812F16" w14:textId="77777777" w:rsidR="00102BA4" w:rsidRPr="00102BA4" w:rsidRDefault="00102BA4" w:rsidP="00102BA4">
      <w:pPr>
        <w:rPr>
          <w:b/>
          <w:bCs/>
        </w:rPr>
      </w:pPr>
      <w:r w:rsidRPr="00102BA4">
        <w:rPr>
          <w:b/>
          <w:bCs/>
        </w:rPr>
        <w:t>Academic Integrity Policy</w:t>
      </w:r>
    </w:p>
    <w:p w14:paraId="28F84ABE" w14:textId="77777777" w:rsidR="00102BA4" w:rsidRPr="00102BA4" w:rsidRDefault="00102BA4" w:rsidP="00102BA4">
      <w:r w:rsidRPr="00102BA4">
        <w:t>According to UNT Policy 06.003, Student Academic Integrity, academic dishonesty occurs when students engage in behaviors including, but not limited to cheating, fabrication, facilitating academic dishonesty, forgery, plagiarism, and sabotage</w:t>
      </w:r>
      <w:proofErr w:type="gramStart"/>
      <w:r w:rsidRPr="00102BA4">
        <w:t xml:space="preserve">. </w:t>
      </w:r>
      <w:proofErr w:type="gramEnd"/>
      <w:r w:rsidRPr="00102BA4">
        <w:t>A finding of academic dishonesty may result in a range of academic penalties or sanctions from admonition to expulsion from the University.</w:t>
      </w:r>
    </w:p>
    <w:p w14:paraId="58581624" w14:textId="77777777" w:rsidR="00102BA4" w:rsidRPr="00102BA4" w:rsidRDefault="00102BA4" w:rsidP="00102BA4">
      <w:r w:rsidRPr="00102BA4">
        <w:t>Based on this policy, any form of “unauthorized assistance” constitutes cheating.  If the use of artificial intelligence is not authorized for the assignment in question, then a violation has occurred.</w:t>
      </w:r>
    </w:p>
    <w:p w14:paraId="465648FB" w14:textId="77777777" w:rsidR="00102BA4" w:rsidRPr="00102BA4" w:rsidRDefault="00102BA4" w:rsidP="00102BA4">
      <w:pPr>
        <w:rPr>
          <w:b/>
          <w:bCs/>
        </w:rPr>
      </w:pPr>
      <w:r w:rsidRPr="00102BA4">
        <w:rPr>
          <w:b/>
          <w:bCs/>
        </w:rPr>
        <w:t>ADA Policy</w:t>
      </w:r>
    </w:p>
    <w:p w14:paraId="773AA038" w14:textId="77777777" w:rsidR="00102BA4" w:rsidRPr="00102BA4" w:rsidRDefault="00102BA4" w:rsidP="00102BA4">
      <w:r w:rsidRPr="00102BA4">
        <w:t>UNT makes reasonable academic accommodation for students with disabilities</w:t>
      </w:r>
      <w:proofErr w:type="gramStart"/>
      <w:r w:rsidRPr="00102BA4">
        <w:t xml:space="preserve">. </w:t>
      </w:r>
      <w:proofErr w:type="gramEnd"/>
      <w:r w:rsidRPr="00102BA4">
        <w:t xml:space="preserve">Students seeking </w:t>
      </w:r>
      <w:proofErr w:type="gramStart"/>
      <w:r w:rsidRPr="00102BA4">
        <w:t>accommodations</w:t>
      </w:r>
      <w:proofErr w:type="gramEnd"/>
      <w:r w:rsidRPr="00102BA4">
        <w:t xml:space="preserve"> must first register with the Office of Disability Accommodation (ODA) to verify their eligibility</w:t>
      </w:r>
      <w:proofErr w:type="gramStart"/>
      <w:r w:rsidRPr="00102BA4">
        <w:t xml:space="preserve">. </w:t>
      </w:r>
      <w:proofErr w:type="gramEnd"/>
      <w:r w:rsidRPr="00102BA4">
        <w:t>If a disability is verified, the ODA will provide a student with an accommodation letter to be delivered to faculty to begin a private discussion regarding specific course needs</w:t>
      </w:r>
      <w:proofErr w:type="gramStart"/>
      <w:r w:rsidRPr="00102BA4">
        <w:t xml:space="preserve">. </w:t>
      </w:r>
      <w:proofErr w:type="gramEnd"/>
      <w:r w:rsidRPr="00102BA4">
        <w:t xml:space="preserve">Students may request </w:t>
      </w:r>
      <w:proofErr w:type="gramStart"/>
      <w:r w:rsidRPr="00102BA4">
        <w:t>accommodations</w:t>
      </w:r>
      <w:proofErr w:type="gramEnd"/>
      <w:r w:rsidRPr="00102BA4">
        <w:t xml:space="preserve"> at any time; however, ODA notices of accommodation should be provided as early as possible in the semester to avoid any delay in implementation</w:t>
      </w:r>
      <w:proofErr w:type="gramStart"/>
      <w:r w:rsidRPr="00102BA4">
        <w:t xml:space="preserve">. </w:t>
      </w:r>
      <w:proofErr w:type="gramEnd"/>
      <w:r w:rsidRPr="00102BA4">
        <w:t>Note that students must obtain a new letter of accommodation for each semester and must meet with each faculty member prior to implementation in each class</w:t>
      </w:r>
      <w:proofErr w:type="gramStart"/>
      <w:r w:rsidRPr="00102BA4">
        <w:t xml:space="preserve">. </w:t>
      </w:r>
      <w:proofErr w:type="gramEnd"/>
      <w:r w:rsidRPr="00102BA4">
        <w:t xml:space="preserve">For additional information see the </w:t>
      </w:r>
      <w:hyperlink r:id="rId9" w:history="1">
        <w:r w:rsidRPr="00102BA4">
          <w:rPr>
            <w:rStyle w:val="Hyperlink"/>
          </w:rPr>
          <w:t>ODA website</w:t>
        </w:r>
      </w:hyperlink>
      <w:r w:rsidRPr="00102BA4">
        <w:t xml:space="preserve"> (</w:t>
      </w:r>
      <w:hyperlink r:id="rId10" w:history="1">
        <w:r w:rsidRPr="00102BA4">
          <w:rPr>
            <w:rStyle w:val="Hyperlink"/>
          </w:rPr>
          <w:t>https://disability.unt.edu/</w:t>
        </w:r>
      </w:hyperlink>
      <w:r w:rsidRPr="00102BA4">
        <w:t>).</w:t>
      </w:r>
    </w:p>
    <w:p w14:paraId="0360A072" w14:textId="77777777" w:rsidR="00EE2E5C" w:rsidRPr="00102BA4" w:rsidRDefault="00EE2E5C" w:rsidP="00102BA4"/>
    <w:sectPr w:rsidR="00EE2E5C" w:rsidRPr="00102BA4" w:rsidSect="00AB41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A477A"/>
    <w:multiLevelType w:val="multilevel"/>
    <w:tmpl w:val="8D54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155C4"/>
    <w:multiLevelType w:val="multilevel"/>
    <w:tmpl w:val="0C7AF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D5692"/>
    <w:multiLevelType w:val="multilevel"/>
    <w:tmpl w:val="C188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244F60"/>
    <w:multiLevelType w:val="multilevel"/>
    <w:tmpl w:val="ACF0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97532"/>
    <w:multiLevelType w:val="multilevel"/>
    <w:tmpl w:val="8436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29594E"/>
    <w:multiLevelType w:val="multilevel"/>
    <w:tmpl w:val="90E6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001414"/>
    <w:multiLevelType w:val="multilevel"/>
    <w:tmpl w:val="F378C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63157B"/>
    <w:multiLevelType w:val="multilevel"/>
    <w:tmpl w:val="955C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112545"/>
    <w:multiLevelType w:val="multilevel"/>
    <w:tmpl w:val="13F4B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9F53A5"/>
    <w:multiLevelType w:val="multilevel"/>
    <w:tmpl w:val="67D8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D52AA3"/>
    <w:multiLevelType w:val="multilevel"/>
    <w:tmpl w:val="C88C5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BB5A24"/>
    <w:multiLevelType w:val="multilevel"/>
    <w:tmpl w:val="BD5E6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C63FB6"/>
    <w:multiLevelType w:val="multilevel"/>
    <w:tmpl w:val="E158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4C3417"/>
    <w:multiLevelType w:val="multilevel"/>
    <w:tmpl w:val="2682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293873"/>
    <w:multiLevelType w:val="multilevel"/>
    <w:tmpl w:val="80522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D73175"/>
    <w:multiLevelType w:val="multilevel"/>
    <w:tmpl w:val="1C24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215031">
    <w:abstractNumId w:val="11"/>
  </w:num>
  <w:num w:numId="2" w16cid:durableId="568686282">
    <w:abstractNumId w:val="4"/>
  </w:num>
  <w:num w:numId="3" w16cid:durableId="842352831">
    <w:abstractNumId w:val="6"/>
  </w:num>
  <w:num w:numId="4" w16cid:durableId="1163860394">
    <w:abstractNumId w:val="14"/>
  </w:num>
  <w:num w:numId="5" w16cid:durableId="946623344">
    <w:abstractNumId w:val="7"/>
  </w:num>
  <w:num w:numId="6" w16cid:durableId="1600484419">
    <w:abstractNumId w:val="1"/>
  </w:num>
  <w:num w:numId="7" w16cid:durableId="864900909">
    <w:abstractNumId w:val="12"/>
  </w:num>
  <w:num w:numId="8" w16cid:durableId="1382094635">
    <w:abstractNumId w:val="0"/>
  </w:num>
  <w:num w:numId="9" w16cid:durableId="1623615801">
    <w:abstractNumId w:val="10"/>
  </w:num>
  <w:num w:numId="10" w16cid:durableId="1704286799">
    <w:abstractNumId w:val="15"/>
  </w:num>
  <w:num w:numId="11" w16cid:durableId="526018974">
    <w:abstractNumId w:val="8"/>
  </w:num>
  <w:num w:numId="12" w16cid:durableId="1481769448">
    <w:abstractNumId w:val="2"/>
  </w:num>
  <w:num w:numId="13" w16cid:durableId="1325863748">
    <w:abstractNumId w:val="9"/>
  </w:num>
  <w:num w:numId="14" w16cid:durableId="343435073">
    <w:abstractNumId w:val="5"/>
  </w:num>
  <w:num w:numId="15" w16cid:durableId="1678069585">
    <w:abstractNumId w:val="13"/>
  </w:num>
  <w:num w:numId="16" w16cid:durableId="1403136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5C"/>
    <w:rsid w:val="00102BA4"/>
    <w:rsid w:val="00995D54"/>
    <w:rsid w:val="00AB41E7"/>
    <w:rsid w:val="00B15638"/>
    <w:rsid w:val="00C402CD"/>
    <w:rsid w:val="00C439A3"/>
    <w:rsid w:val="00EE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85B1D"/>
  <w15:chartTrackingRefBased/>
  <w15:docId w15:val="{8B8E7401-9676-4CC5-A90C-3D7B9B2F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E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E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E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2E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nnel-resources.s3.amazonaws.com/ACADEMIA/EC-Council+Academia_eCourseware+Module+Access+Guide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enni.md@eccouncil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04.safelinks.protection.outlook.com/?url=https%3A%2F%2Fsmp.gilmore.ca%2FDeepLink%2F7bae65f4-20e0-4937-b3b8-6f0c7dd4a660&amp;data=05%7C02%7CMark.Hoffman%40unt.edu%7Cb9e28171e8b0487e7ede08de518be5e9%7C70de199207c6480fa318a1afcba03983%7C0%7C0%7C639037858569718048%7CUnknown%7CTWFpbGZsb3d8eyJFbXB0eU1hcGkiOnRydWUsIlYiOiIwLjAuMDAwMCIsIlAiOiJXaW4zMiIsIkFOIjoiTWFpbCIsIldUIjoyfQ%3D%3D%7C0%7C%7C%7C&amp;sdata=nhNEqaFUalLA8ubpYA%2FnibChfsPNPjCXwqXA6pKDWq0%3D&amp;reserved=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gistrar.unt.edu/sites/default/files/spring-2026-academic-calendar.pdf" TargetMode="External"/><Relationship Id="rId10" Type="http://schemas.openxmlformats.org/officeDocument/2006/relationships/hyperlink" Target="https://disability.unt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ability.unt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1595</Words>
  <Characters>9177</Characters>
  <Application>Microsoft Office Word</Application>
  <DocSecurity>0</DocSecurity>
  <Lines>227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Hoffman</dc:creator>
  <cp:keywords/>
  <dc:description/>
  <cp:lastModifiedBy>Mark Hoffman</cp:lastModifiedBy>
  <cp:revision>2</cp:revision>
  <dcterms:created xsi:type="dcterms:W3CDTF">2026-02-18T04:04:00Z</dcterms:created>
  <dcterms:modified xsi:type="dcterms:W3CDTF">2026-02-18T05:09:00Z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7b9091f8-1651-4ef2-8589-f2aa453131ec</vt:lpwstr>
  </property>
</Properties>
</file>