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0" w:line="240" w:lineRule="auto"/>
        <w:rPr/>
      </w:pPr>
      <w:r w:rsidDel="00000000" w:rsidR="00000000" w:rsidRPr="00000000">
        <w:rPr>
          <w:color w:val="00853e"/>
          <w:rtl w:val="0"/>
        </w:rPr>
        <w:t xml:space="preserve">ENGL 3225    Game Studies: Games, Play and Stories</w:t>
      </w:r>
      <w:r w:rsidDel="00000000" w:rsidR="00000000" w:rsidRPr="00000000">
        <w:rPr>
          <w:rtl w:val="0"/>
        </w:rPr>
      </w:r>
    </w:p>
    <w:p w:rsidR="00000000" w:rsidDel="00000000" w:rsidP="00000000" w:rsidRDefault="00000000" w:rsidRPr="00000000" w14:paraId="00000002">
      <w:pPr>
        <w:pStyle w:val="Heading2"/>
        <w:spacing w:after="0" w:before="0" w:line="240" w:lineRule="auto"/>
        <w:rPr/>
      </w:pPr>
      <w:r w:rsidDel="00000000" w:rsidR="00000000" w:rsidRPr="00000000">
        <w:rPr>
          <w:rtl w:val="0"/>
        </w:rPr>
        <w:t xml:space="preserve">Instructor Information  </w:t>
      </w:r>
    </w:p>
    <w:p w:rsidR="00000000" w:rsidDel="00000000" w:rsidP="00000000" w:rsidRDefault="00000000" w:rsidRPr="00000000" w14:paraId="00000003">
      <w:pPr>
        <w:pStyle w:val="Heading3"/>
        <w:spacing w:line="240" w:lineRule="auto"/>
        <w:rPr>
          <w:color w:val="000000"/>
          <w:sz w:val="24"/>
          <w:szCs w:val="24"/>
        </w:rPr>
      </w:pPr>
      <w:r w:rsidDel="00000000" w:rsidR="00000000" w:rsidRPr="00000000">
        <w:rPr>
          <w:rtl w:val="0"/>
        </w:rPr>
      </w:r>
    </w:p>
    <w:p w:rsidR="00000000" w:rsidDel="00000000" w:rsidP="00000000" w:rsidRDefault="00000000" w:rsidRPr="00000000" w14:paraId="00000004">
      <w:pPr>
        <w:pStyle w:val="Heading3"/>
        <w:spacing w:line="240" w:lineRule="auto"/>
        <w:rPr>
          <w:color w:val="000000"/>
          <w:sz w:val="24"/>
          <w:szCs w:val="24"/>
        </w:rPr>
      </w:pPr>
      <w:r w:rsidDel="00000000" w:rsidR="00000000" w:rsidRPr="00000000">
        <w:rPr>
          <w:color w:val="000000"/>
          <w:sz w:val="24"/>
          <w:szCs w:val="24"/>
          <w:rtl w:val="0"/>
        </w:rPr>
        <w:t xml:space="preserve">Marshall Needleman Armintor, Ph.D.</w:t>
      </w:r>
    </w:p>
    <w:p w:rsidR="00000000" w:rsidDel="00000000" w:rsidP="00000000" w:rsidRDefault="00000000" w:rsidRPr="00000000" w14:paraId="00000005">
      <w:pPr>
        <w:pStyle w:val="Heading3"/>
        <w:spacing w:line="240" w:lineRule="auto"/>
        <w:rPr>
          <w:color w:val="000000"/>
          <w:sz w:val="24"/>
          <w:szCs w:val="24"/>
        </w:rPr>
      </w:pPr>
      <w:r w:rsidDel="00000000" w:rsidR="00000000" w:rsidRPr="00000000">
        <w:rPr>
          <w:color w:val="000000"/>
          <w:sz w:val="24"/>
          <w:szCs w:val="24"/>
          <w:rtl w:val="0"/>
        </w:rPr>
        <w:t xml:space="preserve">Principal Lecturer | Department of English</w:t>
      </w:r>
    </w:p>
    <w:p w:rsidR="00000000" w:rsidDel="00000000" w:rsidP="00000000" w:rsidRDefault="00000000" w:rsidRPr="00000000" w14:paraId="00000006">
      <w:pPr>
        <w:pStyle w:val="Heading3"/>
        <w:spacing w:line="240" w:lineRule="auto"/>
        <w:rPr>
          <w:color w:val="000000"/>
          <w:sz w:val="24"/>
          <w:szCs w:val="24"/>
        </w:rPr>
      </w:pPr>
      <w:r w:rsidDel="00000000" w:rsidR="00000000" w:rsidRPr="00000000">
        <w:rPr>
          <w:color w:val="000000"/>
          <w:sz w:val="24"/>
          <w:szCs w:val="24"/>
          <w:rtl w:val="0"/>
        </w:rPr>
        <w:t xml:space="preserve">Office Location: Auditorium 116 TTh 10am-2pm</w:t>
      </w:r>
    </w:p>
    <w:p w:rsidR="00000000" w:rsidDel="00000000" w:rsidP="00000000" w:rsidRDefault="00000000" w:rsidRPr="00000000" w14:paraId="00000007">
      <w:pPr>
        <w:pStyle w:val="Heading3"/>
        <w:spacing w:line="240" w:lineRule="auto"/>
        <w:rPr>
          <w:color w:val="000000"/>
          <w:sz w:val="24"/>
          <w:szCs w:val="24"/>
        </w:rPr>
      </w:pPr>
      <w:r w:rsidDel="00000000" w:rsidR="00000000" w:rsidRPr="00000000">
        <w:rPr>
          <w:rtl w:val="0"/>
        </w:rPr>
      </w:r>
    </w:p>
    <w:p w:rsidR="00000000" w:rsidDel="00000000" w:rsidP="00000000" w:rsidRDefault="00000000" w:rsidRPr="00000000" w14:paraId="00000008">
      <w:pPr>
        <w:pStyle w:val="Heading3"/>
        <w:spacing w:line="240" w:lineRule="auto"/>
        <w:rPr>
          <w:color w:val="000000"/>
          <w:sz w:val="24"/>
          <w:szCs w:val="24"/>
        </w:rPr>
      </w:pPr>
      <w:r w:rsidDel="00000000" w:rsidR="00000000" w:rsidRPr="00000000">
        <w:rPr>
          <w:color w:val="000000"/>
          <w:sz w:val="24"/>
          <w:szCs w:val="24"/>
          <w:rtl w:val="0"/>
        </w:rPr>
        <w:t xml:space="preserve">Communication Expectations: I will communicate with you through the Announcements in Canvas; all questions should be directed to me through "Inbox" (Conversations). You can expect a reply to an email within the day; my goal for grades and feedback through Comments is to complete them with 24 hours.</w:t>
      </w:r>
    </w:p>
    <w:p w:rsidR="00000000" w:rsidDel="00000000" w:rsidP="00000000" w:rsidRDefault="00000000" w:rsidRPr="00000000" w14:paraId="00000009">
      <w:pPr>
        <w:pStyle w:val="Heading3"/>
        <w:spacing w:line="240" w:lineRule="auto"/>
        <w:rPr>
          <w:color w:val="000000"/>
          <w:sz w:val="24"/>
          <w:szCs w:val="24"/>
        </w:rPr>
      </w:pPr>
      <w:r w:rsidDel="00000000" w:rsidR="00000000" w:rsidRPr="00000000">
        <w:rPr>
          <w:rtl w:val="0"/>
        </w:rPr>
      </w:r>
    </w:p>
    <w:p w:rsidR="00000000" w:rsidDel="00000000" w:rsidP="00000000" w:rsidRDefault="00000000" w:rsidRPr="00000000" w14:paraId="0000000A">
      <w:pPr>
        <w:pStyle w:val="Heading3"/>
        <w:spacing w:line="240" w:lineRule="auto"/>
        <w:rPr>
          <w:color w:val="000000"/>
          <w:sz w:val="24"/>
          <w:szCs w:val="24"/>
        </w:rPr>
      </w:pPr>
      <w:r w:rsidDel="00000000" w:rsidR="00000000" w:rsidRPr="00000000">
        <w:rPr>
          <w:color w:val="000000"/>
          <w:sz w:val="24"/>
          <w:szCs w:val="24"/>
          <w:rtl w:val="0"/>
        </w:rPr>
        <w:t xml:space="preserve">I may have some occasional recorded content to share with you also--I will let you know through the Announcements.</w:t>
      </w:r>
    </w:p>
    <w:p w:rsidR="00000000" w:rsidDel="00000000" w:rsidP="00000000" w:rsidRDefault="00000000" w:rsidRPr="00000000" w14:paraId="0000000B">
      <w:pPr>
        <w:pStyle w:val="Heading3"/>
        <w:spacing w:line="240" w:lineRule="auto"/>
        <w:rPr>
          <w:color w:val="000000"/>
          <w:sz w:val="24"/>
          <w:szCs w:val="24"/>
        </w:rPr>
      </w:pPr>
      <w:r w:rsidDel="00000000" w:rsidR="00000000" w:rsidRPr="00000000">
        <w:rPr>
          <w:rtl w:val="0"/>
        </w:rPr>
      </w:r>
    </w:p>
    <w:p w:rsidR="00000000" w:rsidDel="00000000" w:rsidP="00000000" w:rsidRDefault="00000000" w:rsidRPr="00000000" w14:paraId="0000000C">
      <w:pPr>
        <w:pStyle w:val="Heading3"/>
        <w:spacing w:line="240" w:lineRule="auto"/>
        <w:rPr>
          <w:color w:val="000000"/>
          <w:sz w:val="24"/>
          <w:szCs w:val="24"/>
        </w:rPr>
      </w:pPr>
      <w:r w:rsidDel="00000000" w:rsidR="00000000" w:rsidRPr="00000000">
        <w:rPr>
          <w:color w:val="000000"/>
          <w:sz w:val="24"/>
          <w:szCs w:val="24"/>
          <w:rtl w:val="0"/>
        </w:rPr>
        <w:t xml:space="preserve">CLEAR has a webpage for students that provides Online Communication Tips (Links to an external site.) (https://clear.unt.edu/online-communication-tips); I advise you read it to get a handle on online communication etiquette, really for your own peace of mind than anything else.</w:t>
      </w:r>
    </w:p>
    <w:p w:rsidR="00000000" w:rsidDel="00000000" w:rsidP="00000000" w:rsidRDefault="00000000" w:rsidRPr="00000000" w14:paraId="0000000D">
      <w:pPr>
        <w:pStyle w:val="Heading3"/>
        <w:spacing w:line="240" w:lineRule="auto"/>
        <w:rPr>
          <w:color w:val="000000"/>
          <w:sz w:val="24"/>
          <w:szCs w:val="24"/>
        </w:rPr>
      </w:pPr>
      <w:r w:rsidDel="00000000" w:rsidR="00000000" w:rsidRPr="00000000">
        <w:rPr>
          <w:rtl w:val="0"/>
        </w:rPr>
      </w:r>
    </w:p>
    <w:p w:rsidR="00000000" w:rsidDel="00000000" w:rsidP="00000000" w:rsidRDefault="00000000" w:rsidRPr="00000000" w14:paraId="0000000E">
      <w:pPr>
        <w:pStyle w:val="Heading3"/>
        <w:spacing w:line="240" w:lineRule="auto"/>
        <w:rPr>
          <w:color w:val="000000"/>
          <w:sz w:val="24"/>
          <w:szCs w:val="24"/>
        </w:rPr>
      </w:pPr>
      <w:bookmarkStart w:colFirst="0" w:colLast="0" w:name="_heading=h.mcg0u758nyo2" w:id="0"/>
      <w:bookmarkEnd w:id="0"/>
      <w:r w:rsidDel="00000000" w:rsidR="00000000" w:rsidRPr="00000000">
        <w:rPr>
          <w:color w:val="000000"/>
          <w:sz w:val="24"/>
          <w:szCs w:val="24"/>
          <w:rtl w:val="0"/>
        </w:rPr>
        <w:t xml:space="preserve">My research interests are primarily in twentieth-century British literature and critical theory, especially psychoanalysis; my book</w:t>
      </w:r>
      <w:r w:rsidDel="00000000" w:rsidR="00000000" w:rsidRPr="00000000">
        <w:rPr>
          <w:i w:val="1"/>
          <w:color w:val="000000"/>
          <w:sz w:val="24"/>
          <w:szCs w:val="24"/>
          <w:rtl w:val="0"/>
        </w:rPr>
        <w:t xml:space="preserve"> Lacan and the Ghosts of Modernity: Masculinity, Tradition, and the Anxiety of Influence</w:t>
      </w:r>
      <w:r w:rsidDel="00000000" w:rsidR="00000000" w:rsidRPr="00000000">
        <w:rPr>
          <w:color w:val="000000"/>
          <w:sz w:val="24"/>
          <w:szCs w:val="24"/>
          <w:rtl w:val="0"/>
        </w:rPr>
        <w:t xml:space="preserve"> (Peter Lang) was published in 2004. I've taught a wide range of courses at UNT since 2003, with topics ranging from graphic novels, to James Joyce, to Victorian literature and to videogame narrative.</w:t>
      </w:r>
    </w:p>
    <w:p w:rsidR="00000000" w:rsidDel="00000000" w:rsidP="00000000" w:rsidRDefault="00000000" w:rsidRPr="00000000" w14:paraId="0000000F">
      <w:pPr>
        <w:pStyle w:val="Heading3"/>
        <w:spacing w:line="240" w:lineRule="auto"/>
        <w:rPr>
          <w:color w:val="000000"/>
          <w:sz w:val="24"/>
          <w:szCs w:val="24"/>
        </w:rPr>
      </w:pPr>
      <w:r w:rsidDel="00000000" w:rsidR="00000000" w:rsidRPr="00000000">
        <w:rPr>
          <w:rtl w:val="0"/>
        </w:rPr>
      </w:r>
    </w:p>
    <w:p w:rsidR="00000000" w:rsidDel="00000000" w:rsidP="00000000" w:rsidRDefault="00000000" w:rsidRPr="00000000" w14:paraId="00000010">
      <w:pPr>
        <w:pStyle w:val="Heading2"/>
        <w:spacing w:after="0" w:before="0" w:line="240" w:lineRule="auto"/>
        <w:rPr/>
      </w:pPr>
      <w:r w:rsidDel="00000000" w:rsidR="00000000" w:rsidRPr="00000000">
        <w:rPr>
          <w:rtl w:val="0"/>
        </w:rPr>
        <w:t xml:space="preserve">Course Description, Structure, and Objectives </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   This is a 16-week online course for 3 credit hours that is structured around weekly discussion, assignments, and two major written projects due at the same time as midterms and finals. The final project may be the creation of a game, which must have a design document to go with it.</w:t>
      </w:r>
    </w:p>
    <w:p w:rsidR="00000000" w:rsidDel="00000000" w:rsidP="00000000" w:rsidRDefault="00000000" w:rsidRPr="00000000" w14:paraId="00000013">
      <w:pPr>
        <w:rPr/>
      </w:pPr>
      <w:r w:rsidDel="00000000" w:rsidR="00000000" w:rsidRPr="00000000">
        <w:rPr>
          <w:rtl w:val="0"/>
        </w:rPr>
        <w:t xml:space="preserve">Federal regulations state that students may apply only 3 fully-online semester credit hours (SCH) to the hours required for full-time status for F-1 Visa (DOC) holders. Full-time status for F-1 Visa students is 12 hours for undergraduates and 9 hours for graduate students.  </w:t>
      </w:r>
    </w:p>
    <w:p w:rsidR="00000000" w:rsidDel="00000000" w:rsidP="00000000" w:rsidRDefault="00000000" w:rsidRPr="00000000" w14:paraId="00000014">
      <w:pPr>
        <w:rPr/>
      </w:pPr>
      <w:r w:rsidDel="00000000" w:rsidR="00000000" w:rsidRPr="00000000">
        <w:rPr>
          <w:rtl w:val="0"/>
        </w:rPr>
        <w:t xml:space="preserve">In this course, we will study theories of play and how play is expressed in games. There will be an emphasis on game literacy and games as complex cultural and aesthetic objects, as well as inquiry into the social, political, and ethical issues that inform game stories, game design, game genres, game aesthetics, player decision-making, and role-playing and identity within games.</w:t>
      </w:r>
    </w:p>
    <w:p w:rsidR="00000000" w:rsidDel="00000000" w:rsidP="00000000" w:rsidRDefault="00000000" w:rsidRPr="00000000" w14:paraId="00000015">
      <w:pPr>
        <w:rPr/>
      </w:pPr>
      <w:r w:rsidDel="00000000" w:rsidR="00000000" w:rsidRPr="00000000">
        <w:rPr>
          <w:rtl w:val="0"/>
        </w:rPr>
        <w:t xml:space="preserve">The current scholarship in game studies, primarily founded in the field of rhetoric, interprets the intervention of any kind of game (digital, tabletop, competitive sport, or otherwise) in any culture as a critical act that allows players as well as spectators to think about the ways they interact with the world and each other. In addition to the writing of essays and weekly assignments, students are exposed to a wide variety of critical sources in the field of game studies in order to interpret game experiences. During this course, you will learn to describe digital game experiences by relating them to aspects of art, prose narrative, film, and music, all of which go into the creation of digital games. The course focuses on the three traditional categories used to characterize digital games (design, mechanics, aesthetics), and also introduces them to narrative concepts embedded in games. </w:t>
      </w:r>
    </w:p>
    <w:p w:rsidR="00000000" w:rsidDel="00000000" w:rsidP="00000000" w:rsidRDefault="00000000" w:rsidRPr="00000000" w14:paraId="00000016">
      <w:pPr>
        <w:rPr/>
      </w:pPr>
      <w:r w:rsidDel="00000000" w:rsidR="00000000" w:rsidRPr="00000000">
        <w:rPr>
          <w:rtl w:val="0"/>
        </w:rPr>
        <w:t xml:space="preserve">In order to cultivate the critical skills to analyze games, the course requires substantial writing every week in addition to both a midterm and final project. This amounts to an output of, at a minimum, 8000 words, equivalent to 25 pages of material. There are also opportunities for students to interact with each other through Canvas discussions over a variety of different questions on a weekly basis relating to games and texts of all kinds and also other sorts of play activity, which is the focus of the first part of the course. </w:t>
      </w:r>
    </w:p>
    <w:p w:rsidR="00000000" w:rsidDel="00000000" w:rsidP="00000000" w:rsidRDefault="00000000" w:rsidRPr="00000000" w14:paraId="00000017">
      <w:pPr>
        <w:rPr/>
      </w:pPr>
      <w:r w:rsidDel="00000000" w:rsidR="00000000" w:rsidRPr="00000000">
        <w:rPr>
          <w:rtl w:val="0"/>
        </w:rPr>
        <w:t xml:space="preserve">As already mentioned, the rhetorical dimension of game studies has firmly established the idea that games are important to understanding any culture. Games and play are perhaps first and foremost about personal character and integrity, an observation supported by the writing of Johan Huizinga (1872-1945) Dutch cultural historian and author of</w:t>
      </w:r>
      <w:r w:rsidDel="00000000" w:rsidR="00000000" w:rsidRPr="00000000">
        <w:rPr>
          <w:i w:val="1"/>
          <w:rtl w:val="0"/>
        </w:rPr>
        <w:t xml:space="preserve"> Homo Ludens </w:t>
      </w:r>
      <w:r w:rsidDel="00000000" w:rsidR="00000000" w:rsidRPr="00000000">
        <w:rPr>
          <w:rtl w:val="0"/>
        </w:rPr>
        <w:t xml:space="preserve">(1938). Play with others is grounded in a willingness to abide by rules, and violation of game rules characterizes one as a “spoil sport,” one outside of the ethos of responsible game playing. This sense of “fair play,” rather than being incidental to the playing of games, is something that is found in every community centered around games, and one which underlies all social relationships and community ethics. </w:t>
      </w:r>
    </w:p>
    <w:p w:rsidR="00000000" w:rsidDel="00000000" w:rsidP="00000000" w:rsidRDefault="00000000" w:rsidRPr="00000000" w14:paraId="00000018">
      <w:pPr>
        <w:rPr/>
      </w:pPr>
      <w:r w:rsidDel="00000000" w:rsidR="00000000" w:rsidRPr="00000000">
        <w:rPr>
          <w:rtl w:val="0"/>
        </w:rPr>
        <w:t xml:space="preserve">    In recent years, game culture has seen a number of different controversies over the inclusion of people of color and those with different styles of gender expression in gaming spaces. These moments of conflict have reverberated throughout the highest echelons of digital game production and design. The content of some digital and tabletop games themselves has sought to represent and address marginalized groups, and in ENGL 3225, at least two weeks are reserved during the term to explore these topics. Beyond the political and personal drama of such games as </w:t>
      </w:r>
      <w:r w:rsidDel="00000000" w:rsidR="00000000" w:rsidRPr="00000000">
        <w:rPr>
          <w:i w:val="1"/>
          <w:rtl w:val="0"/>
        </w:rPr>
        <w:t xml:space="preserve">Mass Effect </w:t>
      </w:r>
      <w:r w:rsidDel="00000000" w:rsidR="00000000" w:rsidRPr="00000000">
        <w:rPr>
          <w:rtl w:val="0"/>
        </w:rPr>
        <w:t xml:space="preserve">and </w:t>
      </w:r>
      <w:r w:rsidDel="00000000" w:rsidR="00000000" w:rsidRPr="00000000">
        <w:rPr>
          <w:i w:val="1"/>
          <w:rtl w:val="0"/>
        </w:rPr>
        <w:t xml:space="preserve">Skyrim</w:t>
      </w:r>
      <w:r w:rsidDel="00000000" w:rsidR="00000000" w:rsidRPr="00000000">
        <w:rPr>
          <w:rtl w:val="0"/>
        </w:rPr>
        <w:t xml:space="preserve">, there are other, smaller titles such as</w:t>
      </w:r>
      <w:r w:rsidDel="00000000" w:rsidR="00000000" w:rsidRPr="00000000">
        <w:rPr>
          <w:i w:val="1"/>
          <w:rtl w:val="0"/>
        </w:rPr>
        <w:t xml:space="preserve"> Undertale</w:t>
      </w:r>
      <w:r w:rsidDel="00000000" w:rsidR="00000000" w:rsidRPr="00000000">
        <w:rPr>
          <w:rtl w:val="0"/>
        </w:rPr>
        <w:t xml:space="preserve">, </w:t>
      </w:r>
      <w:r w:rsidDel="00000000" w:rsidR="00000000" w:rsidRPr="00000000">
        <w:rPr>
          <w:i w:val="1"/>
          <w:rtl w:val="0"/>
        </w:rPr>
        <w:t xml:space="preserve">Celeste</w:t>
      </w:r>
      <w:r w:rsidDel="00000000" w:rsidR="00000000" w:rsidRPr="00000000">
        <w:rPr>
          <w:rtl w:val="0"/>
        </w:rPr>
        <w:t xml:space="preserve">, and </w:t>
      </w:r>
      <w:r w:rsidDel="00000000" w:rsidR="00000000" w:rsidRPr="00000000">
        <w:rPr>
          <w:i w:val="1"/>
          <w:rtl w:val="0"/>
        </w:rPr>
        <w:t xml:space="preserve">Diary of a Spaceport Janitor </w:t>
      </w:r>
      <w:r w:rsidDel="00000000" w:rsidR="00000000" w:rsidRPr="00000000">
        <w:rPr>
          <w:rtl w:val="0"/>
        </w:rPr>
        <w:t xml:space="preserve">that directly represent and extensively comment on LGBTQ+ issues. All three of these games also represent non-binary and transgender characters whose gender status is instrumental to the narrative. </w:t>
      </w:r>
    </w:p>
    <w:p w:rsidR="00000000" w:rsidDel="00000000" w:rsidP="00000000" w:rsidRDefault="00000000" w:rsidRPr="00000000" w14:paraId="00000019">
      <w:pPr>
        <w:spacing w:after="0" w:line="240" w:lineRule="auto"/>
        <w:ind w:left="720" w:firstLine="0"/>
        <w:rPr/>
      </w:pPr>
      <w:r w:rsidDel="00000000" w:rsidR="00000000" w:rsidRPr="00000000">
        <w:rPr>
          <w:rtl w:val="0"/>
        </w:rPr>
      </w:r>
    </w:p>
    <w:p w:rsidR="00000000" w:rsidDel="00000000" w:rsidP="00000000" w:rsidRDefault="00000000" w:rsidRPr="00000000" w14:paraId="0000001A">
      <w:pPr>
        <w:pStyle w:val="Heading2"/>
        <w:rPr/>
      </w:pPr>
      <w:r w:rsidDel="00000000" w:rsidR="00000000" w:rsidRPr="00000000">
        <w:rPr>
          <w:rtl w:val="0"/>
        </w:rPr>
        <w:t xml:space="preserve">How to Succeed in this Course </w:t>
      </w:r>
    </w:p>
    <w:p w:rsidR="00000000" w:rsidDel="00000000" w:rsidP="00000000" w:rsidRDefault="00000000" w:rsidRPr="00000000" w14:paraId="0000001B">
      <w:pPr>
        <w:spacing w:after="0" w:line="240" w:lineRule="auto"/>
        <w:rPr/>
      </w:pPr>
      <w:r w:rsidDel="00000000" w:rsidR="00000000" w:rsidRPr="00000000">
        <w:rPr>
          <w:rtl w:val="0"/>
        </w:rPr>
        <w:t xml:space="preserve">My office hours this term are MW 12pm-2pm; TTh 10am-1pm. Connect with me through email and/or by attending office hours. During busy times, my inbox becomes rather full, so if you contact me and do not receive a response within two business days, please send a follow up email. A gentle nudge is always appreciated. </w:t>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t xml:space="preserve">The most important advice I can offer with regard to succeeding in this course si make it a daily habit to check in, and also check in with your fellow students via discussion or the Canvas inbox.  Get in the habit of reading and writing every day.</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t xml:space="preserve">UNT strives to offer you a high-quality education and a supportive environment, so you learn and grow. As a faculty member, I am committed to helping you be successful as a student. To learn more about campus resources and information on how you can be successful at UNT, go to unt.edu/success and explore unt.edu/wellness. To get all your enrollment and student financial-related questions answered, go to scrappysays.unt.edu.</w:t>
      </w:r>
    </w:p>
    <w:p w:rsidR="00000000" w:rsidDel="00000000" w:rsidP="00000000" w:rsidRDefault="00000000" w:rsidRPr="00000000" w14:paraId="00000020">
      <w:pPr>
        <w:spacing w:after="0" w:line="240" w:lineRule="auto"/>
        <w:rPr>
          <w:color w:val="000000"/>
        </w:rPr>
      </w:pPr>
      <w:r w:rsidDel="00000000" w:rsidR="00000000" w:rsidRPr="00000000">
        <w:rPr>
          <w:rtl w:val="0"/>
        </w:rPr>
      </w:r>
    </w:p>
    <w:p w:rsidR="00000000" w:rsidDel="00000000" w:rsidP="00000000" w:rsidRDefault="00000000" w:rsidRPr="00000000" w14:paraId="00000021">
      <w:pPr>
        <w:spacing w:after="0" w:line="240" w:lineRule="auto"/>
        <w:rPr>
          <w:color w:val="201f1e"/>
          <w:highlight w:val="white"/>
        </w:rPr>
      </w:pPr>
      <w:r w:rsidDel="00000000" w:rsidR="00000000" w:rsidRPr="00000000">
        <w:rPr>
          <w:color w:val="201f1e"/>
          <w:highlight w:val="white"/>
          <w:rtl w:val="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w:t>
      </w:r>
      <w:r w:rsidDel="00000000" w:rsidR="00000000" w:rsidRPr="00000000">
        <w:rPr>
          <w:color w:val="201f1e"/>
          <w:sz w:val="24"/>
          <w:szCs w:val="24"/>
          <w:highlight w:val="white"/>
          <w:rtl w:val="0"/>
        </w:rPr>
        <w:t xml:space="preserve"> </w:t>
      </w:r>
      <w:r w:rsidDel="00000000" w:rsidR="00000000" w:rsidRPr="00000000">
        <w:rPr>
          <w:color w:val="201f1e"/>
          <w:highlight w:val="white"/>
          <w:rtl w:val="0"/>
        </w:rPr>
        <w:t xml:space="preserve">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7">
        <w:r w:rsidDel="00000000" w:rsidR="00000000" w:rsidRPr="00000000">
          <w:rPr>
            <w:color w:val="00853e"/>
            <w:highlight w:val="white"/>
            <w:u w:val="single"/>
            <w:rtl w:val="0"/>
          </w:rPr>
          <w:t xml:space="preserve">Office of Disability Access</w:t>
        </w:r>
      </w:hyperlink>
      <w:r w:rsidDel="00000000" w:rsidR="00000000" w:rsidRPr="00000000">
        <w:rPr>
          <w:color w:val="00853e"/>
          <w:highlight w:val="white"/>
          <w:rtl w:val="0"/>
        </w:rPr>
        <w:t xml:space="preserve"> </w:t>
      </w:r>
      <w:r w:rsidDel="00000000" w:rsidR="00000000" w:rsidRPr="00000000">
        <w:rPr>
          <w:color w:val="201f1e"/>
          <w:highlight w:val="white"/>
          <w:rtl w:val="0"/>
        </w:rPr>
        <w:t xml:space="preserve">website (</w:t>
      </w:r>
      <w:hyperlink r:id="rId8">
        <w:r w:rsidDel="00000000" w:rsidR="00000000" w:rsidRPr="00000000">
          <w:rPr>
            <w:color w:val="00853e"/>
            <w:highlight w:val="white"/>
            <w:u w:val="single"/>
            <w:rtl w:val="0"/>
          </w:rPr>
          <w:t xml:space="preserve">https://studentaffairs.unt.edu/office-disability-access</w:t>
        </w:r>
      </w:hyperlink>
      <w:r w:rsidDel="00000000" w:rsidR="00000000" w:rsidRPr="00000000">
        <w:rPr>
          <w:color w:val="201f1e"/>
          <w:highlight w:val="white"/>
          <w:rtl w:val="0"/>
        </w:rPr>
        <w:t xml:space="preserve">)</w:t>
      </w:r>
      <w:r w:rsidDel="00000000" w:rsidR="00000000" w:rsidRPr="00000000">
        <w:rPr>
          <w:highlight w:val="white"/>
          <w:rtl w:val="0"/>
        </w:rPr>
        <w:t xml:space="preserve">. </w:t>
      </w:r>
      <w:r w:rsidDel="00000000" w:rsidR="00000000" w:rsidRPr="00000000">
        <w:rPr>
          <w:color w:val="201f1e"/>
          <w:highlight w:val="white"/>
          <w:rtl w:val="0"/>
        </w:rPr>
        <w:t xml:space="preserve">You may also contact ODA by phone at (940) 565-4323.</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1"/>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2"/>
        <w:rPr/>
      </w:pPr>
      <w:r w:rsidDel="00000000" w:rsidR="00000000" w:rsidRPr="00000000">
        <w:rPr>
          <w:rtl w:val="0"/>
        </w:rPr>
        <w:t xml:space="preserve">Supporting Your Success and Creating an Inclusive Learning Environment  </w:t>
      </w:r>
    </w:p>
    <w:p w:rsidR="00000000" w:rsidDel="00000000" w:rsidP="00000000" w:rsidRDefault="00000000" w:rsidRPr="00000000" w14:paraId="00000024">
      <w:pPr>
        <w:spacing w:after="0" w:line="240" w:lineRule="auto"/>
        <w:ind w:left="0" w:firstLine="0"/>
        <w:rPr/>
      </w:pPr>
      <w:r w:rsidDel="00000000" w:rsidR="00000000" w:rsidRPr="00000000">
        <w:rPr>
          <w:rtl w:val="0"/>
        </w:rP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rsidR="00000000" w:rsidDel="00000000" w:rsidP="00000000" w:rsidRDefault="00000000" w:rsidRPr="00000000" w14:paraId="00000025">
      <w:pPr>
        <w:spacing w:after="0" w:line="240" w:lineRule="auto"/>
        <w:ind w:left="0" w:firstLine="0"/>
        <w:rPr/>
      </w:pPr>
      <w:r w:rsidDel="00000000" w:rsidR="00000000" w:rsidRPr="00000000">
        <w:rPr>
          <w:rtl w:val="0"/>
        </w:rPr>
      </w:r>
    </w:p>
    <w:p w:rsidR="00000000" w:rsidDel="00000000" w:rsidP="00000000" w:rsidRDefault="00000000" w:rsidRPr="00000000" w14:paraId="00000026">
      <w:pPr>
        <w:spacing w:after="0" w:line="240" w:lineRule="auto"/>
        <w:ind w:left="0" w:firstLine="0"/>
        <w:rPr/>
      </w:pPr>
      <w:r w:rsidDel="00000000" w:rsidR="00000000" w:rsidRPr="00000000">
        <w:rPr>
          <w:rtl w:val="0"/>
        </w:rPr>
        <w:t xml:space="preserve">We will discuss our classroom’s habits of engagement and I also encourage you to review UNT’s student code of conduct so that we can all start with the same baseline civility and understanding </w:t>
      </w:r>
      <w:r w:rsidDel="00000000" w:rsidR="00000000" w:rsidRPr="00000000">
        <w:rPr>
          <w:color w:val="00853e"/>
          <w:rtl w:val="0"/>
        </w:rPr>
        <w:t xml:space="preserve">(</w:t>
      </w:r>
      <w:hyperlink r:id="rId9">
        <w:r w:rsidDel="00000000" w:rsidR="00000000" w:rsidRPr="00000000">
          <w:rPr>
            <w:color w:val="00853e"/>
            <w:u w:val="single"/>
            <w:rtl w:val="0"/>
          </w:rPr>
          <w:t xml:space="preserve">Code of Student Conduct</w:t>
        </w:r>
      </w:hyperlink>
      <w:r w:rsidDel="00000000" w:rsidR="00000000" w:rsidRPr="00000000">
        <w:rPr>
          <w:rtl w:val="0"/>
        </w:rPr>
        <w:t xml:space="preserve">) (</w:t>
      </w:r>
      <w:hyperlink r:id="rId10">
        <w:r w:rsidDel="00000000" w:rsidR="00000000" w:rsidRPr="00000000">
          <w:rPr>
            <w:color w:val="00853e"/>
            <w:u w:val="single"/>
            <w:rtl w:val="0"/>
          </w:rPr>
          <w:t xml:space="preserve">https://policy.unt.edu/policy/07-012</w:t>
        </w:r>
      </w:hyperlink>
      <w:r w:rsidDel="00000000" w:rsidR="00000000" w:rsidRPr="00000000">
        <w:rPr>
          <w:rtl w:val="0"/>
        </w:rPr>
        <w:t xml:space="preserve">).  </w:t>
      </w:r>
    </w:p>
    <w:p w:rsidR="00000000" w:rsidDel="00000000" w:rsidP="00000000" w:rsidRDefault="00000000" w:rsidRPr="00000000" w14:paraId="00000027">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28">
      <w:pPr>
        <w:pStyle w:val="Heading2"/>
        <w:rPr/>
      </w:pPr>
      <w:r w:rsidDel="00000000" w:rsidR="00000000" w:rsidRPr="00000000">
        <w:rPr>
          <w:rtl w:val="0"/>
        </w:rPr>
        <w:t xml:space="preserve">Required/Recommended Materials </w:t>
      </w:r>
    </w:p>
    <w:p w:rsidR="00000000" w:rsidDel="00000000" w:rsidP="00000000" w:rsidRDefault="00000000" w:rsidRPr="00000000" w14:paraId="00000029">
      <w:pPr>
        <w:spacing w:after="0" w:line="240" w:lineRule="auto"/>
        <w:ind w:left="0" w:firstLine="0"/>
        <w:rPr/>
      </w:pPr>
      <w:r w:rsidDel="00000000" w:rsidR="00000000" w:rsidRPr="00000000">
        <w:rPr>
          <w:rtl w:val="0"/>
        </w:rPr>
        <w:t xml:space="preserve">The only class materials are the digital components and texts in Canvas. To fully participate in this class, students will need internet access to reference content on the Canvas Learning Management System and [faculty member to include other required equipment or software such as a webcam, microphone, Adobe Photoshop, etc.]. If circumstances change, you will be informed of other technical needs to access course content.  Information on how to be successful in a digital learning environment can be found at </w:t>
      </w:r>
      <w:hyperlink r:id="rId11">
        <w:r w:rsidDel="00000000" w:rsidR="00000000" w:rsidRPr="00000000">
          <w:rPr>
            <w:color w:val="00853e"/>
            <w:u w:val="single"/>
            <w:rtl w:val="0"/>
          </w:rPr>
          <w:t xml:space="preserve">Learn Anywhere</w:t>
        </w:r>
      </w:hyperlink>
      <w:r w:rsidDel="00000000" w:rsidR="00000000" w:rsidRPr="00000000">
        <w:rPr>
          <w:color w:val="00853e"/>
          <w:rtl w:val="0"/>
        </w:rPr>
        <w:t xml:space="preserve"> </w:t>
      </w:r>
      <w:r w:rsidDel="00000000" w:rsidR="00000000" w:rsidRPr="00000000">
        <w:rPr>
          <w:rtl w:val="0"/>
        </w:rPr>
        <w:t xml:space="preserve">(</w:t>
      </w:r>
      <w:hyperlink r:id="rId12">
        <w:r w:rsidDel="00000000" w:rsidR="00000000" w:rsidRPr="00000000">
          <w:rPr>
            <w:color w:val="00853e"/>
            <w:u w:val="single"/>
            <w:rtl w:val="0"/>
          </w:rPr>
          <w:t xml:space="preserve">https://online.unt.edu/learn</w:t>
        </w:r>
      </w:hyperlink>
      <w:r w:rsidDel="00000000" w:rsidR="00000000" w:rsidRPr="00000000">
        <w:rPr>
          <w:rtl w:val="0"/>
        </w:rPr>
        <w:t xml:space="preserve">). </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pStyle w:val="Heading2"/>
        <w:rPr/>
      </w:pPr>
      <w:r w:rsidDel="00000000" w:rsidR="00000000" w:rsidRPr="00000000">
        <w:rPr>
          <w:rtl w:val="0"/>
        </w:rPr>
        <w:t xml:space="preserve">Course Requirements/Schedule </w:t>
      </w:r>
    </w:p>
    <w:p w:rsidR="00000000" w:rsidDel="00000000" w:rsidP="00000000" w:rsidRDefault="00000000" w:rsidRPr="00000000" w14:paraId="0000002C">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2D">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1 : an introduction to play</w:t>
      </w:r>
    </w:p>
    <w:p w:rsidR="00000000" w:rsidDel="00000000" w:rsidP="00000000" w:rsidRDefault="00000000" w:rsidRPr="00000000" w14:paraId="0000002E">
      <w:pPr>
        <w:shd w:fill="ffffff" w:val="clear"/>
        <w:spacing w:after="180" w:before="180" w:line="240" w:lineRule="auto"/>
        <w:rPr>
          <w:rFonts w:ascii="Arial" w:cs="Arial" w:eastAsia="Arial" w:hAnsi="Arial"/>
          <w:b w:val="1"/>
          <w:color w:val="1155cc"/>
          <w:sz w:val="24"/>
          <w:szCs w:val="24"/>
          <w:u w:val="single"/>
        </w:rPr>
      </w:pPr>
      <w:r w:rsidDel="00000000" w:rsidR="00000000" w:rsidRPr="00000000">
        <w:rPr>
          <w:rFonts w:ascii="Arial" w:cs="Arial" w:eastAsia="Arial" w:hAnsi="Arial"/>
          <w:b w:val="1"/>
          <w:color w:val="2d3b45"/>
          <w:sz w:val="24"/>
          <w:szCs w:val="24"/>
          <w:rtl w:val="0"/>
        </w:rPr>
        <w:t xml:space="preserve">Roger Ebert, </w:t>
      </w:r>
      <w:hyperlink r:id="rId13">
        <w:r w:rsidDel="00000000" w:rsidR="00000000" w:rsidRPr="00000000">
          <w:rPr>
            <w:rFonts w:ascii="Arial" w:cs="Arial" w:eastAsia="Arial" w:hAnsi="Arial"/>
            <w:b w:val="1"/>
            <w:color w:val="1155cc"/>
            <w:sz w:val="24"/>
            <w:szCs w:val="24"/>
            <w:u w:val="single"/>
            <w:rtl w:val="0"/>
          </w:rPr>
          <w:t xml:space="preserve">“Video games can never be art” (rogerebert.com, April 16, 2010)</w:t>
        </w:r>
      </w:hyperlink>
      <w:r w:rsidDel="00000000" w:rsidR="00000000" w:rsidRPr="00000000">
        <w:rPr>
          <w:rtl w:val="0"/>
        </w:rPr>
      </w:r>
    </w:p>
    <w:p w:rsidR="00000000" w:rsidDel="00000000" w:rsidP="00000000" w:rsidRDefault="00000000" w:rsidRPr="00000000" w14:paraId="0000002F">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Johan Huizinga, "Nature and Significance of Play as a Cultural Phenomenon." from Homo Ludens: A Study of the Play Element in Culture</w:t>
      </w:r>
    </w:p>
    <w:p w:rsidR="00000000" w:rsidDel="00000000" w:rsidP="00000000" w:rsidRDefault="00000000" w:rsidRPr="00000000" w14:paraId="00000030">
      <w:pPr>
        <w:shd w:fill="ffffff" w:val="clear"/>
        <w:spacing w:after="180" w:before="180" w:line="240" w:lineRule="auto"/>
        <w:rPr>
          <w:rFonts w:ascii="Arial" w:cs="Arial" w:eastAsia="Arial" w:hAnsi="Arial"/>
          <w:b w:val="1"/>
          <w:color w:val="2d3b45"/>
          <w:sz w:val="24"/>
          <w:szCs w:val="24"/>
        </w:rPr>
      </w:pPr>
      <w:r w:rsidDel="00000000" w:rsidR="00000000" w:rsidRPr="00000000">
        <w:rPr>
          <w:rtl w:val="0"/>
        </w:rPr>
      </w:r>
    </w:p>
    <w:p w:rsidR="00000000" w:rsidDel="00000000" w:rsidP="00000000" w:rsidRDefault="00000000" w:rsidRPr="00000000" w14:paraId="00000031">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2: sociology of free play</w:t>
      </w:r>
    </w:p>
    <w:p w:rsidR="00000000" w:rsidDel="00000000" w:rsidP="00000000" w:rsidRDefault="00000000" w:rsidRPr="00000000" w14:paraId="00000032">
      <w:pPr>
        <w:shd w:fill="ffffff" w:val="clear"/>
        <w:spacing w:after="180" w:before="180" w:line="240" w:lineRule="auto"/>
        <w:rPr>
          <w:rFonts w:ascii="Arial" w:cs="Arial" w:eastAsia="Arial" w:hAnsi="Arial"/>
          <w:color w:val="1155cc"/>
          <w:sz w:val="24"/>
          <w:szCs w:val="24"/>
          <w:u w:val="single"/>
        </w:rPr>
      </w:pPr>
      <w:r w:rsidDel="00000000" w:rsidR="00000000" w:rsidRPr="00000000">
        <w:rPr>
          <w:rFonts w:ascii="Arial" w:cs="Arial" w:eastAsia="Arial" w:hAnsi="Arial"/>
          <w:color w:val="2d3b45"/>
          <w:sz w:val="24"/>
          <w:szCs w:val="24"/>
          <w:rtl w:val="0"/>
        </w:rPr>
        <w:t xml:space="preserve"> Imad Khan, "Why Animal Crossing Is the Game for the Coronavirus Moment," New York Times, (April 7, 2020)</w:t>
      </w:r>
      <w:r w:rsidDel="00000000" w:rsidR="00000000" w:rsidRPr="00000000">
        <w:rPr>
          <w:rtl w:val="0"/>
        </w:rPr>
      </w:r>
    </w:p>
    <w:p w:rsidR="00000000" w:rsidDel="00000000" w:rsidP="00000000" w:rsidRDefault="00000000" w:rsidRPr="00000000" w14:paraId="00000033">
      <w:pPr>
        <w:shd w:fill="ffffff" w:val="clear"/>
        <w:spacing w:after="180" w:before="180" w:line="240" w:lineRule="auto"/>
        <w:rPr>
          <w:rFonts w:ascii="Arial" w:cs="Arial" w:eastAsia="Arial" w:hAnsi="Arial"/>
          <w:color w:val="1155cc"/>
          <w:sz w:val="24"/>
          <w:szCs w:val="24"/>
          <w:u w:val="single"/>
        </w:rPr>
      </w:pPr>
      <w:r w:rsidDel="00000000" w:rsidR="00000000" w:rsidRPr="00000000">
        <w:rPr>
          <w:rFonts w:ascii="Arial" w:cs="Arial" w:eastAsia="Arial" w:hAnsi="Arial"/>
          <w:color w:val="2d3b45"/>
          <w:sz w:val="24"/>
          <w:szCs w:val="24"/>
          <w:rtl w:val="0"/>
        </w:rPr>
        <w:t xml:space="preserve">Shulamith N Armintor, "Shula's New Horizon-aries" (August 2020)</w:t>
      </w:r>
      <w:r w:rsidDel="00000000" w:rsidR="00000000" w:rsidRPr="00000000">
        <w:rPr>
          <w:rtl w:val="0"/>
        </w:rPr>
      </w:r>
    </w:p>
    <w:p w:rsidR="00000000" w:rsidDel="00000000" w:rsidP="00000000" w:rsidRDefault="00000000" w:rsidRPr="00000000" w14:paraId="00000034">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excerpt from Celia Pearce and Artemesia, </w:t>
      </w:r>
      <w:r w:rsidDel="00000000" w:rsidR="00000000" w:rsidRPr="00000000">
        <w:rPr>
          <w:rFonts w:ascii="Arial" w:cs="Arial" w:eastAsia="Arial" w:hAnsi="Arial"/>
          <w:i w:val="1"/>
          <w:color w:val="2d3b45"/>
          <w:sz w:val="24"/>
          <w:szCs w:val="24"/>
          <w:rtl w:val="0"/>
        </w:rPr>
        <w:t xml:space="preserve">Communities of Play: Emergent Cultures in Multiplayer Games and Virtual World</w:t>
      </w:r>
      <w:r w:rsidDel="00000000" w:rsidR="00000000" w:rsidRPr="00000000">
        <w:rPr>
          <w:rFonts w:ascii="Arial" w:cs="Arial" w:eastAsia="Arial" w:hAnsi="Arial"/>
          <w:color w:val="2d3b45"/>
          <w:sz w:val="24"/>
          <w:szCs w:val="24"/>
          <w:rtl w:val="0"/>
        </w:rPr>
        <w:t xml:space="preserve">s, 155-190.</w:t>
      </w:r>
    </w:p>
    <w:p w:rsidR="00000000" w:rsidDel="00000000" w:rsidP="00000000" w:rsidRDefault="00000000" w:rsidRPr="00000000" w14:paraId="00000035">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36">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3: what are games?</w:t>
      </w:r>
    </w:p>
    <w:p w:rsidR="00000000" w:rsidDel="00000000" w:rsidP="00000000" w:rsidRDefault="00000000" w:rsidRPr="00000000" w14:paraId="00000037">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Ian Bogost, "The Rhetoric of Video Games," from The Ecology of Games: Connecting Youth, Games, and Learning. Ed. by Katie Salen.  Cambridge, MA: The MIT Press, 2008.</w:t>
      </w:r>
    </w:p>
    <w:p w:rsidR="00000000" w:rsidDel="00000000" w:rsidP="00000000" w:rsidRDefault="00000000" w:rsidRPr="00000000" w14:paraId="00000038">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C Thi Nguyen, " Philosophy of Games," Philosophy Compass, V. 12, Issue 8  (August 2017)</w:t>
      </w:r>
    </w:p>
    <w:p w:rsidR="00000000" w:rsidDel="00000000" w:rsidP="00000000" w:rsidRDefault="00000000" w:rsidRPr="00000000" w14:paraId="00000039">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excerpt from Bernard Suits, The Grasshopper (1978)</w:t>
      </w:r>
    </w:p>
    <w:p w:rsidR="00000000" w:rsidDel="00000000" w:rsidP="00000000" w:rsidRDefault="00000000" w:rsidRPr="00000000" w14:paraId="0000003A">
      <w:pPr>
        <w:shd w:fill="ffffff" w:val="clear"/>
        <w:spacing w:after="180" w:before="180" w:line="240" w:lineRule="auto"/>
        <w:rPr>
          <w:rFonts w:ascii="Arial" w:cs="Arial" w:eastAsia="Arial" w:hAnsi="Arial"/>
          <w:color w:val="2d3b45"/>
          <w:sz w:val="24"/>
          <w:szCs w:val="24"/>
        </w:rPr>
      </w:pPr>
      <w:r w:rsidDel="00000000" w:rsidR="00000000" w:rsidRPr="00000000">
        <w:rPr>
          <w:rtl w:val="0"/>
        </w:rPr>
      </w:r>
    </w:p>
    <w:p w:rsidR="00000000" w:rsidDel="00000000" w:rsidP="00000000" w:rsidRDefault="00000000" w:rsidRPr="00000000" w14:paraId="0000003B">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3C">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4: games as models of reality: mimesis</w:t>
      </w:r>
    </w:p>
    <w:p w:rsidR="00000000" w:rsidDel="00000000" w:rsidP="00000000" w:rsidRDefault="00000000" w:rsidRPr="00000000" w14:paraId="0000003D">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Greg Costikyan, "I Have No Words &amp; I Must Design," Proceedings of Computer Games and Digital Cultures Conference ed. Frans Mäyrä. Tampere: Tampere University Press, 2002.</w:t>
      </w:r>
    </w:p>
    <w:p w:rsidR="00000000" w:rsidDel="00000000" w:rsidP="00000000" w:rsidRDefault="00000000" w:rsidRPr="00000000" w14:paraId="0000003E">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James F. Dunnigan, "The Primary Law of Warfare: Murphy's," and "Who Wins," from How to Make War (4th ed.)        </w:t>
      </w:r>
    </w:p>
    <w:p w:rsidR="00000000" w:rsidDel="00000000" w:rsidP="00000000" w:rsidRDefault="00000000" w:rsidRPr="00000000" w14:paraId="0000003F">
      <w:pPr>
        <w:shd w:fill="ffffff" w:val="clear"/>
        <w:spacing w:after="180" w:before="180" w:line="240" w:lineRule="auto"/>
        <w:rPr>
          <w:rFonts w:ascii="Arial" w:cs="Arial" w:eastAsia="Arial" w:hAnsi="Arial"/>
          <w:color w:val="2d3b45"/>
          <w:sz w:val="24"/>
          <w:szCs w:val="24"/>
        </w:rPr>
      </w:pPr>
      <w:r w:rsidDel="00000000" w:rsidR="00000000" w:rsidRPr="00000000">
        <w:rPr>
          <w:rtl w:val="0"/>
        </w:rPr>
      </w:r>
    </w:p>
    <w:p w:rsidR="00000000" w:rsidDel="00000000" w:rsidP="00000000" w:rsidRDefault="00000000" w:rsidRPr="00000000" w14:paraId="00000040">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Gary Gygax and Jeff Perren, excerpts from the manual for Chainmail (3rd edition, 1975)</w:t>
      </w:r>
    </w:p>
    <w:p w:rsidR="00000000" w:rsidDel="00000000" w:rsidP="00000000" w:rsidRDefault="00000000" w:rsidRPr="00000000" w14:paraId="00000041">
      <w:pPr>
        <w:shd w:fill="ffffff" w:val="clear"/>
        <w:spacing w:after="180" w:before="180" w:line="240" w:lineRule="auto"/>
        <w:rPr>
          <w:rFonts w:ascii="Arial" w:cs="Arial" w:eastAsia="Arial" w:hAnsi="Arial"/>
          <w:b w:val="1"/>
          <w:color w:val="2d3b45"/>
          <w:sz w:val="24"/>
          <w:szCs w:val="24"/>
        </w:rPr>
      </w:pPr>
      <w:r w:rsidDel="00000000" w:rsidR="00000000" w:rsidRPr="00000000">
        <w:rPr>
          <w:rtl w:val="0"/>
        </w:rPr>
      </w:r>
    </w:p>
    <w:p w:rsidR="00000000" w:rsidDel="00000000" w:rsidP="00000000" w:rsidRDefault="00000000" w:rsidRPr="00000000" w14:paraId="00000042">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43">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5:  games as models of (un)reality, part 2: game theory as such</w:t>
      </w:r>
    </w:p>
    <w:p w:rsidR="00000000" w:rsidDel="00000000" w:rsidP="00000000" w:rsidRDefault="00000000" w:rsidRPr="00000000" w14:paraId="00000044">
      <w:pPr>
        <w:shd w:fill="ffffff" w:val="clear"/>
        <w:spacing w:after="180" w:before="180" w:line="240" w:lineRule="auto"/>
        <w:rPr>
          <w:rFonts w:ascii="Arial" w:cs="Arial" w:eastAsia="Arial" w:hAnsi="Arial"/>
          <w:i w:val="1"/>
          <w:color w:val="2d3b45"/>
          <w:sz w:val="24"/>
          <w:szCs w:val="24"/>
        </w:rPr>
      </w:pPr>
      <w:r w:rsidDel="00000000" w:rsidR="00000000" w:rsidRPr="00000000">
        <w:rPr>
          <w:rFonts w:ascii="Arial" w:cs="Arial" w:eastAsia="Arial" w:hAnsi="Arial"/>
          <w:color w:val="2d3b45"/>
          <w:sz w:val="24"/>
          <w:szCs w:val="24"/>
          <w:rtl w:val="0"/>
        </w:rPr>
        <w:t xml:space="preserve"> Ken Binmore, "The Name of the Game," and "Conventions," from </w:t>
      </w:r>
      <w:r w:rsidDel="00000000" w:rsidR="00000000" w:rsidRPr="00000000">
        <w:rPr>
          <w:rFonts w:ascii="Arial" w:cs="Arial" w:eastAsia="Arial" w:hAnsi="Arial"/>
          <w:i w:val="1"/>
          <w:color w:val="2d3b45"/>
          <w:sz w:val="24"/>
          <w:szCs w:val="24"/>
          <w:rtl w:val="0"/>
        </w:rPr>
        <w:t xml:space="preserve">Game Theory: a very short introduction</w:t>
      </w:r>
    </w:p>
    <w:p w:rsidR="00000000" w:rsidDel="00000000" w:rsidP="00000000" w:rsidRDefault="00000000" w:rsidRPr="00000000" w14:paraId="00000045">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Binmore, "Reciprocity" and "Information"</w:t>
      </w:r>
    </w:p>
    <w:p w:rsidR="00000000" w:rsidDel="00000000" w:rsidP="00000000" w:rsidRDefault="00000000" w:rsidRPr="00000000" w14:paraId="00000046">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       </w:t>
      </w:r>
    </w:p>
    <w:p w:rsidR="00000000" w:rsidDel="00000000" w:rsidP="00000000" w:rsidRDefault="00000000" w:rsidRPr="00000000" w14:paraId="00000047">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6: games without narratives (Tetris, clickers, etc.)</w:t>
      </w:r>
    </w:p>
    <w:p w:rsidR="00000000" w:rsidDel="00000000" w:rsidP="00000000" w:rsidRDefault="00000000" w:rsidRPr="00000000" w14:paraId="00000048">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Espen Aarseth, “A Multi-Dimensional Typology of Games,"</w:t>
      </w:r>
    </w:p>
    <w:p w:rsidR="00000000" w:rsidDel="00000000" w:rsidP="00000000" w:rsidRDefault="00000000" w:rsidRPr="00000000" w14:paraId="00000049">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The parts of Janet Murray's Hamlet on the Holodeck (1997; 2016) where she famously talks about Tetris as a narrative:</w:t>
      </w:r>
    </w:p>
    <w:p w:rsidR="00000000" w:rsidDel="00000000" w:rsidP="00000000" w:rsidRDefault="00000000" w:rsidRPr="00000000" w14:paraId="0000004A">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"Games as Symbolic Dramas," and "Agency: 2016 Update"</w:t>
      </w:r>
    </w:p>
    <w:p w:rsidR="00000000" w:rsidDel="00000000" w:rsidP="00000000" w:rsidRDefault="00000000" w:rsidRPr="00000000" w14:paraId="0000004B">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 Murray, Janet H. Hamlet on the Holodeck, updated edition: The Future of Narrative in Cyberspace. MIT press, 2017.</w:t>
      </w:r>
    </w:p>
    <w:p w:rsidR="00000000" w:rsidDel="00000000" w:rsidP="00000000" w:rsidRDefault="00000000" w:rsidRPr="00000000" w14:paraId="0000004C">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Moralde, Oscar. "Wait wait… don’t play me: The clicker game genre and configuring everyday temporalities." (2019).</w:t>
      </w:r>
    </w:p>
    <w:p w:rsidR="00000000" w:rsidDel="00000000" w:rsidP="00000000" w:rsidRDefault="00000000" w:rsidRPr="00000000" w14:paraId="0000004D">
      <w:pPr>
        <w:shd w:fill="ffffff" w:val="clear"/>
        <w:spacing w:after="180" w:before="180" w:line="240" w:lineRule="auto"/>
        <w:rPr>
          <w:rFonts w:ascii="Arial" w:cs="Arial" w:eastAsia="Arial" w:hAnsi="Arial"/>
          <w:b w:val="1"/>
          <w:color w:val="2d3b45"/>
          <w:sz w:val="24"/>
          <w:szCs w:val="24"/>
        </w:rPr>
      </w:pPr>
      <w:r w:rsidDel="00000000" w:rsidR="00000000" w:rsidRPr="00000000">
        <w:rPr>
          <w:rtl w:val="0"/>
        </w:rPr>
      </w:r>
    </w:p>
    <w:p w:rsidR="00000000" w:rsidDel="00000000" w:rsidP="00000000" w:rsidRDefault="00000000" w:rsidRPr="00000000" w14:paraId="0000004E">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4F">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7: playing literary games with narrative choices</w:t>
      </w:r>
    </w:p>
    <w:p w:rsidR="00000000" w:rsidDel="00000000" w:rsidP="00000000" w:rsidRDefault="00000000" w:rsidRPr="00000000" w14:paraId="00000050">
      <w:pPr>
        <w:shd w:fill="ffffff" w:val="clear"/>
        <w:spacing w:after="180" w:before="180" w:line="240" w:lineRule="auto"/>
        <w:rPr>
          <w:rFonts w:ascii="Arial" w:cs="Arial" w:eastAsia="Arial" w:hAnsi="Arial"/>
          <w:color w:val="1155cc"/>
          <w:sz w:val="24"/>
          <w:szCs w:val="24"/>
          <w:u w:val="single"/>
        </w:rPr>
      </w:pPr>
      <w:r w:rsidDel="00000000" w:rsidR="00000000" w:rsidRPr="00000000">
        <w:rPr>
          <w:rFonts w:ascii="Arial" w:cs="Arial" w:eastAsia="Arial" w:hAnsi="Arial"/>
          <w:color w:val="2d3b45"/>
          <w:sz w:val="24"/>
          <w:szCs w:val="24"/>
          <w:rtl w:val="0"/>
        </w:rPr>
        <w:t xml:space="preserve">Christian Swineheart, "One Book, Many Readings" </w:t>
      </w:r>
      <w:r w:rsidDel="00000000" w:rsidR="00000000" w:rsidRPr="00000000">
        <w:fldChar w:fldCharType="begin"/>
        <w:instrText xml:space="preserve"> HYPERLINK "https://samizdat.co/cyoa/" </w:instrText>
        <w:fldChar w:fldCharType="separate"/>
      </w:r>
      <w:r w:rsidDel="00000000" w:rsidR="00000000" w:rsidRPr="00000000">
        <w:rPr>
          <w:rFonts w:ascii="Arial" w:cs="Arial" w:eastAsia="Arial" w:hAnsi="Arial"/>
          <w:color w:val="1155cc"/>
          <w:sz w:val="24"/>
          <w:szCs w:val="24"/>
          <w:u w:val="single"/>
          <w:rtl w:val="0"/>
        </w:rPr>
        <w:t xml:space="preserve">https://samizdat.co/cyoa/</w:t>
      </w:r>
    </w:p>
    <w:p w:rsidR="00000000" w:rsidDel="00000000" w:rsidP="00000000" w:rsidRDefault="00000000" w:rsidRPr="00000000" w14:paraId="00000051">
      <w:pPr>
        <w:shd w:fill="ffffff" w:val="clear"/>
        <w:spacing w:after="180" w:before="180" w:line="240" w:lineRule="auto"/>
        <w:rPr>
          <w:rFonts w:ascii="Arial" w:cs="Arial" w:eastAsia="Arial" w:hAnsi="Arial"/>
          <w:color w:val="1155cc"/>
          <w:sz w:val="24"/>
          <w:szCs w:val="24"/>
          <w:u w:val="single"/>
        </w:rPr>
      </w:pPr>
      <w:r w:rsidDel="00000000" w:rsidR="00000000" w:rsidRPr="00000000">
        <w:fldChar w:fldCharType="end"/>
      </w:r>
      <w:r w:rsidDel="00000000" w:rsidR="00000000" w:rsidRPr="00000000">
        <w:rPr>
          <w:rFonts w:ascii="Arial" w:cs="Arial" w:eastAsia="Arial" w:hAnsi="Arial"/>
          <w:color w:val="2d3b45"/>
          <w:sz w:val="24"/>
          <w:szCs w:val="24"/>
          <w:rtl w:val="0"/>
        </w:rPr>
        <w:t xml:space="preserve"> Leslie Jamison, "The Enduring Allure of Choose Your Own Adventure Books," The New Yorker, September 12, 2022.</w:t>
      </w:r>
      <w:r w:rsidDel="00000000" w:rsidR="00000000" w:rsidRPr="00000000">
        <w:rPr>
          <w:rtl w:val="0"/>
        </w:rPr>
      </w:r>
    </w:p>
    <w:p w:rsidR="00000000" w:rsidDel="00000000" w:rsidP="00000000" w:rsidRDefault="00000000" w:rsidRPr="00000000" w14:paraId="00000052">
      <w:pPr>
        <w:shd w:fill="ffffff" w:val="clear"/>
        <w:spacing w:after="180" w:before="180" w:line="240" w:lineRule="auto"/>
        <w:rPr>
          <w:rFonts w:ascii="Arial" w:cs="Arial" w:eastAsia="Arial" w:hAnsi="Arial"/>
          <w:i w:val="1"/>
          <w:color w:val="2d3b45"/>
          <w:sz w:val="24"/>
          <w:szCs w:val="24"/>
        </w:rPr>
      </w:pPr>
      <w:r w:rsidDel="00000000" w:rsidR="00000000" w:rsidRPr="00000000">
        <w:rPr>
          <w:rFonts w:ascii="Arial" w:cs="Arial" w:eastAsia="Arial" w:hAnsi="Arial"/>
          <w:b w:val="1"/>
          <w:color w:val="2d3b45"/>
          <w:sz w:val="24"/>
          <w:szCs w:val="24"/>
          <w:rtl w:val="0"/>
        </w:rPr>
        <w:t xml:space="preserve"> </w:t>
      </w:r>
      <w:r w:rsidDel="00000000" w:rsidR="00000000" w:rsidRPr="00000000">
        <w:rPr>
          <w:rFonts w:ascii="Arial" w:cs="Arial" w:eastAsia="Arial" w:hAnsi="Arial"/>
          <w:color w:val="2d3b45"/>
          <w:sz w:val="24"/>
          <w:szCs w:val="24"/>
          <w:rtl w:val="0"/>
        </w:rPr>
        <w:t xml:space="preserve">Edward Packard, </w:t>
      </w:r>
      <w:r w:rsidDel="00000000" w:rsidR="00000000" w:rsidRPr="00000000">
        <w:rPr>
          <w:rFonts w:ascii="Arial" w:cs="Arial" w:eastAsia="Arial" w:hAnsi="Arial"/>
          <w:i w:val="1"/>
          <w:color w:val="2d3b45"/>
          <w:sz w:val="24"/>
          <w:szCs w:val="24"/>
          <w:rtl w:val="0"/>
        </w:rPr>
        <w:t xml:space="preserve">Choose Your Own Adventure 18; Underground Kingdom</w:t>
      </w:r>
    </w:p>
    <w:p w:rsidR="00000000" w:rsidDel="00000000" w:rsidP="00000000" w:rsidRDefault="00000000" w:rsidRPr="00000000" w14:paraId="00000053">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54">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8: playing literary narratives with game choices</w:t>
      </w:r>
    </w:p>
    <w:p w:rsidR="00000000" w:rsidDel="00000000" w:rsidP="00000000" w:rsidRDefault="00000000" w:rsidRPr="00000000" w14:paraId="00000055">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Borges, "The Library of Babel,""The Garden of Forking Paths", </w:t>
      </w:r>
      <w:r w:rsidDel="00000000" w:rsidR="00000000" w:rsidRPr="00000000">
        <w:rPr>
          <w:rFonts w:ascii="Arial" w:cs="Arial" w:eastAsia="Arial" w:hAnsi="Arial"/>
          <w:b w:val="1"/>
          <w:color w:val="2d3b45"/>
          <w:sz w:val="24"/>
          <w:szCs w:val="24"/>
          <w:rtl w:val="0"/>
        </w:rPr>
        <w:t xml:space="preserve">"</w:t>
      </w:r>
      <w:r w:rsidDel="00000000" w:rsidR="00000000" w:rsidRPr="00000000">
        <w:rPr>
          <w:rFonts w:ascii="Arial" w:cs="Arial" w:eastAsia="Arial" w:hAnsi="Arial"/>
          <w:color w:val="2d3b45"/>
          <w:sz w:val="24"/>
          <w:szCs w:val="24"/>
          <w:rtl w:val="0"/>
        </w:rPr>
        <w:t xml:space="preserve">Tlön, Uqbar, Orbis Tertius"</w:t>
      </w:r>
    </w:p>
    <w:p w:rsidR="00000000" w:rsidDel="00000000" w:rsidP="00000000" w:rsidRDefault="00000000" w:rsidRPr="00000000" w14:paraId="00000056">
      <w:pPr>
        <w:shd w:fill="ffffff" w:val="clear"/>
        <w:spacing w:after="180" w:before="180" w:line="240" w:lineRule="auto"/>
        <w:rPr>
          <w:rFonts w:ascii="Arial" w:cs="Arial" w:eastAsia="Arial" w:hAnsi="Arial"/>
          <w:b w:val="1"/>
          <w:color w:val="2d3b45"/>
          <w:sz w:val="36"/>
          <w:szCs w:val="36"/>
        </w:rPr>
      </w:pPr>
      <w:r w:rsidDel="00000000" w:rsidR="00000000" w:rsidRPr="00000000">
        <w:rPr>
          <w:rtl w:val="0"/>
        </w:rPr>
      </w:r>
    </w:p>
    <w:p w:rsidR="00000000" w:rsidDel="00000000" w:rsidP="00000000" w:rsidRDefault="00000000" w:rsidRPr="00000000" w14:paraId="00000057">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9:  game narrative</w:t>
      </w:r>
    </w:p>
    <w:p w:rsidR="00000000" w:rsidDel="00000000" w:rsidP="00000000" w:rsidRDefault="00000000" w:rsidRPr="00000000" w14:paraId="00000058">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 </w:t>
      </w:r>
      <w:r w:rsidDel="00000000" w:rsidR="00000000" w:rsidRPr="00000000">
        <w:rPr>
          <w:rFonts w:ascii="Arial" w:cs="Arial" w:eastAsia="Arial" w:hAnsi="Arial"/>
          <w:color w:val="2d3b45"/>
          <w:sz w:val="24"/>
          <w:szCs w:val="24"/>
          <w:rtl w:val="0"/>
        </w:rPr>
        <w:t xml:space="preserve">Henry Jenkins, “Game Design as Narrative Architecture” </w:t>
      </w:r>
    </w:p>
    <w:p w:rsidR="00000000" w:rsidDel="00000000" w:rsidP="00000000" w:rsidRDefault="00000000" w:rsidRPr="00000000" w14:paraId="00000059">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  </w:t>
      </w:r>
      <w:r w:rsidDel="00000000" w:rsidR="00000000" w:rsidRPr="00000000">
        <w:rPr>
          <w:rFonts w:ascii="Arial" w:cs="Arial" w:eastAsia="Arial" w:hAnsi="Arial"/>
          <w:color w:val="2d3b45"/>
          <w:sz w:val="24"/>
          <w:szCs w:val="24"/>
          <w:rtl w:val="0"/>
        </w:rPr>
        <w:t xml:space="preserve">Dossier on </w:t>
      </w:r>
      <w:r w:rsidDel="00000000" w:rsidR="00000000" w:rsidRPr="00000000">
        <w:rPr>
          <w:rFonts w:ascii="Arial" w:cs="Arial" w:eastAsia="Arial" w:hAnsi="Arial"/>
          <w:i w:val="1"/>
          <w:color w:val="2d3b45"/>
          <w:sz w:val="24"/>
          <w:szCs w:val="24"/>
          <w:rtl w:val="0"/>
        </w:rPr>
        <w:t xml:space="preserve">Zork I</w:t>
      </w:r>
      <w:r w:rsidDel="00000000" w:rsidR="00000000" w:rsidRPr="00000000">
        <w:rPr>
          <w:rFonts w:ascii="Arial" w:cs="Arial" w:eastAsia="Arial" w:hAnsi="Arial"/>
          <w:color w:val="2d3b45"/>
          <w:sz w:val="24"/>
          <w:szCs w:val="24"/>
          <w:rtl w:val="0"/>
        </w:rPr>
        <w:t xml:space="preserve"> (1979)</w:t>
      </w:r>
    </w:p>
    <w:p w:rsidR="00000000" w:rsidDel="00000000" w:rsidP="00000000" w:rsidRDefault="00000000" w:rsidRPr="00000000" w14:paraId="0000005A">
      <w:pPr>
        <w:shd w:fill="ffffff" w:val="clear"/>
        <w:spacing w:after="180" w:before="180" w:line="240" w:lineRule="auto"/>
        <w:rPr>
          <w:rFonts w:ascii="Arial" w:cs="Arial" w:eastAsia="Arial" w:hAnsi="Arial"/>
          <w:i w:val="1"/>
          <w:color w:val="2d3b45"/>
          <w:sz w:val="24"/>
          <w:szCs w:val="24"/>
        </w:rPr>
      </w:pPr>
      <w:r w:rsidDel="00000000" w:rsidR="00000000" w:rsidRPr="00000000">
        <w:rPr>
          <w:rFonts w:ascii="Arial" w:cs="Arial" w:eastAsia="Arial" w:hAnsi="Arial"/>
          <w:color w:val="2d3b45"/>
          <w:sz w:val="24"/>
          <w:szCs w:val="24"/>
          <w:rtl w:val="0"/>
        </w:rPr>
        <w:t xml:space="preserve">Nick Montfort, “The Pleasure of the Text  Adventure” from </w:t>
      </w:r>
      <w:r w:rsidDel="00000000" w:rsidR="00000000" w:rsidRPr="00000000">
        <w:rPr>
          <w:rFonts w:ascii="Arial" w:cs="Arial" w:eastAsia="Arial" w:hAnsi="Arial"/>
          <w:i w:val="1"/>
          <w:color w:val="2d3b45"/>
          <w:sz w:val="24"/>
          <w:szCs w:val="24"/>
          <w:rtl w:val="0"/>
        </w:rPr>
        <w:t xml:space="preserve">Twisty Little Passage</w:t>
      </w:r>
    </w:p>
    <w:p w:rsidR="00000000" w:rsidDel="00000000" w:rsidP="00000000" w:rsidRDefault="00000000" w:rsidRPr="00000000" w14:paraId="0000005B">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5C">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10: ethical decisions in (and through) digital games</w:t>
      </w:r>
    </w:p>
    <w:p w:rsidR="00000000" w:rsidDel="00000000" w:rsidP="00000000" w:rsidRDefault="00000000" w:rsidRPr="00000000" w14:paraId="0000005D">
      <w:pPr>
        <w:shd w:fill="ffffff" w:val="clear"/>
        <w:spacing w:after="180" w:before="180" w:line="240" w:lineRule="auto"/>
        <w:rPr>
          <w:rFonts w:ascii="Arial" w:cs="Arial" w:eastAsia="Arial" w:hAnsi="Arial"/>
          <w:color w:val="1155cc"/>
          <w:sz w:val="24"/>
          <w:szCs w:val="24"/>
          <w:u w:val="single"/>
        </w:rPr>
      </w:pPr>
      <w:r w:rsidDel="00000000" w:rsidR="00000000" w:rsidRPr="00000000">
        <w:rPr>
          <w:rFonts w:ascii="Arial" w:cs="Arial" w:eastAsia="Arial" w:hAnsi="Arial"/>
          <w:color w:val="2d3b45"/>
          <w:sz w:val="24"/>
          <w:szCs w:val="24"/>
          <w:rtl w:val="0"/>
        </w:rPr>
        <w:t xml:space="preserve"> </w:t>
      </w:r>
      <w:hyperlink r:id="rId14">
        <w:r w:rsidDel="00000000" w:rsidR="00000000" w:rsidRPr="00000000">
          <w:rPr>
            <w:rFonts w:ascii="Arial" w:cs="Arial" w:eastAsia="Arial" w:hAnsi="Arial"/>
            <w:color w:val="1155cc"/>
            <w:sz w:val="24"/>
            <w:szCs w:val="24"/>
            <w:u w:val="single"/>
            <w:rtl w:val="0"/>
          </w:rPr>
          <w:t xml:space="preserve">James Gee, "Cultural Models: Do You Want to be the Blue Sonic or the Dark Sonic?"</w:t>
        </w:r>
      </w:hyperlink>
      <w:r w:rsidDel="00000000" w:rsidR="00000000" w:rsidRPr="00000000">
        <w:rPr>
          <w:rtl w:val="0"/>
        </w:rPr>
      </w:r>
    </w:p>
    <w:p w:rsidR="00000000" w:rsidDel="00000000" w:rsidP="00000000" w:rsidRDefault="00000000" w:rsidRPr="00000000" w14:paraId="0000005E">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Dossier on Saadia (side quest in </w:t>
      </w:r>
      <w:r w:rsidDel="00000000" w:rsidR="00000000" w:rsidRPr="00000000">
        <w:rPr>
          <w:rFonts w:ascii="Arial" w:cs="Arial" w:eastAsia="Arial" w:hAnsi="Arial"/>
          <w:i w:val="1"/>
          <w:color w:val="2d3b45"/>
          <w:sz w:val="24"/>
          <w:szCs w:val="24"/>
          <w:rtl w:val="0"/>
        </w:rPr>
        <w:t xml:space="preserve">Skyrim </w:t>
      </w:r>
      <w:r w:rsidDel="00000000" w:rsidR="00000000" w:rsidRPr="00000000">
        <w:rPr>
          <w:rFonts w:ascii="Arial" w:cs="Arial" w:eastAsia="Arial" w:hAnsi="Arial"/>
          <w:color w:val="2d3b45"/>
          <w:sz w:val="24"/>
          <w:szCs w:val="24"/>
          <w:rtl w:val="0"/>
        </w:rPr>
        <w:t xml:space="preserve">[2011])</w:t>
      </w:r>
    </w:p>
    <w:p w:rsidR="00000000" w:rsidDel="00000000" w:rsidP="00000000" w:rsidRDefault="00000000" w:rsidRPr="00000000" w14:paraId="0000005F">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Dossier on </w:t>
      </w:r>
      <w:r w:rsidDel="00000000" w:rsidR="00000000" w:rsidRPr="00000000">
        <w:rPr>
          <w:rFonts w:ascii="Arial" w:cs="Arial" w:eastAsia="Arial" w:hAnsi="Arial"/>
          <w:i w:val="1"/>
          <w:color w:val="2d3b45"/>
          <w:sz w:val="24"/>
          <w:szCs w:val="24"/>
          <w:rtl w:val="0"/>
        </w:rPr>
        <w:t xml:space="preserve">Mass Effect </w:t>
      </w:r>
      <w:r w:rsidDel="00000000" w:rsidR="00000000" w:rsidRPr="00000000">
        <w:rPr>
          <w:rFonts w:ascii="Arial" w:cs="Arial" w:eastAsia="Arial" w:hAnsi="Arial"/>
          <w:color w:val="2d3b45"/>
          <w:sz w:val="24"/>
          <w:szCs w:val="24"/>
          <w:rtl w:val="0"/>
        </w:rPr>
        <w:t xml:space="preserve">(dev. Hudson, Watamaniuk, Falkner, et al., BioWare, 2007)</w:t>
      </w:r>
    </w:p>
    <w:p w:rsidR="00000000" w:rsidDel="00000000" w:rsidP="00000000" w:rsidRDefault="00000000" w:rsidRPr="00000000" w14:paraId="00000060">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 </w:t>
      </w:r>
      <w:r w:rsidDel="00000000" w:rsidR="00000000" w:rsidRPr="00000000">
        <w:rPr>
          <w:rFonts w:ascii="Arial" w:cs="Arial" w:eastAsia="Arial" w:hAnsi="Arial"/>
          <w:color w:val="2d3b45"/>
          <w:sz w:val="24"/>
          <w:szCs w:val="24"/>
          <w:rtl w:val="0"/>
        </w:rPr>
        <w:t xml:space="preserve">Dossier on</w:t>
      </w:r>
      <w:r w:rsidDel="00000000" w:rsidR="00000000" w:rsidRPr="00000000">
        <w:rPr>
          <w:rFonts w:ascii="Arial" w:cs="Arial" w:eastAsia="Arial" w:hAnsi="Arial"/>
          <w:i w:val="1"/>
          <w:color w:val="2d3b45"/>
          <w:sz w:val="24"/>
          <w:szCs w:val="24"/>
          <w:rtl w:val="0"/>
        </w:rPr>
        <w:t xml:space="preserve"> Undertale</w:t>
      </w:r>
      <w:r w:rsidDel="00000000" w:rsidR="00000000" w:rsidRPr="00000000">
        <w:rPr>
          <w:rFonts w:ascii="Arial" w:cs="Arial" w:eastAsia="Arial" w:hAnsi="Arial"/>
          <w:color w:val="2d3b45"/>
          <w:sz w:val="24"/>
          <w:szCs w:val="24"/>
          <w:rtl w:val="0"/>
        </w:rPr>
        <w:t xml:space="preserve"> (dev. Toby Fox, 2015)</w:t>
      </w:r>
    </w:p>
    <w:p w:rsidR="00000000" w:rsidDel="00000000" w:rsidP="00000000" w:rsidRDefault="00000000" w:rsidRPr="00000000" w14:paraId="00000061">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62">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 Week 11: How to analyze a game experience: digital game narrative, content "goals," and critiquable design choices  </w:t>
      </w:r>
    </w:p>
    <w:p w:rsidR="00000000" w:rsidDel="00000000" w:rsidP="00000000" w:rsidRDefault="00000000" w:rsidRPr="00000000" w14:paraId="00000063">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Dossiers on the following games:</w:t>
      </w:r>
    </w:p>
    <w:p w:rsidR="00000000" w:rsidDel="00000000" w:rsidP="00000000" w:rsidRDefault="00000000" w:rsidRPr="00000000" w14:paraId="00000064">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i w:val="1"/>
          <w:color w:val="2d3b45"/>
          <w:sz w:val="24"/>
          <w:szCs w:val="24"/>
          <w:rtl w:val="0"/>
        </w:rPr>
        <w:t xml:space="preserve">Detroit: Become Human</w:t>
      </w:r>
      <w:r w:rsidDel="00000000" w:rsidR="00000000" w:rsidRPr="00000000">
        <w:rPr>
          <w:rFonts w:ascii="Arial" w:cs="Arial" w:eastAsia="Arial" w:hAnsi="Arial"/>
          <w:color w:val="2d3b45"/>
          <w:sz w:val="24"/>
          <w:szCs w:val="24"/>
          <w:rtl w:val="0"/>
        </w:rPr>
        <w:t xml:space="preserve"> (2018)</w:t>
      </w:r>
    </w:p>
    <w:p w:rsidR="00000000" w:rsidDel="00000000" w:rsidP="00000000" w:rsidRDefault="00000000" w:rsidRPr="00000000" w14:paraId="00000065">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i w:val="1"/>
          <w:color w:val="2d3b45"/>
          <w:sz w:val="24"/>
          <w:szCs w:val="24"/>
          <w:rtl w:val="0"/>
        </w:rPr>
        <w:t xml:space="preserve">Bioshock Infinite</w:t>
      </w:r>
      <w:r w:rsidDel="00000000" w:rsidR="00000000" w:rsidRPr="00000000">
        <w:rPr>
          <w:rFonts w:ascii="Arial" w:cs="Arial" w:eastAsia="Arial" w:hAnsi="Arial"/>
          <w:color w:val="2d3b45"/>
          <w:sz w:val="24"/>
          <w:szCs w:val="24"/>
          <w:rtl w:val="0"/>
        </w:rPr>
        <w:t xml:space="preserve"> (dev. Ken Levine, et al.., 2013) </w:t>
      </w:r>
    </w:p>
    <w:p w:rsidR="00000000" w:rsidDel="00000000" w:rsidP="00000000" w:rsidRDefault="00000000" w:rsidRPr="00000000" w14:paraId="00000066">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i w:val="1"/>
          <w:color w:val="2d3b45"/>
          <w:sz w:val="24"/>
          <w:szCs w:val="24"/>
          <w:rtl w:val="0"/>
        </w:rPr>
        <w:t xml:space="preserve">Death Stranding </w:t>
      </w:r>
      <w:r w:rsidDel="00000000" w:rsidR="00000000" w:rsidRPr="00000000">
        <w:rPr>
          <w:rFonts w:ascii="Arial" w:cs="Arial" w:eastAsia="Arial" w:hAnsi="Arial"/>
          <w:color w:val="2d3b45"/>
          <w:sz w:val="24"/>
          <w:szCs w:val="24"/>
          <w:rtl w:val="0"/>
        </w:rPr>
        <w:t xml:space="preserve">(2019) </w:t>
      </w:r>
    </w:p>
    <w:p w:rsidR="00000000" w:rsidDel="00000000" w:rsidP="00000000" w:rsidRDefault="00000000" w:rsidRPr="00000000" w14:paraId="00000067">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i w:val="1"/>
          <w:color w:val="2d3b45"/>
          <w:sz w:val="24"/>
          <w:szCs w:val="24"/>
          <w:rtl w:val="0"/>
        </w:rPr>
        <w:t xml:space="preserve">Cyberpunk 2077 </w:t>
      </w:r>
      <w:r w:rsidDel="00000000" w:rsidR="00000000" w:rsidRPr="00000000">
        <w:rPr>
          <w:rFonts w:ascii="Arial" w:cs="Arial" w:eastAsia="Arial" w:hAnsi="Arial"/>
          <w:color w:val="2d3b45"/>
          <w:sz w:val="24"/>
          <w:szCs w:val="24"/>
          <w:rtl w:val="0"/>
        </w:rPr>
        <w:t xml:space="preserve">(2020)</w:t>
      </w:r>
    </w:p>
    <w:p w:rsidR="00000000" w:rsidDel="00000000" w:rsidP="00000000" w:rsidRDefault="00000000" w:rsidRPr="00000000" w14:paraId="00000068">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69">
      <w:pPr>
        <w:shd w:fill="ffffff" w:val="clear"/>
        <w:spacing w:after="180" w:before="180" w:line="240" w:lineRule="auto"/>
        <w:rPr>
          <w:rFonts w:ascii="Arial" w:cs="Arial" w:eastAsia="Arial" w:hAnsi="Arial"/>
          <w:color w:val="2d3b45"/>
          <w:sz w:val="24"/>
          <w:szCs w:val="24"/>
        </w:rPr>
      </w:pPr>
      <w:r w:rsidDel="00000000" w:rsidR="00000000" w:rsidRPr="00000000">
        <w:rPr>
          <w:rtl w:val="0"/>
        </w:rPr>
      </w:r>
    </w:p>
    <w:p w:rsidR="00000000" w:rsidDel="00000000" w:rsidP="00000000" w:rsidRDefault="00000000" w:rsidRPr="00000000" w14:paraId="0000006A">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12: games and gender issues </w:t>
      </w:r>
    </w:p>
    <w:p w:rsidR="00000000" w:rsidDel="00000000" w:rsidP="00000000" w:rsidRDefault="00000000" w:rsidRPr="00000000" w14:paraId="0000006B">
      <w:pPr>
        <w:shd w:fill="ffffff" w:val="clear"/>
        <w:spacing w:after="180" w:before="180" w:line="240" w:lineRule="auto"/>
        <w:rPr>
          <w:rFonts w:ascii="Arial" w:cs="Arial" w:eastAsia="Arial" w:hAnsi="Arial"/>
          <w:color w:val="1155cc"/>
          <w:sz w:val="24"/>
          <w:szCs w:val="24"/>
          <w:u w:val="single"/>
        </w:rPr>
      </w:pPr>
      <w:r w:rsidDel="00000000" w:rsidR="00000000" w:rsidRPr="00000000">
        <w:rPr>
          <w:rFonts w:ascii="Arial" w:cs="Arial" w:eastAsia="Arial" w:hAnsi="Arial"/>
          <w:color w:val="2d3b45"/>
          <w:sz w:val="24"/>
          <w:szCs w:val="24"/>
          <w:rtl w:val="0"/>
        </w:rPr>
        <w:t xml:space="preserve">Dossier on </w:t>
      </w:r>
      <w:r w:rsidDel="00000000" w:rsidR="00000000" w:rsidRPr="00000000">
        <w:rPr>
          <w:rFonts w:ascii="Arial" w:cs="Arial" w:eastAsia="Arial" w:hAnsi="Arial"/>
          <w:i w:val="1"/>
          <w:color w:val="2d3b45"/>
          <w:sz w:val="24"/>
          <w:szCs w:val="24"/>
          <w:rtl w:val="0"/>
        </w:rPr>
        <w:t xml:space="preserve">Butterfly Soup </w:t>
      </w:r>
      <w:r w:rsidDel="00000000" w:rsidR="00000000" w:rsidRPr="00000000">
        <w:rPr>
          <w:rFonts w:ascii="Arial" w:cs="Arial" w:eastAsia="Arial" w:hAnsi="Arial"/>
          <w:color w:val="2d3b45"/>
          <w:sz w:val="24"/>
          <w:szCs w:val="24"/>
          <w:rtl w:val="0"/>
        </w:rPr>
        <w:t xml:space="preserve">(dev. Brianna Lei, 2017)</w:t>
      </w:r>
      <w:r w:rsidDel="00000000" w:rsidR="00000000" w:rsidRPr="00000000">
        <w:rPr>
          <w:rtl w:val="0"/>
        </w:rPr>
      </w:r>
    </w:p>
    <w:p w:rsidR="00000000" w:rsidDel="00000000" w:rsidP="00000000" w:rsidRDefault="00000000" w:rsidRPr="00000000" w14:paraId="0000006C">
      <w:pPr>
        <w:shd w:fill="ffffff" w:val="clear"/>
        <w:spacing w:after="180" w:before="180" w:line="240" w:lineRule="auto"/>
        <w:rPr>
          <w:rFonts w:ascii="Arial" w:cs="Arial" w:eastAsia="Arial" w:hAnsi="Arial"/>
          <w:color w:val="1155cc"/>
          <w:sz w:val="24"/>
          <w:szCs w:val="24"/>
          <w:u w:val="single"/>
        </w:rPr>
      </w:pPr>
      <w:r w:rsidDel="00000000" w:rsidR="00000000" w:rsidRPr="00000000">
        <w:rPr>
          <w:rFonts w:ascii="Arial" w:cs="Arial" w:eastAsia="Arial" w:hAnsi="Arial"/>
          <w:color w:val="2d3b45"/>
          <w:sz w:val="24"/>
          <w:szCs w:val="24"/>
          <w:rtl w:val="0"/>
        </w:rPr>
        <w:t xml:space="preserve">Sal Humphreys, "On Being a Feminist in Games Studies.' Games and Culture, v. 14 (7-8), 2019</w:t>
      </w:r>
      <w:r w:rsidDel="00000000" w:rsidR="00000000" w:rsidRPr="00000000">
        <w:rPr>
          <w:rtl w:val="0"/>
        </w:rPr>
      </w:r>
    </w:p>
    <w:p w:rsidR="00000000" w:rsidDel="00000000" w:rsidP="00000000" w:rsidRDefault="00000000" w:rsidRPr="00000000" w14:paraId="0000006D">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Dossier on the </w:t>
      </w:r>
      <w:r w:rsidDel="00000000" w:rsidR="00000000" w:rsidRPr="00000000">
        <w:rPr>
          <w:rFonts w:ascii="Arial" w:cs="Arial" w:eastAsia="Arial" w:hAnsi="Arial"/>
          <w:b w:val="1"/>
          <w:i w:val="1"/>
          <w:color w:val="2d3b45"/>
          <w:sz w:val="24"/>
          <w:szCs w:val="24"/>
          <w:rtl w:val="0"/>
        </w:rPr>
        <w:t xml:space="preserve"> </w:t>
      </w:r>
      <w:r w:rsidDel="00000000" w:rsidR="00000000" w:rsidRPr="00000000">
        <w:rPr>
          <w:rFonts w:ascii="Arial" w:cs="Arial" w:eastAsia="Arial" w:hAnsi="Arial"/>
          <w:i w:val="1"/>
          <w:color w:val="2d3b45"/>
          <w:sz w:val="24"/>
          <w:szCs w:val="24"/>
          <w:rtl w:val="0"/>
        </w:rPr>
        <w:t xml:space="preserve">Silent Hill </w:t>
      </w:r>
      <w:r w:rsidDel="00000000" w:rsidR="00000000" w:rsidRPr="00000000">
        <w:rPr>
          <w:rFonts w:ascii="Arial" w:cs="Arial" w:eastAsia="Arial" w:hAnsi="Arial"/>
          <w:color w:val="2d3b45"/>
          <w:sz w:val="24"/>
          <w:szCs w:val="24"/>
          <w:rtl w:val="0"/>
        </w:rPr>
        <w:t xml:space="preserve">series</w:t>
      </w:r>
    </w:p>
    <w:p w:rsidR="00000000" w:rsidDel="00000000" w:rsidP="00000000" w:rsidRDefault="00000000" w:rsidRPr="00000000" w14:paraId="0000006E">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i w:val="1"/>
          <w:color w:val="2d3b45"/>
          <w:sz w:val="24"/>
          <w:szCs w:val="24"/>
          <w:rtl w:val="0"/>
        </w:rPr>
        <w:t xml:space="preserve">Diary of a Spaceport Janitor </w:t>
      </w:r>
      <w:r w:rsidDel="00000000" w:rsidR="00000000" w:rsidRPr="00000000">
        <w:rPr>
          <w:rFonts w:ascii="Arial" w:cs="Arial" w:eastAsia="Arial" w:hAnsi="Arial"/>
          <w:color w:val="2d3b45"/>
          <w:sz w:val="24"/>
          <w:szCs w:val="24"/>
          <w:rtl w:val="0"/>
        </w:rPr>
        <w:t xml:space="preserve">(2016)</w:t>
      </w:r>
      <w:r w:rsidDel="00000000" w:rsidR="00000000" w:rsidRPr="00000000">
        <w:rPr>
          <w:rFonts w:ascii="Arial" w:cs="Arial" w:eastAsia="Arial" w:hAnsi="Arial"/>
          <w:b w:val="1"/>
          <w:color w:val="2d3b45"/>
          <w:sz w:val="24"/>
          <w:szCs w:val="24"/>
          <w:rtl w:val="0"/>
        </w:rPr>
        <w:t xml:space="preserve"> beginning of the game (with commentary): https://youtu.be/26B97tCsdrY?si=xsHN-05PY1PXTIAk</w:t>
      </w:r>
    </w:p>
    <w:p w:rsidR="00000000" w:rsidDel="00000000" w:rsidP="00000000" w:rsidRDefault="00000000" w:rsidRPr="00000000" w14:paraId="0000006F">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i w:val="1"/>
          <w:color w:val="2d3b45"/>
          <w:sz w:val="24"/>
          <w:szCs w:val="24"/>
          <w:rtl w:val="0"/>
        </w:rPr>
        <w:t xml:space="preserve">Celeste</w:t>
      </w:r>
      <w:r w:rsidDel="00000000" w:rsidR="00000000" w:rsidRPr="00000000">
        <w:rPr>
          <w:rFonts w:ascii="Arial" w:cs="Arial" w:eastAsia="Arial" w:hAnsi="Arial"/>
          <w:color w:val="2d3b45"/>
          <w:sz w:val="24"/>
          <w:szCs w:val="24"/>
          <w:rtl w:val="0"/>
        </w:rPr>
        <w:t xml:space="preserve"> (2018): an article about both of these games, among others:    </w:t>
      </w:r>
      <w:r w:rsidDel="00000000" w:rsidR="00000000" w:rsidRPr="00000000">
        <w:rPr>
          <w:rFonts w:ascii="Arial" w:cs="Arial" w:eastAsia="Arial" w:hAnsi="Arial"/>
          <w:b w:val="1"/>
          <w:color w:val="2d3b45"/>
          <w:sz w:val="24"/>
          <w:szCs w:val="24"/>
          <w:rtl w:val="0"/>
        </w:rPr>
        <w:t xml:space="preserve">            </w:t>
      </w:r>
    </w:p>
    <w:p w:rsidR="00000000" w:rsidDel="00000000" w:rsidP="00000000" w:rsidRDefault="00000000" w:rsidRPr="00000000" w14:paraId="00000070">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                              https://www.frieze.com/article/how-video-games-discovered-their-humanity</w:t>
      </w:r>
    </w:p>
    <w:p w:rsidR="00000000" w:rsidDel="00000000" w:rsidP="00000000" w:rsidRDefault="00000000" w:rsidRPr="00000000" w14:paraId="00000071">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color w:val="2d3b45"/>
          <w:sz w:val="24"/>
          <w:szCs w:val="24"/>
          <w:rtl w:val="0"/>
        </w:rPr>
        <w:t xml:space="preserve"> Interpretive essay about</w:t>
      </w:r>
      <w:r w:rsidDel="00000000" w:rsidR="00000000" w:rsidRPr="00000000">
        <w:rPr>
          <w:rFonts w:ascii="Arial" w:cs="Arial" w:eastAsia="Arial" w:hAnsi="Arial"/>
          <w:i w:val="1"/>
          <w:color w:val="2d3b45"/>
          <w:sz w:val="24"/>
          <w:szCs w:val="24"/>
          <w:rtl w:val="0"/>
        </w:rPr>
        <w:t xml:space="preserve"> Celeste</w:t>
      </w:r>
      <w:r w:rsidDel="00000000" w:rsidR="00000000" w:rsidRPr="00000000">
        <w:rPr>
          <w:rFonts w:ascii="Arial" w:cs="Arial" w:eastAsia="Arial" w:hAnsi="Arial"/>
          <w:color w:val="2d3b45"/>
          <w:sz w:val="24"/>
          <w:szCs w:val="24"/>
          <w:rtl w:val="0"/>
        </w:rPr>
        <w:t xml:space="preserve">:     </w:t>
      </w:r>
      <w:r w:rsidDel="00000000" w:rsidR="00000000" w:rsidRPr="00000000">
        <w:rPr>
          <w:rFonts w:ascii="Arial" w:cs="Arial" w:eastAsia="Arial" w:hAnsi="Arial"/>
          <w:b w:val="1"/>
          <w:color w:val="2d3b45"/>
          <w:sz w:val="24"/>
          <w:szCs w:val="24"/>
          <w:rtl w:val="0"/>
        </w:rPr>
        <w:t xml:space="preserve">                 </w:t>
      </w:r>
    </w:p>
    <w:p w:rsidR="00000000" w:rsidDel="00000000" w:rsidP="00000000" w:rsidRDefault="00000000" w:rsidRPr="00000000" w14:paraId="00000072">
      <w:pPr>
        <w:shd w:fill="ffffff" w:val="clear"/>
        <w:spacing w:after="180" w:before="180" w:line="240" w:lineRule="auto"/>
        <w:rPr>
          <w:rFonts w:ascii="Arial" w:cs="Arial" w:eastAsia="Arial" w:hAnsi="Arial"/>
          <w:b w:val="1"/>
          <w:color w:val="1155cc"/>
          <w:sz w:val="24"/>
          <w:szCs w:val="24"/>
          <w:u w:val="single"/>
        </w:rPr>
      </w:pPr>
      <w:r w:rsidDel="00000000" w:rsidR="00000000" w:rsidRPr="00000000">
        <w:rPr>
          <w:rFonts w:ascii="Arial" w:cs="Arial" w:eastAsia="Arial" w:hAnsi="Arial"/>
          <w:b w:val="1"/>
          <w:color w:val="2d3b45"/>
          <w:sz w:val="24"/>
          <w:szCs w:val="24"/>
          <w:rtl w:val="0"/>
        </w:rPr>
        <w:t xml:space="preserve">   </w:t>
      </w:r>
      <w:r w:rsidDel="00000000" w:rsidR="00000000" w:rsidRPr="00000000">
        <w:fldChar w:fldCharType="begin"/>
        <w:instrText xml:space="preserve"> HYPERLINK "https://youtu.be/xhL4fLiX3d4?si=KMuQCUXhwTBAqdo5" </w:instrText>
        <w:fldChar w:fldCharType="separate"/>
      </w:r>
      <w:r w:rsidDel="00000000" w:rsidR="00000000" w:rsidRPr="00000000">
        <w:rPr>
          <w:rFonts w:ascii="Arial" w:cs="Arial" w:eastAsia="Arial" w:hAnsi="Arial"/>
          <w:b w:val="1"/>
          <w:color w:val="1155cc"/>
          <w:sz w:val="24"/>
          <w:szCs w:val="24"/>
          <w:u w:val="single"/>
          <w:rtl w:val="0"/>
        </w:rPr>
        <w:t xml:space="preserve">https://youtu.be/xhL4fLiX3d4?si=KMuQCUXhwTBAqdo5</w:t>
      </w:r>
    </w:p>
    <w:p w:rsidR="00000000" w:rsidDel="00000000" w:rsidP="00000000" w:rsidRDefault="00000000" w:rsidRPr="00000000" w14:paraId="00000073">
      <w:pPr>
        <w:shd w:fill="ffffff" w:val="clear"/>
        <w:spacing w:after="180" w:before="180" w:line="240" w:lineRule="auto"/>
        <w:rPr>
          <w:rFonts w:ascii="Arial" w:cs="Arial" w:eastAsia="Arial" w:hAnsi="Arial"/>
          <w:color w:val="1155cc"/>
          <w:sz w:val="24"/>
          <w:szCs w:val="24"/>
          <w:u w:val="single"/>
        </w:rPr>
      </w:pPr>
      <w:r w:rsidDel="00000000" w:rsidR="00000000" w:rsidRPr="00000000">
        <w:fldChar w:fldCharType="end"/>
      </w:r>
      <w:r w:rsidDel="00000000" w:rsidR="00000000" w:rsidRPr="00000000">
        <w:rPr>
          <w:rFonts w:ascii="Arial" w:cs="Arial" w:eastAsia="Arial" w:hAnsi="Arial"/>
          <w:color w:val="2d3b45"/>
          <w:sz w:val="24"/>
          <w:szCs w:val="24"/>
          <w:rtl w:val="0"/>
        </w:rPr>
        <w:t xml:space="preserve">                   </w:t>
      </w:r>
      <w:hyperlink r:id="rId15">
        <w:r w:rsidDel="00000000" w:rsidR="00000000" w:rsidRPr="00000000">
          <w:rPr>
            <w:rFonts w:ascii="Arial" w:cs="Arial" w:eastAsia="Arial" w:hAnsi="Arial"/>
            <w:color w:val="1155cc"/>
            <w:sz w:val="24"/>
            <w:szCs w:val="24"/>
            <w:u w:val="single"/>
            <w:rtl w:val="0"/>
          </w:rPr>
          <w:t xml:space="preserve">Todd Harper, "Role Play as Queer Lens: How 'ClosetShep' Changed My Vision of Mass Effect"  in </w:t>
        </w:r>
      </w:hyperlink>
      <w:hyperlink r:id="rId16">
        <w:r w:rsidDel="00000000" w:rsidR="00000000" w:rsidRPr="00000000">
          <w:rPr>
            <w:rFonts w:ascii="Arial" w:cs="Arial" w:eastAsia="Arial" w:hAnsi="Arial"/>
            <w:i w:val="1"/>
            <w:color w:val="1155cc"/>
            <w:sz w:val="24"/>
            <w:szCs w:val="24"/>
            <w:u w:val="single"/>
            <w:rtl w:val="0"/>
          </w:rPr>
          <w:t xml:space="preserve">Queer Game</w:t>
        </w:r>
      </w:hyperlink>
      <w:hyperlink r:id="rId17">
        <w:r w:rsidDel="00000000" w:rsidR="00000000" w:rsidRPr="00000000">
          <w:rPr>
            <w:rFonts w:ascii="Arial" w:cs="Arial" w:eastAsia="Arial" w:hAnsi="Arial"/>
            <w:color w:val="1155cc"/>
            <w:sz w:val="24"/>
            <w:szCs w:val="24"/>
            <w:u w:val="single"/>
            <w:rtl w:val="0"/>
          </w:rPr>
          <w:t xml:space="preserve"> Studies, ed. Bonnie Ruberg and Adrienne Shaw (Minnesota, 2017)</w:t>
        </w:r>
      </w:hyperlink>
      <w:r w:rsidDel="00000000" w:rsidR="00000000" w:rsidRPr="00000000">
        <w:rPr>
          <w:rtl w:val="0"/>
        </w:rPr>
      </w:r>
    </w:p>
    <w:p w:rsidR="00000000" w:rsidDel="00000000" w:rsidP="00000000" w:rsidRDefault="00000000" w:rsidRPr="00000000" w14:paraId="00000074">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75">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13: games, life and their respective limits</w:t>
      </w:r>
    </w:p>
    <w:p w:rsidR="00000000" w:rsidDel="00000000" w:rsidP="00000000" w:rsidRDefault="00000000" w:rsidRPr="00000000" w14:paraId="00000076">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Dossier on Passage (dev. Jason Rohrer, 2007)</w:t>
      </w:r>
    </w:p>
    <w:p w:rsidR="00000000" w:rsidDel="00000000" w:rsidP="00000000" w:rsidRDefault="00000000" w:rsidRPr="00000000" w14:paraId="00000077">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Brian Oilu, “Living Inside and Outside Jason Rohrer’s</w:t>
      </w:r>
      <w:r w:rsidDel="00000000" w:rsidR="00000000" w:rsidRPr="00000000">
        <w:rPr>
          <w:rFonts w:ascii="Arial" w:cs="Arial" w:eastAsia="Arial" w:hAnsi="Arial"/>
          <w:i w:val="1"/>
          <w:color w:val="2d3b45"/>
          <w:sz w:val="24"/>
          <w:szCs w:val="24"/>
          <w:rtl w:val="0"/>
        </w:rPr>
        <w:t xml:space="preserve"> Passage</w:t>
      </w:r>
      <w:r w:rsidDel="00000000" w:rsidR="00000000" w:rsidRPr="00000000">
        <w:rPr>
          <w:rFonts w:ascii="Arial" w:cs="Arial" w:eastAsia="Arial" w:hAnsi="Arial"/>
          <w:color w:val="2d3b45"/>
          <w:sz w:val="24"/>
          <w:szCs w:val="24"/>
          <w:rtl w:val="0"/>
        </w:rPr>
        <w:t xml:space="preserve">”</w:t>
      </w:r>
    </w:p>
    <w:p w:rsidR="00000000" w:rsidDel="00000000" w:rsidP="00000000" w:rsidRDefault="00000000" w:rsidRPr="00000000" w14:paraId="00000078">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 </w:t>
      </w:r>
      <w:r w:rsidDel="00000000" w:rsidR="00000000" w:rsidRPr="00000000">
        <w:rPr>
          <w:rFonts w:ascii="Arial" w:cs="Arial" w:eastAsia="Arial" w:hAnsi="Arial"/>
          <w:color w:val="2d3b45"/>
          <w:sz w:val="24"/>
          <w:szCs w:val="24"/>
          <w:rtl w:val="0"/>
        </w:rPr>
        <w:t xml:space="preserve">Dossier on The Stanley Parable (dev. Wreden and Pugh, Galactic Cafe, 2013)</w:t>
      </w:r>
    </w:p>
    <w:p w:rsidR="00000000" w:rsidDel="00000000" w:rsidP="00000000" w:rsidRDefault="00000000" w:rsidRPr="00000000" w14:paraId="00000079">
      <w:pPr>
        <w:shd w:fill="ffffff" w:val="clear"/>
        <w:spacing w:after="180" w:before="180" w:line="240" w:lineRule="auto"/>
        <w:rPr>
          <w:rFonts w:ascii="Arial" w:cs="Arial" w:eastAsia="Arial" w:hAnsi="Arial"/>
          <w:b w:val="1"/>
          <w:color w:val="1155cc"/>
          <w:sz w:val="24"/>
          <w:szCs w:val="24"/>
          <w:u w:val="single"/>
        </w:rPr>
      </w:pPr>
      <w:r w:rsidDel="00000000" w:rsidR="00000000" w:rsidRPr="00000000">
        <w:rPr>
          <w:rFonts w:ascii="Arial" w:cs="Arial" w:eastAsia="Arial" w:hAnsi="Arial"/>
          <w:b w:val="1"/>
          <w:color w:val="2d3b45"/>
          <w:sz w:val="24"/>
          <w:szCs w:val="24"/>
          <w:rtl w:val="0"/>
        </w:rPr>
        <w:t xml:space="preserve"> Dossier on The Beginner's Guide (dev. Wreden, Breit, and Flanagan, Everything Unlimited Ltd., 2015)</w:t>
      </w:r>
      <w:r w:rsidDel="00000000" w:rsidR="00000000" w:rsidRPr="00000000">
        <w:rPr>
          <w:rtl w:val="0"/>
        </w:rPr>
      </w:r>
    </w:p>
    <w:p w:rsidR="00000000" w:rsidDel="00000000" w:rsidP="00000000" w:rsidRDefault="00000000" w:rsidRPr="00000000" w14:paraId="0000007A">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 </w:t>
      </w:r>
    </w:p>
    <w:p w:rsidR="00000000" w:rsidDel="00000000" w:rsidP="00000000" w:rsidRDefault="00000000" w:rsidRPr="00000000" w14:paraId="0000007B">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b w:val="1"/>
          <w:color w:val="2d3b45"/>
          <w:sz w:val="24"/>
          <w:szCs w:val="24"/>
          <w:rtl w:val="0"/>
        </w:rPr>
        <w:t xml:space="preserve">Week 14 : undecidability and games we’re not meant to win</w:t>
      </w:r>
    </w:p>
    <w:p w:rsidR="00000000" w:rsidDel="00000000" w:rsidP="00000000" w:rsidRDefault="00000000" w:rsidRPr="00000000" w14:paraId="0000007C">
      <w:pPr>
        <w:pStyle w:val="Heading4"/>
        <w:keepNext w:val="0"/>
        <w:keepLines w:val="0"/>
        <w:shd w:fill="ffffff" w:val="clear"/>
        <w:spacing w:after="100" w:before="100" w:line="360" w:lineRule="auto"/>
        <w:rPr>
          <w:rFonts w:ascii="Arial" w:cs="Arial" w:eastAsia="Arial" w:hAnsi="Arial"/>
          <w:b w:val="1"/>
          <w:i w:val="0"/>
          <w:color w:val="2d3b45"/>
        </w:rPr>
      </w:pPr>
      <w:bookmarkStart w:colFirst="0" w:colLast="0" w:name="_heading=h.cc8l481afyjd" w:id="1"/>
      <w:bookmarkEnd w:id="1"/>
      <w:r w:rsidDel="00000000" w:rsidR="00000000" w:rsidRPr="00000000">
        <w:rPr>
          <w:rFonts w:ascii="Arial" w:cs="Arial" w:eastAsia="Arial" w:hAnsi="Arial"/>
          <w:b w:val="1"/>
          <w:i w:val="0"/>
          <w:color w:val="2d3b45"/>
          <w:rtl w:val="0"/>
        </w:rPr>
        <w:t xml:space="preserve"> Kafka, excerpt from </w:t>
      </w:r>
      <w:r w:rsidDel="00000000" w:rsidR="00000000" w:rsidRPr="00000000">
        <w:rPr>
          <w:rFonts w:ascii="Arial" w:cs="Arial" w:eastAsia="Arial" w:hAnsi="Arial"/>
          <w:b w:val="1"/>
          <w:color w:val="2d3b45"/>
          <w:rtl w:val="0"/>
        </w:rPr>
        <w:t xml:space="preserve">The Castle</w:t>
      </w:r>
      <w:r w:rsidDel="00000000" w:rsidR="00000000" w:rsidRPr="00000000">
        <w:rPr>
          <w:rtl w:val="0"/>
        </w:rPr>
      </w:r>
    </w:p>
    <w:p w:rsidR="00000000" w:rsidDel="00000000" w:rsidP="00000000" w:rsidRDefault="00000000" w:rsidRPr="00000000" w14:paraId="0000007D">
      <w:pPr>
        <w:pStyle w:val="Heading4"/>
        <w:keepNext w:val="0"/>
        <w:keepLines w:val="0"/>
        <w:shd w:fill="ffffff" w:val="clear"/>
        <w:spacing w:after="100" w:before="100" w:line="360" w:lineRule="auto"/>
        <w:rPr>
          <w:rFonts w:ascii="Arial" w:cs="Arial" w:eastAsia="Arial" w:hAnsi="Arial"/>
          <w:color w:val="1155cc"/>
          <w:sz w:val="24"/>
          <w:szCs w:val="24"/>
          <w:u w:val="single"/>
        </w:rPr>
      </w:pPr>
      <w:bookmarkStart w:colFirst="0" w:colLast="0" w:name="_heading=h.mhyu5hszly2y" w:id="2"/>
      <w:bookmarkEnd w:id="2"/>
      <w:r w:rsidDel="00000000" w:rsidR="00000000" w:rsidRPr="00000000">
        <w:rPr>
          <w:rFonts w:ascii="Arial" w:cs="Arial" w:eastAsia="Arial" w:hAnsi="Arial"/>
          <w:color w:val="2d3b45"/>
          <w:sz w:val="24"/>
          <w:szCs w:val="24"/>
          <w:rtl w:val="0"/>
        </w:rPr>
        <w:t xml:space="preserve">Dossier on Dark Souls (dir. Miyazaki; FromSoftware, 2011)</w:t>
      </w:r>
      <w:r w:rsidDel="00000000" w:rsidR="00000000" w:rsidRPr="00000000">
        <w:rPr>
          <w:rtl w:val="0"/>
        </w:rPr>
      </w:r>
    </w:p>
    <w:p w:rsidR="00000000" w:rsidDel="00000000" w:rsidP="00000000" w:rsidRDefault="00000000" w:rsidRPr="00000000" w14:paraId="0000007E">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  </w:t>
      </w:r>
      <w:r w:rsidDel="00000000" w:rsidR="00000000" w:rsidRPr="00000000">
        <w:rPr>
          <w:rFonts w:ascii="Arial" w:cs="Arial" w:eastAsia="Arial" w:hAnsi="Arial"/>
          <w:color w:val="2d3b45"/>
          <w:sz w:val="24"/>
          <w:szCs w:val="24"/>
          <w:rtl w:val="0"/>
        </w:rPr>
        <w:t xml:space="preserve">Dossier on Red Dead Redemption (Rockstar, 2018)</w:t>
      </w:r>
    </w:p>
    <w:p w:rsidR="00000000" w:rsidDel="00000000" w:rsidP="00000000" w:rsidRDefault="00000000" w:rsidRPr="00000000" w14:paraId="0000007F">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80">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Individual zoom meetings about final projects will be conducted during week 15.</w:t>
      </w:r>
    </w:p>
    <w:p w:rsidR="00000000" w:rsidDel="00000000" w:rsidP="00000000" w:rsidRDefault="00000000" w:rsidRPr="00000000" w14:paraId="00000081">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There is no final exam for this course.</w:t>
      </w:r>
    </w:p>
    <w:p w:rsidR="00000000" w:rsidDel="00000000" w:rsidP="00000000" w:rsidRDefault="00000000" w:rsidRPr="00000000" w14:paraId="00000082">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83">
      <w:pPr>
        <w:shd w:fill="ffffff" w:val="clear"/>
        <w:spacing w:after="180" w:before="180" w:line="240" w:lineRule="auto"/>
        <w:rPr>
          <w:rFonts w:ascii="Arial" w:cs="Arial" w:eastAsia="Arial" w:hAnsi="Arial"/>
          <w:b w:val="1"/>
          <w:color w:val="2d3b45"/>
          <w:sz w:val="24"/>
          <w:szCs w:val="24"/>
        </w:rPr>
      </w:pPr>
      <w:r w:rsidDel="00000000" w:rsidR="00000000" w:rsidRPr="00000000">
        <w:rPr>
          <w:rFonts w:ascii="Arial" w:cs="Arial" w:eastAsia="Arial" w:hAnsi="Arial"/>
          <w:color w:val="2d3b45"/>
          <w:sz w:val="24"/>
          <w:szCs w:val="24"/>
          <w:rtl w:val="0"/>
        </w:rPr>
        <w:t xml:space="preserve">Final assignment due</w:t>
      </w:r>
      <w:r w:rsidDel="00000000" w:rsidR="00000000" w:rsidRPr="00000000">
        <w:rPr>
          <w:rFonts w:ascii="Arial" w:cs="Arial" w:eastAsia="Arial" w:hAnsi="Arial"/>
          <w:b w:val="1"/>
          <w:color w:val="2d3b45"/>
          <w:sz w:val="24"/>
          <w:szCs w:val="24"/>
          <w:rtl w:val="0"/>
        </w:rPr>
        <w:t xml:space="preserve"> May 10th.</w:t>
      </w:r>
    </w:p>
    <w:p w:rsidR="00000000" w:rsidDel="00000000" w:rsidP="00000000" w:rsidRDefault="00000000" w:rsidRPr="00000000" w14:paraId="00000084">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85">
      <w:pPr>
        <w:shd w:fill="ffffff" w:val="clear"/>
        <w:spacing w:after="180" w:before="180" w:line="240" w:lineRule="auto"/>
        <w:rPr>
          <w:rFonts w:ascii="Arial" w:cs="Arial" w:eastAsia="Arial" w:hAnsi="Arial"/>
          <w:b w:val="1"/>
          <w:color w:val="2d3b45"/>
          <w:sz w:val="24"/>
          <w:szCs w:val="24"/>
          <w:u w:val="single"/>
        </w:rPr>
      </w:pPr>
      <w:r w:rsidDel="00000000" w:rsidR="00000000" w:rsidRPr="00000000">
        <w:rPr>
          <w:rFonts w:ascii="Arial" w:cs="Arial" w:eastAsia="Arial" w:hAnsi="Arial"/>
          <w:b w:val="1"/>
          <w:color w:val="2d3b45"/>
          <w:sz w:val="24"/>
          <w:szCs w:val="24"/>
          <w:u w:val="single"/>
          <w:rtl w:val="0"/>
        </w:rPr>
        <w:t xml:space="preserve">Breakdown of Grade/Description of Assignments:</w:t>
      </w:r>
    </w:p>
    <w:p w:rsidR="00000000" w:rsidDel="00000000" w:rsidP="00000000" w:rsidRDefault="00000000" w:rsidRPr="00000000" w14:paraId="00000086">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Weekly Discussion Posts</w:t>
      </w:r>
      <w:r w:rsidDel="00000000" w:rsidR="00000000" w:rsidRPr="00000000">
        <w:rPr>
          <w:rFonts w:ascii="Arial" w:cs="Arial" w:eastAsia="Arial" w:hAnsi="Arial"/>
          <w:color w:val="2d3b45"/>
          <w:sz w:val="24"/>
          <w:szCs w:val="24"/>
          <w:rtl w:val="0"/>
        </w:rPr>
        <w:t xml:space="preserve"> (on Canvas)- 10% of final grade</w:t>
      </w:r>
    </w:p>
    <w:p w:rsidR="00000000" w:rsidDel="00000000" w:rsidP="00000000" w:rsidRDefault="00000000" w:rsidRPr="00000000" w14:paraId="00000087">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Weekly Assignments </w:t>
      </w:r>
      <w:r w:rsidDel="00000000" w:rsidR="00000000" w:rsidRPr="00000000">
        <w:rPr>
          <w:rFonts w:ascii="Arial" w:cs="Arial" w:eastAsia="Arial" w:hAnsi="Arial"/>
          <w:color w:val="2d3b45"/>
          <w:sz w:val="24"/>
          <w:szCs w:val="24"/>
          <w:rtl w:val="0"/>
        </w:rPr>
        <w:t xml:space="preserve">(due Saturdays, on Canvas,</w:t>
      </w:r>
      <w:r w:rsidDel="00000000" w:rsidR="00000000" w:rsidRPr="00000000">
        <w:rPr>
          <w:rFonts w:ascii="Arial" w:cs="Arial" w:eastAsia="Arial" w:hAnsi="Arial"/>
          <w:b w:val="1"/>
          <w:color w:val="2d3b45"/>
          <w:sz w:val="24"/>
          <w:szCs w:val="24"/>
          <w:rtl w:val="0"/>
        </w:rPr>
        <w:t xml:space="preserve"> </w:t>
      </w:r>
      <w:r w:rsidDel="00000000" w:rsidR="00000000" w:rsidRPr="00000000">
        <w:rPr>
          <w:rFonts w:ascii="Arial" w:cs="Arial" w:eastAsia="Arial" w:hAnsi="Arial"/>
          <w:color w:val="2d3b45"/>
          <w:sz w:val="24"/>
          <w:szCs w:val="24"/>
          <w:rtl w:val="0"/>
        </w:rPr>
        <w:t xml:space="preserve">300 words or so) - 15% of final grade</w:t>
      </w:r>
    </w:p>
    <w:p w:rsidR="00000000" w:rsidDel="00000000" w:rsidP="00000000" w:rsidRDefault="00000000" w:rsidRPr="00000000" w14:paraId="00000088">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Midterm Project (7-9 pp.)</w:t>
      </w:r>
      <w:r w:rsidDel="00000000" w:rsidR="00000000" w:rsidRPr="00000000">
        <w:rPr>
          <w:rFonts w:ascii="Arial" w:cs="Arial" w:eastAsia="Arial" w:hAnsi="Arial"/>
          <w:color w:val="2d3b45"/>
          <w:sz w:val="24"/>
          <w:szCs w:val="24"/>
          <w:rtl w:val="0"/>
        </w:rPr>
        <w:t xml:space="preserve"> - 35% of final grade</w:t>
      </w:r>
    </w:p>
    <w:p w:rsidR="00000000" w:rsidDel="00000000" w:rsidP="00000000" w:rsidRDefault="00000000" w:rsidRPr="00000000" w14:paraId="00000089">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Final Project (8-10 pp.)</w:t>
      </w:r>
      <w:r w:rsidDel="00000000" w:rsidR="00000000" w:rsidRPr="00000000">
        <w:rPr>
          <w:rFonts w:ascii="Arial" w:cs="Arial" w:eastAsia="Arial" w:hAnsi="Arial"/>
          <w:color w:val="2d3b45"/>
          <w:sz w:val="24"/>
          <w:szCs w:val="24"/>
          <w:rtl w:val="0"/>
        </w:rPr>
        <w:t xml:space="preserve"> - 40% of final grade</w:t>
      </w:r>
    </w:p>
    <w:p w:rsidR="00000000" w:rsidDel="00000000" w:rsidP="00000000" w:rsidRDefault="00000000" w:rsidRPr="00000000" w14:paraId="0000008A">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 </w:t>
      </w:r>
    </w:p>
    <w:p w:rsidR="00000000" w:rsidDel="00000000" w:rsidP="00000000" w:rsidRDefault="00000000" w:rsidRPr="00000000" w14:paraId="0000008B">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Weekly Discussion Posts</w:t>
      </w:r>
      <w:r w:rsidDel="00000000" w:rsidR="00000000" w:rsidRPr="00000000">
        <w:rPr>
          <w:rFonts w:ascii="Arial" w:cs="Arial" w:eastAsia="Arial" w:hAnsi="Arial"/>
          <w:color w:val="2d3b45"/>
          <w:sz w:val="24"/>
          <w:szCs w:val="24"/>
          <w:rtl w:val="0"/>
        </w:rPr>
        <w:t xml:space="preserve">: For the prompt posted early in the week (probably Tuesday), everyone will answer the same prompt.  You won't need to have done the reading to answer this prompt, and you do not need to respond to posts (although you may).</w:t>
      </w:r>
    </w:p>
    <w:p w:rsidR="00000000" w:rsidDel="00000000" w:rsidP="00000000" w:rsidRDefault="00000000" w:rsidRPr="00000000" w14:paraId="0000008C">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Weekly assignments</w:t>
      </w:r>
      <w:r w:rsidDel="00000000" w:rsidR="00000000" w:rsidRPr="00000000">
        <w:rPr>
          <w:rFonts w:ascii="Arial" w:cs="Arial" w:eastAsia="Arial" w:hAnsi="Arial"/>
          <w:color w:val="2d3b45"/>
          <w:sz w:val="24"/>
          <w:szCs w:val="24"/>
          <w:rtl w:val="0"/>
        </w:rPr>
        <w:t xml:space="preserve">: Prompts for weekly assignments (due on Friday) will be posted on Tuesday.</w:t>
      </w:r>
    </w:p>
    <w:p w:rsidR="00000000" w:rsidDel="00000000" w:rsidP="00000000" w:rsidRDefault="00000000" w:rsidRPr="00000000" w14:paraId="0000008D">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The </w:t>
      </w:r>
      <w:r w:rsidDel="00000000" w:rsidR="00000000" w:rsidRPr="00000000">
        <w:rPr>
          <w:rFonts w:ascii="Arial" w:cs="Arial" w:eastAsia="Arial" w:hAnsi="Arial"/>
          <w:b w:val="1"/>
          <w:color w:val="2d3b45"/>
          <w:sz w:val="24"/>
          <w:szCs w:val="24"/>
          <w:rtl w:val="0"/>
        </w:rPr>
        <w:t xml:space="preserve">Midterm Project</w:t>
      </w:r>
      <w:r w:rsidDel="00000000" w:rsidR="00000000" w:rsidRPr="00000000">
        <w:rPr>
          <w:rFonts w:ascii="Arial" w:cs="Arial" w:eastAsia="Arial" w:hAnsi="Arial"/>
          <w:color w:val="2d3b45"/>
          <w:sz w:val="24"/>
          <w:szCs w:val="24"/>
          <w:rtl w:val="0"/>
        </w:rPr>
        <w:t xml:space="preserve"> needs to be a written paper, and based on the readings for the course.</w:t>
      </w:r>
    </w:p>
    <w:p w:rsidR="00000000" w:rsidDel="00000000" w:rsidP="00000000" w:rsidRDefault="00000000" w:rsidRPr="00000000" w14:paraId="0000008E">
      <w:pPr>
        <w:shd w:fill="ffffff" w:val="clear"/>
        <w:spacing w:after="180" w:before="180" w:line="240" w:lineRule="auto"/>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Final Project</w:t>
      </w:r>
      <w:r w:rsidDel="00000000" w:rsidR="00000000" w:rsidRPr="00000000">
        <w:rPr>
          <w:rFonts w:ascii="Arial" w:cs="Arial" w:eastAsia="Arial" w:hAnsi="Arial"/>
          <w:color w:val="2d3b45"/>
          <w:sz w:val="24"/>
          <w:szCs w:val="24"/>
          <w:rtl w:val="0"/>
        </w:rPr>
        <w:t xml:space="preserve">: this may take the form of either an analytic paper or a creative project (game, dramatic presentation, story, or other form of artistic expression). If you choose the latter (and I encourage everyone to do that if you’re so moved), you still must write an analytic text accompanying it, explaining your approach and how your project relates to the readings in the course. </w:t>
      </w:r>
    </w:p>
    <w:p w:rsidR="00000000" w:rsidDel="00000000" w:rsidP="00000000" w:rsidRDefault="00000000" w:rsidRPr="00000000" w14:paraId="0000008F">
      <w:pPr>
        <w:shd w:fill="ffffff" w:val="clear"/>
        <w:spacing w:after="180" w:before="180" w:line="240" w:lineRule="auto"/>
        <w:rPr>
          <w:color w:val="000000"/>
        </w:rPr>
      </w:pPr>
      <w:r w:rsidDel="00000000" w:rsidR="00000000" w:rsidRPr="00000000">
        <w:rPr>
          <w:rFonts w:ascii="Arial" w:cs="Arial" w:eastAsia="Arial" w:hAnsi="Arial"/>
          <w:color w:val="2d3b45"/>
          <w:sz w:val="24"/>
          <w:szCs w:val="24"/>
          <w:rtl w:val="0"/>
        </w:rPr>
        <w:t xml:space="preserve"> </w:t>
      </w:r>
      <w:r w:rsidDel="00000000" w:rsidR="00000000" w:rsidRPr="00000000">
        <w:rPr>
          <w:rtl w:val="0"/>
        </w:rPr>
        <w:t xml:space="preserve">S</w:t>
      </w:r>
      <w:r w:rsidDel="00000000" w:rsidR="00000000" w:rsidRPr="00000000">
        <w:rPr>
          <w:color w:val="000000"/>
          <w:rtl w:val="0"/>
        </w:rPr>
        <w:t xml:space="preserve">tudents will be notified by Eagle Alert if there is a campus closing that will impact a class and describe that the calendar is subject to change, citing the </w:t>
      </w:r>
      <w:hyperlink r:id="rId18">
        <w:r w:rsidDel="00000000" w:rsidR="00000000" w:rsidRPr="00000000">
          <w:rPr>
            <w:color w:val="00853e"/>
            <w:u w:val="single"/>
            <w:rtl w:val="0"/>
          </w:rPr>
          <w:t xml:space="preserve">Campus Closures Policy</w:t>
        </w:r>
      </w:hyperlink>
      <w:r w:rsidDel="00000000" w:rsidR="00000000" w:rsidRPr="00000000">
        <w:rPr>
          <w:color w:val="000000"/>
          <w:rtl w:val="0"/>
        </w:rPr>
        <w:t xml:space="preserve"> (</w:t>
      </w:r>
      <w:hyperlink r:id="rId19">
        <w:r w:rsidDel="00000000" w:rsidR="00000000" w:rsidRPr="00000000">
          <w:rPr>
            <w:color w:val="00853e"/>
            <w:u w:val="single"/>
            <w:rtl w:val="0"/>
          </w:rPr>
          <w:t xml:space="preserve">https://policy.unt.edu/policy/15-006</w:t>
        </w:r>
      </w:hyperlink>
      <w:r w:rsidDel="00000000" w:rsidR="00000000" w:rsidRPr="00000000">
        <w:rPr>
          <w:color w:val="000000"/>
          <w:rtl w:val="0"/>
        </w:rPr>
        <w:t xml:space="preserve">). </w:t>
      </w:r>
    </w:p>
    <w:p w:rsidR="00000000" w:rsidDel="00000000" w:rsidP="00000000" w:rsidRDefault="00000000" w:rsidRPr="00000000" w14:paraId="00000090">
      <w:pPr>
        <w:pStyle w:val="Heading2"/>
        <w:rPr/>
      </w:pPr>
      <w:r w:rsidDel="00000000" w:rsidR="00000000" w:rsidRPr="00000000">
        <w:rPr>
          <w:rtl w:val="0"/>
        </w:rPr>
        <w:t xml:space="preserve">Assessing Your Work </w:t>
      </w:r>
    </w:p>
    <w:p w:rsidR="00000000" w:rsidDel="00000000" w:rsidP="00000000" w:rsidRDefault="00000000" w:rsidRPr="00000000" w14:paraId="00000091">
      <w:pPr>
        <w:spacing w:after="0" w:line="240" w:lineRule="auto"/>
        <w:ind w:left="720" w:hanging="720"/>
        <w:rPr/>
      </w:pPr>
      <w:r w:rsidDel="00000000" w:rsidR="00000000" w:rsidRPr="00000000">
        <w:rPr>
          <w:rtl w:val="0"/>
        </w:rPr>
      </w:r>
    </w:p>
    <w:p w:rsidR="00000000" w:rsidDel="00000000" w:rsidP="00000000" w:rsidRDefault="00000000" w:rsidRPr="00000000" w14:paraId="00000092">
      <w:pPr>
        <w:spacing w:after="0" w:line="240" w:lineRule="auto"/>
        <w:ind w:left="720" w:hanging="720"/>
        <w:rPr/>
      </w:pPr>
      <w:r w:rsidDel="00000000" w:rsidR="00000000" w:rsidRPr="00000000">
        <w:rPr>
          <w:rtl w:val="0"/>
        </w:rPr>
        <w:t xml:space="preserve">Don’t plagiarize, do sloppy work, or try to get away with not doing the reading.</w:t>
      </w:r>
    </w:p>
    <w:p w:rsidR="00000000" w:rsidDel="00000000" w:rsidP="00000000" w:rsidRDefault="00000000" w:rsidRPr="00000000" w14:paraId="00000093">
      <w:pPr>
        <w:spacing w:after="0" w:line="240" w:lineRule="auto"/>
        <w:ind w:left="720" w:hanging="720"/>
        <w:rPr/>
      </w:pPr>
      <w:r w:rsidDel="00000000" w:rsidR="00000000" w:rsidRPr="00000000">
        <w:rPr>
          <w:rtl w:val="0"/>
        </w:rPr>
        <w:t xml:space="preserve">All policies of UNT are in effect in this course (naturally), but I want to take time to draw your</w:t>
      </w:r>
    </w:p>
    <w:p w:rsidR="00000000" w:rsidDel="00000000" w:rsidP="00000000" w:rsidRDefault="00000000" w:rsidRPr="00000000" w14:paraId="00000094">
      <w:pPr>
        <w:spacing w:after="0" w:line="240" w:lineRule="auto"/>
        <w:ind w:left="720" w:hanging="720"/>
        <w:rPr/>
      </w:pPr>
      <w:r w:rsidDel="00000000" w:rsidR="00000000" w:rsidRPr="00000000">
        <w:rPr>
          <w:rtl w:val="0"/>
        </w:rPr>
        <w:t xml:space="preserve">attention to four items in the official UNT Policy Manual [policy.unt.edu], under the heading of</w:t>
      </w:r>
    </w:p>
    <w:p w:rsidR="00000000" w:rsidDel="00000000" w:rsidP="00000000" w:rsidRDefault="00000000" w:rsidRPr="00000000" w14:paraId="00000095">
      <w:pPr>
        <w:spacing w:after="0" w:line="240" w:lineRule="auto"/>
        <w:ind w:left="720" w:hanging="720"/>
        <w:rPr/>
      </w:pPr>
      <w:r w:rsidDel="00000000" w:rsidR="00000000" w:rsidRPr="00000000">
        <w:rPr>
          <w:rtl w:val="0"/>
        </w:rPr>
        <w:t xml:space="preserve">18.1.16, Student Standards of Academic Integrity. My commentary on the policy is in bold type.</w:t>
      </w:r>
    </w:p>
    <w:p w:rsidR="00000000" w:rsidDel="00000000" w:rsidP="00000000" w:rsidRDefault="00000000" w:rsidRPr="00000000" w14:paraId="00000096">
      <w:pPr>
        <w:spacing w:after="0" w:line="240" w:lineRule="auto"/>
        <w:ind w:left="720" w:hanging="720"/>
        <w:rPr/>
      </w:pPr>
      <w:r w:rsidDel="00000000" w:rsidR="00000000" w:rsidRPr="00000000">
        <w:rPr>
          <w:rtl w:val="0"/>
        </w:rPr>
        <w:t xml:space="preserve">[A. Cheating]</w:t>
      </w:r>
    </w:p>
    <w:p w:rsidR="00000000" w:rsidDel="00000000" w:rsidP="00000000" w:rsidRDefault="00000000" w:rsidRPr="00000000" w14:paraId="00000097">
      <w:pPr>
        <w:spacing w:after="0" w:line="240" w:lineRule="auto"/>
        <w:ind w:left="720" w:hanging="720"/>
        <w:rPr/>
      </w:pPr>
      <w:r w:rsidDel="00000000" w:rsidR="00000000" w:rsidRPr="00000000">
        <w:rPr>
          <w:rtl w:val="0"/>
        </w:rPr>
        <w:t xml:space="preserve">“2. dependence upon the aid of sources beyond those authorized by the instructor in writing papers,</w:t>
      </w:r>
    </w:p>
    <w:p w:rsidR="00000000" w:rsidDel="00000000" w:rsidP="00000000" w:rsidRDefault="00000000" w:rsidRPr="00000000" w14:paraId="00000098">
      <w:pPr>
        <w:spacing w:after="0" w:line="240" w:lineRule="auto"/>
        <w:ind w:left="720" w:hanging="720"/>
        <w:rPr/>
      </w:pPr>
      <w:r w:rsidDel="00000000" w:rsidR="00000000" w:rsidRPr="00000000">
        <w:rPr>
          <w:rtl w:val="0"/>
        </w:rPr>
        <w:t xml:space="preserve">preparing reports, solving problems or carrying out other assignments”</w:t>
      </w:r>
    </w:p>
    <w:p w:rsidR="00000000" w:rsidDel="00000000" w:rsidP="00000000" w:rsidRDefault="00000000" w:rsidRPr="00000000" w14:paraId="00000099">
      <w:pPr>
        <w:spacing w:after="0" w:line="240" w:lineRule="auto"/>
        <w:ind w:left="720" w:hanging="720"/>
        <w:rPr/>
      </w:pPr>
      <w:r w:rsidDel="00000000" w:rsidR="00000000" w:rsidRPr="00000000">
        <w:rPr>
          <w:rtl w:val="0"/>
        </w:rPr>
        <w:t xml:space="preserve">“4. dual submission of a paper or project, or re-submission of a paper or project to a different class</w:t>
      </w:r>
    </w:p>
    <w:p w:rsidR="00000000" w:rsidDel="00000000" w:rsidP="00000000" w:rsidRDefault="00000000" w:rsidRPr="00000000" w14:paraId="0000009A">
      <w:pPr>
        <w:spacing w:after="0" w:line="240" w:lineRule="auto"/>
        <w:ind w:left="720" w:hanging="720"/>
        <w:rPr/>
      </w:pPr>
      <w:r w:rsidDel="00000000" w:rsidR="00000000" w:rsidRPr="00000000">
        <w:rPr>
          <w:rtl w:val="0"/>
        </w:rPr>
        <w:t xml:space="preserve">without express permission from the instructor”</w:t>
      </w:r>
    </w:p>
    <w:p w:rsidR="00000000" w:rsidDel="00000000" w:rsidP="00000000" w:rsidRDefault="00000000" w:rsidRPr="00000000" w14:paraId="0000009B">
      <w:pPr>
        <w:spacing w:after="0" w:line="240" w:lineRule="auto"/>
        <w:ind w:left="720" w:hanging="720"/>
        <w:rPr/>
      </w:pPr>
      <w:r w:rsidDel="00000000" w:rsidR="00000000" w:rsidRPr="00000000">
        <w:rPr>
          <w:rtl w:val="0"/>
        </w:rPr>
        <w:t xml:space="preserve">People have been doing this double submission thing with increased frequency lately: don’t. I’ll fail the paper. If you are pressed for time, get in touch with me.</w:t>
      </w:r>
    </w:p>
    <w:p w:rsidR="00000000" w:rsidDel="00000000" w:rsidP="00000000" w:rsidRDefault="00000000" w:rsidRPr="00000000" w14:paraId="0000009C">
      <w:pPr>
        <w:spacing w:after="0" w:line="240" w:lineRule="auto"/>
        <w:ind w:left="720" w:hanging="720"/>
        <w:rPr/>
      </w:pPr>
      <w:r w:rsidDel="00000000" w:rsidR="00000000" w:rsidRPr="00000000">
        <w:rPr>
          <w:rtl w:val="0"/>
        </w:rPr>
        <w:t xml:space="preserve">[B. Plagiarism]</w:t>
      </w:r>
    </w:p>
    <w:p w:rsidR="00000000" w:rsidDel="00000000" w:rsidP="00000000" w:rsidRDefault="00000000" w:rsidRPr="00000000" w14:paraId="0000009D">
      <w:pPr>
        <w:spacing w:after="0" w:line="240" w:lineRule="auto"/>
        <w:ind w:left="720" w:hanging="720"/>
        <w:rPr/>
      </w:pPr>
      <w:r w:rsidDel="00000000" w:rsidR="00000000" w:rsidRPr="00000000">
        <w:rPr>
          <w:rtl w:val="0"/>
        </w:rPr>
        <w:t xml:space="preserve">“Use of another’s thoughts or words without proper attribution in any academic exercise, regardless of</w:t>
      </w:r>
    </w:p>
    <w:p w:rsidR="00000000" w:rsidDel="00000000" w:rsidP="00000000" w:rsidRDefault="00000000" w:rsidRPr="00000000" w14:paraId="0000009E">
      <w:pPr>
        <w:spacing w:after="0" w:line="240" w:lineRule="auto"/>
        <w:ind w:left="720" w:hanging="720"/>
        <w:rPr/>
      </w:pPr>
      <w:r w:rsidDel="00000000" w:rsidR="00000000" w:rsidRPr="00000000">
        <w:rPr>
          <w:rtl w:val="0"/>
        </w:rPr>
        <w:t xml:space="preserve">the student’s intent, including but not limited to:</w:t>
      </w:r>
    </w:p>
    <w:p w:rsidR="00000000" w:rsidDel="00000000" w:rsidP="00000000" w:rsidRDefault="00000000" w:rsidRPr="00000000" w14:paraId="0000009F">
      <w:pPr>
        <w:spacing w:after="0" w:line="240" w:lineRule="auto"/>
        <w:ind w:left="720" w:hanging="720"/>
        <w:rPr/>
      </w:pPr>
      <w:r w:rsidDel="00000000" w:rsidR="00000000" w:rsidRPr="00000000">
        <w:rPr>
          <w:rtl w:val="0"/>
        </w:rPr>
        <w:t xml:space="preserve">1. the knowing or negligent use by paraphrase or direct quotation of the published orunpublished</w:t>
      </w:r>
    </w:p>
    <w:p w:rsidR="00000000" w:rsidDel="00000000" w:rsidP="00000000" w:rsidRDefault="00000000" w:rsidRPr="00000000" w14:paraId="000000A0">
      <w:pPr>
        <w:spacing w:after="0" w:line="240" w:lineRule="auto"/>
        <w:ind w:left="720" w:hanging="720"/>
        <w:rPr/>
      </w:pPr>
      <w:r w:rsidDel="00000000" w:rsidR="00000000" w:rsidRPr="00000000">
        <w:rPr>
          <w:rtl w:val="0"/>
        </w:rPr>
        <w:t xml:space="preserve">work of another person without full and clear acknowledgement or citation.</w:t>
      </w:r>
    </w:p>
    <w:p w:rsidR="00000000" w:rsidDel="00000000" w:rsidP="00000000" w:rsidRDefault="00000000" w:rsidRPr="00000000" w14:paraId="000000A1">
      <w:pPr>
        <w:spacing w:after="0" w:line="240" w:lineRule="auto"/>
        <w:ind w:left="720" w:hanging="720"/>
        <w:rPr/>
      </w:pPr>
      <w:r w:rsidDel="00000000" w:rsidR="00000000" w:rsidRPr="00000000">
        <w:rPr>
          <w:rtl w:val="0"/>
        </w:rPr>
        <w:t xml:space="preserve">2. the knowing or negligent unacknowledged use of materials prepared by another person or by</w:t>
      </w:r>
    </w:p>
    <w:p w:rsidR="00000000" w:rsidDel="00000000" w:rsidP="00000000" w:rsidRDefault="00000000" w:rsidRPr="00000000" w14:paraId="000000A2">
      <w:pPr>
        <w:spacing w:after="0" w:line="240" w:lineRule="auto"/>
        <w:ind w:left="720" w:hanging="720"/>
        <w:rPr/>
      </w:pPr>
      <w:r w:rsidDel="00000000" w:rsidR="00000000" w:rsidRPr="00000000">
        <w:rPr>
          <w:rtl w:val="0"/>
        </w:rPr>
        <w:t xml:space="preserve">an agency engaged in selling term papers or other academic materials.”</w:t>
      </w:r>
    </w:p>
    <w:p w:rsidR="00000000" w:rsidDel="00000000" w:rsidP="00000000" w:rsidRDefault="00000000" w:rsidRPr="00000000" w14:paraId="000000A3">
      <w:pPr>
        <w:spacing w:after="0" w:line="240" w:lineRule="auto"/>
        <w:ind w:left="720" w:hanging="720"/>
        <w:rPr/>
      </w:pPr>
      <w:r w:rsidDel="00000000" w:rsidR="00000000" w:rsidRPr="00000000">
        <w:rPr>
          <w:rtl w:val="0"/>
        </w:rPr>
        <w:t xml:space="preserve">Again, self-explanatory. If you turn in a paper to me of which all or part is plagiarized, you will fail this course, and the incident will be reported to the English Department Chair. If you’re not clear on what plagiarism is now (distinguished from simply bad scholarship), do not worry: we’ll talk about that at length.</w:t>
      </w:r>
    </w:p>
    <w:p w:rsidR="00000000" w:rsidDel="00000000" w:rsidP="00000000" w:rsidRDefault="00000000" w:rsidRPr="00000000" w14:paraId="000000A4">
      <w:pPr>
        <w:spacing w:after="0" w:line="240" w:lineRule="auto"/>
        <w:ind w:left="720" w:hanging="720"/>
        <w:rPr/>
      </w:pPr>
      <w:r w:rsidDel="00000000" w:rsidR="00000000" w:rsidRPr="00000000">
        <w:rPr>
          <w:rtl w:val="0"/>
        </w:rPr>
        <w:t xml:space="preserve">The use of ChatGPT to write things for this class also falls under the rubric of academic dishonesty, and I don't want people to use it. I'll be able to tell. However, I expect that not many of you are going to go for that anyway, because by now, I think we're all seeing how poor a tool it is. The university still hasn't defined its policy on this. But I'm saying here that you shouldn't use it. Much easier to do the writing yourself.</w:t>
      </w:r>
    </w:p>
    <w:p w:rsidR="00000000" w:rsidDel="00000000" w:rsidP="00000000" w:rsidRDefault="00000000" w:rsidRPr="00000000" w14:paraId="000000A5">
      <w:pPr>
        <w:spacing w:after="0" w:line="240" w:lineRule="auto"/>
        <w:ind w:left="720" w:hanging="720"/>
        <w:rPr/>
      </w:pPr>
      <w:r w:rsidDel="00000000" w:rsidR="00000000" w:rsidRPr="00000000">
        <w:rPr>
          <w:rtl w:val="0"/>
        </w:rPr>
        <w:t xml:space="preserve"> </w:t>
      </w:r>
    </w:p>
    <w:p w:rsidR="00000000" w:rsidDel="00000000" w:rsidP="00000000" w:rsidRDefault="00000000" w:rsidRPr="00000000" w14:paraId="000000A6">
      <w:pPr>
        <w:spacing w:after="0" w:line="240" w:lineRule="auto"/>
        <w:ind w:left="720" w:hanging="720"/>
        <w:rPr/>
      </w:pPr>
      <w:r w:rsidDel="00000000" w:rsidR="00000000" w:rsidRPr="00000000">
        <w:rPr>
          <w:rtl w:val="0"/>
        </w:rPr>
        <w:t xml:space="preserve">Note on attendance, class participation and papers:</w:t>
      </w:r>
    </w:p>
    <w:p w:rsidR="00000000" w:rsidDel="00000000" w:rsidP="00000000" w:rsidRDefault="00000000" w:rsidRPr="00000000" w14:paraId="000000A7">
      <w:pPr>
        <w:spacing w:after="0" w:line="240" w:lineRule="auto"/>
        <w:ind w:left="720" w:hanging="720"/>
        <w:rPr/>
      </w:pPr>
      <w:r w:rsidDel="00000000" w:rsidR="00000000" w:rsidRPr="00000000">
        <w:rPr>
          <w:rtl w:val="0"/>
        </w:rPr>
        <w:t xml:space="preserve">I expect everyone to show up, do the reading, and bring it. Your grades aren’t negotiable. If you want me to explain why I graded a certain assignment a certain way, I’ll do that. But “A” students don't speak to their professors only to put them on trial.</w:t>
      </w:r>
    </w:p>
    <w:p w:rsidR="00000000" w:rsidDel="00000000" w:rsidP="00000000" w:rsidRDefault="00000000" w:rsidRPr="00000000" w14:paraId="000000A8">
      <w:pPr>
        <w:spacing w:after="0" w:line="240" w:lineRule="auto"/>
        <w:ind w:left="720" w:hanging="720"/>
        <w:rPr/>
      </w:pPr>
      <w:r w:rsidDel="00000000" w:rsidR="00000000" w:rsidRPr="00000000">
        <w:rPr>
          <w:rtl w:val="0"/>
        </w:rPr>
        <w:t xml:space="preserve">If you simply vanish into thin air, don’t expect me to pester you via e-mail as to your whereabouts. Ditto if you never turn anything in, or are missing your last assignment(s).</w:t>
      </w:r>
    </w:p>
    <w:p w:rsidR="00000000" w:rsidDel="00000000" w:rsidP="00000000" w:rsidRDefault="00000000" w:rsidRPr="00000000" w14:paraId="000000A9">
      <w:pPr>
        <w:spacing w:after="0" w:line="240" w:lineRule="auto"/>
        <w:ind w:left="720" w:hanging="720"/>
        <w:rPr/>
      </w:pPr>
      <w:r w:rsidDel="00000000" w:rsidR="00000000" w:rsidRPr="00000000">
        <w:rPr>
          <w:rtl w:val="0"/>
        </w:rPr>
      </w:r>
    </w:p>
    <w:p w:rsidR="00000000" w:rsidDel="00000000" w:rsidP="00000000" w:rsidRDefault="00000000" w:rsidRPr="00000000" w14:paraId="000000AA">
      <w:pPr>
        <w:spacing w:after="0" w:line="240" w:lineRule="auto"/>
        <w:ind w:left="720" w:hanging="720"/>
        <w:rPr/>
      </w:pPr>
      <w:r w:rsidDel="00000000" w:rsidR="00000000" w:rsidRPr="00000000">
        <w:rPr>
          <w:rtl w:val="0"/>
        </w:rPr>
        <w:t xml:space="preserve">Late Paper Policy:</w:t>
      </w:r>
    </w:p>
    <w:p w:rsidR="00000000" w:rsidDel="00000000" w:rsidP="00000000" w:rsidRDefault="00000000" w:rsidRPr="00000000" w14:paraId="000000AB">
      <w:pPr>
        <w:spacing w:after="0" w:line="240" w:lineRule="auto"/>
        <w:ind w:left="720" w:hanging="720"/>
        <w:rPr/>
      </w:pPr>
      <w:r w:rsidDel="00000000" w:rsidR="00000000" w:rsidRPr="00000000">
        <w:rPr>
          <w:rtl w:val="0"/>
        </w:rPr>
        <w:t xml:space="preserve">I will deduct .33 of a grade for each day a paper is late. For example, if you turn in a B paper, and it’s a day late, the grade gets docked down to a B minus. Also, late papers don’t get comments.     If you need an extension, ask.</w:t>
      </w:r>
    </w:p>
    <w:p w:rsidR="00000000" w:rsidDel="00000000" w:rsidP="00000000" w:rsidRDefault="00000000" w:rsidRPr="00000000" w14:paraId="000000AC">
      <w:pPr>
        <w:spacing w:after="0" w:line="240" w:lineRule="auto"/>
        <w:ind w:left="720" w:hanging="720"/>
        <w:rPr/>
      </w:pPr>
      <w:r w:rsidDel="00000000" w:rsidR="00000000" w:rsidRPr="00000000">
        <w:rPr>
          <w:rtl w:val="0"/>
        </w:rPr>
        <w:t xml:space="preserve">Turning in Papers:</w:t>
      </w:r>
    </w:p>
    <w:p w:rsidR="00000000" w:rsidDel="00000000" w:rsidP="00000000" w:rsidRDefault="00000000" w:rsidRPr="00000000" w14:paraId="000000AD">
      <w:pPr>
        <w:spacing w:after="0" w:line="240" w:lineRule="auto"/>
        <w:ind w:left="720" w:hanging="720"/>
        <w:rPr/>
      </w:pPr>
      <w:r w:rsidDel="00000000" w:rsidR="00000000" w:rsidRPr="00000000">
        <w:rPr>
          <w:rtl w:val="0"/>
        </w:rPr>
        <w:t xml:space="preserve">All assignments will be turned in on Canvas.</w:t>
      </w:r>
    </w:p>
    <w:p w:rsidR="00000000" w:rsidDel="00000000" w:rsidP="00000000" w:rsidRDefault="00000000" w:rsidRPr="00000000" w14:paraId="000000AE">
      <w:pPr>
        <w:spacing w:after="0" w:line="240" w:lineRule="auto"/>
        <w:ind w:left="720" w:hanging="720"/>
        <w:rPr/>
      </w:pPr>
      <w:r w:rsidDel="00000000" w:rsidR="00000000" w:rsidRPr="00000000">
        <w:rPr>
          <w:rtl w:val="0"/>
        </w:rPr>
        <w:t xml:space="preserve">Notes on grade calculation:</w:t>
      </w:r>
    </w:p>
    <w:p w:rsidR="00000000" w:rsidDel="00000000" w:rsidP="00000000" w:rsidRDefault="00000000" w:rsidRPr="00000000" w14:paraId="000000AF">
      <w:pPr>
        <w:spacing w:after="0" w:line="240" w:lineRule="auto"/>
        <w:ind w:left="720" w:hanging="720"/>
        <w:rPr/>
      </w:pPr>
      <w:r w:rsidDel="00000000" w:rsidR="00000000" w:rsidRPr="00000000">
        <w:rPr>
          <w:rtl w:val="0"/>
        </w:rPr>
        <w:t xml:space="preserve">Here are the letter grades I give for assignments, and the grade points they’re worth:</w:t>
      </w:r>
    </w:p>
    <w:p w:rsidR="00000000" w:rsidDel="00000000" w:rsidP="00000000" w:rsidRDefault="00000000" w:rsidRPr="00000000" w14:paraId="000000B0">
      <w:pPr>
        <w:spacing w:after="0" w:line="240" w:lineRule="auto"/>
        <w:ind w:left="720" w:hanging="720"/>
        <w:rPr/>
      </w:pPr>
      <w:r w:rsidDel="00000000" w:rsidR="00000000" w:rsidRPr="00000000">
        <w:rPr>
          <w:rtl w:val="0"/>
        </w:rPr>
        <w:t xml:space="preserve">A :100-90</w:t>
      </w:r>
    </w:p>
    <w:p w:rsidR="00000000" w:rsidDel="00000000" w:rsidP="00000000" w:rsidRDefault="00000000" w:rsidRPr="00000000" w14:paraId="000000B1">
      <w:pPr>
        <w:spacing w:after="0" w:line="240" w:lineRule="auto"/>
        <w:ind w:left="720" w:hanging="720"/>
        <w:rPr/>
      </w:pPr>
      <w:r w:rsidDel="00000000" w:rsidR="00000000" w:rsidRPr="00000000">
        <w:rPr>
          <w:rtl w:val="0"/>
        </w:rPr>
        <w:t xml:space="preserve">B: 90-80</w:t>
      </w:r>
    </w:p>
    <w:p w:rsidR="00000000" w:rsidDel="00000000" w:rsidP="00000000" w:rsidRDefault="00000000" w:rsidRPr="00000000" w14:paraId="000000B2">
      <w:pPr>
        <w:spacing w:after="0" w:line="240" w:lineRule="auto"/>
        <w:ind w:left="720" w:hanging="720"/>
        <w:rPr/>
      </w:pPr>
      <w:r w:rsidDel="00000000" w:rsidR="00000000" w:rsidRPr="00000000">
        <w:rPr>
          <w:rtl w:val="0"/>
        </w:rPr>
        <w:t xml:space="preserve">C: 80-70</w:t>
      </w:r>
    </w:p>
    <w:p w:rsidR="00000000" w:rsidDel="00000000" w:rsidP="00000000" w:rsidRDefault="00000000" w:rsidRPr="00000000" w14:paraId="000000B3">
      <w:pPr>
        <w:spacing w:after="0" w:line="240" w:lineRule="auto"/>
        <w:ind w:left="720" w:hanging="720"/>
        <w:rPr/>
      </w:pPr>
      <w:r w:rsidDel="00000000" w:rsidR="00000000" w:rsidRPr="00000000">
        <w:rPr>
          <w:rtl w:val="0"/>
        </w:rPr>
        <w:t xml:space="preserve">D: 70-60</w:t>
      </w:r>
    </w:p>
    <w:p w:rsidR="00000000" w:rsidDel="00000000" w:rsidP="00000000" w:rsidRDefault="00000000" w:rsidRPr="00000000" w14:paraId="000000B4">
      <w:pPr>
        <w:spacing w:after="0" w:line="240" w:lineRule="auto"/>
        <w:ind w:left="720" w:firstLine="0"/>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B6">
      <w:pPr>
        <w:pStyle w:val="Heading2"/>
        <w:rPr/>
      </w:pPr>
      <w:r w:rsidDel="00000000" w:rsidR="00000000" w:rsidRPr="00000000">
        <w:rPr>
          <w:rtl w:val="0"/>
        </w:rPr>
        <w:t xml:space="preserve">Attendance and Participation  </w:t>
      </w:r>
    </w:p>
    <w:p w:rsidR="00000000" w:rsidDel="00000000" w:rsidP="00000000" w:rsidRDefault="00000000" w:rsidRPr="00000000" w14:paraId="000000B7">
      <w:pPr>
        <w:spacing w:after="0" w:line="240" w:lineRule="auto"/>
        <w:ind w:left="0" w:firstLine="0"/>
        <w:rPr>
          <w:sz w:val="24"/>
          <w:szCs w:val="24"/>
        </w:rPr>
      </w:pPr>
      <w:bookmarkStart w:colFirst="0" w:colLast="0" w:name="_heading=h.gjdgxs" w:id="3"/>
      <w:bookmarkEnd w:id="3"/>
      <w:r w:rsidDel="00000000" w:rsidR="00000000" w:rsidRPr="00000000">
        <w:rPr>
          <w:sz w:val="24"/>
          <w:szCs w:val="24"/>
          <w:rtl w:val="0"/>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20">
        <w:r w:rsidDel="00000000" w:rsidR="00000000" w:rsidRPr="00000000">
          <w:rPr>
            <w:color w:val="00853e"/>
            <w:sz w:val="24"/>
            <w:szCs w:val="24"/>
            <w:u w:val="single"/>
            <w:rtl w:val="0"/>
          </w:rPr>
          <w:t xml:space="preserve">Student Attendance and Authorized Absences Policy (PDF)</w:t>
        </w:r>
      </w:hyperlink>
      <w:r w:rsidDel="00000000" w:rsidR="00000000" w:rsidRPr="00000000">
        <w:rPr>
          <w:color w:val="00853e"/>
          <w:sz w:val="24"/>
          <w:szCs w:val="24"/>
          <w:u w:val="single"/>
          <w:rtl w:val="0"/>
        </w:rPr>
        <w:t xml:space="preserve"> </w:t>
      </w:r>
      <w:r w:rsidDel="00000000" w:rsidR="00000000" w:rsidRPr="00000000">
        <w:rPr>
          <w:sz w:val="24"/>
          <w:szCs w:val="24"/>
          <w:rtl w:val="0"/>
        </w:rPr>
        <w:t xml:space="preserve">(</w:t>
      </w:r>
      <w:hyperlink r:id="rId21">
        <w:r w:rsidDel="00000000" w:rsidR="00000000" w:rsidRPr="00000000">
          <w:rPr>
            <w:color w:val="00853e"/>
            <w:sz w:val="24"/>
            <w:szCs w:val="24"/>
            <w:u w:val="single"/>
            <w:rtl w:val="0"/>
          </w:rPr>
          <w:t xml:space="preserve">https://policy.unt.edu/policy/06-039</w:t>
        </w:r>
      </w:hyperlink>
      <w:r w:rsidDel="00000000" w:rsidR="00000000" w:rsidRPr="00000000">
        <w:rPr>
          <w:sz w:val="24"/>
          <w:szCs w:val="24"/>
          <w:rtl w:val="0"/>
        </w:rPr>
        <w:t xml:space="preserve">).  If you cannot attend a class due to an emergency, please let me know. Your safety and well-being are important to me.  </w:t>
      </w:r>
    </w:p>
    <w:p w:rsidR="00000000" w:rsidDel="00000000" w:rsidP="00000000" w:rsidRDefault="00000000" w:rsidRPr="00000000" w14:paraId="000000B8">
      <w:pPr>
        <w:tabs>
          <w:tab w:val="left" w:leader="none" w:pos="9060"/>
        </w:tabs>
        <w:rPr/>
      </w:pPr>
      <w:r w:rsidDel="00000000" w:rsidR="00000000" w:rsidRPr="00000000">
        <w:rPr>
          <w:rtl w:val="0"/>
        </w:rPr>
      </w:r>
    </w:p>
    <w:sectPr>
      <w:footerReference r:id="rId22"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North Texas | 09.06.2023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360" w:lineRule="auto"/>
    </w:pPr>
    <w:rPr>
      <w:b w:val="1"/>
      <w:color w:val="297d53"/>
      <w:sz w:val="36"/>
      <w:szCs w:val="36"/>
    </w:rPr>
  </w:style>
  <w:style w:type="paragraph" w:styleId="Heading2">
    <w:name w:val="heading 2"/>
    <w:basedOn w:val="Normal"/>
    <w:next w:val="Normal"/>
    <w:pPr>
      <w:keepNext w:val="1"/>
      <w:keepLines w:val="1"/>
      <w:spacing w:after="120" w:before="120" w:lineRule="auto"/>
    </w:pPr>
    <w:rPr>
      <w:color w:val="297d53"/>
      <w:sz w:val="30"/>
      <w:szCs w:val="30"/>
    </w:rPr>
  </w:style>
  <w:style w:type="paragraph" w:styleId="Heading3">
    <w:name w:val="heading 3"/>
    <w:basedOn w:val="Normal"/>
    <w:next w:val="Normal"/>
    <w:pPr>
      <w:keepNext w:val="1"/>
      <w:keepLines w:val="1"/>
      <w:spacing w:after="0" w:lineRule="auto"/>
    </w:pPr>
    <w:rPr>
      <w:color w:val="297d53"/>
      <w:sz w:val="26"/>
      <w:szCs w:val="26"/>
    </w:rPr>
  </w:style>
  <w:style w:type="paragraph" w:styleId="Heading4">
    <w:name w:val="heading 4"/>
    <w:basedOn w:val="Normal"/>
    <w:next w:val="Normal"/>
    <w:pPr>
      <w:keepNext w:val="1"/>
      <w:keepLines w:val="1"/>
      <w:spacing w:after="0" w:before="40" w:lineRule="auto"/>
    </w:pPr>
    <w:rPr>
      <w:i w:val="1"/>
      <w:color w:val="297d53"/>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b w:val="1"/>
      <w:color w:val="297d53"/>
      <w:sz w:val="36"/>
      <w:szCs w:val="36"/>
    </w:rPr>
  </w:style>
  <w:style w:type="paragraph" w:styleId="Heading2">
    <w:name w:val="heading 2"/>
    <w:basedOn w:val="Normal"/>
    <w:next w:val="Normal"/>
    <w:pPr>
      <w:keepNext w:val="1"/>
      <w:keepLines w:val="1"/>
      <w:spacing w:after="120" w:before="120" w:lineRule="auto"/>
    </w:pPr>
    <w:rPr>
      <w:color w:val="297d53"/>
      <w:sz w:val="30"/>
      <w:szCs w:val="30"/>
    </w:rPr>
  </w:style>
  <w:style w:type="paragraph" w:styleId="Heading3">
    <w:name w:val="heading 3"/>
    <w:basedOn w:val="Normal"/>
    <w:next w:val="Normal"/>
    <w:pPr>
      <w:keepNext w:val="1"/>
      <w:keepLines w:val="1"/>
      <w:spacing w:after="0" w:lineRule="auto"/>
    </w:pPr>
    <w:rPr>
      <w:color w:val="297d53"/>
      <w:sz w:val="26"/>
      <w:szCs w:val="26"/>
    </w:rPr>
  </w:style>
  <w:style w:type="paragraph" w:styleId="Heading4">
    <w:name w:val="heading 4"/>
    <w:basedOn w:val="Normal"/>
    <w:next w:val="Normal"/>
    <w:pPr>
      <w:keepNext w:val="1"/>
      <w:keepLines w:val="1"/>
      <w:spacing w:after="0" w:before="40" w:lineRule="auto"/>
    </w:pPr>
    <w:rPr>
      <w:i w:val="1"/>
      <w:color w:val="297d53"/>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2F06D2"/>
  </w:style>
  <w:style w:type="paragraph" w:styleId="Heading1">
    <w:name w:val="heading 1"/>
    <w:basedOn w:val="Normal"/>
    <w:next w:val="Normal"/>
    <w:link w:val="Heading1Char"/>
    <w:uiPriority w:val="9"/>
    <w:qFormat w:val="1"/>
    <w:rsid w:val="007B0167"/>
    <w:pPr>
      <w:keepNext w:val="1"/>
      <w:keepLines w:val="1"/>
      <w:spacing w:after="120" w:before="360"/>
      <w:outlineLvl w:val="0"/>
    </w:pPr>
    <w:rPr>
      <w:rFonts w:cstheme="majorBidi" w:eastAsiaTheme="majorEastAsia"/>
      <w:b w:val="1"/>
      <w:color w:val="297c52" w:themeColor="accent3" w:themeShade="0000BF"/>
      <w:sz w:val="36"/>
      <w:szCs w:val="32"/>
    </w:rPr>
  </w:style>
  <w:style w:type="paragraph" w:styleId="Heading2">
    <w:name w:val="heading 2"/>
    <w:basedOn w:val="Normal"/>
    <w:next w:val="Normal"/>
    <w:link w:val="Heading2Char"/>
    <w:uiPriority w:val="9"/>
    <w:unhideWhenUsed w:val="1"/>
    <w:qFormat w:val="1"/>
    <w:rsid w:val="007B0167"/>
    <w:pPr>
      <w:keepNext w:val="1"/>
      <w:keepLines w:val="1"/>
      <w:spacing w:after="120" w:before="120"/>
      <w:outlineLvl w:val="1"/>
    </w:pPr>
    <w:rPr>
      <w:rFonts w:cstheme="majorBidi" w:eastAsiaTheme="majorEastAsia"/>
      <w:color w:val="297c52" w:themeColor="accent3" w:themeShade="0000BF"/>
      <w:sz w:val="30"/>
      <w:szCs w:val="26"/>
    </w:rPr>
  </w:style>
  <w:style w:type="paragraph" w:styleId="Heading3">
    <w:name w:val="heading 3"/>
    <w:basedOn w:val="Normal"/>
    <w:next w:val="Normal"/>
    <w:link w:val="Heading3Char"/>
    <w:uiPriority w:val="9"/>
    <w:unhideWhenUsed w:val="1"/>
    <w:qFormat w:val="1"/>
    <w:rsid w:val="007B0167"/>
    <w:pPr>
      <w:keepNext w:val="1"/>
      <w:keepLines w:val="1"/>
      <w:spacing w:after="0"/>
      <w:outlineLvl w:val="2"/>
    </w:pPr>
    <w:rPr>
      <w:rFonts w:cstheme="majorBidi" w:eastAsiaTheme="majorEastAsia"/>
      <w:color w:val="297c52" w:themeColor="accent3" w:themeShade="0000BF"/>
      <w:sz w:val="26"/>
      <w:szCs w:val="24"/>
    </w:rPr>
  </w:style>
  <w:style w:type="paragraph" w:styleId="Heading4">
    <w:name w:val="heading 4"/>
    <w:basedOn w:val="Normal"/>
    <w:next w:val="Normal"/>
    <w:link w:val="Heading4Char"/>
    <w:uiPriority w:val="9"/>
    <w:unhideWhenUsed w:val="1"/>
    <w:qFormat w:val="1"/>
    <w:rsid w:val="007B0167"/>
    <w:pPr>
      <w:keepNext w:val="1"/>
      <w:keepLines w:val="1"/>
      <w:spacing w:after="0" w:before="40"/>
      <w:outlineLvl w:val="3"/>
    </w:pPr>
    <w:rPr>
      <w:rFonts w:cstheme="majorBidi" w:eastAsiaTheme="majorEastAsia"/>
      <w:i w:val="1"/>
      <w:iCs w:val="1"/>
      <w:color w:val="297c52" w:themeColor="accent3" w:themeShade="0000BF"/>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B0167"/>
    <w:rPr>
      <w:rFonts w:cstheme="majorBidi" w:eastAsiaTheme="majorEastAsia"/>
      <w:b w:val="1"/>
      <w:color w:val="297c52" w:themeColor="accent3" w:themeShade="0000BF"/>
      <w:sz w:val="36"/>
      <w:szCs w:val="32"/>
    </w:rPr>
  </w:style>
  <w:style w:type="character" w:styleId="Hyperlink">
    <w:name w:val="Hyperlink"/>
    <w:basedOn w:val="DefaultParagraphFont"/>
    <w:uiPriority w:val="99"/>
    <w:unhideWhenUsed w:val="1"/>
    <w:rsid w:val="009008E3"/>
    <w:rPr>
      <w:color w:val="056e9f" w:themeColor="accent6" w:themeShade="000080"/>
      <w:u w:val="single"/>
    </w:rPr>
  </w:style>
  <w:style w:type="paragraph" w:styleId="ListParagraph">
    <w:name w:val="List Paragraph"/>
    <w:basedOn w:val="Normal"/>
    <w:uiPriority w:val="34"/>
    <w:qFormat w:val="1"/>
    <w:rsid w:val="00271577"/>
    <w:pPr>
      <w:ind w:left="720"/>
      <w:contextualSpacing w:val="1"/>
    </w:pPr>
  </w:style>
  <w:style w:type="character" w:styleId="Heading2Char" w:customStyle="1">
    <w:name w:val="Heading 2 Char"/>
    <w:basedOn w:val="DefaultParagraphFont"/>
    <w:link w:val="Heading2"/>
    <w:uiPriority w:val="9"/>
    <w:rsid w:val="007B0167"/>
    <w:rPr>
      <w:rFonts w:cstheme="majorBidi" w:eastAsiaTheme="majorEastAsia"/>
      <w:color w:val="297c52" w:themeColor="accent3" w:themeShade="0000BF"/>
      <w:sz w:val="30"/>
      <w:szCs w:val="26"/>
    </w:rPr>
  </w:style>
  <w:style w:type="paragraph" w:styleId="Title">
    <w:name w:val="Title"/>
    <w:basedOn w:val="Normal"/>
    <w:next w:val="Normal"/>
    <w:link w:val="TitleChar"/>
    <w:uiPriority w:val="10"/>
    <w:qFormat w:val="1"/>
    <w:rsid w:val="00DD3AD3"/>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D3AD3"/>
    <w:rPr>
      <w:rFonts w:asciiTheme="majorHAnsi" w:cstheme="majorBidi" w:eastAsiaTheme="majorEastAsia" w:hAnsiTheme="majorHAnsi"/>
      <w:spacing w:val="-10"/>
      <w:kern w:val="28"/>
      <w:sz w:val="56"/>
      <w:szCs w:val="56"/>
    </w:rPr>
  </w:style>
  <w:style w:type="paragraph" w:styleId="Header">
    <w:name w:val="header"/>
    <w:basedOn w:val="Normal"/>
    <w:link w:val="HeaderChar"/>
    <w:uiPriority w:val="99"/>
    <w:unhideWhenUsed w:val="1"/>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val="1"/>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B32B4A"/>
    <w:rPr>
      <w:b w:val="1"/>
      <w:bCs w:val="1"/>
    </w:rPr>
  </w:style>
  <w:style w:type="paragraph" w:styleId="BodyText">
    <w:name w:val="Body Text"/>
    <w:basedOn w:val="Normal"/>
    <w:link w:val="BodyTextChar"/>
    <w:uiPriority w:val="1"/>
    <w:unhideWhenUsed w:val="1"/>
    <w:qFormat w:val="1"/>
    <w:rsid w:val="005109E3"/>
    <w:pPr>
      <w:widowControl w:val="0"/>
      <w:spacing w:after="0" w:line="240" w:lineRule="auto"/>
      <w:ind w:left="100"/>
    </w:pPr>
    <w:rPr>
      <w:rFonts w:ascii="Times New Roman" w:cs="Times New Roman" w:eastAsia="Times New Roman" w:hAnsi="Times New Roman"/>
      <w:sz w:val="24"/>
      <w:szCs w:val="24"/>
    </w:rPr>
  </w:style>
  <w:style w:type="character" w:styleId="BodyTextChar" w:customStyle="1">
    <w:name w:val="Body Text Char"/>
    <w:basedOn w:val="DefaultParagraphFont"/>
    <w:link w:val="BodyText"/>
    <w:uiPriority w:val="1"/>
    <w:rsid w:val="005109E3"/>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8313A0"/>
    <w:rPr>
      <w:color w:val="977b2d" w:themeColor="followedHyperlink"/>
      <w:u w:val="single"/>
    </w:rPr>
  </w:style>
  <w:style w:type="character" w:styleId="UnresolvedMention1" w:customStyle="1">
    <w:name w:val="Unresolved Mention1"/>
    <w:basedOn w:val="DefaultParagraphFont"/>
    <w:uiPriority w:val="99"/>
    <w:semiHidden w:val="1"/>
    <w:unhideWhenUsed w:val="1"/>
    <w:rsid w:val="00D40267"/>
    <w:rPr>
      <w:color w:val="605e5c"/>
      <w:shd w:color="auto" w:fill="e1dfdd" w:val="clear"/>
    </w:rPr>
  </w:style>
  <w:style w:type="paragraph" w:styleId="BalloonText">
    <w:name w:val="Balloon Text"/>
    <w:basedOn w:val="Normal"/>
    <w:link w:val="BalloonTextChar"/>
    <w:uiPriority w:val="99"/>
    <w:semiHidden w:val="1"/>
    <w:unhideWhenUsed w:val="1"/>
    <w:rsid w:val="00E1607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607C"/>
    <w:rPr>
      <w:rFonts w:ascii="Segoe UI" w:cs="Segoe UI" w:hAnsi="Segoe UI"/>
      <w:sz w:val="18"/>
      <w:szCs w:val="18"/>
    </w:rPr>
  </w:style>
  <w:style w:type="character" w:styleId="Heading3Char" w:customStyle="1">
    <w:name w:val="Heading 3 Char"/>
    <w:basedOn w:val="DefaultParagraphFont"/>
    <w:link w:val="Heading3"/>
    <w:uiPriority w:val="9"/>
    <w:rsid w:val="007B0167"/>
    <w:rPr>
      <w:rFonts w:cstheme="majorBidi" w:eastAsiaTheme="majorEastAsia"/>
      <w:color w:val="297c52" w:themeColor="accent3" w:themeShade="0000BF"/>
      <w:sz w:val="26"/>
      <w:szCs w:val="24"/>
    </w:rPr>
  </w:style>
  <w:style w:type="character" w:styleId="Heading4Char" w:customStyle="1">
    <w:name w:val="Heading 4 Char"/>
    <w:basedOn w:val="DefaultParagraphFont"/>
    <w:link w:val="Heading4"/>
    <w:uiPriority w:val="9"/>
    <w:rsid w:val="007B0167"/>
    <w:rPr>
      <w:rFonts w:cstheme="majorBidi" w:eastAsiaTheme="majorEastAsia"/>
      <w:i w:val="1"/>
      <w:iCs w:val="1"/>
      <w:color w:val="297c52" w:themeColor="accent3" w:themeShade="0000BF"/>
      <w:sz w:val="24"/>
    </w:rPr>
  </w:style>
  <w:style w:type="character" w:styleId="CommentReference">
    <w:name w:val="annotation reference"/>
    <w:basedOn w:val="DefaultParagraphFont"/>
    <w:uiPriority w:val="99"/>
    <w:semiHidden w:val="1"/>
    <w:unhideWhenUsed w:val="1"/>
    <w:rsid w:val="006F5F75"/>
    <w:rPr>
      <w:sz w:val="16"/>
      <w:szCs w:val="16"/>
    </w:rPr>
  </w:style>
  <w:style w:type="paragraph" w:styleId="CommentText">
    <w:name w:val="annotation text"/>
    <w:basedOn w:val="Normal"/>
    <w:link w:val="CommentTextChar"/>
    <w:uiPriority w:val="99"/>
    <w:semiHidden w:val="1"/>
    <w:unhideWhenUsed w:val="1"/>
    <w:rsid w:val="006F5F75"/>
    <w:pPr>
      <w:spacing w:line="240" w:lineRule="auto"/>
    </w:pPr>
    <w:rPr>
      <w:sz w:val="20"/>
      <w:szCs w:val="20"/>
    </w:rPr>
  </w:style>
  <w:style w:type="character" w:styleId="CommentTextChar" w:customStyle="1">
    <w:name w:val="Comment Text Char"/>
    <w:basedOn w:val="DefaultParagraphFont"/>
    <w:link w:val="CommentText"/>
    <w:uiPriority w:val="99"/>
    <w:semiHidden w:val="1"/>
    <w:rsid w:val="006F5F75"/>
    <w:rPr>
      <w:sz w:val="20"/>
      <w:szCs w:val="20"/>
    </w:rPr>
  </w:style>
  <w:style w:type="paragraph" w:styleId="CommentSubject">
    <w:name w:val="annotation subject"/>
    <w:basedOn w:val="CommentText"/>
    <w:next w:val="CommentText"/>
    <w:link w:val="CommentSubjectChar"/>
    <w:uiPriority w:val="99"/>
    <w:semiHidden w:val="1"/>
    <w:unhideWhenUsed w:val="1"/>
    <w:rsid w:val="006F5F75"/>
    <w:rPr>
      <w:b w:val="1"/>
      <w:bCs w:val="1"/>
    </w:rPr>
  </w:style>
  <w:style w:type="character" w:styleId="CommentSubjectChar" w:customStyle="1">
    <w:name w:val="Comment Subject Char"/>
    <w:basedOn w:val="CommentTextChar"/>
    <w:link w:val="CommentSubject"/>
    <w:uiPriority w:val="99"/>
    <w:semiHidden w:val="1"/>
    <w:rsid w:val="006F5F75"/>
    <w:rPr>
      <w:b w:val="1"/>
      <w:bCs w:val="1"/>
      <w:sz w:val="20"/>
      <w:szCs w:val="20"/>
    </w:rPr>
  </w:style>
  <w:style w:type="character" w:styleId="UnresolvedMention2" w:customStyle="1">
    <w:name w:val="Unresolved Mention2"/>
    <w:basedOn w:val="DefaultParagraphFont"/>
    <w:uiPriority w:val="99"/>
    <w:semiHidden w:val="1"/>
    <w:unhideWhenUsed w:val="1"/>
    <w:rsid w:val="002446AD"/>
    <w:rPr>
      <w:color w:val="605e5c"/>
      <w:shd w:color="auto" w:fill="e1dfdd" w:val="clear"/>
    </w:rPr>
  </w:style>
  <w:style w:type="character" w:styleId="UnresolvedMention">
    <w:name w:val="Unresolved Mention"/>
    <w:basedOn w:val="DefaultParagraphFont"/>
    <w:uiPriority w:val="99"/>
    <w:semiHidden w:val="1"/>
    <w:unhideWhenUsed w:val="1"/>
    <w:rsid w:val="005C7253"/>
    <w:rPr>
      <w:color w:val="605e5c"/>
      <w:shd w:color="auto" w:fill="e1dfdd" w:val="clear"/>
    </w:rPr>
  </w:style>
  <w:style w:type="paragraph" w:styleId="xmsonormal" w:customStyle="1">
    <w:name w:val="x_msonormal"/>
    <w:basedOn w:val="Normal"/>
    <w:rsid w:val="00C03098"/>
    <w:pPr>
      <w:spacing w:after="0" w:line="240" w:lineRule="auto"/>
    </w:pPr>
    <w:rPr>
      <w:rFonts w:ascii="Calibri" w:cs="Calibri" w:hAnsi="Calibri"/>
    </w:rPr>
  </w:style>
  <w:style w:type="paragraph" w:styleId="xxmsonormal" w:customStyle="1">
    <w:name w:val="x_x_msonormal"/>
    <w:basedOn w:val="Normal"/>
    <w:rsid w:val="00E44577"/>
    <w:pPr>
      <w:spacing w:after="0" w:line="240" w:lineRule="auto"/>
    </w:pPr>
    <w:rPr>
      <w:rFonts w:ascii="Calibri" w:cs="Calibri" w:hAnsi="Calibri"/>
    </w:rPr>
  </w:style>
  <w:style w:type="paragraph" w:styleId="Revision">
    <w:name w:val="Revision"/>
    <w:hidden w:val="1"/>
    <w:uiPriority w:val="99"/>
    <w:semiHidden w:val="1"/>
    <w:rsid w:val="00217E4B"/>
    <w:pPr>
      <w:spacing w:after="0" w:line="240" w:lineRule="auto"/>
    </w:pPr>
  </w:style>
  <w:style w:type="paragraph" w:styleId="NormalWeb">
    <w:name w:val="Normal (Web)"/>
    <w:basedOn w:val="Normal"/>
    <w:uiPriority w:val="99"/>
    <w:unhideWhenUsed w:val="1"/>
    <w:rsid w:val="00C01C0C"/>
    <w:pPr>
      <w:spacing w:after="100" w:afterAutospacing="1" w:before="100" w:beforeAutospacing="1" w:line="240" w:lineRule="auto"/>
    </w:pPr>
    <w:rPr>
      <w:rFonts w:ascii="Calibri" w:cs="Calibri" w:hAnsi="Calibri"/>
    </w:rPr>
  </w:style>
  <w:style w:type="character" w:styleId="contentpasted0" w:customStyle="1">
    <w:name w:val="contentpasted0"/>
    <w:basedOn w:val="DefaultParagraphFont"/>
    <w:rsid w:val="00C01C0C"/>
  </w:style>
  <w:style w:type="paragraph" w:styleId="xxmsonormal0" w:customStyle="1">
    <w:name w:val="x_xmsonormal"/>
    <w:basedOn w:val="Normal"/>
    <w:rsid w:val="000B0A07"/>
    <w:pPr>
      <w:spacing w:after="0" w:line="240" w:lineRule="auto"/>
    </w:pPr>
    <w:rPr>
      <w:rFonts w:ascii="Calibri" w:cs="Calibri" w:hAnsi="Calibri"/>
    </w:rPr>
  </w:style>
  <w:style w:type="character" w:styleId="xxnormaltextrun" w:customStyle="1">
    <w:name w:val="x_xnormaltextrun"/>
    <w:basedOn w:val="DefaultParagraphFont"/>
    <w:rsid w:val="000B0A0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policy.unt.edu/policy/06-039" TargetMode="External"/><Relationship Id="rId11" Type="http://schemas.openxmlformats.org/officeDocument/2006/relationships/hyperlink" Target="https://online.unt.edu/learn" TargetMode="External"/><Relationship Id="rId22" Type="http://schemas.openxmlformats.org/officeDocument/2006/relationships/footer" Target="footer1.xml"/><Relationship Id="rId10" Type="http://schemas.openxmlformats.org/officeDocument/2006/relationships/hyperlink" Target="https://policy.unt.edu/policy/07-012" TargetMode="External"/><Relationship Id="rId21" Type="http://schemas.openxmlformats.org/officeDocument/2006/relationships/hyperlink" Target="https://policy.unt.edu/policy/06-039" TargetMode="External"/><Relationship Id="rId13" Type="http://schemas.openxmlformats.org/officeDocument/2006/relationships/hyperlink" Target="https://www.rogerebert.com/roger-ebert/video-games-can-never-be-art" TargetMode="External"/><Relationship Id="rId12" Type="http://schemas.openxmlformats.org/officeDocument/2006/relationships/hyperlink" Target="https://online.unt.edu/lear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licy.unt.edu/policy/07-012" TargetMode="External"/><Relationship Id="rId15" Type="http://schemas.openxmlformats.org/officeDocument/2006/relationships/hyperlink" Target="https://unt.instructure.com/courses/114443/files/28776211/download" TargetMode="External"/><Relationship Id="rId14" Type="http://schemas.openxmlformats.org/officeDocument/2006/relationships/hyperlink" Target="https://unt.instructure.com/courses/114443/files/28776175/download" TargetMode="External"/><Relationship Id="rId17" Type="http://schemas.openxmlformats.org/officeDocument/2006/relationships/hyperlink" Target="https://unt.instructure.com/courses/114443/files/28776211/download" TargetMode="External"/><Relationship Id="rId16" Type="http://schemas.openxmlformats.org/officeDocument/2006/relationships/hyperlink" Target="https://unt.instructure.com/courses/114443/files/28776211/download" TargetMode="External"/><Relationship Id="rId5" Type="http://schemas.openxmlformats.org/officeDocument/2006/relationships/styles" Target="styles.xml"/><Relationship Id="rId19" Type="http://schemas.openxmlformats.org/officeDocument/2006/relationships/hyperlink" Target="https://policy.unt.edu/policy/15-006" TargetMode="External"/><Relationship Id="rId6" Type="http://schemas.openxmlformats.org/officeDocument/2006/relationships/customXml" Target="../customXML/item1.xml"/><Relationship Id="rId18" Type="http://schemas.openxmlformats.org/officeDocument/2006/relationships/hyperlink" Target="https://policy.unt.edu/policy/15-006" TargetMode="External"/><Relationship Id="rId7" Type="http://schemas.openxmlformats.org/officeDocument/2006/relationships/hyperlink" Target="https://studentaffairs.unt.edu/office-disability-access" TargetMode="External"/><Relationship Id="rId8" Type="http://schemas.openxmlformats.org/officeDocument/2006/relationships/hyperlink" Target="https://studentaffairs.unt.edu/office-disability-access"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4gpe7uowiYLqFlWFAHrNz1Flng==">CgMxLjAyDmgubWNnMHU3NThueW8yMg5oLmNjOGw0ODFhZnlqZDIOaC5taHl1NWhzemx5MnkyCGguZ2pkZ3hzOAByITFzTXZPcTFIZkw2dFFhd2FoNG9LazVJaTlBQjJWMlVxRw==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2024-07-01T13:17:00Z</dcterms:created>
  <dc:creator>Tania.Heap@unt.edu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