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1DD88" w14:textId="77777777" w:rsidR="00132103" w:rsidRDefault="00132103" w:rsidP="00132103">
      <w:pPr>
        <w:spacing w:after="98"/>
      </w:pPr>
    </w:p>
    <w:p w14:paraId="738C9972" w14:textId="77777777" w:rsidR="00132103" w:rsidRDefault="00132103" w:rsidP="00132103">
      <w:pPr>
        <w:spacing w:after="0" w:line="307" w:lineRule="auto"/>
        <w:ind w:right="1615"/>
      </w:pPr>
      <w:r>
        <w:rPr>
          <w:b/>
          <w:color w:val="00853E"/>
          <w:sz w:val="36"/>
        </w:rPr>
        <w:t xml:space="preserve">WGST 4150/5150 – Queer Theory / Queer Identity Spring 2025 </w:t>
      </w:r>
    </w:p>
    <w:p w14:paraId="73E7B1F5" w14:textId="77777777" w:rsidR="00132103" w:rsidRDefault="00132103" w:rsidP="00132103">
      <w:pPr>
        <w:spacing w:after="47" w:line="248" w:lineRule="auto"/>
        <w:ind w:left="-5" w:right="51" w:hanging="10"/>
      </w:pPr>
      <w:r>
        <w:rPr>
          <w:rFonts w:ascii="Times New Roman" w:eastAsia="Times New Roman" w:hAnsi="Times New Roman" w:cs="Times New Roman"/>
          <w:sz w:val="24"/>
        </w:rPr>
        <w:t xml:space="preserve">Tuesdays 5:30-8:20 PM, GAB 114 </w:t>
      </w:r>
    </w:p>
    <w:p w14:paraId="1AA2F479" w14:textId="77777777" w:rsidR="00132103" w:rsidRDefault="00132103" w:rsidP="00132103">
      <w:pPr>
        <w:pStyle w:val="Heading1"/>
        <w:spacing w:after="0"/>
        <w:ind w:left="-5"/>
      </w:pPr>
      <w:r>
        <w:t xml:space="preserve">Instructor Information   </w:t>
      </w:r>
    </w:p>
    <w:tbl>
      <w:tblPr>
        <w:tblStyle w:val="TableGrid"/>
        <w:tblW w:w="10298" w:type="dxa"/>
        <w:tblInd w:w="-109" w:type="dxa"/>
        <w:tblCellMar>
          <w:top w:w="0" w:type="dxa"/>
          <w:left w:w="0" w:type="dxa"/>
          <w:bottom w:w="0" w:type="dxa"/>
          <w:right w:w="0" w:type="dxa"/>
        </w:tblCellMar>
        <w:tblLook w:val="04A0" w:firstRow="1" w:lastRow="0" w:firstColumn="1" w:lastColumn="0" w:noHBand="0" w:noVBand="1"/>
      </w:tblPr>
      <w:tblGrid>
        <w:gridCol w:w="109"/>
        <w:gridCol w:w="3403"/>
        <w:gridCol w:w="6786"/>
      </w:tblGrid>
      <w:tr w:rsidR="00132103" w14:paraId="640157F1" w14:textId="77777777" w:rsidTr="006D422F">
        <w:trPr>
          <w:trHeight w:val="853"/>
        </w:trPr>
        <w:tc>
          <w:tcPr>
            <w:tcW w:w="10298" w:type="dxa"/>
            <w:gridSpan w:val="3"/>
            <w:tcBorders>
              <w:top w:val="single" w:sz="4" w:space="0" w:color="000000"/>
              <w:left w:val="single" w:sz="4" w:space="0" w:color="000000"/>
              <w:bottom w:val="nil"/>
              <w:right w:val="single" w:sz="4" w:space="0" w:color="000000"/>
            </w:tcBorders>
            <w:shd w:val="clear" w:color="auto" w:fill="EAF3D7"/>
          </w:tcPr>
          <w:p w14:paraId="78899228" w14:textId="77777777" w:rsidR="00132103" w:rsidRDefault="00132103" w:rsidP="006D422F">
            <w:pPr>
              <w:spacing w:after="0"/>
              <w:ind w:left="109"/>
            </w:pPr>
            <w:r>
              <w:rPr>
                <w:rFonts w:ascii="Times New Roman" w:eastAsia="Times New Roman" w:hAnsi="Times New Roman" w:cs="Times New Roman"/>
                <w:sz w:val="24"/>
              </w:rPr>
              <w:t xml:space="preserve">Dr. Katherine Ritter (she/her/hers) </w:t>
            </w:r>
          </w:p>
          <w:p w14:paraId="50B8FE51" w14:textId="77777777" w:rsidR="00132103" w:rsidRDefault="00132103" w:rsidP="006D422F">
            <w:pPr>
              <w:spacing w:after="0"/>
              <w:ind w:left="109" w:right="2758"/>
            </w:pPr>
            <w:r>
              <w:rPr>
                <w:rFonts w:ascii="Times New Roman" w:eastAsia="Times New Roman" w:hAnsi="Times New Roman" w:cs="Times New Roman"/>
                <w:sz w:val="24"/>
              </w:rPr>
              <w:t xml:space="preserve">Email: </w:t>
            </w:r>
            <w:r>
              <w:rPr>
                <w:rFonts w:ascii="Times New Roman" w:eastAsia="Times New Roman" w:hAnsi="Times New Roman" w:cs="Times New Roman"/>
                <w:color w:val="046E9E"/>
                <w:sz w:val="24"/>
                <w:u w:val="single" w:color="046E9E"/>
              </w:rPr>
              <w:t>katherine.ritter@unt.edu</w:t>
            </w:r>
            <w:r>
              <w:rPr>
                <w:rFonts w:ascii="Times New Roman" w:eastAsia="Times New Roman" w:hAnsi="Times New Roman" w:cs="Times New Roman"/>
                <w:sz w:val="24"/>
              </w:rPr>
              <w:t xml:space="preserve"> (Preferred method of communication) Office Hours: By Appointment/Via Zoom </w:t>
            </w:r>
          </w:p>
        </w:tc>
      </w:tr>
      <w:tr w:rsidR="00132103" w14:paraId="5754C70E" w14:textId="77777777" w:rsidTr="006D422F">
        <w:trPr>
          <w:trHeight w:val="306"/>
        </w:trPr>
        <w:tc>
          <w:tcPr>
            <w:tcW w:w="109" w:type="dxa"/>
            <w:tcBorders>
              <w:top w:val="nil"/>
              <w:left w:val="single" w:sz="4" w:space="0" w:color="000000"/>
              <w:bottom w:val="single" w:sz="4" w:space="0" w:color="000000"/>
              <w:right w:val="nil"/>
            </w:tcBorders>
            <w:shd w:val="clear" w:color="auto" w:fill="EAF3D7"/>
          </w:tcPr>
          <w:p w14:paraId="2297B5AF" w14:textId="77777777" w:rsidR="00132103" w:rsidRDefault="00132103" w:rsidP="006D422F"/>
        </w:tc>
        <w:tc>
          <w:tcPr>
            <w:tcW w:w="3403" w:type="dxa"/>
            <w:tcBorders>
              <w:top w:val="nil"/>
              <w:left w:val="nil"/>
              <w:bottom w:val="single" w:sz="4" w:space="0" w:color="000000"/>
              <w:right w:val="nil"/>
            </w:tcBorders>
            <w:shd w:val="clear" w:color="auto" w:fill="FFFFFF"/>
          </w:tcPr>
          <w:p w14:paraId="3121BB17" w14:textId="77777777" w:rsidR="00132103" w:rsidRDefault="00132103" w:rsidP="006D422F">
            <w:pPr>
              <w:spacing w:after="0"/>
              <w:ind w:right="-2"/>
              <w:jc w:val="both"/>
            </w:pPr>
            <w:r>
              <w:rPr>
                <w:rFonts w:ascii="Aptos" w:eastAsia="Aptos" w:hAnsi="Aptos" w:cs="Aptos"/>
                <w:sz w:val="24"/>
              </w:rPr>
              <w:t>General Academic Building 119C</w:t>
            </w:r>
          </w:p>
        </w:tc>
        <w:tc>
          <w:tcPr>
            <w:tcW w:w="6786" w:type="dxa"/>
            <w:tcBorders>
              <w:top w:val="nil"/>
              <w:left w:val="nil"/>
              <w:bottom w:val="single" w:sz="4" w:space="0" w:color="000000"/>
              <w:right w:val="single" w:sz="4" w:space="0" w:color="000000"/>
            </w:tcBorders>
            <w:shd w:val="clear" w:color="auto" w:fill="EAF3D7"/>
          </w:tcPr>
          <w:p w14:paraId="761323E4" w14:textId="77777777" w:rsidR="00132103" w:rsidRDefault="00132103" w:rsidP="006D422F">
            <w:pPr>
              <w:spacing w:after="0"/>
              <w:ind w:left="2"/>
            </w:pPr>
            <w:r>
              <w:rPr>
                <w:rFonts w:ascii="Times New Roman" w:eastAsia="Times New Roman" w:hAnsi="Times New Roman" w:cs="Times New Roman"/>
                <w:sz w:val="24"/>
              </w:rPr>
              <w:t xml:space="preserve"> </w:t>
            </w:r>
          </w:p>
        </w:tc>
      </w:tr>
    </w:tbl>
    <w:p w14:paraId="6A654D35" w14:textId="77777777" w:rsidR="00132103" w:rsidRDefault="00132103" w:rsidP="00132103">
      <w:pPr>
        <w:spacing w:after="13"/>
      </w:pPr>
      <w:r>
        <w:rPr>
          <w:color w:val="287C51"/>
          <w:sz w:val="26"/>
        </w:rPr>
        <w:t xml:space="preserve"> </w:t>
      </w:r>
    </w:p>
    <w:p w14:paraId="4B4FE463" w14:textId="77777777" w:rsidR="00132103" w:rsidRDefault="00132103" w:rsidP="00132103">
      <w:pPr>
        <w:pStyle w:val="Heading1"/>
        <w:spacing w:after="0"/>
        <w:ind w:left="-5"/>
      </w:pPr>
      <w:r>
        <w:t xml:space="preserve">Course Description, Structure, and Objectives  </w:t>
      </w:r>
    </w:p>
    <w:p w14:paraId="49AF8298" w14:textId="7AC14919" w:rsidR="00132103" w:rsidRPr="00132103" w:rsidRDefault="00132103" w:rsidP="00132103">
      <w:pPr>
        <w:spacing w:after="0"/>
      </w:pPr>
      <w:r w:rsidRPr="00132103">
        <w:rPr>
          <w:rFonts w:ascii="Open Sans" w:hAnsi="Open Sans" w:cs="Open Sans"/>
          <w:color w:val="333333"/>
          <w:shd w:val="clear" w:color="auto" w:fill="CCCCCC"/>
        </w:rPr>
        <w:t>Survey of key historical and contemporary theoretical debates and the political and ideological contexts that have shaped them.  Critical contemporary issues and debates in the interdisciplinary field of queer studies, particularly focused on LGBTQ+ inspired epistemologies, methodologies, and activism.</w:t>
      </w:r>
    </w:p>
    <w:p w14:paraId="6D31D775" w14:textId="77777777" w:rsidR="00132103" w:rsidRDefault="00132103" w:rsidP="00132103">
      <w:pPr>
        <w:spacing w:after="0"/>
      </w:pPr>
      <w:r>
        <w:rPr>
          <w:rFonts w:ascii="Times New Roman" w:eastAsia="Times New Roman" w:hAnsi="Times New Roman" w:cs="Times New Roman"/>
          <w:sz w:val="24"/>
        </w:rPr>
        <w:t xml:space="preserve"> </w:t>
      </w:r>
    </w:p>
    <w:p w14:paraId="2C23A655" w14:textId="77777777" w:rsidR="00132103" w:rsidRDefault="00132103" w:rsidP="00132103">
      <w:pPr>
        <w:spacing w:after="14" w:line="248" w:lineRule="auto"/>
        <w:ind w:left="-5" w:right="51" w:hanging="10"/>
      </w:pPr>
      <w:r>
        <w:rPr>
          <w:rFonts w:ascii="Times New Roman" w:eastAsia="Times New Roman" w:hAnsi="Times New Roman" w:cs="Times New Roman"/>
          <w:sz w:val="24"/>
        </w:rPr>
        <w:t xml:space="preserve">Learning Objectives:  </w:t>
      </w:r>
    </w:p>
    <w:p w14:paraId="6EB0C3E6" w14:textId="77777777" w:rsidR="00132103" w:rsidRDefault="00132103" w:rsidP="00132103">
      <w:pPr>
        <w:pStyle w:val="ListParagraph"/>
        <w:numPr>
          <w:ilvl w:val="0"/>
          <w:numId w:val="1"/>
        </w:numPr>
        <w:spacing w:after="14" w:line="248" w:lineRule="auto"/>
        <w:ind w:right="327"/>
      </w:pPr>
      <w:r w:rsidRPr="007336DB">
        <w:rPr>
          <w:rFonts w:ascii="Times New Roman" w:eastAsia="Times New Roman" w:hAnsi="Times New Roman" w:cs="Times New Roman"/>
          <w:sz w:val="24"/>
        </w:rPr>
        <w:t xml:space="preserve">Expand students’ awareness of queer theory/ scholarship and the history of its emergence in the US / trans/nationally. </w:t>
      </w:r>
    </w:p>
    <w:p w14:paraId="0E58312A" w14:textId="77777777" w:rsidR="00132103" w:rsidRDefault="00132103" w:rsidP="00132103">
      <w:pPr>
        <w:numPr>
          <w:ilvl w:val="0"/>
          <w:numId w:val="1"/>
        </w:numPr>
        <w:spacing w:after="14" w:line="248" w:lineRule="auto"/>
        <w:ind w:right="327" w:hanging="10"/>
      </w:pPr>
      <w:r>
        <w:rPr>
          <w:rFonts w:ascii="Times New Roman" w:eastAsia="Times New Roman" w:hAnsi="Times New Roman" w:cs="Times New Roman"/>
          <w:sz w:val="24"/>
        </w:rPr>
        <w:t xml:space="preserve">Expose students to queer theory’s capacity to critique, interpret, and explain the raced, gendered, classed, culturally conditioned experiences of the queer community globally.  3. Educate students on the diversity and commonality among gendered subjects. </w:t>
      </w:r>
    </w:p>
    <w:p w14:paraId="6862CD3B" w14:textId="77777777" w:rsidR="00132103" w:rsidRDefault="00132103" w:rsidP="00132103">
      <w:pPr>
        <w:spacing w:after="0"/>
      </w:pPr>
      <w:r>
        <w:rPr>
          <w:rFonts w:ascii="Times New Roman" w:eastAsia="Times New Roman" w:hAnsi="Times New Roman" w:cs="Times New Roman"/>
          <w:sz w:val="24"/>
        </w:rPr>
        <w:t xml:space="preserve"> </w:t>
      </w:r>
    </w:p>
    <w:p w14:paraId="31683A62" w14:textId="77777777" w:rsidR="00132103" w:rsidRDefault="00132103" w:rsidP="00132103">
      <w:pPr>
        <w:spacing w:after="0"/>
      </w:pPr>
      <w:r>
        <w:rPr>
          <w:rFonts w:ascii="Times New Roman" w:eastAsia="Times New Roman" w:hAnsi="Times New Roman" w:cs="Times New Roman"/>
          <w:sz w:val="24"/>
        </w:rPr>
        <w:t xml:space="preserve"> </w:t>
      </w:r>
    </w:p>
    <w:p w14:paraId="0694954D" w14:textId="77777777" w:rsidR="00132103" w:rsidRDefault="00132103" w:rsidP="00132103">
      <w:pPr>
        <w:spacing w:after="0" w:line="249" w:lineRule="auto"/>
        <w:ind w:left="-5" w:right="3" w:hanging="10"/>
      </w:pPr>
      <w:r>
        <w:rPr>
          <w:rFonts w:ascii="Times New Roman" w:eastAsia="Times New Roman" w:hAnsi="Times New Roman" w:cs="Times New Roman"/>
          <w:color w:val="201E1E"/>
          <w:sz w:val="24"/>
        </w:rPr>
        <w:t xml:space="preserve">The University of North Texas makes reasonable academic accommodation for students with </w:t>
      </w:r>
    </w:p>
    <w:p w14:paraId="0D305A55" w14:textId="77777777" w:rsidR="00132103" w:rsidRDefault="00132103" w:rsidP="00132103">
      <w:pPr>
        <w:spacing w:after="0" w:line="249" w:lineRule="auto"/>
        <w:ind w:left="-5" w:right="3" w:hanging="10"/>
      </w:pPr>
      <w:r>
        <w:rPr>
          <w:rFonts w:ascii="Times New Roman" w:eastAsia="Times New Roman" w:hAnsi="Times New Roman" w:cs="Times New Roman"/>
          <w:color w:val="201E1E"/>
          <w:sz w:val="24"/>
        </w:rPr>
        <w:t xml:space="preserve">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5">
        <w:r>
          <w:rPr>
            <w:rFonts w:ascii="Times New Roman" w:eastAsia="Times New Roman" w:hAnsi="Times New Roman" w:cs="Times New Roman"/>
            <w:color w:val="00853E"/>
            <w:sz w:val="24"/>
            <w:u w:val="single" w:color="00853E"/>
          </w:rPr>
          <w:t>Office of Disability Access</w:t>
        </w:r>
      </w:hyperlink>
      <w:hyperlink r:id="rId6">
        <w:r>
          <w:rPr>
            <w:rFonts w:ascii="Times New Roman" w:eastAsia="Times New Roman" w:hAnsi="Times New Roman" w:cs="Times New Roman"/>
            <w:color w:val="00853E"/>
            <w:sz w:val="24"/>
          </w:rPr>
          <w:t xml:space="preserve"> </w:t>
        </w:r>
      </w:hyperlink>
      <w:r>
        <w:rPr>
          <w:rFonts w:ascii="Times New Roman" w:eastAsia="Times New Roman" w:hAnsi="Times New Roman" w:cs="Times New Roman"/>
          <w:color w:val="201E1E"/>
          <w:sz w:val="24"/>
        </w:rPr>
        <w:t xml:space="preserve">website </w:t>
      </w:r>
      <w:hyperlink r:id="rId7">
        <w:r>
          <w:rPr>
            <w:rFonts w:ascii="Times New Roman" w:eastAsia="Times New Roman" w:hAnsi="Times New Roman" w:cs="Times New Roman"/>
            <w:color w:val="201E1E"/>
            <w:sz w:val="24"/>
          </w:rPr>
          <w:t>(</w:t>
        </w:r>
      </w:hyperlink>
      <w:hyperlink r:id="rId8">
        <w:r>
          <w:rPr>
            <w:rFonts w:ascii="Times New Roman" w:eastAsia="Times New Roman" w:hAnsi="Times New Roman" w:cs="Times New Roman"/>
            <w:color w:val="00853E"/>
            <w:sz w:val="24"/>
            <w:u w:val="single" w:color="00853E"/>
          </w:rPr>
          <w:t>https://studentaffairs.unt.edu/office</w:t>
        </w:r>
      </w:hyperlink>
      <w:hyperlink r:id="rId9">
        <w:r>
          <w:rPr>
            <w:rFonts w:ascii="Times New Roman" w:eastAsia="Times New Roman" w:hAnsi="Times New Roman" w:cs="Times New Roman"/>
            <w:color w:val="00853E"/>
            <w:sz w:val="24"/>
            <w:u w:val="single" w:color="00853E"/>
          </w:rPr>
          <w:t>-</w:t>
        </w:r>
      </w:hyperlink>
      <w:hyperlink r:id="rId10">
        <w:r>
          <w:rPr>
            <w:rFonts w:ascii="Times New Roman" w:eastAsia="Times New Roman" w:hAnsi="Times New Roman" w:cs="Times New Roman"/>
            <w:color w:val="00853E"/>
            <w:sz w:val="24"/>
            <w:u w:val="single" w:color="00853E"/>
          </w:rPr>
          <w:t>disability</w:t>
        </w:r>
      </w:hyperlink>
      <w:hyperlink r:id="rId11">
        <w:r>
          <w:rPr>
            <w:rFonts w:ascii="Times New Roman" w:eastAsia="Times New Roman" w:hAnsi="Times New Roman" w:cs="Times New Roman"/>
            <w:color w:val="00853E"/>
            <w:sz w:val="24"/>
            <w:u w:val="single" w:color="00853E"/>
          </w:rPr>
          <w:t>-</w:t>
        </w:r>
      </w:hyperlink>
      <w:hyperlink r:id="rId12">
        <w:r>
          <w:rPr>
            <w:rFonts w:ascii="Times New Roman" w:eastAsia="Times New Roman" w:hAnsi="Times New Roman" w:cs="Times New Roman"/>
            <w:color w:val="00853E"/>
            <w:sz w:val="24"/>
            <w:u w:val="single" w:color="00853E"/>
          </w:rPr>
          <w:t>access</w:t>
        </w:r>
      </w:hyperlink>
      <w:hyperlink r:id="rId13">
        <w:r>
          <w:rPr>
            <w:rFonts w:ascii="Times New Roman" w:eastAsia="Times New Roman" w:hAnsi="Times New Roman" w:cs="Times New Roman"/>
            <w:color w:val="201E1E"/>
            <w:sz w:val="24"/>
          </w:rPr>
          <w:t>)</w:t>
        </w:r>
      </w:hyperlink>
      <w:r>
        <w:rPr>
          <w:rFonts w:ascii="Times New Roman" w:eastAsia="Times New Roman" w:hAnsi="Times New Roman" w:cs="Times New Roman"/>
          <w:sz w:val="24"/>
        </w:rPr>
        <w:t xml:space="preserve">. </w:t>
      </w:r>
      <w:r>
        <w:rPr>
          <w:rFonts w:ascii="Times New Roman" w:eastAsia="Times New Roman" w:hAnsi="Times New Roman" w:cs="Times New Roman"/>
          <w:color w:val="201E1E"/>
          <w:sz w:val="24"/>
        </w:rPr>
        <w:t xml:space="preserve">You may also contact ODA by phone at (940) 565-4323. </w:t>
      </w:r>
    </w:p>
    <w:p w14:paraId="13061A91" w14:textId="77777777" w:rsidR="00132103" w:rsidRDefault="00132103" w:rsidP="00132103">
      <w:pPr>
        <w:spacing w:after="0"/>
        <w:ind w:left="720"/>
      </w:pPr>
      <w:r>
        <w:rPr>
          <w:rFonts w:ascii="Times New Roman" w:eastAsia="Times New Roman" w:hAnsi="Times New Roman" w:cs="Times New Roman"/>
          <w:sz w:val="24"/>
        </w:rPr>
        <w:t xml:space="preserve"> </w:t>
      </w:r>
    </w:p>
    <w:p w14:paraId="6C35DC2E" w14:textId="77777777" w:rsidR="00132103" w:rsidRDefault="00132103" w:rsidP="00132103">
      <w:pPr>
        <w:spacing w:after="0"/>
        <w:ind w:left="720"/>
      </w:pPr>
      <w:r>
        <w:rPr>
          <w:rFonts w:ascii="Times New Roman" w:eastAsia="Times New Roman" w:hAnsi="Times New Roman" w:cs="Times New Roman"/>
          <w:i/>
          <w:sz w:val="24"/>
        </w:rPr>
        <w:t xml:space="preserve"> </w:t>
      </w:r>
    </w:p>
    <w:p w14:paraId="694CB0B1" w14:textId="77777777" w:rsidR="00132103" w:rsidRDefault="00132103" w:rsidP="00132103">
      <w:pPr>
        <w:spacing w:after="3"/>
        <w:ind w:left="48" w:right="92" w:hanging="10"/>
        <w:jc w:val="center"/>
      </w:pPr>
      <w:r>
        <w:rPr>
          <w:rFonts w:ascii="Times New Roman" w:eastAsia="Times New Roman" w:hAnsi="Times New Roman" w:cs="Times New Roman"/>
          <w:i/>
          <w:sz w:val="24"/>
        </w:rPr>
        <w:lastRenderedPageBreak/>
        <w:t xml:space="preserve">Connect with me through email and/or by scheduling to meet with me during office hours. </w:t>
      </w:r>
    </w:p>
    <w:p w14:paraId="3E236A5D" w14:textId="77777777" w:rsidR="00132103" w:rsidRDefault="00132103" w:rsidP="00132103">
      <w:pPr>
        <w:spacing w:after="3"/>
        <w:ind w:left="48" w:hanging="10"/>
        <w:jc w:val="center"/>
      </w:pPr>
      <w:r>
        <w:rPr>
          <w:rFonts w:ascii="Times New Roman" w:eastAsia="Times New Roman" w:hAnsi="Times New Roman" w:cs="Times New Roman"/>
          <w:i/>
          <w:sz w:val="24"/>
        </w:rPr>
        <w:t xml:space="preserve">During busy times, my inbox becomes rather full, so if you contact me and do not receive a </w:t>
      </w:r>
    </w:p>
    <w:p w14:paraId="6FB4597C" w14:textId="77777777" w:rsidR="00132103" w:rsidRDefault="00132103" w:rsidP="00132103">
      <w:pPr>
        <w:spacing w:after="0" w:line="248" w:lineRule="auto"/>
        <w:ind w:left="715" w:hanging="10"/>
      </w:pPr>
      <w:r>
        <w:rPr>
          <w:rFonts w:ascii="Times New Roman" w:eastAsia="Times New Roman" w:hAnsi="Times New Roman" w:cs="Times New Roman"/>
          <w:i/>
          <w:sz w:val="24"/>
        </w:rPr>
        <w:t xml:space="preserve">response within two business days, please feel free to send a follow up email. A gentle nudge is always appreciated.  </w:t>
      </w:r>
    </w:p>
    <w:p w14:paraId="74D9D2DE" w14:textId="77777777" w:rsidR="00132103" w:rsidRDefault="00132103" w:rsidP="00132103">
      <w:pPr>
        <w:spacing w:after="0"/>
      </w:pPr>
      <w:r>
        <w:rPr>
          <w:i/>
          <w:color w:val="333333"/>
        </w:rPr>
        <w:t xml:space="preserve"> </w:t>
      </w:r>
    </w:p>
    <w:p w14:paraId="637B9358" w14:textId="77777777" w:rsidR="00132103" w:rsidRDefault="00132103" w:rsidP="00132103">
      <w:pPr>
        <w:spacing w:after="18" w:line="241" w:lineRule="auto"/>
        <w:ind w:left="720" w:right="54"/>
      </w:pPr>
      <w:r>
        <w:rPr>
          <w:i/>
          <w:sz w:val="24"/>
        </w:rPr>
        <w:t>UNT strives to offer you a high-quality education and a supportive environment, so you learn and grow. As a faculty member, I am committed to helping you be successful as a student. To learn more about campus resources and information on how you can be successful at UNT, go to</w:t>
      </w:r>
      <w:hyperlink r:id="rId14">
        <w:r>
          <w:rPr>
            <w:i/>
            <w:sz w:val="24"/>
          </w:rPr>
          <w:t xml:space="preserve"> </w:t>
        </w:r>
      </w:hyperlink>
      <w:hyperlink r:id="rId15">
        <w:r>
          <w:rPr>
            <w:i/>
            <w:color w:val="00853E"/>
            <w:sz w:val="24"/>
            <w:u w:val="single" w:color="00853E"/>
          </w:rPr>
          <w:t>unt.edu/succes</w:t>
        </w:r>
      </w:hyperlink>
      <w:hyperlink r:id="rId16">
        <w:r>
          <w:rPr>
            <w:i/>
            <w:color w:val="0463C1"/>
            <w:sz w:val="24"/>
            <w:u w:val="single" w:color="00853E"/>
          </w:rPr>
          <w:t>s</w:t>
        </w:r>
      </w:hyperlink>
      <w:hyperlink r:id="rId17">
        <w:r>
          <w:rPr>
            <w:i/>
          </w:rPr>
          <w:t xml:space="preserve"> </w:t>
        </w:r>
      </w:hyperlink>
      <w:r>
        <w:rPr>
          <w:i/>
          <w:color w:val="333333"/>
        </w:rPr>
        <w:t xml:space="preserve">and explore </w:t>
      </w:r>
      <w:hyperlink r:id="rId18">
        <w:r>
          <w:rPr>
            <w:i/>
            <w:color w:val="00853E"/>
            <w:u w:val="single" w:color="00853E"/>
          </w:rPr>
          <w:t>unt.edu/wellness</w:t>
        </w:r>
      </w:hyperlink>
      <w:hyperlink r:id="rId19">
        <w:r>
          <w:rPr>
            <w:i/>
            <w:sz w:val="24"/>
          </w:rPr>
          <w:t>.</w:t>
        </w:r>
      </w:hyperlink>
      <w:r>
        <w:rPr>
          <w:i/>
          <w:sz w:val="24"/>
        </w:rPr>
        <w:t xml:space="preserve"> To get all your enrollment and student </w:t>
      </w:r>
      <w:proofErr w:type="spellStart"/>
      <w:r>
        <w:rPr>
          <w:i/>
          <w:sz w:val="24"/>
        </w:rPr>
        <w:t>financialrelated</w:t>
      </w:r>
      <w:proofErr w:type="spellEnd"/>
      <w:r>
        <w:rPr>
          <w:i/>
          <w:sz w:val="24"/>
        </w:rPr>
        <w:t xml:space="preserve"> questions answered, go to</w:t>
      </w:r>
      <w:hyperlink r:id="rId20">
        <w:r>
          <w:rPr>
            <w:i/>
            <w:sz w:val="24"/>
          </w:rPr>
          <w:t xml:space="preserve"> </w:t>
        </w:r>
      </w:hyperlink>
      <w:hyperlink r:id="rId21">
        <w:r>
          <w:rPr>
            <w:i/>
            <w:color w:val="00853E"/>
            <w:sz w:val="24"/>
            <w:u w:val="single" w:color="00853E"/>
          </w:rPr>
          <w:t>scrappysays.unt.edu</w:t>
        </w:r>
      </w:hyperlink>
      <w:hyperlink r:id="rId22">
        <w:r>
          <w:rPr>
            <w:i/>
            <w:sz w:val="24"/>
          </w:rPr>
          <w:t>.</w:t>
        </w:r>
      </w:hyperlink>
      <w:r>
        <w:rPr>
          <w:i/>
        </w:rPr>
        <w:t xml:space="preserve"> </w:t>
      </w:r>
    </w:p>
    <w:p w14:paraId="16D08B2F" w14:textId="77777777" w:rsidR="00132103" w:rsidRDefault="00132103" w:rsidP="00132103">
      <w:pPr>
        <w:spacing w:after="157"/>
      </w:pPr>
      <w:r>
        <w:rPr>
          <w:color w:val="287C51"/>
          <w:sz w:val="26"/>
        </w:rPr>
        <w:t xml:space="preserve"> </w:t>
      </w:r>
    </w:p>
    <w:p w14:paraId="59785959" w14:textId="77777777" w:rsidR="00132103" w:rsidRDefault="00132103" w:rsidP="00132103">
      <w:pPr>
        <w:pStyle w:val="Heading1"/>
        <w:tabs>
          <w:tab w:val="center" w:pos="9360"/>
        </w:tabs>
        <w:ind w:left="-15" w:firstLine="0"/>
      </w:pPr>
      <w:r>
        <w:t xml:space="preserve">Supporting Your Success and Creating an Inclusive Learning Environment   </w:t>
      </w:r>
      <w:r>
        <w:tab/>
        <w:t xml:space="preserve"> </w:t>
      </w:r>
    </w:p>
    <w:p w14:paraId="79088BE9" w14:textId="77777777" w:rsidR="00132103" w:rsidRDefault="00132103" w:rsidP="00132103">
      <w:pPr>
        <w:spacing w:after="0"/>
        <w:ind w:left="720"/>
      </w:pPr>
      <w:r>
        <w:rPr>
          <w:rFonts w:ascii="Times New Roman" w:eastAsia="Times New Roman" w:hAnsi="Times New Roman" w:cs="Times New Roman"/>
          <w:i/>
          <w:sz w:val="24"/>
        </w:rPr>
        <w:t xml:space="preserve"> </w:t>
      </w:r>
    </w:p>
    <w:p w14:paraId="57EC6F04" w14:textId="77777777" w:rsidR="00132103" w:rsidRDefault="00132103" w:rsidP="00132103">
      <w:pPr>
        <w:spacing w:after="0" w:line="248" w:lineRule="auto"/>
        <w:ind w:left="715" w:hanging="10"/>
      </w:pPr>
      <w:r>
        <w:rPr>
          <w:rFonts w:ascii="Times New Roman" w:eastAsia="Times New Roman" w:hAnsi="Times New Roman" w:cs="Times New Roman"/>
          <w:i/>
          <w:sz w:val="24"/>
        </w:rPr>
        <w:t xml:space="preserve">I value the many perspectives students bring to our campus. Please work with me to create a classroom culture of open communication, mutual respect, and belonging. All discussions should be respectful and civil. We will discuss what cultivating a queer, feminist, and anti-racist classroom through respectful conversation looks like during our beginning sessions together. Although disagreements and debates are encouraged, personal attacks are unacceptable. While we will be discussing difficult subject matter at times, including systemic/institutional violence, this classroom is a space where the reinforcement of those ideologies that uphold such systems will not be tolerated. </w:t>
      </w:r>
      <w:r>
        <w:rPr>
          <w:rFonts w:ascii="Times New Roman" w:eastAsia="Times New Roman" w:hAnsi="Times New Roman" w:cs="Times New Roman"/>
          <w:sz w:val="24"/>
        </w:rPr>
        <w:t xml:space="preserve"> </w:t>
      </w:r>
    </w:p>
    <w:p w14:paraId="246BD295" w14:textId="77777777" w:rsidR="00132103" w:rsidRDefault="00132103" w:rsidP="00132103">
      <w:pPr>
        <w:spacing w:after="165"/>
      </w:pPr>
      <w:r>
        <w:rPr>
          <w:rFonts w:ascii="Times New Roman" w:eastAsia="Times New Roman" w:hAnsi="Times New Roman" w:cs="Times New Roman"/>
          <w:sz w:val="24"/>
        </w:rPr>
        <w:t xml:space="preserve"> </w:t>
      </w:r>
    </w:p>
    <w:p w14:paraId="577A67B5" w14:textId="77777777" w:rsidR="00132103" w:rsidRDefault="00132103" w:rsidP="00132103">
      <w:pPr>
        <w:pStyle w:val="Heading1"/>
        <w:ind w:left="-5"/>
      </w:pPr>
      <w:r>
        <w:t xml:space="preserve">Required Materials  </w:t>
      </w:r>
    </w:p>
    <w:p w14:paraId="0DE972D5" w14:textId="77777777" w:rsidR="00132103" w:rsidRDefault="00132103" w:rsidP="00132103">
      <w:pPr>
        <w:spacing w:after="5" w:line="249" w:lineRule="auto"/>
        <w:ind w:left="715" w:hanging="10"/>
      </w:pPr>
      <w:r>
        <w:rPr>
          <w:i/>
        </w:rPr>
        <w:t xml:space="preserve">Matrix </w:t>
      </w:r>
      <w:r>
        <w:t xml:space="preserve">by Lauren Groff </w:t>
      </w:r>
    </w:p>
    <w:p w14:paraId="4FE71451" w14:textId="77777777" w:rsidR="00132103" w:rsidRDefault="00132103" w:rsidP="00132103">
      <w:pPr>
        <w:spacing w:after="0"/>
        <w:ind w:left="720"/>
      </w:pPr>
      <w:r>
        <w:t xml:space="preserve"> </w:t>
      </w:r>
    </w:p>
    <w:p w14:paraId="6F035771" w14:textId="77777777" w:rsidR="00132103" w:rsidRDefault="00132103" w:rsidP="00132103">
      <w:pPr>
        <w:spacing w:after="5" w:line="249" w:lineRule="auto"/>
        <w:ind w:left="715" w:hanging="10"/>
      </w:pPr>
      <w:r>
        <w:t xml:space="preserve">All other course materials are available either on Canvas or as digital E-books available through the UNT Library system. </w:t>
      </w:r>
    </w:p>
    <w:p w14:paraId="6E3E7918" w14:textId="77777777" w:rsidR="00132103" w:rsidRDefault="00132103" w:rsidP="00132103">
      <w:pPr>
        <w:spacing w:after="0"/>
        <w:ind w:left="1008"/>
      </w:pPr>
      <w:r>
        <w:rPr>
          <w:rFonts w:ascii="Times New Roman" w:eastAsia="Times New Roman" w:hAnsi="Times New Roman" w:cs="Times New Roman"/>
          <w:sz w:val="24"/>
        </w:rPr>
        <w:t xml:space="preserve"> </w:t>
      </w:r>
    </w:p>
    <w:p w14:paraId="6DB86EE6" w14:textId="77777777" w:rsidR="00132103" w:rsidRDefault="00132103" w:rsidP="00132103">
      <w:pPr>
        <w:spacing w:after="14" w:line="248" w:lineRule="auto"/>
        <w:ind w:left="1018" w:right="51" w:hanging="10"/>
      </w:pPr>
      <w:r>
        <w:rPr>
          <w:rFonts w:ascii="Times New Roman" w:eastAsia="Times New Roman" w:hAnsi="Times New Roman" w:cs="Times New Roman"/>
          <w:sz w:val="24"/>
        </w:rPr>
        <w:t xml:space="preserve">This course has digital components. To fully participate in this class, students will need internet access to reference content on the Canvas Learning Management System and [faculty member to include other required equipment or software such as a webcam, microphone, Adobe Photoshop, etc.]. If circumstances change, you will be informed of other technical needs to access course content.  Information on how to be successful in a digital learning environment can be found at </w:t>
      </w:r>
      <w:hyperlink r:id="rId23">
        <w:r>
          <w:rPr>
            <w:rFonts w:ascii="Times New Roman" w:eastAsia="Times New Roman" w:hAnsi="Times New Roman" w:cs="Times New Roman"/>
            <w:color w:val="00853E"/>
            <w:sz w:val="24"/>
            <w:u w:val="single" w:color="00853E"/>
          </w:rPr>
          <w:t>Learn Anywhere</w:t>
        </w:r>
      </w:hyperlink>
      <w:hyperlink r:id="rId24">
        <w:r>
          <w:rPr>
            <w:rFonts w:ascii="Times New Roman" w:eastAsia="Times New Roman" w:hAnsi="Times New Roman" w:cs="Times New Roman"/>
            <w:color w:val="00853E"/>
            <w:sz w:val="24"/>
          </w:rPr>
          <w:t xml:space="preserve"> </w:t>
        </w:r>
      </w:hyperlink>
      <w:hyperlink r:id="rId25">
        <w:r>
          <w:rPr>
            <w:rFonts w:ascii="Times New Roman" w:eastAsia="Times New Roman" w:hAnsi="Times New Roman" w:cs="Times New Roman"/>
            <w:sz w:val="24"/>
          </w:rPr>
          <w:t>(</w:t>
        </w:r>
      </w:hyperlink>
      <w:hyperlink r:id="rId26">
        <w:r>
          <w:rPr>
            <w:rFonts w:ascii="Times New Roman" w:eastAsia="Times New Roman" w:hAnsi="Times New Roman" w:cs="Times New Roman"/>
            <w:color w:val="00853E"/>
            <w:sz w:val="24"/>
            <w:u w:val="single" w:color="00853E"/>
          </w:rPr>
          <w:t>https://online.unt.edu/learn</w:t>
        </w:r>
      </w:hyperlink>
      <w:hyperlink r:id="rId27">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w:t>
      </w:r>
    </w:p>
    <w:p w14:paraId="57835E05" w14:textId="77777777" w:rsidR="00132103" w:rsidRDefault="00132103" w:rsidP="00132103">
      <w:pPr>
        <w:spacing w:after="165"/>
      </w:pPr>
      <w:r>
        <w:rPr>
          <w:rFonts w:ascii="Times New Roman" w:eastAsia="Times New Roman" w:hAnsi="Times New Roman" w:cs="Times New Roman"/>
          <w:sz w:val="24"/>
        </w:rPr>
        <w:t xml:space="preserve"> </w:t>
      </w:r>
    </w:p>
    <w:p w14:paraId="65BAD861" w14:textId="77777777" w:rsidR="00132103" w:rsidRDefault="00132103" w:rsidP="00132103">
      <w:pPr>
        <w:pStyle w:val="Heading1"/>
        <w:ind w:left="-5"/>
      </w:pPr>
      <w:r>
        <w:t xml:space="preserve">Course Assignments – SUBJECT TO CHANGE </w:t>
      </w:r>
    </w:p>
    <w:p w14:paraId="4C0BF706" w14:textId="77777777" w:rsidR="00132103" w:rsidRDefault="00132103" w:rsidP="00132103">
      <w:pPr>
        <w:spacing w:after="0"/>
        <w:jc w:val="right"/>
      </w:pPr>
      <w:r>
        <w:rPr>
          <w:rFonts w:ascii="Times New Roman" w:eastAsia="Times New Roman" w:hAnsi="Times New Roman" w:cs="Times New Roman"/>
          <w:sz w:val="24"/>
        </w:rPr>
        <w:t xml:space="preserve"> </w:t>
      </w:r>
    </w:p>
    <w:p w14:paraId="02108FB4" w14:textId="77777777" w:rsidR="00132103" w:rsidRDefault="00132103" w:rsidP="00132103">
      <w:pPr>
        <w:spacing w:after="0"/>
        <w:ind w:left="-1080" w:right="60"/>
      </w:pPr>
    </w:p>
    <w:tbl>
      <w:tblPr>
        <w:tblStyle w:val="TableGrid"/>
        <w:tblW w:w="10075" w:type="dxa"/>
        <w:tblInd w:w="5" w:type="dxa"/>
        <w:tblCellMar>
          <w:top w:w="6" w:type="dxa"/>
          <w:left w:w="106" w:type="dxa"/>
          <w:bottom w:w="0" w:type="dxa"/>
          <w:right w:w="59" w:type="dxa"/>
        </w:tblCellMar>
        <w:tblLook w:val="04A0" w:firstRow="1" w:lastRow="0" w:firstColumn="1" w:lastColumn="0" w:noHBand="0" w:noVBand="1"/>
      </w:tblPr>
      <w:tblGrid>
        <w:gridCol w:w="1041"/>
        <w:gridCol w:w="2554"/>
        <w:gridCol w:w="3331"/>
        <w:gridCol w:w="1618"/>
        <w:gridCol w:w="1531"/>
      </w:tblGrid>
      <w:tr w:rsidR="00132103" w14:paraId="4FDF74B0" w14:textId="77777777" w:rsidTr="006D422F">
        <w:trPr>
          <w:trHeight w:val="547"/>
        </w:trPr>
        <w:tc>
          <w:tcPr>
            <w:tcW w:w="1042" w:type="dxa"/>
            <w:tcBorders>
              <w:top w:val="single" w:sz="4" w:space="0" w:color="000000"/>
              <w:left w:val="single" w:sz="4" w:space="0" w:color="000000"/>
              <w:bottom w:val="single" w:sz="4" w:space="0" w:color="000000"/>
              <w:right w:val="single" w:sz="4" w:space="0" w:color="000000"/>
            </w:tcBorders>
          </w:tcPr>
          <w:p w14:paraId="50659CCB" w14:textId="77777777" w:rsidR="00132103" w:rsidRDefault="00132103" w:rsidP="006D422F">
            <w:pPr>
              <w:spacing w:after="0"/>
              <w:ind w:right="43"/>
              <w:jc w:val="center"/>
            </w:pPr>
            <w:r>
              <w:rPr>
                <w:b/>
                <w:i/>
              </w:rPr>
              <w:t xml:space="preserve">Date </w:t>
            </w:r>
          </w:p>
        </w:tc>
        <w:tc>
          <w:tcPr>
            <w:tcW w:w="2554" w:type="dxa"/>
            <w:tcBorders>
              <w:top w:val="single" w:sz="4" w:space="0" w:color="000000"/>
              <w:left w:val="single" w:sz="4" w:space="0" w:color="000000"/>
              <w:bottom w:val="single" w:sz="4" w:space="0" w:color="000000"/>
              <w:right w:val="single" w:sz="4" w:space="0" w:color="000000"/>
            </w:tcBorders>
          </w:tcPr>
          <w:p w14:paraId="653CFE9F" w14:textId="77777777" w:rsidR="00132103" w:rsidRDefault="00132103" w:rsidP="006D422F">
            <w:pPr>
              <w:spacing w:after="0"/>
              <w:ind w:right="50"/>
              <w:jc w:val="center"/>
            </w:pPr>
            <w:r>
              <w:rPr>
                <w:b/>
                <w:i/>
              </w:rPr>
              <w:t xml:space="preserve">Topic </w:t>
            </w:r>
          </w:p>
        </w:tc>
        <w:tc>
          <w:tcPr>
            <w:tcW w:w="3331" w:type="dxa"/>
            <w:tcBorders>
              <w:top w:val="single" w:sz="4" w:space="0" w:color="000000"/>
              <w:left w:val="single" w:sz="4" w:space="0" w:color="000000"/>
              <w:bottom w:val="single" w:sz="4" w:space="0" w:color="000000"/>
              <w:right w:val="single" w:sz="4" w:space="0" w:color="000000"/>
            </w:tcBorders>
          </w:tcPr>
          <w:p w14:paraId="700119A9" w14:textId="77777777" w:rsidR="00132103" w:rsidRDefault="00132103" w:rsidP="006D422F">
            <w:pPr>
              <w:spacing w:after="0"/>
              <w:ind w:right="52"/>
              <w:jc w:val="center"/>
            </w:pPr>
            <w:r>
              <w:rPr>
                <w:b/>
                <w:i/>
              </w:rPr>
              <w:t xml:space="preserve">Assignment  </w:t>
            </w:r>
          </w:p>
        </w:tc>
        <w:tc>
          <w:tcPr>
            <w:tcW w:w="1618" w:type="dxa"/>
            <w:tcBorders>
              <w:top w:val="single" w:sz="4" w:space="0" w:color="000000"/>
              <w:left w:val="single" w:sz="4" w:space="0" w:color="000000"/>
              <w:bottom w:val="single" w:sz="4" w:space="0" w:color="000000"/>
              <w:right w:val="single" w:sz="4" w:space="0" w:color="000000"/>
            </w:tcBorders>
          </w:tcPr>
          <w:p w14:paraId="75426AEB" w14:textId="77777777" w:rsidR="00132103" w:rsidRDefault="00132103" w:rsidP="006D422F">
            <w:pPr>
              <w:spacing w:after="0"/>
              <w:ind w:left="25"/>
            </w:pPr>
            <w:r>
              <w:rPr>
                <w:b/>
                <w:i/>
              </w:rPr>
              <w:t xml:space="preserve">Points Possible </w:t>
            </w:r>
          </w:p>
        </w:tc>
        <w:tc>
          <w:tcPr>
            <w:tcW w:w="1531" w:type="dxa"/>
            <w:tcBorders>
              <w:top w:val="single" w:sz="4" w:space="0" w:color="000000"/>
              <w:left w:val="single" w:sz="4" w:space="0" w:color="000000"/>
              <w:bottom w:val="single" w:sz="4" w:space="0" w:color="000000"/>
              <w:right w:val="single" w:sz="4" w:space="0" w:color="000000"/>
            </w:tcBorders>
          </w:tcPr>
          <w:p w14:paraId="100CA33F" w14:textId="77777777" w:rsidR="00132103" w:rsidRDefault="00132103" w:rsidP="006D422F">
            <w:pPr>
              <w:spacing w:after="0"/>
              <w:jc w:val="center"/>
            </w:pPr>
            <w:r>
              <w:rPr>
                <w:b/>
                <w:i/>
              </w:rPr>
              <w:t xml:space="preserve">% of Final Grade </w:t>
            </w:r>
          </w:p>
        </w:tc>
      </w:tr>
      <w:tr w:rsidR="00132103" w14:paraId="0795388A" w14:textId="77777777" w:rsidTr="006D422F">
        <w:trPr>
          <w:trHeight w:val="9408"/>
        </w:trPr>
        <w:tc>
          <w:tcPr>
            <w:tcW w:w="1042" w:type="dxa"/>
            <w:tcBorders>
              <w:top w:val="single" w:sz="4" w:space="0" w:color="000000"/>
              <w:left w:val="single" w:sz="4" w:space="0" w:color="000000"/>
              <w:bottom w:val="single" w:sz="4" w:space="0" w:color="000000"/>
              <w:right w:val="single" w:sz="4" w:space="0" w:color="000000"/>
            </w:tcBorders>
          </w:tcPr>
          <w:p w14:paraId="4A8C64BF" w14:textId="77777777" w:rsidR="00132103" w:rsidRDefault="00132103" w:rsidP="006D422F">
            <w:pPr>
              <w:spacing w:after="0"/>
              <w:ind w:left="5"/>
            </w:pPr>
            <w:r>
              <w:rPr>
                <w:i/>
              </w:rPr>
              <w:lastRenderedPageBreak/>
              <w:t xml:space="preserve">Ongoing </w:t>
            </w:r>
          </w:p>
        </w:tc>
        <w:tc>
          <w:tcPr>
            <w:tcW w:w="2554" w:type="dxa"/>
            <w:tcBorders>
              <w:top w:val="single" w:sz="4" w:space="0" w:color="000000"/>
              <w:left w:val="single" w:sz="4" w:space="0" w:color="000000"/>
              <w:bottom w:val="single" w:sz="4" w:space="0" w:color="000000"/>
              <w:right w:val="single" w:sz="4" w:space="0" w:color="000000"/>
            </w:tcBorders>
          </w:tcPr>
          <w:p w14:paraId="0701C0F1" w14:textId="77777777" w:rsidR="00132103" w:rsidRDefault="00132103" w:rsidP="006D422F">
            <w:pPr>
              <w:spacing w:after="0"/>
            </w:pPr>
            <w:r>
              <w:rPr>
                <w:i/>
              </w:rPr>
              <w:t xml:space="preserve">Weekly Class Discussion Leading </w:t>
            </w:r>
          </w:p>
        </w:tc>
        <w:tc>
          <w:tcPr>
            <w:tcW w:w="3331" w:type="dxa"/>
            <w:tcBorders>
              <w:top w:val="single" w:sz="4" w:space="0" w:color="000000"/>
              <w:left w:val="single" w:sz="4" w:space="0" w:color="000000"/>
              <w:bottom w:val="single" w:sz="4" w:space="0" w:color="000000"/>
              <w:right w:val="single" w:sz="4" w:space="0" w:color="000000"/>
            </w:tcBorders>
          </w:tcPr>
          <w:p w14:paraId="695390F3" w14:textId="77777777" w:rsidR="00132103" w:rsidRDefault="00132103" w:rsidP="006D422F">
            <w:pPr>
              <w:spacing w:after="0"/>
            </w:pPr>
            <w:r>
              <w:t xml:space="preserve">Because this is a seminar (rather than a </w:t>
            </w:r>
            <w:proofErr w:type="gramStart"/>
            <w:r>
              <w:t>lecture based</w:t>
            </w:r>
            <w:proofErr w:type="gramEnd"/>
            <w:r>
              <w:t xml:space="preserve"> course), it is vital that students be prepared to engage in discussion robustly for the class to succeed. To facilitate this, each week, 2-4 students will be responsible for beginning class by providing discussion questions that they wrote while reading that week’s course material for the class to consider. These questions should be open ended and can move beyond the specific course material of that week to encompass the broader themes of the course; do not worry about asking “the right” questions – there are no wrong questions! Your question can be related to asking clarification about an argument in a reading that you want clarification on, how you see your </w:t>
            </w:r>
            <w:proofErr w:type="gramStart"/>
            <w:r>
              <w:t>classmates</w:t>
            </w:r>
            <w:proofErr w:type="gramEnd"/>
            <w:r>
              <w:t xml:space="preserve"> drawing connections between the themes of the course, etc. This is not a formal presentation assignment, rather it is meant as an informal way to stimulate class discussion. Be prepared that each class meeting will begin with asking these questions. I will provide a Google Doc during the first week of class in which students will be able to sign up for the week that they wish to lead discussion. </w:t>
            </w:r>
          </w:p>
        </w:tc>
        <w:tc>
          <w:tcPr>
            <w:tcW w:w="1618" w:type="dxa"/>
            <w:tcBorders>
              <w:top w:val="single" w:sz="4" w:space="0" w:color="000000"/>
              <w:left w:val="single" w:sz="4" w:space="0" w:color="000000"/>
              <w:bottom w:val="single" w:sz="4" w:space="0" w:color="000000"/>
              <w:right w:val="single" w:sz="4" w:space="0" w:color="000000"/>
            </w:tcBorders>
          </w:tcPr>
          <w:p w14:paraId="45ECAB58" w14:textId="77777777" w:rsidR="00132103" w:rsidRDefault="00132103" w:rsidP="006D422F">
            <w:pPr>
              <w:spacing w:after="0"/>
              <w:ind w:left="360"/>
            </w:pPr>
            <w:r>
              <w:t xml:space="preserve">100 </w:t>
            </w:r>
          </w:p>
        </w:tc>
        <w:tc>
          <w:tcPr>
            <w:tcW w:w="1531" w:type="dxa"/>
            <w:tcBorders>
              <w:top w:val="single" w:sz="4" w:space="0" w:color="000000"/>
              <w:left w:val="single" w:sz="4" w:space="0" w:color="000000"/>
              <w:bottom w:val="single" w:sz="4" w:space="0" w:color="000000"/>
              <w:right w:val="single" w:sz="4" w:space="0" w:color="000000"/>
            </w:tcBorders>
          </w:tcPr>
          <w:p w14:paraId="23762C7B" w14:textId="77777777" w:rsidR="00132103" w:rsidRDefault="00132103" w:rsidP="006D422F">
            <w:pPr>
              <w:spacing w:after="0"/>
              <w:ind w:left="365"/>
            </w:pPr>
            <w:r>
              <w:t xml:space="preserve">30% </w:t>
            </w:r>
          </w:p>
        </w:tc>
      </w:tr>
      <w:tr w:rsidR="00132103" w14:paraId="6A249353" w14:textId="77777777" w:rsidTr="006D422F">
        <w:trPr>
          <w:trHeight w:val="1891"/>
        </w:trPr>
        <w:tc>
          <w:tcPr>
            <w:tcW w:w="1042" w:type="dxa"/>
            <w:tcBorders>
              <w:top w:val="single" w:sz="4" w:space="0" w:color="000000"/>
              <w:left w:val="single" w:sz="4" w:space="0" w:color="000000"/>
              <w:bottom w:val="single" w:sz="4" w:space="0" w:color="000000"/>
              <w:right w:val="single" w:sz="4" w:space="0" w:color="000000"/>
            </w:tcBorders>
          </w:tcPr>
          <w:p w14:paraId="02A6AF0C" w14:textId="77777777" w:rsidR="00132103" w:rsidRDefault="00132103" w:rsidP="006D422F">
            <w:pPr>
              <w:spacing w:after="0"/>
              <w:ind w:left="5"/>
            </w:pPr>
            <w:r>
              <w:t xml:space="preserve">2/24 by </w:t>
            </w:r>
          </w:p>
          <w:p w14:paraId="4F961994" w14:textId="77777777" w:rsidR="00132103" w:rsidRDefault="00132103" w:rsidP="006D422F">
            <w:pPr>
              <w:spacing w:after="0"/>
              <w:ind w:left="5"/>
            </w:pPr>
            <w:r>
              <w:t xml:space="preserve">11:59 </w:t>
            </w:r>
          </w:p>
          <w:p w14:paraId="4C6021C7" w14:textId="77777777" w:rsidR="00132103" w:rsidRDefault="00132103" w:rsidP="006D422F">
            <w:pPr>
              <w:spacing w:after="0"/>
              <w:ind w:left="5"/>
            </w:pPr>
            <w:r>
              <w:t xml:space="preserve">PM </w:t>
            </w:r>
          </w:p>
        </w:tc>
        <w:tc>
          <w:tcPr>
            <w:tcW w:w="2554" w:type="dxa"/>
            <w:tcBorders>
              <w:top w:val="single" w:sz="4" w:space="0" w:color="000000"/>
              <w:left w:val="single" w:sz="4" w:space="0" w:color="000000"/>
              <w:bottom w:val="single" w:sz="4" w:space="0" w:color="000000"/>
              <w:right w:val="single" w:sz="4" w:space="0" w:color="000000"/>
            </w:tcBorders>
          </w:tcPr>
          <w:p w14:paraId="1EFCA610" w14:textId="77777777" w:rsidR="00132103" w:rsidRDefault="00132103" w:rsidP="006D422F">
            <w:pPr>
              <w:spacing w:after="0"/>
            </w:pPr>
            <w:r>
              <w:rPr>
                <w:i/>
              </w:rPr>
              <w:t xml:space="preserve">Mid Semester Paper </w:t>
            </w:r>
          </w:p>
        </w:tc>
        <w:tc>
          <w:tcPr>
            <w:tcW w:w="3331" w:type="dxa"/>
            <w:tcBorders>
              <w:top w:val="single" w:sz="4" w:space="0" w:color="000000"/>
              <w:left w:val="single" w:sz="4" w:space="0" w:color="000000"/>
              <w:bottom w:val="single" w:sz="4" w:space="0" w:color="000000"/>
              <w:right w:val="single" w:sz="4" w:space="0" w:color="000000"/>
            </w:tcBorders>
          </w:tcPr>
          <w:p w14:paraId="5D7B7453" w14:textId="77777777" w:rsidR="00132103" w:rsidRDefault="00132103" w:rsidP="006D422F">
            <w:pPr>
              <w:spacing w:after="0"/>
            </w:pPr>
            <w:r>
              <w:t xml:space="preserve">A reflection/synthesis paper that will serve to demonstrate the knowledge that you have synthesized up until the </w:t>
            </w:r>
            <w:proofErr w:type="spellStart"/>
            <w:r>
              <w:t>mid point</w:t>
            </w:r>
            <w:proofErr w:type="spellEnd"/>
            <w:r>
              <w:t xml:space="preserve"> of the course (in lieu of a midterm exam). Prompt/more information forthcoming. </w:t>
            </w:r>
          </w:p>
        </w:tc>
        <w:tc>
          <w:tcPr>
            <w:tcW w:w="1618" w:type="dxa"/>
            <w:tcBorders>
              <w:top w:val="single" w:sz="4" w:space="0" w:color="000000"/>
              <w:left w:val="single" w:sz="4" w:space="0" w:color="000000"/>
              <w:bottom w:val="single" w:sz="4" w:space="0" w:color="000000"/>
              <w:right w:val="single" w:sz="4" w:space="0" w:color="000000"/>
            </w:tcBorders>
          </w:tcPr>
          <w:p w14:paraId="642A7D0D" w14:textId="77777777" w:rsidR="00132103" w:rsidRDefault="00132103" w:rsidP="006D422F">
            <w:pPr>
              <w:spacing w:after="0"/>
              <w:ind w:left="360"/>
            </w:pPr>
            <w:r>
              <w:t xml:space="preserve">100 </w:t>
            </w:r>
          </w:p>
        </w:tc>
        <w:tc>
          <w:tcPr>
            <w:tcW w:w="1531" w:type="dxa"/>
            <w:tcBorders>
              <w:top w:val="single" w:sz="4" w:space="0" w:color="000000"/>
              <w:left w:val="single" w:sz="4" w:space="0" w:color="000000"/>
              <w:bottom w:val="single" w:sz="4" w:space="0" w:color="000000"/>
              <w:right w:val="single" w:sz="4" w:space="0" w:color="000000"/>
            </w:tcBorders>
          </w:tcPr>
          <w:p w14:paraId="4D0C40F3" w14:textId="77777777" w:rsidR="00132103" w:rsidRDefault="00132103" w:rsidP="006D422F">
            <w:pPr>
              <w:spacing w:after="0"/>
              <w:ind w:left="5"/>
            </w:pPr>
            <w:r>
              <w:rPr>
                <w:i/>
              </w:rPr>
              <w:t xml:space="preserve">          </w:t>
            </w:r>
            <w:r>
              <w:t xml:space="preserve">15% </w:t>
            </w:r>
          </w:p>
        </w:tc>
      </w:tr>
      <w:tr w:rsidR="00132103" w14:paraId="60936440" w14:textId="77777777" w:rsidTr="006D422F">
        <w:trPr>
          <w:trHeight w:val="5381"/>
        </w:trPr>
        <w:tc>
          <w:tcPr>
            <w:tcW w:w="1042" w:type="dxa"/>
            <w:tcBorders>
              <w:top w:val="single" w:sz="4" w:space="0" w:color="000000"/>
              <w:left w:val="single" w:sz="4" w:space="0" w:color="000000"/>
              <w:bottom w:val="single" w:sz="4" w:space="0" w:color="000000"/>
              <w:right w:val="single" w:sz="4" w:space="0" w:color="000000"/>
            </w:tcBorders>
          </w:tcPr>
          <w:p w14:paraId="1834CA52" w14:textId="77777777" w:rsidR="00132103" w:rsidRDefault="00132103" w:rsidP="006D422F">
            <w:pPr>
              <w:spacing w:after="0"/>
              <w:ind w:left="5"/>
            </w:pPr>
            <w:proofErr w:type="spellStart"/>
            <w:r>
              <w:rPr>
                <w:i/>
              </w:rPr>
              <w:lastRenderedPageBreak/>
              <w:t>Presente</w:t>
            </w:r>
            <w:proofErr w:type="spellEnd"/>
          </w:p>
          <w:p w14:paraId="3C42663C" w14:textId="77777777" w:rsidR="00132103" w:rsidRDefault="00132103" w:rsidP="006D422F">
            <w:pPr>
              <w:spacing w:after="0"/>
              <w:ind w:left="5"/>
            </w:pPr>
            <w:r>
              <w:rPr>
                <w:i/>
              </w:rPr>
              <w:t xml:space="preserve">d in class on 4/21 </w:t>
            </w:r>
          </w:p>
        </w:tc>
        <w:tc>
          <w:tcPr>
            <w:tcW w:w="2554" w:type="dxa"/>
            <w:tcBorders>
              <w:top w:val="single" w:sz="4" w:space="0" w:color="000000"/>
              <w:left w:val="single" w:sz="4" w:space="0" w:color="000000"/>
              <w:bottom w:val="single" w:sz="4" w:space="0" w:color="000000"/>
              <w:right w:val="single" w:sz="4" w:space="0" w:color="000000"/>
            </w:tcBorders>
          </w:tcPr>
          <w:p w14:paraId="5A58D959" w14:textId="77777777" w:rsidR="00132103" w:rsidRDefault="00132103" w:rsidP="006D422F">
            <w:pPr>
              <w:tabs>
                <w:tab w:val="right" w:pos="2389"/>
              </w:tabs>
              <w:spacing w:after="0"/>
            </w:pPr>
            <w:r>
              <w:rPr>
                <w:i/>
              </w:rPr>
              <w:t xml:space="preserve">Final </w:t>
            </w:r>
            <w:r>
              <w:rPr>
                <w:i/>
              </w:rPr>
              <w:tab/>
              <w:t xml:space="preserve">Project </w:t>
            </w:r>
          </w:p>
          <w:p w14:paraId="1D970519" w14:textId="77777777" w:rsidR="00132103" w:rsidRDefault="00132103" w:rsidP="006D422F">
            <w:pPr>
              <w:spacing w:after="0"/>
            </w:pPr>
            <w:r>
              <w:rPr>
                <w:i/>
              </w:rPr>
              <w:t xml:space="preserve">Presentations </w:t>
            </w:r>
          </w:p>
        </w:tc>
        <w:tc>
          <w:tcPr>
            <w:tcW w:w="3331" w:type="dxa"/>
            <w:tcBorders>
              <w:top w:val="single" w:sz="4" w:space="0" w:color="000000"/>
              <w:left w:val="single" w:sz="4" w:space="0" w:color="000000"/>
              <w:bottom w:val="single" w:sz="4" w:space="0" w:color="000000"/>
              <w:right w:val="single" w:sz="4" w:space="0" w:color="000000"/>
            </w:tcBorders>
          </w:tcPr>
          <w:p w14:paraId="45AB5AC9" w14:textId="77777777" w:rsidR="00132103" w:rsidRDefault="00132103" w:rsidP="006D422F">
            <w:pPr>
              <w:spacing w:after="0"/>
              <w:ind w:right="50"/>
            </w:pPr>
            <w:r>
              <w:t xml:space="preserve">During our second to last session together, students will use that class period to present on their final projects. If they are writing a paper for their final projects, they will share the core ideas and works they are citing, etc., if they are submitting a creative project, they will show the class what they have completed or plan to complete for that (can be an outline or sketch), if they are doing an annotated bibliography, they will share how they are organizing it, etc. This is essentially a chance for students to share their creativity, hard work, and ideas with each other to demonstrate how they are approaching the course themes. </w:t>
            </w:r>
          </w:p>
        </w:tc>
        <w:tc>
          <w:tcPr>
            <w:tcW w:w="1618" w:type="dxa"/>
            <w:tcBorders>
              <w:top w:val="single" w:sz="4" w:space="0" w:color="000000"/>
              <w:left w:val="single" w:sz="4" w:space="0" w:color="000000"/>
              <w:bottom w:val="single" w:sz="4" w:space="0" w:color="000000"/>
              <w:right w:val="single" w:sz="4" w:space="0" w:color="000000"/>
            </w:tcBorders>
          </w:tcPr>
          <w:p w14:paraId="59C6AE87" w14:textId="77777777" w:rsidR="00132103" w:rsidRDefault="00132103" w:rsidP="006D422F">
            <w:pPr>
              <w:spacing w:after="0"/>
              <w:ind w:left="360"/>
            </w:pPr>
            <w:r>
              <w:t xml:space="preserve">100 </w:t>
            </w:r>
          </w:p>
        </w:tc>
        <w:tc>
          <w:tcPr>
            <w:tcW w:w="1531" w:type="dxa"/>
            <w:tcBorders>
              <w:top w:val="single" w:sz="4" w:space="0" w:color="000000"/>
              <w:left w:val="single" w:sz="4" w:space="0" w:color="000000"/>
              <w:bottom w:val="single" w:sz="4" w:space="0" w:color="000000"/>
              <w:right w:val="single" w:sz="4" w:space="0" w:color="000000"/>
            </w:tcBorders>
          </w:tcPr>
          <w:p w14:paraId="36226542" w14:textId="77777777" w:rsidR="00132103" w:rsidRDefault="00132103" w:rsidP="006D422F">
            <w:pPr>
              <w:spacing w:after="0"/>
              <w:ind w:left="365"/>
            </w:pPr>
            <w:r>
              <w:t xml:space="preserve">10% </w:t>
            </w:r>
          </w:p>
        </w:tc>
      </w:tr>
      <w:tr w:rsidR="00132103" w14:paraId="0BDF39E6" w14:textId="77777777" w:rsidTr="006D422F">
        <w:trPr>
          <w:trHeight w:val="2429"/>
        </w:trPr>
        <w:tc>
          <w:tcPr>
            <w:tcW w:w="1042" w:type="dxa"/>
            <w:tcBorders>
              <w:top w:val="single" w:sz="4" w:space="0" w:color="000000"/>
              <w:left w:val="single" w:sz="4" w:space="0" w:color="000000"/>
              <w:bottom w:val="single" w:sz="4" w:space="0" w:color="000000"/>
              <w:right w:val="single" w:sz="4" w:space="0" w:color="000000"/>
            </w:tcBorders>
          </w:tcPr>
          <w:p w14:paraId="1179CBD6" w14:textId="77777777" w:rsidR="00132103" w:rsidRDefault="00132103" w:rsidP="006D422F">
            <w:pPr>
              <w:spacing w:after="0"/>
              <w:ind w:left="5"/>
            </w:pPr>
            <w:r>
              <w:t xml:space="preserve">5/5 by </w:t>
            </w:r>
          </w:p>
          <w:p w14:paraId="088D8964" w14:textId="77777777" w:rsidR="00132103" w:rsidRDefault="00132103" w:rsidP="006D422F">
            <w:pPr>
              <w:spacing w:after="0"/>
              <w:ind w:left="5"/>
            </w:pPr>
            <w:r>
              <w:t xml:space="preserve">11:59 </w:t>
            </w:r>
          </w:p>
          <w:p w14:paraId="38DC8118" w14:textId="77777777" w:rsidR="00132103" w:rsidRDefault="00132103" w:rsidP="006D422F">
            <w:pPr>
              <w:spacing w:after="0"/>
              <w:ind w:left="5"/>
            </w:pPr>
            <w:r>
              <w:t xml:space="preserve">PM </w:t>
            </w:r>
          </w:p>
        </w:tc>
        <w:tc>
          <w:tcPr>
            <w:tcW w:w="2554" w:type="dxa"/>
            <w:tcBorders>
              <w:top w:val="single" w:sz="4" w:space="0" w:color="000000"/>
              <w:left w:val="single" w:sz="4" w:space="0" w:color="000000"/>
              <w:bottom w:val="single" w:sz="4" w:space="0" w:color="000000"/>
              <w:right w:val="single" w:sz="4" w:space="0" w:color="000000"/>
            </w:tcBorders>
          </w:tcPr>
          <w:p w14:paraId="7E513F4B" w14:textId="77777777" w:rsidR="00132103" w:rsidRDefault="00132103" w:rsidP="006D422F">
            <w:pPr>
              <w:spacing w:after="0"/>
            </w:pPr>
            <w:r>
              <w:rPr>
                <w:i/>
              </w:rPr>
              <w:t xml:space="preserve">Final Projects </w:t>
            </w:r>
          </w:p>
        </w:tc>
        <w:tc>
          <w:tcPr>
            <w:tcW w:w="3331" w:type="dxa"/>
            <w:tcBorders>
              <w:top w:val="single" w:sz="4" w:space="0" w:color="000000"/>
              <w:left w:val="single" w:sz="4" w:space="0" w:color="000000"/>
              <w:bottom w:val="single" w:sz="4" w:space="0" w:color="000000"/>
              <w:right w:val="single" w:sz="4" w:space="0" w:color="000000"/>
            </w:tcBorders>
          </w:tcPr>
          <w:p w14:paraId="0DF62EB0" w14:textId="77777777" w:rsidR="00132103" w:rsidRDefault="00132103" w:rsidP="006D422F">
            <w:pPr>
              <w:spacing w:after="0" w:line="239" w:lineRule="auto"/>
            </w:pPr>
            <w:r>
              <w:rPr>
                <w:i/>
              </w:rPr>
              <w:t xml:space="preserve">You have many options for your final project, including a creative path, traditional final paper, annotated bibliography, an early draft of an article you plan to publish, etc. We will discuss the final projects more in depth throughout the semester.  </w:t>
            </w:r>
          </w:p>
          <w:p w14:paraId="3869D4F4" w14:textId="77777777" w:rsidR="00132103" w:rsidRDefault="00132103" w:rsidP="006D422F">
            <w:pPr>
              <w:spacing w:after="0"/>
            </w:pPr>
            <w:r>
              <w:rPr>
                <w:i/>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F1B6543" w14:textId="77777777" w:rsidR="00132103" w:rsidRDefault="00132103" w:rsidP="006D422F">
            <w:pPr>
              <w:spacing w:after="0"/>
              <w:ind w:left="360"/>
            </w:pPr>
            <w:r>
              <w:t xml:space="preserve">100 </w:t>
            </w:r>
          </w:p>
        </w:tc>
        <w:tc>
          <w:tcPr>
            <w:tcW w:w="1531" w:type="dxa"/>
            <w:tcBorders>
              <w:top w:val="single" w:sz="4" w:space="0" w:color="000000"/>
              <w:left w:val="single" w:sz="4" w:space="0" w:color="000000"/>
              <w:bottom w:val="single" w:sz="4" w:space="0" w:color="000000"/>
              <w:right w:val="single" w:sz="4" w:space="0" w:color="000000"/>
            </w:tcBorders>
          </w:tcPr>
          <w:p w14:paraId="6908A643" w14:textId="77777777" w:rsidR="00132103" w:rsidRDefault="00132103" w:rsidP="006D422F">
            <w:pPr>
              <w:spacing w:after="0"/>
              <w:ind w:left="5"/>
            </w:pPr>
            <w:r>
              <w:t xml:space="preserve">25% </w:t>
            </w:r>
          </w:p>
        </w:tc>
      </w:tr>
      <w:tr w:rsidR="00132103" w14:paraId="66D83C39" w14:textId="77777777" w:rsidTr="006D422F">
        <w:trPr>
          <w:trHeight w:val="2424"/>
        </w:trPr>
        <w:tc>
          <w:tcPr>
            <w:tcW w:w="1042" w:type="dxa"/>
            <w:tcBorders>
              <w:top w:val="single" w:sz="4" w:space="0" w:color="000000"/>
              <w:left w:val="single" w:sz="4" w:space="0" w:color="000000"/>
              <w:bottom w:val="single" w:sz="4" w:space="0" w:color="000000"/>
              <w:right w:val="single" w:sz="4" w:space="0" w:color="000000"/>
            </w:tcBorders>
          </w:tcPr>
          <w:p w14:paraId="0DBCF311" w14:textId="77777777" w:rsidR="00132103" w:rsidRDefault="00132103" w:rsidP="006D422F">
            <w:pPr>
              <w:spacing w:after="0"/>
              <w:ind w:left="5"/>
            </w:pPr>
            <w:r>
              <w:rPr>
                <w:i/>
              </w:rPr>
              <w:t xml:space="preserve">Ongoing </w:t>
            </w:r>
          </w:p>
        </w:tc>
        <w:tc>
          <w:tcPr>
            <w:tcW w:w="2554" w:type="dxa"/>
            <w:tcBorders>
              <w:top w:val="single" w:sz="4" w:space="0" w:color="000000"/>
              <w:left w:val="single" w:sz="4" w:space="0" w:color="000000"/>
              <w:bottom w:val="single" w:sz="4" w:space="0" w:color="000000"/>
              <w:right w:val="single" w:sz="4" w:space="0" w:color="000000"/>
            </w:tcBorders>
          </w:tcPr>
          <w:p w14:paraId="24C583BB" w14:textId="77777777" w:rsidR="00132103" w:rsidRDefault="00132103" w:rsidP="006D422F">
            <w:pPr>
              <w:spacing w:after="0"/>
            </w:pPr>
            <w:r>
              <w:rPr>
                <w:i/>
              </w:rPr>
              <w:t xml:space="preserve">Participation </w:t>
            </w:r>
          </w:p>
        </w:tc>
        <w:tc>
          <w:tcPr>
            <w:tcW w:w="3331" w:type="dxa"/>
            <w:tcBorders>
              <w:top w:val="single" w:sz="4" w:space="0" w:color="000000"/>
              <w:left w:val="single" w:sz="4" w:space="0" w:color="000000"/>
              <w:bottom w:val="single" w:sz="4" w:space="0" w:color="000000"/>
              <w:right w:val="single" w:sz="4" w:space="0" w:color="000000"/>
            </w:tcBorders>
          </w:tcPr>
          <w:p w14:paraId="485B6B62" w14:textId="77777777" w:rsidR="00132103" w:rsidRDefault="00132103" w:rsidP="006D422F">
            <w:pPr>
              <w:spacing w:after="0"/>
              <w:ind w:right="36"/>
            </w:pPr>
            <w:r>
              <w:t xml:space="preserve">This portion of your grade </w:t>
            </w:r>
            <w:proofErr w:type="gramStart"/>
            <w:r>
              <w:t>is</w:t>
            </w:r>
            <w:proofErr w:type="gramEnd"/>
          </w:p>
          <w:p w14:paraId="76336F42" w14:textId="77777777" w:rsidR="00132103" w:rsidRDefault="00132103" w:rsidP="006D422F">
            <w:pPr>
              <w:spacing w:after="0"/>
              <w:ind w:right="36"/>
            </w:pPr>
            <w:r>
              <w:t>determined by a combination of</w:t>
            </w:r>
          </w:p>
          <w:p w14:paraId="2E401CF5" w14:textId="77777777" w:rsidR="00132103" w:rsidRDefault="00132103" w:rsidP="006D422F">
            <w:pPr>
              <w:spacing w:after="0"/>
              <w:ind w:right="36"/>
            </w:pPr>
            <w:r>
              <w:t>attendance, consistent and</w:t>
            </w:r>
          </w:p>
          <w:p w14:paraId="6CA39EB8" w14:textId="77777777" w:rsidR="00132103" w:rsidRDefault="00132103" w:rsidP="006D422F">
            <w:pPr>
              <w:spacing w:after="0"/>
              <w:ind w:right="36"/>
            </w:pPr>
            <w:r>
              <w:t>informed participation in class</w:t>
            </w:r>
          </w:p>
          <w:p w14:paraId="5C0CF021" w14:textId="77777777" w:rsidR="00132103" w:rsidRDefault="00132103" w:rsidP="006D422F">
            <w:pPr>
              <w:spacing w:after="0"/>
              <w:ind w:right="36"/>
            </w:pPr>
            <w:r>
              <w:t xml:space="preserve">discussion that makes it clear </w:t>
            </w:r>
            <w:proofErr w:type="gramStart"/>
            <w:r>
              <w:t>you</w:t>
            </w:r>
            <w:proofErr w:type="gramEnd"/>
          </w:p>
          <w:p w14:paraId="7765026B" w14:textId="77777777" w:rsidR="00132103" w:rsidRDefault="00132103" w:rsidP="006D422F">
            <w:pPr>
              <w:spacing w:after="0"/>
              <w:ind w:right="36"/>
            </w:pPr>
            <w:r>
              <w:t>have attended class prepared and</w:t>
            </w:r>
          </w:p>
          <w:p w14:paraId="791ABA4E" w14:textId="77777777" w:rsidR="00132103" w:rsidRDefault="00132103" w:rsidP="006D422F">
            <w:pPr>
              <w:spacing w:after="0"/>
              <w:ind w:right="36"/>
            </w:pPr>
            <w:r>
              <w:t>having read that week’s readings,</w:t>
            </w:r>
          </w:p>
          <w:p w14:paraId="116A30B5" w14:textId="77777777" w:rsidR="00132103" w:rsidRDefault="00132103" w:rsidP="006D422F">
            <w:pPr>
              <w:spacing w:after="0"/>
              <w:ind w:right="36"/>
            </w:pPr>
            <w:r>
              <w:t>and any in-class writing</w:t>
            </w:r>
          </w:p>
          <w:p w14:paraId="31DB58A9" w14:textId="77777777" w:rsidR="00132103" w:rsidRDefault="00132103" w:rsidP="006D422F">
            <w:pPr>
              <w:spacing w:after="0"/>
              <w:ind w:right="36"/>
            </w:pPr>
            <w:r>
              <w:t>assignments or responses that</w:t>
            </w:r>
          </w:p>
          <w:p w14:paraId="46E51B1E" w14:textId="77777777" w:rsidR="00132103" w:rsidRDefault="00132103" w:rsidP="006D422F">
            <w:pPr>
              <w:spacing w:after="0"/>
              <w:ind w:right="36"/>
            </w:pPr>
            <w:r>
              <w:t>may be assigned. For every class,</w:t>
            </w:r>
          </w:p>
          <w:p w14:paraId="5E4E31ED" w14:textId="77777777" w:rsidR="00132103" w:rsidRDefault="00132103" w:rsidP="006D422F">
            <w:pPr>
              <w:spacing w:after="0"/>
              <w:ind w:right="36"/>
            </w:pPr>
            <w:r>
              <w:t>you will be expected to bring in 3-</w:t>
            </w:r>
          </w:p>
          <w:p w14:paraId="78DE3DBE" w14:textId="77777777" w:rsidR="00132103" w:rsidRDefault="00132103" w:rsidP="006D422F">
            <w:pPr>
              <w:spacing w:after="0"/>
              <w:ind w:right="36"/>
            </w:pPr>
            <w:r>
              <w:t>4 discussion questions that you</w:t>
            </w:r>
          </w:p>
          <w:p w14:paraId="00F38A67" w14:textId="77777777" w:rsidR="00132103" w:rsidRDefault="00132103" w:rsidP="006D422F">
            <w:pPr>
              <w:spacing w:after="0"/>
              <w:ind w:right="36"/>
            </w:pPr>
            <w:r>
              <w:t>are prepared to pose to the larger</w:t>
            </w:r>
          </w:p>
          <w:p w14:paraId="1A1145F2" w14:textId="77777777" w:rsidR="00132103" w:rsidRDefault="00132103" w:rsidP="006D422F">
            <w:pPr>
              <w:spacing w:after="0"/>
              <w:ind w:right="36"/>
            </w:pPr>
            <w:r>
              <w:t xml:space="preserve">class based on the readings, regardless of </w:t>
            </w:r>
            <w:proofErr w:type="gramStart"/>
            <w:r>
              <w:t>whether or not</w:t>
            </w:r>
            <w:proofErr w:type="gramEnd"/>
            <w:r>
              <w:t xml:space="preserve"> you are leading class discussion.</w:t>
            </w:r>
          </w:p>
          <w:p w14:paraId="23B5150E" w14:textId="77777777" w:rsidR="00132103" w:rsidRDefault="00132103" w:rsidP="006D422F">
            <w:pPr>
              <w:spacing w:after="0"/>
              <w:ind w:right="36"/>
            </w:pPr>
            <w:r>
              <w:lastRenderedPageBreak/>
              <w:t>As we only meet once a week, students are allowed one “no</w:t>
            </w:r>
          </w:p>
          <w:p w14:paraId="74F58BA4" w14:textId="77777777" w:rsidR="00132103" w:rsidRDefault="00132103" w:rsidP="006D422F">
            <w:pPr>
              <w:spacing w:after="0"/>
              <w:ind w:right="36"/>
            </w:pPr>
            <w:r>
              <w:t xml:space="preserve">questions asked” absence </w:t>
            </w:r>
            <w:proofErr w:type="gramStart"/>
            <w:r>
              <w:t>that</w:t>
            </w:r>
            <w:proofErr w:type="gramEnd"/>
          </w:p>
          <w:p w14:paraId="0AFB1B10" w14:textId="77777777" w:rsidR="00132103" w:rsidRDefault="00132103" w:rsidP="006D422F">
            <w:pPr>
              <w:spacing w:after="0"/>
              <w:ind w:right="36"/>
            </w:pPr>
            <w:r>
              <w:t>will not impact your grade. The</w:t>
            </w:r>
          </w:p>
          <w:p w14:paraId="5E49F613" w14:textId="77777777" w:rsidR="00132103" w:rsidRDefault="00132103" w:rsidP="006D422F">
            <w:pPr>
              <w:spacing w:after="0"/>
              <w:ind w:right="36"/>
            </w:pPr>
            <w:r>
              <w:t>success of our class hinges on</w:t>
            </w:r>
          </w:p>
          <w:p w14:paraId="567218C2" w14:textId="77777777" w:rsidR="00132103" w:rsidRDefault="00132103" w:rsidP="006D422F">
            <w:pPr>
              <w:spacing w:after="0"/>
              <w:ind w:right="36"/>
            </w:pPr>
            <w:proofErr w:type="gramStart"/>
            <w:r>
              <w:t>your</w:t>
            </w:r>
            <w:proofErr w:type="gramEnd"/>
            <w:r>
              <w:t xml:space="preserve"> showing up and</w:t>
            </w:r>
          </w:p>
          <w:p w14:paraId="722CACDB" w14:textId="77777777" w:rsidR="00132103" w:rsidRDefault="00132103" w:rsidP="006D422F">
            <w:pPr>
              <w:spacing w:after="0"/>
              <w:ind w:right="36"/>
            </w:pPr>
            <w:r>
              <w:t>participating in class discussion</w:t>
            </w:r>
          </w:p>
          <w:p w14:paraId="36F03A5B" w14:textId="77777777" w:rsidR="00132103" w:rsidRDefault="00132103" w:rsidP="006D422F">
            <w:pPr>
              <w:spacing w:after="0"/>
              <w:ind w:right="36"/>
            </w:pPr>
            <w:r>
              <w:t xml:space="preserve">every class that you attend. It </w:t>
            </w:r>
            <w:proofErr w:type="gramStart"/>
            <w:r>
              <w:t>is</w:t>
            </w:r>
            <w:proofErr w:type="gramEnd"/>
          </w:p>
          <w:p w14:paraId="38FB8502" w14:textId="77777777" w:rsidR="00132103" w:rsidRDefault="00132103" w:rsidP="006D422F">
            <w:pPr>
              <w:spacing w:after="0"/>
              <w:ind w:right="36"/>
            </w:pPr>
            <w:r>
              <w:t xml:space="preserve">vitally important that you </w:t>
            </w:r>
            <w:proofErr w:type="gramStart"/>
            <w:r>
              <w:t>show</w:t>
            </w:r>
            <w:proofErr w:type="gramEnd"/>
          </w:p>
          <w:p w14:paraId="242A704D" w14:textId="77777777" w:rsidR="00132103" w:rsidRDefault="00132103" w:rsidP="006D422F">
            <w:pPr>
              <w:spacing w:after="0"/>
              <w:ind w:right="36"/>
            </w:pPr>
            <w:r>
              <w:t>up. Beyond this absence,</w:t>
            </w:r>
          </w:p>
          <w:p w14:paraId="0B22F3E5" w14:textId="77777777" w:rsidR="00132103" w:rsidRDefault="00132103" w:rsidP="006D422F">
            <w:pPr>
              <w:spacing w:after="0"/>
              <w:ind w:right="36"/>
            </w:pPr>
            <w:r>
              <w:t xml:space="preserve">students can expect to see </w:t>
            </w:r>
            <w:proofErr w:type="gramStart"/>
            <w:r>
              <w:t>their</w:t>
            </w:r>
            <w:proofErr w:type="gramEnd"/>
          </w:p>
          <w:p w14:paraId="56F35B53" w14:textId="77777777" w:rsidR="00132103" w:rsidRDefault="00132103" w:rsidP="006D422F">
            <w:pPr>
              <w:spacing w:after="0"/>
              <w:ind w:right="36"/>
            </w:pPr>
            <w:r>
              <w:t xml:space="preserve">participation grade impacted </w:t>
            </w:r>
            <w:proofErr w:type="gramStart"/>
            <w:r>
              <w:t>if</w:t>
            </w:r>
            <w:proofErr w:type="gramEnd"/>
          </w:p>
          <w:p w14:paraId="510375C3" w14:textId="77777777" w:rsidR="00132103" w:rsidRDefault="00132103" w:rsidP="006D422F">
            <w:pPr>
              <w:spacing w:after="0"/>
              <w:ind w:right="36"/>
            </w:pPr>
            <w:r>
              <w:t>they miss class. If extenuating</w:t>
            </w:r>
          </w:p>
          <w:p w14:paraId="0CC9A84A" w14:textId="77777777" w:rsidR="00132103" w:rsidRDefault="00132103" w:rsidP="006D422F">
            <w:pPr>
              <w:spacing w:after="0"/>
              <w:ind w:right="36"/>
            </w:pPr>
            <w:r>
              <w:t xml:space="preserve">circumstances arise, </w:t>
            </w:r>
            <w:proofErr w:type="gramStart"/>
            <w:r>
              <w:t>please</w:t>
            </w:r>
            <w:proofErr w:type="gramEnd"/>
          </w:p>
          <w:p w14:paraId="2F49C852" w14:textId="77777777" w:rsidR="00132103" w:rsidRDefault="00132103" w:rsidP="006D422F">
            <w:pPr>
              <w:spacing w:after="0"/>
              <w:ind w:right="36"/>
            </w:pPr>
            <w:r>
              <w:t>contact me as soon as possible.</w:t>
            </w:r>
          </w:p>
        </w:tc>
        <w:tc>
          <w:tcPr>
            <w:tcW w:w="1618" w:type="dxa"/>
            <w:tcBorders>
              <w:top w:val="single" w:sz="4" w:space="0" w:color="000000"/>
              <w:left w:val="single" w:sz="4" w:space="0" w:color="000000"/>
              <w:bottom w:val="single" w:sz="4" w:space="0" w:color="000000"/>
              <w:right w:val="single" w:sz="4" w:space="0" w:color="000000"/>
            </w:tcBorders>
          </w:tcPr>
          <w:p w14:paraId="3C96B66D" w14:textId="77777777" w:rsidR="00132103" w:rsidRDefault="00132103" w:rsidP="006D422F">
            <w:pPr>
              <w:spacing w:after="0"/>
              <w:ind w:left="360"/>
            </w:pPr>
            <w:r>
              <w:lastRenderedPageBreak/>
              <w:t xml:space="preserve">100 </w:t>
            </w:r>
          </w:p>
        </w:tc>
        <w:tc>
          <w:tcPr>
            <w:tcW w:w="1531" w:type="dxa"/>
            <w:tcBorders>
              <w:top w:val="single" w:sz="4" w:space="0" w:color="000000"/>
              <w:left w:val="single" w:sz="4" w:space="0" w:color="000000"/>
              <w:bottom w:val="single" w:sz="4" w:space="0" w:color="000000"/>
              <w:right w:val="single" w:sz="4" w:space="0" w:color="000000"/>
            </w:tcBorders>
          </w:tcPr>
          <w:p w14:paraId="7CE135C2" w14:textId="77777777" w:rsidR="00132103" w:rsidRDefault="00132103" w:rsidP="006D422F">
            <w:pPr>
              <w:spacing w:after="0"/>
              <w:ind w:left="365"/>
            </w:pPr>
            <w:r>
              <w:t xml:space="preserve">20% </w:t>
            </w:r>
          </w:p>
        </w:tc>
      </w:tr>
      <w:tr w:rsidR="00132103" w14:paraId="1FF7A3E5" w14:textId="77777777" w:rsidTr="006D422F">
        <w:trPr>
          <w:trHeight w:val="278"/>
        </w:trPr>
        <w:tc>
          <w:tcPr>
            <w:tcW w:w="1042" w:type="dxa"/>
            <w:tcBorders>
              <w:top w:val="single" w:sz="4" w:space="0" w:color="000000"/>
              <w:left w:val="single" w:sz="4" w:space="0" w:color="000000"/>
              <w:bottom w:val="single" w:sz="4" w:space="0" w:color="000000"/>
              <w:right w:val="single" w:sz="4" w:space="0" w:color="000000"/>
            </w:tcBorders>
          </w:tcPr>
          <w:p w14:paraId="108B545D" w14:textId="77777777" w:rsidR="00132103" w:rsidRDefault="00132103" w:rsidP="006D422F">
            <w:pPr>
              <w:spacing w:after="0"/>
              <w:ind w:left="5"/>
            </w:pPr>
            <w:r>
              <w:rPr>
                <w:i/>
              </w:rP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4C303EB7" w14:textId="77777777" w:rsidR="00132103" w:rsidRDefault="00132103" w:rsidP="006D422F">
            <w:pPr>
              <w:spacing w:after="0"/>
            </w:pPr>
            <w:r>
              <w:rPr>
                <w:i/>
              </w:rPr>
              <w:t xml:space="preserve"> </w:t>
            </w:r>
          </w:p>
        </w:tc>
        <w:tc>
          <w:tcPr>
            <w:tcW w:w="3331" w:type="dxa"/>
            <w:tcBorders>
              <w:top w:val="single" w:sz="4" w:space="0" w:color="000000"/>
              <w:left w:val="single" w:sz="4" w:space="0" w:color="000000"/>
              <w:bottom w:val="single" w:sz="4" w:space="0" w:color="000000"/>
              <w:right w:val="single" w:sz="4" w:space="0" w:color="000000"/>
            </w:tcBorders>
          </w:tcPr>
          <w:p w14:paraId="71E2BE88" w14:textId="77777777" w:rsidR="00132103" w:rsidRDefault="00132103" w:rsidP="006D422F">
            <w:pPr>
              <w:spacing w:after="0"/>
            </w:pPr>
            <w:r>
              <w:rPr>
                <w:i/>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2B44F42" w14:textId="77777777" w:rsidR="00132103" w:rsidRDefault="00132103" w:rsidP="006D422F">
            <w:pPr>
              <w:spacing w:after="0"/>
              <w:ind w:left="360"/>
            </w:pPr>
            <w:r>
              <w:rPr>
                <w:i/>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7A51675F" w14:textId="77777777" w:rsidR="00132103" w:rsidRDefault="00132103" w:rsidP="006D422F">
            <w:pPr>
              <w:spacing w:after="0"/>
              <w:ind w:left="5"/>
            </w:pPr>
            <w:r>
              <w:rPr>
                <w:i/>
              </w:rPr>
              <w:t xml:space="preserve"> </w:t>
            </w:r>
          </w:p>
        </w:tc>
      </w:tr>
      <w:tr w:rsidR="00132103" w14:paraId="77AA4989" w14:textId="77777777" w:rsidTr="006D422F">
        <w:trPr>
          <w:trHeight w:val="278"/>
        </w:trPr>
        <w:tc>
          <w:tcPr>
            <w:tcW w:w="1042" w:type="dxa"/>
            <w:tcBorders>
              <w:top w:val="single" w:sz="4" w:space="0" w:color="000000"/>
              <w:left w:val="single" w:sz="4" w:space="0" w:color="000000"/>
              <w:bottom w:val="single" w:sz="4" w:space="0" w:color="000000"/>
              <w:right w:val="single" w:sz="4" w:space="0" w:color="000000"/>
            </w:tcBorders>
          </w:tcPr>
          <w:p w14:paraId="7A574FBF" w14:textId="77777777" w:rsidR="00132103" w:rsidRDefault="00132103" w:rsidP="006D422F">
            <w:pPr>
              <w:spacing w:after="0"/>
              <w:ind w:left="5"/>
            </w:pPr>
            <w:r>
              <w:rPr>
                <w:i/>
              </w:rP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029B3E23" w14:textId="77777777" w:rsidR="00132103" w:rsidRDefault="00132103" w:rsidP="006D422F">
            <w:pPr>
              <w:spacing w:after="0"/>
            </w:pPr>
            <w:r>
              <w:rPr>
                <w:i/>
              </w:rPr>
              <w:t xml:space="preserve"> </w:t>
            </w:r>
          </w:p>
        </w:tc>
        <w:tc>
          <w:tcPr>
            <w:tcW w:w="3331" w:type="dxa"/>
            <w:tcBorders>
              <w:top w:val="single" w:sz="4" w:space="0" w:color="000000"/>
              <w:left w:val="single" w:sz="4" w:space="0" w:color="000000"/>
              <w:bottom w:val="single" w:sz="4" w:space="0" w:color="000000"/>
              <w:right w:val="single" w:sz="4" w:space="0" w:color="000000"/>
            </w:tcBorders>
          </w:tcPr>
          <w:p w14:paraId="18AB7FD6" w14:textId="77777777" w:rsidR="00132103" w:rsidRDefault="00132103" w:rsidP="006D422F">
            <w:pPr>
              <w:spacing w:after="0"/>
            </w:pPr>
            <w:r>
              <w:rPr>
                <w:i/>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653F44A" w14:textId="77777777" w:rsidR="00132103" w:rsidRDefault="00132103" w:rsidP="006D422F">
            <w:pPr>
              <w:spacing w:after="0"/>
              <w:ind w:left="360"/>
            </w:pPr>
            <w:r>
              <w:rPr>
                <w:i/>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DCF6032" w14:textId="77777777" w:rsidR="00132103" w:rsidRDefault="00132103" w:rsidP="006D422F">
            <w:pPr>
              <w:spacing w:after="0"/>
              <w:ind w:left="5"/>
            </w:pPr>
            <w:r>
              <w:rPr>
                <w:i/>
              </w:rPr>
              <w:t xml:space="preserve"> </w:t>
            </w:r>
          </w:p>
        </w:tc>
      </w:tr>
      <w:tr w:rsidR="00132103" w14:paraId="0E6FF47D" w14:textId="77777777" w:rsidTr="006D422F">
        <w:trPr>
          <w:trHeight w:val="648"/>
        </w:trPr>
        <w:tc>
          <w:tcPr>
            <w:tcW w:w="1042" w:type="dxa"/>
            <w:tcBorders>
              <w:top w:val="single" w:sz="4" w:space="0" w:color="000000"/>
              <w:left w:val="single" w:sz="4" w:space="0" w:color="000000"/>
              <w:bottom w:val="single" w:sz="4" w:space="0" w:color="000000"/>
              <w:right w:val="single" w:sz="4" w:space="0" w:color="000000"/>
            </w:tcBorders>
          </w:tcPr>
          <w:p w14:paraId="5AD3F1C6" w14:textId="77777777" w:rsidR="00132103" w:rsidRDefault="00132103" w:rsidP="006D422F">
            <w:pPr>
              <w:spacing w:after="0"/>
              <w:ind w:left="5"/>
            </w:pPr>
            <w:r>
              <w:rPr>
                <w:i/>
              </w:rP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0FEF0D14" w14:textId="77777777" w:rsidR="00132103" w:rsidRDefault="00132103" w:rsidP="006D422F">
            <w:pPr>
              <w:spacing w:after="0"/>
            </w:pPr>
            <w:r>
              <w:rPr>
                <w:i/>
              </w:rPr>
              <w:t xml:space="preserve"> </w:t>
            </w:r>
          </w:p>
        </w:tc>
        <w:tc>
          <w:tcPr>
            <w:tcW w:w="3331" w:type="dxa"/>
            <w:tcBorders>
              <w:top w:val="single" w:sz="4" w:space="0" w:color="000000"/>
              <w:left w:val="single" w:sz="4" w:space="0" w:color="000000"/>
              <w:bottom w:val="single" w:sz="4" w:space="0" w:color="000000"/>
              <w:right w:val="single" w:sz="4" w:space="0" w:color="000000"/>
            </w:tcBorders>
          </w:tcPr>
          <w:p w14:paraId="60D56B11" w14:textId="77777777" w:rsidR="00132103" w:rsidRDefault="00132103" w:rsidP="006D422F">
            <w:pPr>
              <w:spacing w:after="0"/>
            </w:pPr>
            <w:r>
              <w:rPr>
                <w:i/>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6794ADB" w14:textId="77777777" w:rsidR="00132103" w:rsidRDefault="00132103" w:rsidP="006D422F">
            <w:pPr>
              <w:spacing w:after="0"/>
              <w:ind w:left="360"/>
            </w:pPr>
            <w:r>
              <w:rPr>
                <w:i/>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639B20A" w14:textId="77777777" w:rsidR="00132103" w:rsidRDefault="00132103" w:rsidP="006D422F">
            <w:pPr>
              <w:spacing w:after="0"/>
              <w:ind w:left="365"/>
            </w:pPr>
            <w:r>
              <w:rPr>
                <w:i/>
              </w:rPr>
              <w:t xml:space="preserve"> </w:t>
            </w:r>
          </w:p>
        </w:tc>
      </w:tr>
    </w:tbl>
    <w:p w14:paraId="7803247E" w14:textId="77777777" w:rsidR="00132103" w:rsidRDefault="00132103" w:rsidP="00132103">
      <w:pPr>
        <w:spacing w:after="0"/>
      </w:pPr>
      <w:r>
        <w:rPr>
          <w:rFonts w:ascii="Times New Roman" w:eastAsia="Times New Roman" w:hAnsi="Times New Roman" w:cs="Times New Roman"/>
          <w:sz w:val="24"/>
        </w:rPr>
        <w:t xml:space="preserve"> </w:t>
      </w:r>
    </w:p>
    <w:p w14:paraId="2B9BE1BF" w14:textId="77777777" w:rsidR="00132103" w:rsidRDefault="00132103" w:rsidP="00132103">
      <w:pPr>
        <w:spacing w:after="14" w:line="248" w:lineRule="auto"/>
        <w:ind w:left="-5" w:right="51" w:hanging="10"/>
      </w:pPr>
      <w:r>
        <w:rPr>
          <w:rFonts w:ascii="Times New Roman" w:eastAsia="Times New Roman" w:hAnsi="Times New Roman" w:cs="Times New Roman"/>
          <w:sz w:val="24"/>
        </w:rPr>
        <w:t>Students will be notified by Eagle Alert if there is a campus closing that will impact a class, the calendar is subject to change. See more here:</w:t>
      </w:r>
      <w:hyperlink r:id="rId28">
        <w:r>
          <w:rPr>
            <w:rFonts w:ascii="Times New Roman" w:eastAsia="Times New Roman" w:hAnsi="Times New Roman" w:cs="Times New Roman"/>
            <w:sz w:val="24"/>
          </w:rPr>
          <w:t xml:space="preserve"> </w:t>
        </w:r>
      </w:hyperlink>
      <w:hyperlink r:id="rId29">
        <w:r>
          <w:rPr>
            <w:rFonts w:ascii="Times New Roman" w:eastAsia="Times New Roman" w:hAnsi="Times New Roman" w:cs="Times New Roman"/>
            <w:color w:val="00853E"/>
            <w:sz w:val="24"/>
            <w:u w:val="single" w:color="00853E"/>
          </w:rPr>
          <w:t>Emergency Notifications and Procedures Policy</w:t>
        </w:r>
      </w:hyperlink>
      <w:hyperlink r:id="rId30">
        <w:r>
          <w:rPr>
            <w:rFonts w:ascii="Times New Roman" w:eastAsia="Times New Roman" w:hAnsi="Times New Roman" w:cs="Times New Roman"/>
            <w:sz w:val="24"/>
          </w:rPr>
          <w:t xml:space="preserve"> </w:t>
        </w:r>
      </w:hyperlink>
      <w:hyperlink r:id="rId31">
        <w:r>
          <w:rPr>
            <w:rFonts w:ascii="Times New Roman" w:eastAsia="Times New Roman" w:hAnsi="Times New Roman" w:cs="Times New Roman"/>
            <w:sz w:val="24"/>
          </w:rPr>
          <w:t>(</w:t>
        </w:r>
      </w:hyperlink>
      <w:hyperlink r:id="rId32">
        <w:r>
          <w:rPr>
            <w:rFonts w:ascii="Times New Roman" w:eastAsia="Times New Roman" w:hAnsi="Times New Roman" w:cs="Times New Roman"/>
            <w:color w:val="00853E"/>
            <w:sz w:val="24"/>
            <w:u w:val="single" w:color="00853E"/>
          </w:rPr>
          <w:t>https://policy.unt.edu/policy/06</w:t>
        </w:r>
      </w:hyperlink>
      <w:hyperlink r:id="rId33">
        <w:r>
          <w:rPr>
            <w:rFonts w:ascii="Times New Roman" w:eastAsia="Times New Roman" w:hAnsi="Times New Roman" w:cs="Times New Roman"/>
            <w:color w:val="00853E"/>
            <w:sz w:val="24"/>
            <w:u w:val="single" w:color="00853E"/>
          </w:rPr>
          <w:t>-</w:t>
        </w:r>
      </w:hyperlink>
      <w:hyperlink r:id="rId34">
        <w:r>
          <w:rPr>
            <w:rFonts w:ascii="Times New Roman" w:eastAsia="Times New Roman" w:hAnsi="Times New Roman" w:cs="Times New Roman"/>
            <w:color w:val="00853E"/>
            <w:sz w:val="24"/>
            <w:u w:val="single" w:color="00853E"/>
          </w:rPr>
          <w:t>049</w:t>
        </w:r>
      </w:hyperlink>
      <w:hyperlink r:id="rId35">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w:t>
      </w:r>
    </w:p>
    <w:p w14:paraId="16302C7D" w14:textId="77777777" w:rsidR="00132103" w:rsidRDefault="00132103" w:rsidP="00132103">
      <w:pPr>
        <w:spacing w:after="0"/>
      </w:pPr>
      <w:r>
        <w:rPr>
          <w:rFonts w:ascii="Times New Roman" w:eastAsia="Times New Roman" w:hAnsi="Times New Roman" w:cs="Times New Roman"/>
          <w:sz w:val="24"/>
        </w:rPr>
        <w:t xml:space="preserve"> </w:t>
      </w:r>
    </w:p>
    <w:p w14:paraId="5127718E" w14:textId="77777777" w:rsidR="00132103" w:rsidRDefault="00132103" w:rsidP="00132103">
      <w:pPr>
        <w:spacing w:after="0"/>
      </w:pPr>
      <w:r>
        <w:rPr>
          <w:rFonts w:ascii="Times New Roman" w:eastAsia="Times New Roman" w:hAnsi="Times New Roman" w:cs="Times New Roman"/>
          <w:sz w:val="24"/>
        </w:rPr>
        <w:t xml:space="preserve"> </w:t>
      </w:r>
    </w:p>
    <w:p w14:paraId="713C2CA0" w14:textId="77777777" w:rsidR="00132103" w:rsidRDefault="00132103" w:rsidP="00132103">
      <w:pPr>
        <w:pStyle w:val="Heading1"/>
        <w:ind w:left="-5"/>
      </w:pPr>
      <w:r>
        <w:t xml:space="preserve">Assessing Your Work  </w:t>
      </w:r>
    </w:p>
    <w:p w14:paraId="2C88E060" w14:textId="77777777" w:rsidR="00132103" w:rsidRDefault="00132103" w:rsidP="00132103">
      <w:pPr>
        <w:spacing w:after="14" w:line="248" w:lineRule="auto"/>
        <w:ind w:left="-5" w:right="51" w:hanging="10"/>
      </w:pPr>
      <w:r>
        <w:rPr>
          <w:rFonts w:ascii="Times New Roman" w:eastAsia="Times New Roman" w:hAnsi="Times New Roman" w:cs="Times New Roman"/>
          <w:sz w:val="24"/>
        </w:rPr>
        <w:t xml:space="preserve">Grading scale for this course:  </w:t>
      </w:r>
    </w:p>
    <w:p w14:paraId="1A148C15" w14:textId="77777777" w:rsidR="00132103" w:rsidRDefault="00132103" w:rsidP="00132103">
      <w:pPr>
        <w:numPr>
          <w:ilvl w:val="0"/>
          <w:numId w:val="2"/>
        </w:numPr>
        <w:spacing w:after="14" w:line="248" w:lineRule="auto"/>
        <w:ind w:right="51" w:hanging="233"/>
      </w:pPr>
      <w:r>
        <w:rPr>
          <w:rFonts w:ascii="Times New Roman" w:eastAsia="Times New Roman" w:hAnsi="Times New Roman" w:cs="Times New Roman"/>
          <w:sz w:val="24"/>
        </w:rPr>
        <w:t xml:space="preserve">= 90-100  </w:t>
      </w:r>
    </w:p>
    <w:p w14:paraId="214EC6DD" w14:textId="77777777" w:rsidR="00132103" w:rsidRDefault="00132103" w:rsidP="00132103">
      <w:pPr>
        <w:numPr>
          <w:ilvl w:val="0"/>
          <w:numId w:val="2"/>
        </w:numPr>
        <w:spacing w:after="14" w:line="248" w:lineRule="auto"/>
        <w:ind w:right="51" w:hanging="233"/>
      </w:pPr>
      <w:r>
        <w:rPr>
          <w:rFonts w:ascii="Times New Roman" w:eastAsia="Times New Roman" w:hAnsi="Times New Roman" w:cs="Times New Roman"/>
          <w:sz w:val="24"/>
        </w:rPr>
        <w:t xml:space="preserve">= 80-89  </w:t>
      </w:r>
    </w:p>
    <w:p w14:paraId="662FDFD4" w14:textId="77777777" w:rsidR="00132103" w:rsidRDefault="00132103" w:rsidP="00132103">
      <w:pPr>
        <w:numPr>
          <w:ilvl w:val="0"/>
          <w:numId w:val="2"/>
        </w:numPr>
        <w:spacing w:after="14" w:line="248" w:lineRule="auto"/>
        <w:ind w:right="51" w:hanging="233"/>
      </w:pPr>
      <w:r>
        <w:rPr>
          <w:rFonts w:ascii="Times New Roman" w:eastAsia="Times New Roman" w:hAnsi="Times New Roman" w:cs="Times New Roman"/>
          <w:sz w:val="24"/>
        </w:rPr>
        <w:t xml:space="preserve">= 70-79 </w:t>
      </w:r>
    </w:p>
    <w:p w14:paraId="55AAB629" w14:textId="77777777" w:rsidR="00132103" w:rsidRDefault="00132103" w:rsidP="00132103">
      <w:pPr>
        <w:numPr>
          <w:ilvl w:val="0"/>
          <w:numId w:val="2"/>
        </w:numPr>
        <w:spacing w:after="14" w:line="248" w:lineRule="auto"/>
        <w:ind w:right="51" w:hanging="233"/>
      </w:pPr>
      <w:r>
        <w:rPr>
          <w:rFonts w:ascii="Times New Roman" w:eastAsia="Times New Roman" w:hAnsi="Times New Roman" w:cs="Times New Roman"/>
          <w:sz w:val="24"/>
        </w:rPr>
        <w:t xml:space="preserve">= 60-69 </w:t>
      </w:r>
    </w:p>
    <w:p w14:paraId="111B1D30" w14:textId="77777777" w:rsidR="00132103" w:rsidRDefault="00132103" w:rsidP="00132103">
      <w:pPr>
        <w:spacing w:after="14" w:line="248" w:lineRule="auto"/>
        <w:ind w:left="-5" w:right="51" w:hanging="10"/>
      </w:pPr>
      <w:r>
        <w:rPr>
          <w:rFonts w:ascii="Times New Roman" w:eastAsia="Times New Roman" w:hAnsi="Times New Roman" w:cs="Times New Roman"/>
          <w:sz w:val="24"/>
        </w:rPr>
        <w:t xml:space="preserve">F = 0-59  </w:t>
      </w:r>
    </w:p>
    <w:p w14:paraId="583B6931" w14:textId="77777777" w:rsidR="00132103" w:rsidRDefault="00132103" w:rsidP="00132103">
      <w:pPr>
        <w:spacing w:after="0"/>
      </w:pPr>
      <w:r>
        <w:rPr>
          <w:rFonts w:ascii="Times New Roman" w:eastAsia="Times New Roman" w:hAnsi="Times New Roman" w:cs="Times New Roman"/>
          <w:sz w:val="24"/>
        </w:rPr>
        <w:t xml:space="preserve"> </w:t>
      </w:r>
    </w:p>
    <w:p w14:paraId="7A3F63D3" w14:textId="77777777" w:rsidR="00132103" w:rsidRDefault="00132103" w:rsidP="00132103">
      <w:pPr>
        <w:spacing w:after="0"/>
        <w:ind w:left="720"/>
      </w:pPr>
      <w:r>
        <w:rPr>
          <w:color w:val="287C51"/>
        </w:rPr>
        <w:t xml:space="preserve"> </w:t>
      </w:r>
    </w:p>
    <w:p w14:paraId="6CE58C7C" w14:textId="77777777" w:rsidR="00132103" w:rsidRDefault="00132103" w:rsidP="00132103">
      <w:pPr>
        <w:spacing w:after="180" w:line="248" w:lineRule="auto"/>
        <w:ind w:left="715" w:hanging="10"/>
      </w:pPr>
      <w:r>
        <w:rPr>
          <w:rFonts w:ascii="Times New Roman" w:eastAsia="Times New Roman" w:hAnsi="Times New Roman" w:cs="Times New Roman"/>
          <w:i/>
          <w:sz w:val="24"/>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36">
        <w:r>
          <w:rPr>
            <w:rFonts w:ascii="Times New Roman" w:eastAsia="Times New Roman" w:hAnsi="Times New Roman" w:cs="Times New Roman"/>
            <w:i/>
            <w:color w:val="00853E"/>
            <w:sz w:val="24"/>
            <w:u w:val="single" w:color="00853E"/>
          </w:rPr>
          <w:t>guidelines for your academic success</w:t>
        </w:r>
      </w:hyperlink>
      <w:hyperlink r:id="rId37">
        <w:r>
          <w:rPr>
            <w:rFonts w:ascii="Times New Roman" w:eastAsia="Times New Roman" w:hAnsi="Times New Roman" w:cs="Times New Roman"/>
            <w:i/>
            <w:sz w:val="24"/>
          </w:rPr>
          <w:t xml:space="preserve"> </w:t>
        </w:r>
      </w:hyperlink>
      <w:hyperlink r:id="rId38">
        <w:r>
          <w:rPr>
            <w:rFonts w:ascii="Times New Roman" w:eastAsia="Times New Roman" w:hAnsi="Times New Roman" w:cs="Times New Roman"/>
            <w:i/>
            <w:sz w:val="24"/>
          </w:rPr>
          <w:t>(</w:t>
        </w:r>
      </w:hyperlink>
      <w:hyperlink r:id="rId39">
        <w:r>
          <w:rPr>
            <w:rFonts w:ascii="Times New Roman" w:eastAsia="Times New Roman" w:hAnsi="Times New Roman" w:cs="Times New Roman"/>
            <w:i/>
            <w:color w:val="00853E"/>
            <w:sz w:val="24"/>
            <w:u w:val="single" w:color="00853E"/>
          </w:rPr>
          <w:t>https://policy.unt.edu/policy/06</w:t>
        </w:r>
      </w:hyperlink>
      <w:hyperlink r:id="rId40">
        <w:r>
          <w:rPr>
            <w:rFonts w:ascii="Times New Roman" w:eastAsia="Times New Roman" w:hAnsi="Times New Roman" w:cs="Times New Roman"/>
            <w:i/>
            <w:color w:val="00853E"/>
            <w:sz w:val="24"/>
            <w:u w:val="single" w:color="00853E"/>
          </w:rPr>
          <w:t>-</w:t>
        </w:r>
      </w:hyperlink>
      <w:hyperlink r:id="rId41">
        <w:r>
          <w:rPr>
            <w:rFonts w:ascii="Times New Roman" w:eastAsia="Times New Roman" w:hAnsi="Times New Roman" w:cs="Times New Roman"/>
            <w:i/>
            <w:color w:val="00853E"/>
            <w:sz w:val="24"/>
            <w:u w:val="single" w:color="00853E"/>
          </w:rPr>
          <w:t>003</w:t>
        </w:r>
      </w:hyperlink>
      <w:hyperlink r:id="rId42">
        <w:r>
          <w:rPr>
            <w:rFonts w:ascii="Times New Roman" w:eastAsia="Times New Roman" w:hAnsi="Times New Roman" w:cs="Times New Roman"/>
            <w:i/>
            <w:sz w:val="24"/>
          </w:rPr>
          <w:t>)</w:t>
        </w:r>
      </w:hyperlink>
      <w:r>
        <w:rPr>
          <w:rFonts w:ascii="Times New Roman" w:eastAsia="Times New Roman" w:hAnsi="Times New Roman" w:cs="Times New Roman"/>
          <w:i/>
          <w:sz w:val="24"/>
        </w:rPr>
        <w:t xml:space="preserve">.  If you have questions about this, or any UNT policy, please email me or come discuss this with me during my office hours. </w:t>
      </w:r>
    </w:p>
    <w:p w14:paraId="3D4B7466" w14:textId="77777777" w:rsidR="00132103" w:rsidRDefault="00132103" w:rsidP="00132103">
      <w:pPr>
        <w:pStyle w:val="Heading1"/>
        <w:ind w:left="-5"/>
      </w:pPr>
      <w:r>
        <w:lastRenderedPageBreak/>
        <w:t xml:space="preserve">Attendance and Participation   </w:t>
      </w:r>
    </w:p>
    <w:p w14:paraId="12BD3091" w14:textId="77777777" w:rsidR="00132103" w:rsidRDefault="00132103" w:rsidP="00132103">
      <w:pPr>
        <w:spacing w:after="0" w:line="248" w:lineRule="auto"/>
        <w:ind w:left="715" w:hanging="10"/>
      </w:pPr>
      <w:r>
        <w:rPr>
          <w:rFonts w:ascii="Times New Roman" w:eastAsia="Times New Roman" w:hAnsi="Times New Roman" w:cs="Times New Roman"/>
          <w:i/>
          <w:sz w:val="24"/>
        </w:rPr>
        <w:t xml:space="preserve">I have great respect for students who are balancing the demands of their coursework with the responsibilities of caring for family members. If you run into challenges that require you to miss a class, I am willing to work with you. There may be some flexibility we can offer to support your academic success.  </w:t>
      </w:r>
    </w:p>
    <w:p w14:paraId="7EFCF766" w14:textId="77777777" w:rsidR="00132103" w:rsidRDefault="00132103" w:rsidP="00132103">
      <w:pPr>
        <w:spacing w:after="0"/>
        <w:ind w:left="720"/>
      </w:pPr>
      <w:r>
        <w:rPr>
          <w:rFonts w:ascii="Times New Roman" w:eastAsia="Times New Roman" w:hAnsi="Times New Roman" w:cs="Times New Roman"/>
          <w:i/>
          <w:sz w:val="24"/>
        </w:rPr>
        <w:t xml:space="preserve"> </w:t>
      </w:r>
    </w:p>
    <w:p w14:paraId="49AC0442" w14:textId="77777777" w:rsidR="00132103" w:rsidRDefault="00132103" w:rsidP="00132103">
      <w:pPr>
        <w:spacing w:after="0" w:line="248" w:lineRule="auto"/>
        <w:ind w:left="715" w:hanging="10"/>
      </w:pPr>
      <w:r>
        <w:rPr>
          <w:rFonts w:ascii="Times New Roman" w:eastAsia="Times New Roman" w:hAnsi="Times New Roman" w:cs="Times New Roman"/>
          <w:i/>
          <w:sz w:val="24"/>
        </w:rPr>
        <w:t xml:space="preserve">At the same time, because we only meet once a week, every class meeting is essential to your success in this course. Each student should plan for one no questions asked absence to be taken once during the semester; beyond that, please reach out to me if you believe you need to miss more class.   </w:t>
      </w:r>
    </w:p>
    <w:p w14:paraId="672C29B9" w14:textId="77777777" w:rsidR="00132103" w:rsidRDefault="00132103" w:rsidP="00132103">
      <w:pPr>
        <w:spacing w:after="0"/>
      </w:pPr>
      <w:r>
        <w:rPr>
          <w:rFonts w:ascii="Times New Roman" w:eastAsia="Times New Roman" w:hAnsi="Times New Roman" w:cs="Times New Roman"/>
          <w:sz w:val="24"/>
        </w:rPr>
        <w:t xml:space="preserve"> </w:t>
      </w:r>
    </w:p>
    <w:p w14:paraId="24497E91" w14:textId="77777777" w:rsidR="00132103" w:rsidRDefault="00132103" w:rsidP="00132103">
      <w:r>
        <w:rPr>
          <w:rFonts w:ascii="Times New Roman" w:eastAsia="Times New Roman" w:hAnsi="Times New Roman" w:cs="Times New Roman"/>
          <w:sz w:val="24"/>
        </w:rPr>
        <w:t xml:space="preserve"> </w:t>
      </w:r>
    </w:p>
    <w:p w14:paraId="32894AC8" w14:textId="77777777" w:rsidR="00132103" w:rsidRDefault="00132103" w:rsidP="00132103">
      <w:pPr>
        <w:pStyle w:val="Heading1"/>
        <w:ind w:left="-5"/>
      </w:pPr>
      <w:r>
        <w:t xml:space="preserve">Course Schedule – SUBJECT TO CHANGE </w:t>
      </w:r>
    </w:p>
    <w:p w14:paraId="5806A6C8" w14:textId="77777777" w:rsidR="00132103" w:rsidRDefault="00132103" w:rsidP="00132103">
      <w:pPr>
        <w:spacing w:after="0"/>
      </w:pPr>
      <w:r>
        <w:rPr>
          <w:rFonts w:ascii="Times New Roman" w:eastAsia="Times New Roman" w:hAnsi="Times New Roman" w:cs="Times New Roman"/>
          <w:sz w:val="24"/>
        </w:rPr>
        <w:t xml:space="preserve"> </w:t>
      </w:r>
    </w:p>
    <w:p w14:paraId="1239357A" w14:textId="77777777" w:rsidR="00132103" w:rsidRDefault="00132103" w:rsidP="00132103">
      <w:pPr>
        <w:spacing w:after="11" w:line="248" w:lineRule="auto"/>
        <w:ind w:left="-5" w:hanging="10"/>
      </w:pPr>
      <w:r>
        <w:rPr>
          <w:rFonts w:ascii="Arial" w:eastAsia="Arial" w:hAnsi="Arial" w:cs="Arial"/>
        </w:rPr>
        <w:t xml:space="preserve">Tuesday 1/13 – </w:t>
      </w:r>
      <w:r>
        <w:rPr>
          <w:rFonts w:ascii="Arial" w:eastAsia="Arial" w:hAnsi="Arial" w:cs="Arial"/>
          <w:b/>
        </w:rPr>
        <w:t>INTRODUCTIONS/ COURSE + SYLLABUS OVERVIEW</w:t>
      </w:r>
      <w:r>
        <w:rPr>
          <w:rFonts w:ascii="Times New Roman" w:eastAsia="Times New Roman" w:hAnsi="Times New Roman" w:cs="Times New Roman"/>
          <w:b/>
          <w:sz w:val="24"/>
        </w:rPr>
        <w:t xml:space="preserve"> </w:t>
      </w:r>
    </w:p>
    <w:p w14:paraId="37C55599" w14:textId="77777777" w:rsidR="00132103" w:rsidRDefault="00132103" w:rsidP="00132103">
      <w:pPr>
        <w:spacing w:after="0"/>
      </w:pPr>
      <w:r>
        <w:rPr>
          <w:rFonts w:ascii="Times New Roman" w:eastAsia="Times New Roman" w:hAnsi="Times New Roman" w:cs="Times New Roman"/>
          <w:sz w:val="24"/>
        </w:rPr>
        <w:t xml:space="preserve"> </w:t>
      </w:r>
    </w:p>
    <w:p w14:paraId="2871A4FA" w14:textId="77777777" w:rsidR="00132103" w:rsidRDefault="00132103" w:rsidP="00132103">
      <w:pPr>
        <w:spacing w:after="0"/>
      </w:pPr>
      <w:r>
        <w:rPr>
          <w:rFonts w:ascii="Times New Roman" w:eastAsia="Times New Roman" w:hAnsi="Times New Roman" w:cs="Times New Roman"/>
          <w:sz w:val="24"/>
        </w:rPr>
        <w:t xml:space="preserve"> </w:t>
      </w:r>
    </w:p>
    <w:p w14:paraId="2AD2CEDB" w14:textId="77777777" w:rsidR="00132103" w:rsidRDefault="00132103" w:rsidP="00132103">
      <w:pPr>
        <w:spacing w:after="11" w:line="248" w:lineRule="auto"/>
        <w:ind w:left="-5" w:hanging="10"/>
      </w:pPr>
      <w:r>
        <w:rPr>
          <w:rFonts w:ascii="Arial" w:eastAsia="Arial" w:hAnsi="Arial" w:cs="Arial"/>
        </w:rPr>
        <w:t xml:space="preserve">Tuesday 1/20 – </w:t>
      </w:r>
      <w:r>
        <w:rPr>
          <w:rFonts w:ascii="Arial" w:eastAsia="Arial" w:hAnsi="Arial" w:cs="Arial"/>
          <w:b/>
        </w:rPr>
        <w:t xml:space="preserve">HAVE WE GOT A THEORY FOR YOU! HISTORICIZING THE FIELD </w:t>
      </w:r>
    </w:p>
    <w:p w14:paraId="74567EB3" w14:textId="77777777" w:rsidR="00132103" w:rsidRDefault="00132103" w:rsidP="00132103">
      <w:pPr>
        <w:spacing w:after="0"/>
      </w:pPr>
      <w:r>
        <w:rPr>
          <w:rFonts w:ascii="Arial" w:eastAsia="Arial" w:hAnsi="Arial" w:cs="Arial"/>
          <w:b/>
        </w:rPr>
        <w:t xml:space="preserve"> </w:t>
      </w:r>
    </w:p>
    <w:p w14:paraId="6C49AB73" w14:textId="135E1779" w:rsidR="00132103" w:rsidRDefault="004F2F45" w:rsidP="00132103">
      <w:pPr>
        <w:spacing w:after="0"/>
      </w:pPr>
      <w:r>
        <w:t xml:space="preserve">Students will be exposed </w:t>
      </w:r>
      <w:r w:rsidR="00664229">
        <w:t>to</w:t>
      </w:r>
      <w:r>
        <w:t xml:space="preserve"> foundational texts in the field and philosophical meditations on why “theorizing” matters.</w:t>
      </w:r>
    </w:p>
    <w:p w14:paraId="614349AB" w14:textId="77777777" w:rsidR="00132103" w:rsidRDefault="00132103" w:rsidP="00132103">
      <w:pPr>
        <w:spacing w:after="0"/>
      </w:pPr>
      <w:r>
        <w:rPr>
          <w:rFonts w:ascii="Times New Roman" w:eastAsia="Times New Roman" w:hAnsi="Times New Roman" w:cs="Times New Roman"/>
          <w:sz w:val="24"/>
        </w:rPr>
        <w:t xml:space="preserve"> </w:t>
      </w:r>
    </w:p>
    <w:p w14:paraId="6D6E1EBA" w14:textId="77777777" w:rsidR="00132103" w:rsidRDefault="00132103" w:rsidP="00132103">
      <w:pPr>
        <w:spacing w:after="11" w:line="248" w:lineRule="auto"/>
        <w:ind w:left="-5" w:hanging="10"/>
      </w:pPr>
      <w:r>
        <w:rPr>
          <w:rFonts w:ascii="Arial" w:eastAsia="Arial" w:hAnsi="Arial" w:cs="Arial"/>
        </w:rPr>
        <w:t xml:space="preserve">Tuesday 1/27 – </w:t>
      </w:r>
      <w:r>
        <w:rPr>
          <w:rFonts w:ascii="Arial" w:eastAsia="Arial" w:hAnsi="Arial" w:cs="Arial"/>
          <w:b/>
        </w:rPr>
        <w:t xml:space="preserve">POWER AND THE POSTSTRUCTURAL TURN </w:t>
      </w:r>
    </w:p>
    <w:p w14:paraId="349DBE35" w14:textId="77777777" w:rsidR="00132103" w:rsidRDefault="00132103" w:rsidP="00132103">
      <w:pPr>
        <w:spacing w:after="0"/>
      </w:pPr>
      <w:r>
        <w:rPr>
          <w:rFonts w:ascii="Times New Roman" w:eastAsia="Times New Roman" w:hAnsi="Times New Roman" w:cs="Times New Roman"/>
          <w:sz w:val="24"/>
        </w:rPr>
        <w:t xml:space="preserve"> </w:t>
      </w:r>
    </w:p>
    <w:p w14:paraId="1E007715" w14:textId="7771FED0" w:rsidR="00132103" w:rsidRDefault="004F2F45" w:rsidP="00132103">
      <w:pPr>
        <w:spacing w:after="0"/>
      </w:pPr>
      <w:r>
        <w:t>Students will read about and discuss the historical shift from structuralism/modernity to poststructuralism and postmodernity.</w:t>
      </w:r>
    </w:p>
    <w:p w14:paraId="12E50FC3" w14:textId="77777777" w:rsidR="00132103" w:rsidRDefault="00132103" w:rsidP="00132103">
      <w:pPr>
        <w:spacing w:after="0"/>
      </w:pPr>
      <w:r>
        <w:rPr>
          <w:rFonts w:ascii="Times New Roman" w:eastAsia="Times New Roman" w:hAnsi="Times New Roman" w:cs="Times New Roman"/>
          <w:sz w:val="24"/>
        </w:rPr>
        <w:t xml:space="preserve"> </w:t>
      </w:r>
    </w:p>
    <w:p w14:paraId="789A68FA" w14:textId="3BB2E0F9" w:rsidR="00132103" w:rsidRDefault="00132103" w:rsidP="00132103">
      <w:pPr>
        <w:spacing w:after="11" w:line="248" w:lineRule="auto"/>
        <w:ind w:left="-5" w:hanging="10"/>
      </w:pPr>
      <w:r>
        <w:rPr>
          <w:rFonts w:ascii="Arial" w:eastAsia="Arial" w:hAnsi="Arial" w:cs="Arial"/>
        </w:rPr>
        <w:t xml:space="preserve">Tuesday 2/3 – </w:t>
      </w:r>
      <w:r>
        <w:rPr>
          <w:rFonts w:ascii="Arial" w:eastAsia="Arial" w:hAnsi="Arial" w:cs="Arial"/>
          <w:b/>
        </w:rPr>
        <w:t xml:space="preserve">POWER, PERFORMATIVITY, AND THE TEMPORAL NATURE OF HOPE </w:t>
      </w:r>
    </w:p>
    <w:p w14:paraId="56BA476A" w14:textId="44CC0406" w:rsidR="00132103" w:rsidRPr="004F2F45" w:rsidRDefault="00132103" w:rsidP="00132103">
      <w:pPr>
        <w:spacing w:after="0"/>
        <w:rPr>
          <w:bCs/>
        </w:rPr>
      </w:pPr>
      <w:r>
        <w:rPr>
          <w:rFonts w:ascii="Arial" w:eastAsia="Arial" w:hAnsi="Arial" w:cs="Arial"/>
          <w:b/>
        </w:rPr>
        <w:t xml:space="preserve"> </w:t>
      </w:r>
      <w:r w:rsidR="004F2F45">
        <w:rPr>
          <w:rFonts w:ascii="Arial" w:eastAsia="Arial" w:hAnsi="Arial" w:cs="Arial"/>
          <w:bCs/>
        </w:rPr>
        <w:t>Students will read about and discuss texts that examine the concept of power and hope.</w:t>
      </w:r>
    </w:p>
    <w:p w14:paraId="22A8A752" w14:textId="7E4F44E0" w:rsidR="00132103" w:rsidRDefault="00132103" w:rsidP="00132103">
      <w:pPr>
        <w:spacing w:after="0"/>
      </w:pPr>
    </w:p>
    <w:p w14:paraId="3B27B621" w14:textId="07E01C85" w:rsidR="00132103" w:rsidRDefault="00132103" w:rsidP="00132103">
      <w:pPr>
        <w:spacing w:after="11" w:line="248" w:lineRule="auto"/>
        <w:ind w:left="-5" w:hanging="10"/>
      </w:pPr>
      <w:r>
        <w:rPr>
          <w:rFonts w:ascii="Arial" w:eastAsia="Arial" w:hAnsi="Arial" w:cs="Arial"/>
        </w:rPr>
        <w:t xml:space="preserve">Tuesday 2/10 – </w:t>
      </w:r>
      <w:r w:rsidR="0049507A">
        <w:rPr>
          <w:rFonts w:ascii="Arial" w:eastAsia="Arial" w:hAnsi="Arial" w:cs="Arial"/>
          <w:b/>
        </w:rPr>
        <w:t>SETTLER COLONIAL</w:t>
      </w:r>
      <w:r w:rsidR="00E47D35">
        <w:rPr>
          <w:rFonts w:ascii="Arial" w:eastAsia="Arial" w:hAnsi="Arial" w:cs="Arial"/>
          <w:b/>
        </w:rPr>
        <w:t>ISM AND SEXUALITY</w:t>
      </w:r>
    </w:p>
    <w:p w14:paraId="7D82D272" w14:textId="77777777" w:rsidR="00132103" w:rsidRDefault="00132103" w:rsidP="00132103">
      <w:pPr>
        <w:spacing w:after="0"/>
      </w:pPr>
      <w:r>
        <w:rPr>
          <w:rFonts w:ascii="Arial" w:eastAsia="Arial" w:hAnsi="Arial" w:cs="Arial"/>
        </w:rPr>
        <w:t xml:space="preserve"> </w:t>
      </w:r>
    </w:p>
    <w:p w14:paraId="3523AD7B" w14:textId="1B729237" w:rsidR="00132103" w:rsidRDefault="004F2F45" w:rsidP="00132103">
      <w:pPr>
        <w:spacing w:after="0"/>
      </w:pPr>
      <w:r>
        <w:t>Historical texts and interventions in LGBTQ studies that examine settler colonialism.</w:t>
      </w:r>
    </w:p>
    <w:p w14:paraId="34C305A6" w14:textId="77777777" w:rsidR="00132103" w:rsidRDefault="00132103" w:rsidP="00132103">
      <w:pPr>
        <w:spacing w:after="0"/>
      </w:pPr>
      <w:r>
        <w:rPr>
          <w:rFonts w:ascii="Times New Roman" w:eastAsia="Times New Roman" w:hAnsi="Times New Roman" w:cs="Times New Roman"/>
          <w:sz w:val="24"/>
        </w:rPr>
        <w:t xml:space="preserve"> </w:t>
      </w:r>
    </w:p>
    <w:p w14:paraId="38BC9376" w14:textId="1C9B8169" w:rsidR="00132103" w:rsidRDefault="00132103" w:rsidP="00132103">
      <w:pPr>
        <w:spacing w:after="11" w:line="248" w:lineRule="auto"/>
        <w:ind w:left="-5" w:hanging="10"/>
      </w:pPr>
      <w:r>
        <w:rPr>
          <w:rFonts w:ascii="Arial" w:eastAsia="Arial" w:hAnsi="Arial" w:cs="Arial"/>
        </w:rPr>
        <w:t xml:space="preserve">Tuesday 2/17 – </w:t>
      </w:r>
      <w:r>
        <w:rPr>
          <w:rFonts w:ascii="Arial" w:eastAsia="Arial" w:hAnsi="Arial" w:cs="Arial"/>
          <w:b/>
        </w:rPr>
        <w:t>FURTHER REFLECTIONS ON SETTLER COLONIAL</w:t>
      </w:r>
      <w:r w:rsidR="00E47D35">
        <w:rPr>
          <w:rFonts w:ascii="Arial" w:eastAsia="Arial" w:hAnsi="Arial" w:cs="Arial"/>
          <w:b/>
        </w:rPr>
        <w:t>ISM AND</w:t>
      </w:r>
      <w:r>
        <w:rPr>
          <w:rFonts w:ascii="Arial" w:eastAsia="Arial" w:hAnsi="Arial" w:cs="Arial"/>
          <w:b/>
        </w:rPr>
        <w:t xml:space="preserve"> STRUCTURES OF KINSHIP, </w:t>
      </w:r>
      <w:proofErr w:type="gramStart"/>
      <w:r>
        <w:rPr>
          <w:rFonts w:ascii="Arial" w:eastAsia="Arial" w:hAnsi="Arial" w:cs="Arial"/>
          <w:b/>
        </w:rPr>
        <w:t>GENDER</w:t>
      </w:r>
      <w:proofErr w:type="gramEnd"/>
      <w:r>
        <w:rPr>
          <w:rFonts w:ascii="Arial" w:eastAsia="Arial" w:hAnsi="Arial" w:cs="Arial"/>
          <w:b/>
        </w:rPr>
        <w:t xml:space="preserve"> AND SEXUALITY </w:t>
      </w:r>
    </w:p>
    <w:p w14:paraId="3571EDC2" w14:textId="77777777" w:rsidR="00132103" w:rsidRDefault="00132103" w:rsidP="00132103">
      <w:pPr>
        <w:spacing w:after="0"/>
      </w:pPr>
      <w:r>
        <w:rPr>
          <w:rFonts w:ascii="Arial" w:eastAsia="Arial" w:hAnsi="Arial" w:cs="Arial"/>
          <w:b/>
        </w:rPr>
        <w:t xml:space="preserve"> </w:t>
      </w:r>
    </w:p>
    <w:p w14:paraId="3697D4BF" w14:textId="743AB878" w:rsidR="00132103" w:rsidRDefault="004F2F45" w:rsidP="00132103">
      <w:pPr>
        <w:spacing w:after="0"/>
      </w:pPr>
      <w:r>
        <w:t>See previous.</w:t>
      </w:r>
    </w:p>
    <w:p w14:paraId="79C969E4" w14:textId="77777777" w:rsidR="00132103" w:rsidRDefault="00132103" w:rsidP="00132103">
      <w:pPr>
        <w:spacing w:after="0"/>
      </w:pPr>
      <w:r>
        <w:rPr>
          <w:rFonts w:ascii="Times New Roman" w:eastAsia="Times New Roman" w:hAnsi="Times New Roman" w:cs="Times New Roman"/>
          <w:sz w:val="24"/>
        </w:rPr>
        <w:t xml:space="preserve"> </w:t>
      </w:r>
    </w:p>
    <w:p w14:paraId="3EF04D1C" w14:textId="6BCC47A7" w:rsidR="00132103" w:rsidRPr="00E47D35" w:rsidRDefault="00132103" w:rsidP="00132103">
      <w:pPr>
        <w:spacing w:after="11" w:line="248" w:lineRule="auto"/>
        <w:ind w:left="-5" w:hanging="10"/>
        <w:rPr>
          <w:b/>
        </w:rPr>
      </w:pPr>
      <w:r>
        <w:rPr>
          <w:rFonts w:ascii="Arial" w:eastAsia="Arial" w:hAnsi="Arial" w:cs="Arial"/>
        </w:rPr>
        <w:t>Tuesday 2/</w:t>
      </w:r>
      <w:proofErr w:type="gramStart"/>
      <w:r>
        <w:rPr>
          <w:rFonts w:ascii="Arial" w:eastAsia="Arial" w:hAnsi="Arial" w:cs="Arial"/>
        </w:rPr>
        <w:t>24  -</w:t>
      </w:r>
      <w:proofErr w:type="gramEnd"/>
      <w:r>
        <w:rPr>
          <w:rFonts w:ascii="Arial" w:eastAsia="Arial" w:hAnsi="Arial" w:cs="Arial"/>
        </w:rPr>
        <w:t xml:space="preserve"> </w:t>
      </w:r>
      <w:r w:rsidR="00E47D35">
        <w:rPr>
          <w:rFonts w:ascii="Arial" w:eastAsia="Arial" w:hAnsi="Arial" w:cs="Arial"/>
          <w:b/>
        </w:rPr>
        <w:t>QUEER THEORY AND NATURE/THE BODY</w:t>
      </w:r>
    </w:p>
    <w:p w14:paraId="23CAF9A0" w14:textId="77777777" w:rsidR="00132103" w:rsidRDefault="00132103" w:rsidP="00132103">
      <w:pPr>
        <w:spacing w:after="0"/>
        <w:rPr>
          <w:rFonts w:ascii="Arial" w:eastAsia="Arial" w:hAnsi="Arial" w:cs="Arial"/>
          <w:b/>
        </w:rPr>
      </w:pPr>
      <w:r>
        <w:rPr>
          <w:rFonts w:ascii="Arial" w:eastAsia="Arial" w:hAnsi="Arial" w:cs="Arial"/>
          <w:b/>
        </w:rPr>
        <w:t xml:space="preserve"> </w:t>
      </w:r>
    </w:p>
    <w:p w14:paraId="6F1A7376" w14:textId="3AFD36EE" w:rsidR="004F2F45" w:rsidRPr="004F2F45" w:rsidRDefault="004F2F45" w:rsidP="00132103">
      <w:pPr>
        <w:spacing w:after="0"/>
        <w:rPr>
          <w:bCs/>
        </w:rPr>
      </w:pPr>
      <w:r>
        <w:rPr>
          <w:rFonts w:ascii="Arial" w:eastAsia="Arial" w:hAnsi="Arial" w:cs="Arial"/>
          <w:bCs/>
        </w:rPr>
        <w:t xml:space="preserve">Students will read and discuss texts from </w:t>
      </w:r>
      <w:proofErr w:type="gramStart"/>
      <w:r>
        <w:rPr>
          <w:rFonts w:ascii="Arial" w:eastAsia="Arial" w:hAnsi="Arial" w:cs="Arial"/>
          <w:bCs/>
        </w:rPr>
        <w:t>a number of</w:t>
      </w:r>
      <w:proofErr w:type="gramEnd"/>
      <w:r>
        <w:rPr>
          <w:rFonts w:ascii="Arial" w:eastAsia="Arial" w:hAnsi="Arial" w:cs="Arial"/>
          <w:bCs/>
        </w:rPr>
        <w:t xml:space="preserve"> interdisciplinary scholars that study the nonhuman world.</w:t>
      </w:r>
    </w:p>
    <w:p w14:paraId="522AFAAE" w14:textId="549A4556" w:rsidR="00132103" w:rsidRDefault="00132103" w:rsidP="00132103">
      <w:pPr>
        <w:spacing w:after="0"/>
      </w:pPr>
    </w:p>
    <w:p w14:paraId="55DFCA4A" w14:textId="77777777" w:rsidR="00132103" w:rsidRDefault="00132103" w:rsidP="00132103">
      <w:pPr>
        <w:spacing w:after="0"/>
      </w:pPr>
      <w:r>
        <w:rPr>
          <w:rFonts w:ascii="Times New Roman" w:eastAsia="Times New Roman" w:hAnsi="Times New Roman" w:cs="Times New Roman"/>
          <w:b/>
          <w:i/>
          <w:sz w:val="24"/>
        </w:rPr>
        <w:lastRenderedPageBreak/>
        <w:t xml:space="preserve">MIDSEMESTER PAPER DUE 2/24 BY 11:59 PM </w:t>
      </w:r>
    </w:p>
    <w:p w14:paraId="05605400" w14:textId="77777777" w:rsidR="00132103" w:rsidRDefault="00132103" w:rsidP="00132103">
      <w:pPr>
        <w:spacing w:after="0"/>
      </w:pPr>
      <w:r>
        <w:rPr>
          <w:rFonts w:ascii="Times New Roman" w:eastAsia="Times New Roman" w:hAnsi="Times New Roman" w:cs="Times New Roman"/>
          <w:sz w:val="24"/>
        </w:rPr>
        <w:t xml:space="preserve"> </w:t>
      </w:r>
    </w:p>
    <w:p w14:paraId="5B8332AE" w14:textId="4F3FB3B1" w:rsidR="00132103" w:rsidRPr="00E47D35" w:rsidRDefault="00132103" w:rsidP="00132103">
      <w:pPr>
        <w:spacing w:after="0"/>
        <w:ind w:left="-5" w:right="38" w:hanging="10"/>
        <w:rPr>
          <w:b/>
          <w:bCs/>
        </w:rPr>
      </w:pPr>
      <w:r>
        <w:rPr>
          <w:rFonts w:ascii="Arial" w:eastAsia="Arial" w:hAnsi="Arial" w:cs="Arial"/>
        </w:rPr>
        <w:t xml:space="preserve">Tuesday 3/3 – </w:t>
      </w:r>
      <w:r w:rsidR="00E47D35">
        <w:rPr>
          <w:rFonts w:ascii="Arial" w:eastAsia="Arial" w:hAnsi="Arial" w:cs="Arial"/>
          <w:b/>
          <w:bCs/>
        </w:rPr>
        <w:t>CRITICAL INTERVENTIONS IN QUEER THEORY/LGBTQ STUDIES</w:t>
      </w:r>
    </w:p>
    <w:p w14:paraId="533C1D45" w14:textId="77777777" w:rsidR="00132103" w:rsidRDefault="00132103" w:rsidP="00132103">
      <w:pPr>
        <w:spacing w:after="0"/>
      </w:pPr>
      <w:r>
        <w:rPr>
          <w:rFonts w:ascii="Times New Roman" w:eastAsia="Times New Roman" w:hAnsi="Times New Roman" w:cs="Times New Roman"/>
          <w:sz w:val="24"/>
        </w:rPr>
        <w:t xml:space="preserve"> </w:t>
      </w:r>
    </w:p>
    <w:p w14:paraId="443BB4A9" w14:textId="77777777" w:rsidR="00132103" w:rsidRDefault="00132103" w:rsidP="00132103">
      <w:pPr>
        <w:spacing w:after="0"/>
      </w:pPr>
      <w:r>
        <w:rPr>
          <w:rFonts w:ascii="Times New Roman" w:eastAsia="Times New Roman" w:hAnsi="Times New Roman" w:cs="Times New Roman"/>
          <w:sz w:val="24"/>
        </w:rPr>
        <w:t xml:space="preserve"> </w:t>
      </w:r>
    </w:p>
    <w:p w14:paraId="418E9402" w14:textId="77777777" w:rsidR="00132103" w:rsidRPr="004C08F3" w:rsidRDefault="00132103" w:rsidP="00132103">
      <w:pPr>
        <w:spacing w:after="11" w:line="248" w:lineRule="auto"/>
        <w:ind w:left="-5" w:hanging="10"/>
        <w:rPr>
          <w:rFonts w:ascii="Times New Roman" w:eastAsia="Times New Roman" w:hAnsi="Times New Roman" w:cs="Times New Roman"/>
          <w:b/>
          <w:bCs/>
          <w:sz w:val="24"/>
        </w:rPr>
      </w:pPr>
      <w:r>
        <w:rPr>
          <w:rFonts w:ascii="Arial" w:eastAsia="Arial" w:hAnsi="Arial" w:cs="Arial"/>
        </w:rPr>
        <w:t xml:space="preserve">Tuesday 3/10 – </w:t>
      </w:r>
      <w:r>
        <w:rPr>
          <w:rFonts w:ascii="Arial" w:eastAsia="Arial" w:hAnsi="Arial" w:cs="Arial"/>
          <w:b/>
          <w:bCs/>
        </w:rPr>
        <w:t>SPRING BREAK</w:t>
      </w:r>
    </w:p>
    <w:p w14:paraId="15D0D7B0" w14:textId="77777777" w:rsidR="00132103" w:rsidRDefault="00132103" w:rsidP="00132103">
      <w:pPr>
        <w:spacing w:after="0"/>
        <w:ind w:left="-5" w:hanging="10"/>
        <w:rPr>
          <w:rFonts w:ascii="Times New Roman" w:eastAsia="Times New Roman" w:hAnsi="Times New Roman" w:cs="Times New Roman"/>
          <w:sz w:val="24"/>
        </w:rPr>
      </w:pPr>
    </w:p>
    <w:p w14:paraId="07EF2EF1" w14:textId="77777777" w:rsidR="00132103" w:rsidRDefault="00132103" w:rsidP="00132103">
      <w:pPr>
        <w:spacing w:after="0"/>
      </w:pPr>
    </w:p>
    <w:p w14:paraId="7DE88945" w14:textId="0BB3751B" w:rsidR="00132103" w:rsidRDefault="00132103" w:rsidP="00132103">
      <w:pPr>
        <w:spacing w:after="11" w:line="248" w:lineRule="auto"/>
        <w:ind w:left="-5" w:hanging="10"/>
      </w:pPr>
      <w:r>
        <w:rPr>
          <w:rFonts w:ascii="Arial" w:eastAsia="Arial" w:hAnsi="Arial" w:cs="Arial"/>
        </w:rPr>
        <w:t xml:space="preserve">Tuesday 3/17 </w:t>
      </w:r>
      <w:proofErr w:type="gramStart"/>
      <w:r>
        <w:rPr>
          <w:rFonts w:ascii="Arial" w:eastAsia="Arial" w:hAnsi="Arial" w:cs="Arial"/>
        </w:rPr>
        <w:t xml:space="preserve">- </w:t>
      </w:r>
      <w:r>
        <w:rPr>
          <w:rFonts w:ascii="Arial" w:eastAsia="Arial" w:hAnsi="Arial" w:cs="Arial"/>
          <w:b/>
        </w:rPr>
        <w:t xml:space="preserve"> MELANCHOLIA</w:t>
      </w:r>
      <w:proofErr w:type="gramEnd"/>
      <w:r>
        <w:rPr>
          <w:rFonts w:ascii="Arial" w:eastAsia="Arial" w:hAnsi="Arial" w:cs="Arial"/>
          <w:b/>
        </w:rPr>
        <w:t xml:space="preserve"> </w:t>
      </w:r>
      <w:r w:rsidR="00E47D35">
        <w:rPr>
          <w:rFonts w:ascii="Arial" w:eastAsia="Arial" w:hAnsi="Arial" w:cs="Arial"/>
          <w:b/>
        </w:rPr>
        <w:t>AND AFFECT THEORY</w:t>
      </w:r>
    </w:p>
    <w:p w14:paraId="3A87F1C1" w14:textId="77777777" w:rsidR="00132103" w:rsidRDefault="00132103" w:rsidP="00132103">
      <w:pPr>
        <w:spacing w:after="11" w:line="248" w:lineRule="auto"/>
        <w:ind w:left="-5" w:hanging="10"/>
      </w:pPr>
    </w:p>
    <w:p w14:paraId="2F8F2EB1" w14:textId="585B40F6" w:rsidR="004F2F45" w:rsidRDefault="004F2F45" w:rsidP="00132103">
      <w:pPr>
        <w:spacing w:after="11" w:line="248" w:lineRule="auto"/>
        <w:ind w:left="-5" w:hanging="10"/>
      </w:pPr>
      <w:r>
        <w:t xml:space="preserve">Students will be exposed to interventions in queer theory that examine affect </w:t>
      </w:r>
      <w:proofErr w:type="gramStart"/>
      <w:r>
        <w:t>theory</w:t>
      </w:r>
      <w:proofErr w:type="gramEnd"/>
    </w:p>
    <w:p w14:paraId="0C524C70" w14:textId="77777777" w:rsidR="00132103" w:rsidRDefault="00132103" w:rsidP="00132103">
      <w:pPr>
        <w:spacing w:after="0"/>
      </w:pPr>
      <w:r>
        <w:rPr>
          <w:rFonts w:ascii="Times New Roman" w:eastAsia="Times New Roman" w:hAnsi="Times New Roman" w:cs="Times New Roman"/>
          <w:sz w:val="24"/>
        </w:rPr>
        <w:t xml:space="preserve"> </w:t>
      </w:r>
    </w:p>
    <w:p w14:paraId="4C4B1790" w14:textId="77777777" w:rsidR="00132103" w:rsidRDefault="00132103" w:rsidP="00132103">
      <w:pPr>
        <w:spacing w:after="0"/>
      </w:pPr>
      <w:r>
        <w:rPr>
          <w:rFonts w:ascii="Times New Roman" w:eastAsia="Times New Roman" w:hAnsi="Times New Roman" w:cs="Times New Roman"/>
          <w:sz w:val="24"/>
        </w:rPr>
        <w:t xml:space="preserve"> </w:t>
      </w:r>
    </w:p>
    <w:p w14:paraId="14C438BA" w14:textId="2AFC7994" w:rsidR="00132103" w:rsidRDefault="00132103" w:rsidP="00E47D35">
      <w:pPr>
        <w:spacing w:after="11" w:line="248" w:lineRule="auto"/>
        <w:ind w:left="-5" w:hanging="10"/>
      </w:pPr>
      <w:r>
        <w:rPr>
          <w:rFonts w:ascii="Arial" w:eastAsia="Arial" w:hAnsi="Arial" w:cs="Arial"/>
        </w:rPr>
        <w:t xml:space="preserve">Tuesday 3/24 – </w:t>
      </w:r>
      <w:r w:rsidR="00E47D35">
        <w:rPr>
          <w:rFonts w:ascii="Arial" w:eastAsia="Arial" w:hAnsi="Arial" w:cs="Arial"/>
          <w:b/>
        </w:rPr>
        <w:t>MELANCHOLIA AND AFFECT THEORY</w:t>
      </w:r>
    </w:p>
    <w:p w14:paraId="46C102E0" w14:textId="0CFB6C1C" w:rsidR="00132103" w:rsidRDefault="004F2F45" w:rsidP="00132103">
      <w:pPr>
        <w:spacing w:after="0"/>
      </w:pPr>
      <w:r>
        <w:t xml:space="preserve">See </w:t>
      </w:r>
      <w:proofErr w:type="gramStart"/>
      <w:r>
        <w:t>previous</w:t>
      </w:r>
      <w:proofErr w:type="gramEnd"/>
    </w:p>
    <w:p w14:paraId="759813E7" w14:textId="77777777" w:rsidR="00132103" w:rsidRDefault="00132103" w:rsidP="00132103">
      <w:pPr>
        <w:spacing w:after="0"/>
      </w:pPr>
      <w:r>
        <w:rPr>
          <w:rFonts w:ascii="Times New Roman" w:eastAsia="Times New Roman" w:hAnsi="Times New Roman" w:cs="Times New Roman"/>
          <w:sz w:val="24"/>
        </w:rPr>
        <w:t xml:space="preserve"> </w:t>
      </w:r>
    </w:p>
    <w:p w14:paraId="66407E86" w14:textId="77777777" w:rsidR="00132103" w:rsidRDefault="00132103" w:rsidP="00132103">
      <w:pPr>
        <w:spacing w:after="11" w:line="248" w:lineRule="auto"/>
        <w:ind w:left="-5" w:hanging="10"/>
      </w:pPr>
      <w:r>
        <w:rPr>
          <w:rFonts w:ascii="Arial" w:eastAsia="Arial" w:hAnsi="Arial" w:cs="Arial"/>
        </w:rPr>
        <w:t xml:space="preserve">Tuesday 3/31 – </w:t>
      </w:r>
      <w:r>
        <w:rPr>
          <w:rFonts w:ascii="Arial" w:eastAsia="Arial" w:hAnsi="Arial" w:cs="Arial"/>
          <w:b/>
        </w:rPr>
        <w:t xml:space="preserve">SPACE, PLACE, AND TIME </w:t>
      </w:r>
    </w:p>
    <w:p w14:paraId="5342D363" w14:textId="3860D1D3" w:rsidR="00132103" w:rsidRPr="004F2F45" w:rsidRDefault="00132103" w:rsidP="00132103">
      <w:pPr>
        <w:spacing w:after="0"/>
        <w:rPr>
          <w:bCs/>
        </w:rPr>
      </w:pPr>
      <w:r>
        <w:rPr>
          <w:rFonts w:ascii="Arial" w:eastAsia="Arial" w:hAnsi="Arial" w:cs="Arial"/>
          <w:b/>
        </w:rPr>
        <w:t xml:space="preserve"> </w:t>
      </w:r>
      <w:r w:rsidR="004F2F45">
        <w:rPr>
          <w:rFonts w:ascii="Arial" w:eastAsia="Arial" w:hAnsi="Arial" w:cs="Arial"/>
          <w:bCs/>
        </w:rPr>
        <w:t xml:space="preserve">Students will be exposed to interdisciplinary examinations in LGBTQ studies/geography of space, </w:t>
      </w:r>
      <w:proofErr w:type="gramStart"/>
      <w:r w:rsidR="004F2F45">
        <w:rPr>
          <w:rFonts w:ascii="Arial" w:eastAsia="Arial" w:hAnsi="Arial" w:cs="Arial"/>
          <w:bCs/>
        </w:rPr>
        <w:t>place</w:t>
      </w:r>
      <w:proofErr w:type="gramEnd"/>
      <w:r w:rsidR="004F2F45">
        <w:rPr>
          <w:rFonts w:ascii="Arial" w:eastAsia="Arial" w:hAnsi="Arial" w:cs="Arial"/>
          <w:bCs/>
        </w:rPr>
        <w:t xml:space="preserve"> and time.</w:t>
      </w:r>
    </w:p>
    <w:p w14:paraId="3607E541" w14:textId="32D0E095" w:rsidR="00132103" w:rsidRDefault="00132103" w:rsidP="00132103">
      <w:pPr>
        <w:spacing w:after="0"/>
      </w:pPr>
    </w:p>
    <w:p w14:paraId="67F2BDBC" w14:textId="7879853F" w:rsidR="00132103" w:rsidRDefault="00132103" w:rsidP="00132103">
      <w:pPr>
        <w:spacing w:after="11" w:line="248" w:lineRule="auto"/>
        <w:ind w:left="-5" w:hanging="10"/>
        <w:rPr>
          <w:rFonts w:ascii="Arial" w:eastAsia="Arial" w:hAnsi="Arial" w:cs="Arial"/>
          <w:b/>
        </w:rPr>
      </w:pPr>
      <w:r>
        <w:rPr>
          <w:rFonts w:ascii="Arial" w:eastAsia="Arial" w:hAnsi="Arial" w:cs="Arial"/>
        </w:rPr>
        <w:t xml:space="preserve">Tuesday 4/7 – </w:t>
      </w:r>
      <w:r w:rsidR="00B7224A">
        <w:rPr>
          <w:rFonts w:ascii="Arial" w:eastAsia="Arial" w:hAnsi="Arial" w:cs="Arial"/>
          <w:b/>
        </w:rPr>
        <w:t>COMMUNITIES AND HEALTH</w:t>
      </w:r>
      <w:r>
        <w:rPr>
          <w:rFonts w:ascii="Arial" w:eastAsia="Arial" w:hAnsi="Arial" w:cs="Arial"/>
          <w:b/>
        </w:rPr>
        <w:t xml:space="preserve"> </w:t>
      </w:r>
    </w:p>
    <w:p w14:paraId="0D0E3F25" w14:textId="77777777" w:rsidR="004F2F45" w:rsidRDefault="004F2F45" w:rsidP="00132103">
      <w:pPr>
        <w:spacing w:after="11" w:line="248" w:lineRule="auto"/>
        <w:ind w:left="-5" w:hanging="10"/>
        <w:rPr>
          <w:rFonts w:ascii="Arial" w:eastAsia="Arial" w:hAnsi="Arial" w:cs="Arial"/>
          <w:b/>
        </w:rPr>
      </w:pPr>
    </w:p>
    <w:p w14:paraId="68BB7147" w14:textId="14682658" w:rsidR="004F2F45" w:rsidRPr="004F2F45" w:rsidRDefault="004F2F45" w:rsidP="004F2F45">
      <w:pPr>
        <w:spacing w:after="11" w:line="248" w:lineRule="auto"/>
        <w:ind w:left="-5" w:hanging="10"/>
        <w:rPr>
          <w:rFonts w:ascii="Arial" w:eastAsia="Arial" w:hAnsi="Arial" w:cs="Arial"/>
          <w:bCs/>
        </w:rPr>
      </w:pPr>
      <w:r>
        <w:rPr>
          <w:rFonts w:ascii="Arial" w:eastAsia="Arial" w:hAnsi="Arial" w:cs="Arial"/>
          <w:bCs/>
        </w:rPr>
        <w:t>Histories of the epidemiology of HIV/AIDS</w:t>
      </w:r>
      <w:r w:rsidR="00B7224A">
        <w:rPr>
          <w:rFonts w:ascii="Arial" w:eastAsia="Arial" w:hAnsi="Arial" w:cs="Arial"/>
          <w:bCs/>
        </w:rPr>
        <w:t xml:space="preserve"> </w:t>
      </w:r>
    </w:p>
    <w:p w14:paraId="6665CE4E" w14:textId="77777777" w:rsidR="00132103" w:rsidRDefault="00132103" w:rsidP="00132103">
      <w:pPr>
        <w:spacing w:after="0"/>
      </w:pPr>
      <w:r>
        <w:rPr>
          <w:rFonts w:ascii="Arial" w:eastAsia="Arial" w:hAnsi="Arial" w:cs="Arial"/>
          <w:b/>
        </w:rPr>
        <w:t xml:space="preserve"> </w:t>
      </w:r>
    </w:p>
    <w:p w14:paraId="56E3DD55" w14:textId="1244885A" w:rsidR="00132103" w:rsidRDefault="00132103" w:rsidP="00132103">
      <w:pPr>
        <w:spacing w:after="0"/>
      </w:pPr>
    </w:p>
    <w:p w14:paraId="7EAEE688" w14:textId="72D4B964" w:rsidR="00132103" w:rsidRDefault="00132103" w:rsidP="00132103">
      <w:pPr>
        <w:spacing w:after="11" w:line="248" w:lineRule="auto"/>
        <w:ind w:left="-5" w:hanging="10"/>
      </w:pPr>
      <w:r>
        <w:rPr>
          <w:rFonts w:ascii="Arial" w:eastAsia="Arial" w:hAnsi="Arial" w:cs="Arial"/>
        </w:rPr>
        <w:t xml:space="preserve">Tuesday 4/14 – </w:t>
      </w:r>
      <w:r>
        <w:rPr>
          <w:rFonts w:ascii="Arial" w:eastAsia="Arial" w:hAnsi="Arial" w:cs="Arial"/>
          <w:b/>
        </w:rPr>
        <w:t xml:space="preserve">MEDITATION FOR THE TIMES </w:t>
      </w:r>
    </w:p>
    <w:p w14:paraId="12B568EB" w14:textId="77777777" w:rsidR="004F2F45" w:rsidRDefault="004F2F45" w:rsidP="00132103">
      <w:pPr>
        <w:spacing w:after="0"/>
        <w:rPr>
          <w:rFonts w:ascii="Arial" w:eastAsia="Arial" w:hAnsi="Arial" w:cs="Arial"/>
          <w:b/>
        </w:rPr>
      </w:pPr>
    </w:p>
    <w:p w14:paraId="16CEFBC0" w14:textId="5A80A5DE" w:rsidR="00132103" w:rsidRPr="004F2F45" w:rsidRDefault="004F2F45" w:rsidP="00132103">
      <w:pPr>
        <w:spacing w:after="0"/>
        <w:rPr>
          <w:bCs/>
        </w:rPr>
      </w:pPr>
      <w:r>
        <w:rPr>
          <w:rFonts w:ascii="Arial" w:eastAsia="Arial" w:hAnsi="Arial" w:cs="Arial"/>
          <w:bCs/>
        </w:rPr>
        <w:t>Topics include prescient</w:t>
      </w:r>
      <w:r w:rsidR="00B7224A">
        <w:rPr>
          <w:rFonts w:ascii="Arial" w:eastAsia="Arial" w:hAnsi="Arial" w:cs="Arial"/>
          <w:bCs/>
        </w:rPr>
        <w:t xml:space="preserve"> and contemporary</w:t>
      </w:r>
      <w:r>
        <w:rPr>
          <w:rFonts w:ascii="Arial" w:eastAsia="Arial" w:hAnsi="Arial" w:cs="Arial"/>
          <w:bCs/>
        </w:rPr>
        <w:t xml:space="preserve"> interventions in the field of LGBTQ studies.</w:t>
      </w:r>
    </w:p>
    <w:p w14:paraId="458EF463" w14:textId="30CFA386" w:rsidR="00132103" w:rsidRDefault="00132103" w:rsidP="00132103">
      <w:pPr>
        <w:spacing w:after="0"/>
      </w:pPr>
    </w:p>
    <w:p w14:paraId="18424B0A" w14:textId="77777777" w:rsidR="00132103" w:rsidRDefault="00132103" w:rsidP="00132103">
      <w:pPr>
        <w:spacing w:after="11" w:line="248" w:lineRule="auto"/>
        <w:ind w:left="-5" w:hanging="10"/>
      </w:pPr>
      <w:r>
        <w:rPr>
          <w:rFonts w:ascii="Arial" w:eastAsia="Arial" w:hAnsi="Arial" w:cs="Arial"/>
        </w:rPr>
        <w:t xml:space="preserve">Tuesday 4/21 – </w:t>
      </w:r>
      <w:r>
        <w:rPr>
          <w:rFonts w:ascii="Arial" w:eastAsia="Arial" w:hAnsi="Arial" w:cs="Arial"/>
          <w:b/>
        </w:rPr>
        <w:t>FINAL PROJECT PRESENTATIONS</w:t>
      </w:r>
      <w:r>
        <w:rPr>
          <w:rFonts w:ascii="Times New Roman" w:eastAsia="Times New Roman" w:hAnsi="Times New Roman" w:cs="Times New Roman"/>
          <w:b/>
          <w:sz w:val="24"/>
        </w:rPr>
        <w:t xml:space="preserve"> </w:t>
      </w:r>
    </w:p>
    <w:p w14:paraId="424586A4" w14:textId="77777777" w:rsidR="00132103" w:rsidRDefault="00132103" w:rsidP="00132103">
      <w:pPr>
        <w:spacing w:after="0"/>
      </w:pPr>
      <w:r>
        <w:rPr>
          <w:rFonts w:ascii="Times New Roman" w:eastAsia="Times New Roman" w:hAnsi="Times New Roman" w:cs="Times New Roman"/>
          <w:sz w:val="24"/>
        </w:rPr>
        <w:t xml:space="preserve"> </w:t>
      </w:r>
    </w:p>
    <w:p w14:paraId="004B0A6A" w14:textId="77777777" w:rsidR="00132103" w:rsidRDefault="00132103" w:rsidP="00132103">
      <w:pPr>
        <w:spacing w:after="0"/>
      </w:pPr>
      <w:r>
        <w:rPr>
          <w:rFonts w:ascii="Times New Roman" w:eastAsia="Times New Roman" w:hAnsi="Times New Roman" w:cs="Times New Roman"/>
          <w:sz w:val="24"/>
        </w:rPr>
        <w:t xml:space="preserve"> </w:t>
      </w:r>
    </w:p>
    <w:p w14:paraId="59DB26E6" w14:textId="77777777" w:rsidR="00132103" w:rsidRDefault="00132103" w:rsidP="00132103">
      <w:pPr>
        <w:spacing w:after="11" w:line="248" w:lineRule="auto"/>
        <w:ind w:left="-5" w:hanging="10"/>
      </w:pPr>
      <w:r>
        <w:rPr>
          <w:rFonts w:ascii="Arial" w:eastAsia="Arial" w:hAnsi="Arial" w:cs="Arial"/>
        </w:rPr>
        <w:t xml:space="preserve">Tuesday 4/28 – </w:t>
      </w:r>
      <w:r>
        <w:rPr>
          <w:rFonts w:ascii="Arial" w:eastAsia="Arial" w:hAnsi="Arial" w:cs="Arial"/>
          <w:b/>
        </w:rPr>
        <w:t xml:space="preserve">COURSE WRAP UP + PRESENTATIONS MAKEUP </w:t>
      </w:r>
    </w:p>
    <w:p w14:paraId="47702DB5" w14:textId="77777777" w:rsidR="00132103" w:rsidRDefault="00132103" w:rsidP="00132103">
      <w:pPr>
        <w:spacing w:after="11" w:line="248" w:lineRule="auto"/>
        <w:ind w:left="-5" w:hanging="10"/>
      </w:pPr>
      <w:r>
        <w:rPr>
          <w:rFonts w:ascii="Arial" w:eastAsia="Arial" w:hAnsi="Arial" w:cs="Arial"/>
          <w:b/>
        </w:rPr>
        <w:t>FINAL PROJECT DUE 5/8 by 11:59 PM</w:t>
      </w:r>
      <w:r>
        <w:rPr>
          <w:rFonts w:ascii="Times New Roman" w:eastAsia="Times New Roman" w:hAnsi="Times New Roman" w:cs="Times New Roman"/>
          <w:b/>
          <w:sz w:val="24"/>
        </w:rPr>
        <w:t xml:space="preserve"> </w:t>
      </w:r>
    </w:p>
    <w:p w14:paraId="35964D0D" w14:textId="77777777" w:rsidR="00132103" w:rsidRDefault="00132103" w:rsidP="00132103">
      <w:pPr>
        <w:spacing w:after="0"/>
      </w:pPr>
      <w:r>
        <w:rPr>
          <w:rFonts w:ascii="Times New Roman" w:eastAsia="Times New Roman" w:hAnsi="Times New Roman" w:cs="Times New Roman"/>
          <w:sz w:val="24"/>
        </w:rPr>
        <w:t xml:space="preserve"> </w:t>
      </w:r>
    </w:p>
    <w:p w14:paraId="6216AC75" w14:textId="77777777" w:rsidR="00132103" w:rsidRDefault="00132103" w:rsidP="00132103">
      <w:pPr>
        <w:spacing w:after="0"/>
      </w:pPr>
      <w:r>
        <w:rPr>
          <w:rFonts w:ascii="Times New Roman" w:eastAsia="Times New Roman" w:hAnsi="Times New Roman" w:cs="Times New Roman"/>
          <w:sz w:val="24"/>
        </w:rPr>
        <w:t xml:space="preserve"> </w:t>
      </w:r>
    </w:p>
    <w:p w14:paraId="1AE30250" w14:textId="77777777" w:rsidR="00132103" w:rsidRDefault="00132103" w:rsidP="00132103">
      <w:pPr>
        <w:spacing w:after="0"/>
      </w:pPr>
      <w:r>
        <w:rPr>
          <w:rFonts w:ascii="Times New Roman" w:eastAsia="Times New Roman" w:hAnsi="Times New Roman" w:cs="Times New Roman"/>
          <w:sz w:val="24"/>
        </w:rPr>
        <w:t xml:space="preserve"> </w:t>
      </w:r>
    </w:p>
    <w:p w14:paraId="53AD6197" w14:textId="77777777" w:rsidR="00132103" w:rsidRDefault="00132103"/>
    <w:sectPr w:rsidR="00132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0EE0"/>
    <w:multiLevelType w:val="hybridMultilevel"/>
    <w:tmpl w:val="C0924CF0"/>
    <w:lvl w:ilvl="0" w:tplc="F3104BAE">
      <w:start w:val="1"/>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FACB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88B4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B4C0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9060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40A2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F61E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035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22F0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2634FC"/>
    <w:multiLevelType w:val="hybridMultilevel"/>
    <w:tmpl w:val="DEC4BC60"/>
    <w:lvl w:ilvl="0" w:tplc="69CAD6B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DA4C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F00A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CA39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E3A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342E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886D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8ABD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8D5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03052574">
    <w:abstractNumId w:val="1"/>
  </w:num>
  <w:num w:numId="2" w16cid:durableId="352341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03"/>
    <w:rsid w:val="00132103"/>
    <w:rsid w:val="0049507A"/>
    <w:rsid w:val="004F2F45"/>
    <w:rsid w:val="00664229"/>
    <w:rsid w:val="00B7224A"/>
    <w:rsid w:val="00E4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BC6420"/>
  <w15:chartTrackingRefBased/>
  <w15:docId w15:val="{301AE50D-D303-DE47-A8F2-DB68A03F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103"/>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rsid w:val="00132103"/>
    <w:pPr>
      <w:keepNext/>
      <w:keepLines/>
      <w:spacing w:after="43" w:line="259" w:lineRule="auto"/>
      <w:ind w:left="10" w:hanging="10"/>
      <w:outlineLvl w:val="0"/>
    </w:pPr>
    <w:rPr>
      <w:rFonts w:ascii="Calibri" w:eastAsia="Calibri" w:hAnsi="Calibri" w:cs="Calibri"/>
      <w:color w:val="287C51"/>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103"/>
    <w:rPr>
      <w:rFonts w:ascii="Calibri" w:eastAsia="Calibri" w:hAnsi="Calibri" w:cs="Calibri"/>
      <w:color w:val="287C51"/>
      <w:sz w:val="30"/>
    </w:rPr>
  </w:style>
  <w:style w:type="table" w:customStyle="1" w:styleId="TableGrid">
    <w:name w:val="TableGrid"/>
    <w:rsid w:val="00132103"/>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132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affairs.unt.edu/office-disability-access" TargetMode="External"/><Relationship Id="rId18" Type="http://schemas.openxmlformats.org/officeDocument/2006/relationships/hyperlink" Target="https://wellness.unt.edu/" TargetMode="External"/><Relationship Id="rId26" Type="http://schemas.openxmlformats.org/officeDocument/2006/relationships/hyperlink" Target="https://online.unt.edu/learn" TargetMode="External"/><Relationship Id="rId39" Type="http://schemas.openxmlformats.org/officeDocument/2006/relationships/hyperlink" Target="https://policy.unt.edu/policy/06-003" TargetMode="External"/><Relationship Id="rId21" Type="http://schemas.openxmlformats.org/officeDocument/2006/relationships/hyperlink" Target="http://scrappysays.unt.edu/" TargetMode="External"/><Relationship Id="rId34" Type="http://schemas.openxmlformats.org/officeDocument/2006/relationships/hyperlink" Target="https://policy.unt.edu/policy/06-049" TargetMode="External"/><Relationship Id="rId42" Type="http://schemas.openxmlformats.org/officeDocument/2006/relationships/hyperlink" Target="https://policy.unt.edu/policy/06-003" TargetMode="External"/><Relationship Id="rId7" Type="http://schemas.openxmlformats.org/officeDocument/2006/relationships/hyperlink" Target="https://studentaffairs.unt.edu/office-disability-access" TargetMode="External"/><Relationship Id="rId2" Type="http://schemas.openxmlformats.org/officeDocument/2006/relationships/styles" Target="styles.xml"/><Relationship Id="rId16" Type="http://schemas.openxmlformats.org/officeDocument/2006/relationships/hyperlink" Target="https://www.unt.edu/success/" TargetMode="External"/><Relationship Id="rId20" Type="http://schemas.openxmlformats.org/officeDocument/2006/relationships/hyperlink" Target="http://scrappysays.unt.edu/" TargetMode="External"/><Relationship Id="rId29" Type="http://schemas.openxmlformats.org/officeDocument/2006/relationships/hyperlink" Target="https://policy.unt.edu/policy/06-049" TargetMode="External"/><Relationship Id="rId41" Type="http://schemas.openxmlformats.org/officeDocument/2006/relationships/hyperlink" Target="https://policy.unt.edu/policy/06-003" TargetMode="External"/><Relationship Id="rId1" Type="http://schemas.openxmlformats.org/officeDocument/2006/relationships/numbering" Target="numbering.xml"/><Relationship Id="rId6" Type="http://schemas.openxmlformats.org/officeDocument/2006/relationships/hyperlink" Target="https://studentaffairs.unt.edu/office-disability-access" TargetMode="External"/><Relationship Id="rId11" Type="http://schemas.openxmlformats.org/officeDocument/2006/relationships/hyperlink" Target="https://studentaffairs.unt.edu/office-disability-access" TargetMode="External"/><Relationship Id="rId24" Type="http://schemas.openxmlformats.org/officeDocument/2006/relationships/hyperlink" Target="https://online.unt.edu/learn" TargetMode="External"/><Relationship Id="rId32" Type="http://schemas.openxmlformats.org/officeDocument/2006/relationships/hyperlink" Target="https://policy.unt.edu/policy/06-049" TargetMode="External"/><Relationship Id="rId37" Type="http://schemas.openxmlformats.org/officeDocument/2006/relationships/hyperlink" Target="https://policy.unt.edu/policy/06-003" TargetMode="External"/><Relationship Id="rId40" Type="http://schemas.openxmlformats.org/officeDocument/2006/relationships/hyperlink" Target="https://policy.unt.edu/policy/06-003" TargetMode="External"/><Relationship Id="rId5" Type="http://schemas.openxmlformats.org/officeDocument/2006/relationships/hyperlink" Target="https://studentaffairs.unt.edu/office-disability-access" TargetMode="External"/><Relationship Id="rId15" Type="http://schemas.openxmlformats.org/officeDocument/2006/relationships/hyperlink" Target="https://www.unt.edu/success/" TargetMode="External"/><Relationship Id="rId23" Type="http://schemas.openxmlformats.org/officeDocument/2006/relationships/hyperlink" Target="https://online.unt.edu/learn" TargetMode="External"/><Relationship Id="rId28" Type="http://schemas.openxmlformats.org/officeDocument/2006/relationships/hyperlink" Target="https://policy.unt.edu/policy/06-049" TargetMode="External"/><Relationship Id="rId36" Type="http://schemas.openxmlformats.org/officeDocument/2006/relationships/hyperlink" Target="https://policy.unt.edu/policy/06-003" TargetMode="External"/><Relationship Id="rId10" Type="http://schemas.openxmlformats.org/officeDocument/2006/relationships/hyperlink" Target="https://studentaffairs.unt.edu/office-disability-access" TargetMode="External"/><Relationship Id="rId19" Type="http://schemas.openxmlformats.org/officeDocument/2006/relationships/hyperlink" Target="https://wellness.unt.edu/" TargetMode="External"/><Relationship Id="rId31" Type="http://schemas.openxmlformats.org/officeDocument/2006/relationships/hyperlink" Target="https://policy.unt.edu/policy/06-04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udentaffairs.unt.edu/office-disability-access" TargetMode="External"/><Relationship Id="rId14" Type="http://schemas.openxmlformats.org/officeDocument/2006/relationships/hyperlink" Target="https://www.unt.edu/success/" TargetMode="External"/><Relationship Id="rId22" Type="http://schemas.openxmlformats.org/officeDocument/2006/relationships/hyperlink" Target="http://scrappysays.unt.edu/" TargetMode="External"/><Relationship Id="rId27" Type="http://schemas.openxmlformats.org/officeDocument/2006/relationships/hyperlink" Target="https://online.unt.edu/learn" TargetMode="External"/><Relationship Id="rId30" Type="http://schemas.openxmlformats.org/officeDocument/2006/relationships/hyperlink" Target="https://policy.unt.edu/policy/06-049" TargetMode="External"/><Relationship Id="rId35" Type="http://schemas.openxmlformats.org/officeDocument/2006/relationships/hyperlink" Target="https://policy.unt.edu/policy/06-049" TargetMode="External"/><Relationship Id="rId43" Type="http://schemas.openxmlformats.org/officeDocument/2006/relationships/fontTable" Target="fontTable.xml"/><Relationship Id="rId8" Type="http://schemas.openxmlformats.org/officeDocument/2006/relationships/hyperlink" Target="https://studentaffairs.unt.edu/office-disability-access" TargetMode="External"/><Relationship Id="rId3" Type="http://schemas.openxmlformats.org/officeDocument/2006/relationships/settings" Target="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s://www.unt.edu/success/" TargetMode="External"/><Relationship Id="rId25" Type="http://schemas.openxmlformats.org/officeDocument/2006/relationships/hyperlink" Target="https://online.unt.edu/learn" TargetMode="External"/><Relationship Id="rId33" Type="http://schemas.openxmlformats.org/officeDocument/2006/relationships/hyperlink" Target="https://policy.unt.edu/policy/06-049" TargetMode="External"/><Relationship Id="rId38"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2038</Words>
  <Characters>11617</Characters>
  <Application>Microsoft Office Word</Application>
  <DocSecurity>0</DocSecurity>
  <Lines>96</Lines>
  <Paragraphs>27</Paragraphs>
  <ScaleCrop>false</ScaleCrop>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Ritter, Katherine M.</dc:creator>
  <cp:keywords/>
  <dc:description/>
  <cp:lastModifiedBy>Ritter, Katherine M.</cp:lastModifiedBy>
  <cp:revision>6</cp:revision>
  <dcterms:created xsi:type="dcterms:W3CDTF">2026-01-14T15:39:00Z</dcterms:created>
  <dcterms:modified xsi:type="dcterms:W3CDTF">2026-01-14T16:09:00Z</dcterms:modified>
</cp:coreProperties>
</file>