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First Paragraph"/>
      </w:pPr>
      <w:r>
        <w:rPr>
          <w:rtl w:val="0"/>
          <w:lang w:val="en-US"/>
        </w:rPr>
        <w:t>Kyranna Kioulafa</w:t>
      </w:r>
    </w:p>
    <w:p>
      <w:pPr>
        <w:pStyle w:val="Heading"/>
      </w:pPr>
      <w:bookmarkStart w:name="personal" w:id="0"/>
      <w:r>
        <w:rPr>
          <w:rFonts w:cs="Arial Unicode MS" w:eastAsia="Arial Unicode MS"/>
          <w:rtl w:val="0"/>
          <w:lang w:val="it-IT"/>
        </w:rPr>
        <w:t>Personal</w:t>
      </w:r>
    </w:p>
    <w:p>
      <w:pPr>
        <w:pStyle w:val="First Paragraph"/>
      </w:pPr>
      <w:r>
        <w:rPr>
          <w:rFonts w:ascii="Cambria Italic" w:hAnsi="Cambria Italic"/>
          <w:rtl w:val="0"/>
          <w:lang w:val="en-US"/>
        </w:rPr>
        <w:t>Email</w:t>
      </w:r>
      <w:r>
        <w:rPr>
          <w:rtl w:val="0"/>
          <w:lang w:val="en-US"/>
        </w:rPr>
        <w:t>: Kyranna.Kioulafa@unt.edu</w:t>
      </w:r>
      <w:r>
        <w:br w:type="textWrapping"/>
      </w:r>
      <w:r>
        <w:rPr>
          <w:rFonts w:ascii="Cambria Italic" w:hAnsi="Cambria Italic"/>
          <w:rtl w:val="0"/>
          <w:lang w:val="en-US"/>
        </w:rPr>
        <w:t>Cellphone</w:t>
      </w:r>
      <w:r>
        <w:rPr>
          <w:rtl w:val="0"/>
          <w:lang w:val="en-US"/>
        </w:rPr>
        <w:t>: (940) 735-8765</w:t>
      </w:r>
      <w:r>
        <w:br w:type="textWrapping"/>
      </w:r>
      <w:r>
        <w:rPr>
          <w:rFonts w:ascii="Cambria Italic" w:hAnsi="Cambria Italic"/>
          <w:rtl w:val="0"/>
          <w:lang w:val="en-US"/>
        </w:rPr>
        <w:t>D.O.B.:</w:t>
      </w:r>
      <w:r>
        <w:rPr>
          <w:rtl w:val="0"/>
          <w:lang w:val="en-US"/>
        </w:rPr>
        <w:t xml:space="preserve"> 1990</w:t>
      </w:r>
      <w:r>
        <w:br w:type="textWrapping"/>
      </w:r>
      <w:r>
        <w:rPr>
          <w:rFonts w:ascii="Cambria Italic" w:hAnsi="Cambria Italic"/>
          <w:rtl w:val="0"/>
          <w:lang w:val="en-US"/>
        </w:rPr>
        <w:t>Current Residence:</w:t>
      </w:r>
      <w:r>
        <w:rPr>
          <w:rtl w:val="0"/>
          <w:lang w:val="en-US"/>
        </w:rPr>
        <w:t xml:space="preserve"> Richardson, TX, USA.</w:t>
      </w:r>
      <w:r>
        <w:br w:type="textWrapping"/>
      </w:r>
      <w:bookmarkEnd w:id="0"/>
    </w:p>
    <w:p>
      <w:pPr>
        <w:pStyle w:val="Heading"/>
      </w:pPr>
      <w:bookmarkStart w:name="appointments" w:id="1"/>
      <w:r>
        <w:rPr>
          <w:rFonts w:cs="Arial Unicode MS" w:eastAsia="Arial Unicode MS"/>
          <w:rtl w:val="0"/>
          <w:lang w:val="en-US"/>
        </w:rPr>
        <w:t>Appointments</w:t>
      </w:r>
    </w:p>
    <w:p>
      <w:pPr>
        <w:pStyle w:val="First Paragraph"/>
      </w:pPr>
      <w:r>
        <w:rPr>
          <w:rtl w:val="0"/>
          <w:lang w:val="en-US"/>
        </w:rPr>
        <w:t xml:space="preserve"> </w:t>
      </w:r>
    </w:p>
    <w:p>
      <w:pPr>
        <w:pStyle w:val="Body Text"/>
      </w:pPr>
      <w:r>
        <w:rPr>
          <w:rtl w:val="0"/>
          <w:lang w:val="en-US"/>
        </w:rPr>
        <w:t>Lecturer in the Mathematics Department at the University of North Texas. September 2023 - present.</w:t>
      </w:r>
    </w:p>
    <w:p>
      <w:pPr>
        <w:pStyle w:val="Body Text"/>
      </w:pPr>
      <w:r>
        <w:rPr>
          <w:rtl w:val="0"/>
          <w:lang w:val="en-US"/>
        </w:rPr>
        <w:t>Adjunct in the Mathematics Department at the University of North Texas. January 2022 - August 2023.</w:t>
      </w:r>
    </w:p>
    <w:p>
      <w:pPr>
        <w:pStyle w:val="Body Text"/>
      </w:pPr>
      <w:r>
        <w:rPr>
          <w:rtl w:val="0"/>
          <w:lang w:val="en-US"/>
        </w:rPr>
        <w:t>Mathematics Teacher at Metamorphosis Greek Orthodox School in Toronto. August 2020 - August 2021.</w:t>
      </w:r>
    </w:p>
    <w:p>
      <w:pPr>
        <w:pStyle w:val="Body Text"/>
      </w:pPr>
      <w:r>
        <w:rPr>
          <w:rtl w:val="0"/>
          <w:lang w:val="en-US"/>
        </w:rPr>
        <w:t>Mathematics Teacher at the High School of the Holy Transfiguration Church of Vrilissia in Athens. 2017-2020.</w:t>
      </w:r>
    </w:p>
    <w:p>
      <w:pPr>
        <w:pStyle w:val="Body Text"/>
      </w:pPr>
      <w:r>
        <w:rPr>
          <w:rtl w:val="0"/>
          <w:lang w:val="en-US"/>
        </w:rPr>
        <w:t xml:space="preserve">Mathematics Teacher at the school </w:t>
      </w:r>
      <w:r>
        <w:rPr>
          <w:rtl w:val="0"/>
          <w:lang w:val="en-US"/>
        </w:rPr>
        <w:t>“</w:t>
      </w:r>
      <w:r>
        <w:rPr>
          <w:rtl w:val="0"/>
          <w:lang w:val="en-US"/>
        </w:rPr>
        <w:t>Gnomon</w:t>
      </w:r>
      <w:r>
        <w:rPr>
          <w:rtl w:val="0"/>
          <w:lang w:val="en-US"/>
        </w:rPr>
        <w:t xml:space="preserve">” </w:t>
      </w:r>
      <w:r>
        <w:rPr>
          <w:rtl w:val="0"/>
          <w:lang w:val="en-US"/>
        </w:rPr>
        <w:t>in Athens. 2014-2017.</w:t>
      </w:r>
    </w:p>
    <w:p>
      <w:pPr>
        <w:pStyle w:val="Body Text"/>
      </w:pPr>
      <w:r>
        <w:rPr>
          <w:rtl w:val="0"/>
          <w:lang w:val="en-US"/>
        </w:rPr>
        <w:t>Lecturer for problem sessions for Calculus I and Topology at the University of Athens (Fall and Spring of 2013).</w:t>
      </w:r>
      <w:bookmarkEnd w:id="1"/>
    </w:p>
    <w:p>
      <w:pPr>
        <w:pStyle w:val="Heading"/>
      </w:pPr>
      <w:bookmarkStart w:name="education" w:id="2"/>
      <w:r>
        <w:rPr>
          <w:rFonts w:cs="Arial Unicode MS" w:eastAsia="Arial Unicode MS"/>
          <w:rtl w:val="0"/>
          <w:lang w:val="en-US"/>
        </w:rPr>
        <w:t>Education</w:t>
      </w:r>
    </w:p>
    <w:p>
      <w:pPr>
        <w:pStyle w:val="First Paragraph"/>
      </w:pPr>
      <w:r>
        <w:rPr>
          <w:rtl w:val="0"/>
          <w:lang w:val="en-US"/>
        </w:rPr>
        <w:t xml:space="preserve"> </w:t>
      </w:r>
    </w:p>
    <w:p>
      <w:pPr>
        <w:pStyle w:val="Body Text"/>
      </w:pPr>
      <w:r>
        <w:rPr>
          <w:rtl w:val="0"/>
          <w:lang w:val="en-US"/>
        </w:rPr>
        <w:t xml:space="preserve">University of Athens September 2016 - June 2021 </w:t>
      </w:r>
      <w:r>
        <w:rPr>
          <w:rFonts w:ascii="Cambria Italic" w:hAnsi="Cambria Italic"/>
          <w:rtl w:val="0"/>
          <w:lang w:val="en-US"/>
        </w:rPr>
        <w:t>Ph.D in Mathematics.</w:t>
      </w:r>
      <w:r>
        <w:rPr>
          <w:rtl w:val="0"/>
          <w:lang w:val="en-US"/>
        </w:rPr>
        <w:t xml:space="preserve"> Advisors: Telemachos Hatziafratis, Vassileios Nestoridis. Ph.D Thesis entitled </w:t>
      </w:r>
      <w:r>
        <w:rPr>
          <w:rFonts w:ascii="Cambria Italic" w:hAnsi="Cambria Italic"/>
          <w:rtl w:val="0"/>
          <w:lang w:val="en-US"/>
        </w:rPr>
        <w:t>Cauchy-type integrals.</w:t>
      </w:r>
    </w:p>
    <w:p>
      <w:pPr>
        <w:pStyle w:val="Body Text"/>
      </w:pPr>
      <w:r>
        <w:rPr>
          <w:rtl w:val="0"/>
          <w:lang w:val="en-US"/>
        </w:rPr>
        <w:t xml:space="preserve">University of Athens September 2014 - June 2015 </w:t>
      </w:r>
      <w:r>
        <w:rPr>
          <w:rFonts w:ascii="Cambria Italic" w:hAnsi="Cambria Italic"/>
          <w:rtl w:val="0"/>
          <w:lang w:val="en-US"/>
        </w:rPr>
        <w:t>M.Sc in Didactics and Methodology of Mathematics.</w:t>
      </w:r>
      <w:r>
        <w:rPr>
          <w:rtl w:val="0"/>
          <w:lang w:val="en-US"/>
        </w:rPr>
        <w:t xml:space="preserve"> Postgraduate Thesis entitled </w:t>
      </w:r>
      <w:r>
        <w:rPr>
          <w:rFonts w:ascii="Cambria Italic" w:hAnsi="Cambria Italic"/>
          <w:rtl w:val="0"/>
          <w:lang w:val="en-US"/>
        </w:rPr>
        <w:t>Teaching of Mathematical Analysis in Secondary Education in Europe.</w:t>
      </w:r>
    </w:p>
    <w:p>
      <w:pPr>
        <w:pStyle w:val="Body Text"/>
      </w:pPr>
      <w:r>
        <w:rPr>
          <w:rtl w:val="0"/>
          <w:lang w:val="en-US"/>
        </w:rPr>
        <w:t xml:space="preserve">University of Athens September 2008 - June 2014 </w:t>
      </w:r>
      <w:r>
        <w:rPr>
          <w:rFonts w:ascii="Cambria Italic" w:hAnsi="Cambria Italic"/>
          <w:rtl w:val="0"/>
          <w:lang w:val="en-US"/>
        </w:rPr>
        <w:t>M.Sc in Pure Mathematics.</w:t>
      </w:r>
      <w:r>
        <w:rPr>
          <w:rtl w:val="0"/>
          <w:lang w:val="en-US"/>
        </w:rPr>
        <w:t xml:space="preserve"> Masters Thesis entitled </w:t>
      </w:r>
      <w:r>
        <w:rPr>
          <w:rFonts w:ascii="Cambria Italic" w:hAnsi="Cambria Italic"/>
          <w:rtl w:val="0"/>
          <w:lang w:val="en-US"/>
        </w:rPr>
        <w:t>Quasi-uniform Convergence of Sequences of Functions.</w:t>
      </w:r>
      <w:bookmarkEnd w:id="2"/>
    </w:p>
    <w:p>
      <w:pPr>
        <w:pStyle w:val="Heading"/>
      </w:pPr>
      <w:bookmarkStart w:name="teachingexperience" w:id="3"/>
      <w:r>
        <w:rPr>
          <w:rFonts w:cs="Arial Unicode MS" w:eastAsia="Arial Unicode MS"/>
          <w:rtl w:val="0"/>
          <w:lang w:val="en-US"/>
        </w:rPr>
        <w:t>Teaching Experience</w:t>
      </w:r>
    </w:p>
    <w:p>
      <w:pPr>
        <w:pStyle w:val="Body"/>
        <w:numPr>
          <w:ilvl w:val="0"/>
          <w:numId w:val="2"/>
        </w:numPr>
        <w:rPr>
          <w:lang w:val="en-US"/>
        </w:rPr>
      </w:pPr>
      <w:r>
        <w:rPr>
          <w:rtl w:val="0"/>
          <w:lang w:val="en-US"/>
        </w:rPr>
        <w:t>Instructor for MATH 1780 (Probability Models), MATH 3680 (Applied Statistics), MATH 1180 (College Math for Business, Economics, and Related Fields), MATH 1190 (Business Calculus), and MATH 2700 (Linear Algebra) at the University of North Texas</w:t>
      </w:r>
    </w:p>
    <w:p>
      <w:pPr>
        <w:pStyle w:val="Body"/>
        <w:numPr>
          <w:ilvl w:val="0"/>
          <w:numId w:val="2"/>
        </w:numPr>
        <w:rPr>
          <w:lang w:val="en-US"/>
        </w:rPr>
      </w:pPr>
      <w:r>
        <w:rPr>
          <w:rtl w:val="0"/>
          <w:lang w:val="en-US"/>
        </w:rPr>
        <w:t>Instructor for problem solving sessions in Calculus and Topology at the University of Athens</w:t>
      </w:r>
    </w:p>
    <w:p>
      <w:pPr>
        <w:pStyle w:val="Body"/>
        <w:numPr>
          <w:ilvl w:val="0"/>
          <w:numId w:val="2"/>
        </w:numPr>
        <w:rPr>
          <w:lang w:val="en-US"/>
        </w:rPr>
      </w:pPr>
      <w:r>
        <w:rPr>
          <w:rtl w:val="0"/>
          <w:lang w:val="en-US"/>
        </w:rPr>
        <w:t>Instructor for various levels of middle school and high school mathematics courses in Canada and Greece.</w:t>
      </w:r>
      <w:bookmarkEnd w:id="3"/>
    </w:p>
    <w:p>
      <w:pPr>
        <w:pStyle w:val="Heading"/>
      </w:pPr>
      <w:bookmarkStart w:name="publications" w:id="4"/>
      <w:r>
        <w:rPr>
          <w:rFonts w:cs="Arial Unicode MS" w:eastAsia="Arial Unicode MS"/>
          <w:rtl w:val="0"/>
          <w:lang w:val="en-US"/>
        </w:rPr>
        <w:t>Publications</w:t>
      </w:r>
    </w:p>
    <w:p>
      <w:pPr>
        <w:pStyle w:val="Body"/>
        <w:numPr>
          <w:ilvl w:val="0"/>
          <w:numId w:val="3"/>
        </w:numPr>
        <w:rPr>
          <w:lang w:val="en-US"/>
        </w:rPr>
      </w:pPr>
      <w:r>
        <w:rPr>
          <w:rFonts w:ascii="Cambria Italic" w:hAnsi="Cambria Italic"/>
          <w:rtl w:val="0"/>
          <w:lang w:val="en-US"/>
        </w:rPr>
        <w:t>On Bergman type spaces of holomorphic functions and the density, in these spaces, of certain classes of singular functions.</w:t>
      </w:r>
      <w:r>
        <w:rPr>
          <w:rtl w:val="0"/>
          <w:lang w:val="en-US"/>
        </w:rPr>
        <w:t xml:space="preserve">. T. Hatziafratis, K. Kioulafa, and V. Nestoridis. </w:t>
      </w:r>
      <w:r>
        <w:rPr>
          <w:rFonts w:ascii="Cambria Bold" w:hAnsi="Cambria Bold"/>
          <w:rtl w:val="0"/>
          <w:lang w:val="en-US"/>
        </w:rPr>
        <w:t>Complex Variables and Elliptic Equations</w:t>
      </w:r>
      <w:r>
        <w:rPr>
          <w:rtl w:val="0"/>
        </w:rPr>
        <w:t>, 63(7-8):1011 - 1032, 2018.</w:t>
      </w:r>
    </w:p>
    <w:p>
      <w:pPr>
        <w:pStyle w:val="Body"/>
        <w:numPr>
          <w:ilvl w:val="0"/>
          <w:numId w:val="2"/>
        </w:numPr>
        <w:rPr>
          <w:lang w:val="en-US"/>
        </w:rPr>
      </w:pPr>
      <w:r>
        <w:rPr>
          <w:rFonts w:ascii="Cambria Italic" w:hAnsi="Cambria Italic"/>
          <w:rtl w:val="0"/>
          <w:lang w:val="en-US"/>
        </w:rPr>
        <w:t>On Hardy type spaces in strictly pseudoconvex domains and the density, in these spaces, of certain classes of singular functions</w:t>
      </w:r>
      <w:r>
        <w:rPr>
          <w:rtl w:val="0"/>
          <w:lang w:val="it-IT"/>
        </w:rPr>
        <w:t xml:space="preserve">. Kyranna Kioulafa. </w:t>
      </w:r>
      <w:r>
        <w:rPr>
          <w:rFonts w:ascii="Cambria Bold" w:hAnsi="Cambria Bold"/>
          <w:rtl w:val="0"/>
          <w:lang w:val="en-US"/>
        </w:rPr>
        <w:t>Journal of Mathematical Analysis and Applications</w:t>
      </w:r>
      <w:r>
        <w:rPr>
          <w:rtl w:val="0"/>
        </w:rPr>
        <w:t>, Volume 484, 2020.</w:t>
      </w:r>
    </w:p>
    <w:p>
      <w:pPr>
        <w:pStyle w:val="Body"/>
        <w:numPr>
          <w:ilvl w:val="0"/>
          <w:numId w:val="2"/>
        </w:numPr>
        <w:rPr>
          <w:lang w:val="en-US"/>
        </w:rPr>
      </w:pPr>
      <w:r>
        <w:rPr>
          <w:rFonts w:ascii="Cambria Italic" w:hAnsi="Cambria Italic"/>
          <w:rtl w:val="0"/>
          <w:lang w:val="en-US"/>
        </w:rPr>
        <w:t>Universal Taylor Series on products of planar domains</w:t>
      </w:r>
      <w:r>
        <w:rPr>
          <w:rtl w:val="0"/>
          <w:lang w:val="en-US"/>
        </w:rPr>
        <w:t xml:space="preserve">. K. Kioulafa, G. Kotsovolis, and V. Nestoridis. </w:t>
      </w:r>
      <w:r>
        <w:rPr>
          <w:rFonts w:ascii="Cambria Bold" w:hAnsi="Cambria Bold"/>
          <w:rtl w:val="0"/>
          <w:lang w:val="en-US"/>
        </w:rPr>
        <w:t>Complex Analysis and its Synergies.</w:t>
      </w:r>
      <w:r>
        <w:rPr>
          <w:rtl w:val="0"/>
          <w:lang w:val="en-US"/>
        </w:rPr>
        <w:t xml:space="preserve"> Volume 7, article number 19, 2021.</w:t>
      </w:r>
      <w:bookmarkEnd w:id="4"/>
    </w:p>
    <w:p>
      <w:pPr>
        <w:pStyle w:val="Heading"/>
      </w:pPr>
      <w:bookmarkStart w:name="conferences" w:id="5"/>
      <w:r>
        <w:rPr>
          <w:rFonts w:cs="Arial Unicode MS" w:eastAsia="Arial Unicode MS"/>
          <w:rtl w:val="0"/>
          <w:lang w:val="fr-FR"/>
        </w:rPr>
        <w:t>Conferences</w:t>
      </w:r>
    </w:p>
    <w:p>
      <w:pPr>
        <w:pStyle w:val="First Paragraph"/>
      </w:pPr>
      <w:r>
        <w:rPr>
          <w:rtl w:val="0"/>
          <w:lang w:val="en-US"/>
        </w:rPr>
        <w:t xml:space="preserve"> </w:t>
      </w:r>
    </w:p>
    <w:p>
      <w:pPr>
        <w:pStyle w:val="Body Text"/>
      </w:pPr>
      <w:r>
        <w:rPr>
          <w:rtl w:val="0"/>
          <w:lang w:val="en-US"/>
        </w:rPr>
        <w:t xml:space="preserve">Speaker at the 30th conference of HMS The title of the talk was </w:t>
      </w:r>
      <w:r>
        <w:rPr>
          <w:rFonts w:ascii="Cambria Italic" w:hAnsi="Cambria Italic"/>
          <w:rtl w:val="0"/>
          <w:lang w:val="en-US"/>
        </w:rPr>
        <w:t>The use of Geogebra in Consoli dating absolute value functions.</w:t>
      </w:r>
    </w:p>
    <w:p>
      <w:pPr>
        <w:pStyle w:val="Body Text"/>
      </w:pPr>
      <w:r>
        <w:rPr>
          <w:rtl w:val="0"/>
          <w:lang w:val="en-US"/>
        </w:rPr>
        <w:t>Speaker at the 5th conference of ENEDIM The topic of the talk was the mathematical concept of the Limit.</w:t>
      </w:r>
    </w:p>
    <w:p>
      <w:pPr>
        <w:pStyle w:val="Body Text"/>
      </w:pPr>
      <w:r>
        <w:rPr>
          <w:rtl w:val="0"/>
          <w:lang w:val="en-US"/>
        </w:rPr>
        <w:t xml:space="preserve">July Speaker at the International Conference on Topology and its Applications. The title of the talk was </w:t>
      </w:r>
      <w:r>
        <w:rPr>
          <w:rFonts w:ascii="Cambria Italic" w:hAnsi="Cambria Italic"/>
          <w:rtl w:val="0"/>
          <w:lang w:val="en-US"/>
        </w:rPr>
        <w:t>convergences of sequences of real-valued functions related to the uniform convergence.</w:t>
      </w:r>
    </w:p>
    <w:p>
      <w:pPr>
        <w:pStyle w:val="Body Text"/>
      </w:pPr>
      <w:r>
        <w:rPr>
          <w:rtl w:val="0"/>
          <w:lang w:val="en-US"/>
        </w:rPr>
        <w:t>Speaker at the 32th conference of HMS. The topic of the talk was Teaching of Mathematical Analysis in secondary education in Europe.</w:t>
      </w:r>
      <w:bookmarkEnd w:id="5"/>
    </w:p>
    <w:p>
      <w:pPr>
        <w:pStyle w:val="Heading"/>
      </w:pPr>
      <w:bookmarkStart w:name="languages" w:id="6"/>
      <w:r>
        <w:rPr>
          <w:rFonts w:cs="Arial Unicode MS" w:eastAsia="Arial Unicode MS"/>
          <w:rtl w:val="0"/>
          <w:lang w:val="en-US"/>
        </w:rPr>
        <w:t>Languages</w:t>
      </w:r>
    </w:p>
    <w:p>
      <w:pPr>
        <w:pStyle w:val="First Paragraph"/>
      </w:pPr>
      <w:r>
        <w:rPr>
          <w:rtl w:val="0"/>
          <w:lang w:val="en-US"/>
        </w:rPr>
        <w:t xml:space="preserve"> </w:t>
      </w:r>
    </w:p>
    <w:p>
      <w:pPr>
        <w:pStyle w:val="Body Text"/>
      </w:pPr>
      <w:r>
        <w:rPr>
          <w:rtl w:val="0"/>
          <w:lang w:val="en-US"/>
        </w:rPr>
        <w:t>Professionally Proficient in English.</w:t>
      </w:r>
    </w:p>
    <w:p>
      <w:pPr>
        <w:pStyle w:val="Body Text"/>
      </w:pPr>
      <w:r>
        <w:rPr>
          <w:rtl w:val="0"/>
          <w:lang w:val="en-US"/>
        </w:rPr>
        <w:t>Native proficiency in Greek.</w:t>
      </w:r>
      <w:bookmarkEnd w:id="6"/>
    </w:p>
    <w:p>
      <w:pPr>
        <w:pStyle w:val="Heading"/>
      </w:pPr>
      <w:bookmarkStart w:name="references" w:id="7"/>
      <w:r>
        <w:rPr>
          <w:rFonts w:cs="Arial Unicode MS" w:eastAsia="Arial Unicode MS"/>
          <w:rtl w:val="0"/>
          <w:lang w:val="fr-FR"/>
        </w:rPr>
        <w:t>References</w:t>
      </w:r>
    </w:p>
    <w:p>
      <w:pPr>
        <w:pStyle w:val="First Paragraph"/>
      </w:pPr>
      <w:r>
        <w:rPr>
          <w:rtl w:val="0"/>
          <w:lang w:val="en-US"/>
        </w:rPr>
        <w:t xml:space="preserve"> </w:t>
      </w:r>
    </w:p>
    <w:p>
      <w:pPr>
        <w:pStyle w:val="Body Text"/>
      </w:pPr>
      <w:r>
        <w:rPr>
          <w:rtl w:val="0"/>
          <w:lang w:val="en-US"/>
        </w:rPr>
        <w:t>Dr. Matthew Dulock University of North Texas, Mathematics matthew.dulock@unt.edu</w:t>
      </w:r>
    </w:p>
    <w:p>
      <w:pPr>
        <w:pStyle w:val="Body Text"/>
      </w:pPr>
      <w:r>
        <w:rPr>
          <w:rtl w:val="0"/>
          <w:lang w:val="en-US"/>
        </w:rPr>
        <w:t>Professor Mariusz Urbanski University of North Texas, Mathematics Mariusz.Urbanski@unt.edu</w:t>
      </w:r>
    </w:p>
    <w:p>
      <w:pPr>
        <w:pStyle w:val="Body Text"/>
      </w:pPr>
      <w:r>
        <w:rPr>
          <w:rtl w:val="0"/>
          <w:lang w:val="en-US"/>
        </w:rPr>
        <w:t>Professor Telemachos Hatziafratis University of Athens, Mathematics thatziaf@math.uoa.gr</w:t>
      </w:r>
    </w:p>
    <w:p>
      <w:pPr>
        <w:pStyle w:val="Body Text"/>
      </w:pPr>
      <w:r>
        <w:rPr>
          <w:rtl w:val="0"/>
          <w:lang w:val="en-US"/>
        </w:rPr>
        <w:t>Professor Vassileios Nestoridis University of Athens, Mathematics vnestor@math.uoa.gr</w:t>
      </w:r>
    </w:p>
    <w:p>
      <w:pPr>
        <w:pStyle w:val="Body Text"/>
      </w:pPr>
      <w:r>
        <w:rPr>
          <w:rtl w:val="0"/>
          <w:lang w:val="en-US"/>
        </w:rPr>
        <w:t>Professor Paul Gauthier Universit</w:t>
      </w:r>
      <w:r>
        <w:rPr>
          <w:rtl w:val="0"/>
          <w:lang w:val="en-US"/>
        </w:rPr>
        <w:t xml:space="preserve">é </w:t>
      </w:r>
      <w:r>
        <w:rPr>
          <w:rtl w:val="0"/>
          <w:lang w:val="en-US"/>
        </w:rPr>
        <w:t>de Montr</w:t>
      </w:r>
      <w:r>
        <w:rPr>
          <w:rtl w:val="0"/>
          <w:lang w:val="en-US"/>
        </w:rPr>
        <w:t>é</w:t>
      </w:r>
      <w:r>
        <w:rPr>
          <w:rtl w:val="0"/>
          <w:lang w:val="en-US"/>
        </w:rPr>
        <w:t>al, Mathematics gauthier@dms.umontreal.ca</w:t>
      </w:r>
      <w:bookmarkEnd w:id="7"/>
    </w:p>
    <w:sectPr>
      <w:headerReference w:type="default" r:id="rId4"/>
      <w:footerReference w:type="default" r:id="rId5"/>
      <w:pgSz w:w="12240" w:h="142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 w:name="Cambria Italic">
    <w:charset w:val="00"/>
    <w:family w:val="roman"/>
    <w:pitch w:val="default"/>
  </w:font>
  <w:font w:name="Cambria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irst Paragraph">
    <w:name w:val="First Paragraph"/>
    <w:next w:val="Body Text"/>
    <w:pPr>
      <w:keepNext w:val="0"/>
      <w:keepLines w:val="0"/>
      <w:pageBreakBefore w:val="0"/>
      <w:widowControl w:val="1"/>
      <w:shd w:val="clear" w:color="auto" w:fill="auto"/>
      <w:suppressAutoHyphens w:val="0"/>
      <w:bidi w:val="0"/>
      <w:spacing w:before="180" w:after="18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180" w:after="18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w:name w:val="Heading"/>
    <w:next w:val="Body Text"/>
    <w:pPr>
      <w:keepNext w:val="1"/>
      <w:keepLines w:val="1"/>
      <w:pageBreakBefore w:val="0"/>
      <w:widowControl w:val="1"/>
      <w:shd w:val="clear" w:color="auto" w:fill="auto"/>
      <w:suppressAutoHyphens w:val="0"/>
      <w:bidi w:val="0"/>
      <w:spacing w:before="480" w:after="0" w:line="240" w:lineRule="auto"/>
      <w:ind w:left="0" w:right="0" w:firstLine="0"/>
      <w:jc w:val="left"/>
      <w:outlineLvl w:val="0"/>
    </w:pPr>
    <w:rPr>
      <w:rFonts w:ascii="Calibri" w:cs="Calibri" w:hAnsi="Calibri" w:eastAsia="Calibri"/>
      <w:b w:val="1"/>
      <w:bCs w:val="1"/>
      <w:i w:val="0"/>
      <w:iCs w:val="0"/>
      <w:caps w:val="0"/>
      <w:smallCaps w:val="0"/>
      <w:strike w:val="0"/>
      <w:dstrike w:val="0"/>
      <w:outline w:val="0"/>
      <w:color w:val="4f81bd"/>
      <w:spacing w:val="0"/>
      <w:kern w:val="0"/>
      <w:position w:val="0"/>
      <w:sz w:val="32"/>
      <w:szCs w:val="32"/>
      <w:u w:val="none" w:color="4f81bd"/>
      <w:shd w:val="nil" w:color="auto" w:fill="auto"/>
      <w:vertAlign w:val="baseline"/>
      <w14:textOutline>
        <w14:noFill/>
      </w14:textOutline>
      <w14:textFill>
        <w14:solidFill>
          <w14:srgbClr w14:val="4F81BD"/>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