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0098" w14:textId="32AA6D93" w:rsidR="0038514C" w:rsidRPr="00CB35B0" w:rsidRDefault="001673C0" w:rsidP="0038514C">
      <w:pPr>
        <w:jc w:val="center"/>
        <w:rPr>
          <w:rFonts w:ascii="Seaford" w:hAnsi="Seaford"/>
          <w:b/>
          <w:bCs/>
          <w:smallCaps/>
          <w:color w:val="000000"/>
          <w:sz w:val="30"/>
          <w:szCs w:val="30"/>
        </w:rPr>
      </w:pPr>
      <w:r>
        <w:rPr>
          <w:rFonts w:ascii="Seaford" w:hAnsi="Seaford"/>
          <w:b/>
          <w:bCs/>
          <w:smallCaps/>
          <w:color w:val="000000"/>
          <w:sz w:val="30"/>
          <w:szCs w:val="30"/>
        </w:rPr>
        <w:t>Theory</w:t>
      </w:r>
      <w:r w:rsidR="0038514C" w:rsidRPr="00CB35B0">
        <w:rPr>
          <w:rFonts w:ascii="Seaford" w:hAnsi="Seaford"/>
          <w:b/>
          <w:bCs/>
          <w:smallCaps/>
          <w:color w:val="000000"/>
          <w:sz w:val="30"/>
          <w:szCs w:val="30"/>
        </w:rPr>
        <w:t xml:space="preserve"> III (for Jazz Studies Majors)</w:t>
      </w:r>
    </w:p>
    <w:p w14:paraId="70BDF800" w14:textId="1D6C8414" w:rsidR="00171428" w:rsidRPr="00BC1024" w:rsidRDefault="00D85CDB" w:rsidP="00082DD7">
      <w:pPr>
        <w:jc w:val="center"/>
        <w:rPr>
          <w:rFonts w:ascii="Seaford" w:hAnsi="Seaford"/>
          <w:color w:val="000000"/>
        </w:rPr>
      </w:pPr>
      <w:r w:rsidRPr="00BC1024">
        <w:rPr>
          <w:rFonts w:ascii="Seaford" w:hAnsi="Seaford"/>
          <w:color w:val="000000"/>
        </w:rPr>
        <w:t xml:space="preserve">MW </w:t>
      </w:r>
      <w:r w:rsidR="001673C0">
        <w:rPr>
          <w:rFonts w:ascii="Seaford" w:hAnsi="Seaford"/>
          <w:color w:val="000000"/>
        </w:rPr>
        <w:t>10</w:t>
      </w:r>
      <w:r w:rsidR="0051598C" w:rsidRPr="00BC1024">
        <w:rPr>
          <w:rFonts w:ascii="Seaford" w:hAnsi="Seaford"/>
          <w:color w:val="000000"/>
        </w:rPr>
        <w:t>-</w:t>
      </w:r>
      <w:r w:rsidR="001673C0">
        <w:rPr>
          <w:rFonts w:ascii="Seaford" w:hAnsi="Seaford"/>
          <w:color w:val="000000"/>
        </w:rPr>
        <w:t>10:5</w:t>
      </w:r>
      <w:r w:rsidR="00394510">
        <w:rPr>
          <w:rFonts w:ascii="Seaford" w:hAnsi="Seaford"/>
          <w:color w:val="000000"/>
        </w:rPr>
        <w:t>0</w:t>
      </w:r>
      <w:r w:rsidR="0038514C">
        <w:rPr>
          <w:rFonts w:ascii="Seaford" w:hAnsi="Seaford"/>
          <w:color w:val="000000"/>
        </w:rPr>
        <w:t xml:space="preserve"> | </w:t>
      </w:r>
      <w:r w:rsidR="00171428" w:rsidRPr="00BC1024">
        <w:rPr>
          <w:rFonts w:ascii="Seaford" w:hAnsi="Seaford"/>
          <w:color w:val="000000"/>
        </w:rPr>
        <w:t xml:space="preserve">Room </w:t>
      </w:r>
      <w:r w:rsidR="00236CD7">
        <w:rPr>
          <w:rFonts w:ascii="Seaford" w:hAnsi="Seaford"/>
          <w:color w:val="000000"/>
        </w:rPr>
        <w:t>2</w:t>
      </w:r>
      <w:r w:rsidR="001673C0">
        <w:rPr>
          <w:rFonts w:ascii="Seaford" w:hAnsi="Seaford"/>
          <w:color w:val="000000"/>
        </w:rPr>
        <w:t>8</w:t>
      </w:r>
      <w:r w:rsidR="00236CD7">
        <w:rPr>
          <w:rFonts w:ascii="Seaford" w:hAnsi="Seaford"/>
          <w:color w:val="000000"/>
        </w:rPr>
        <w:t>2</w:t>
      </w:r>
      <w:r w:rsidR="001673C0">
        <w:rPr>
          <w:rFonts w:ascii="Seaford" w:hAnsi="Seaford"/>
          <w:color w:val="000000"/>
        </w:rPr>
        <w:t xml:space="preserve"> (Lab West)</w:t>
      </w:r>
    </w:p>
    <w:p w14:paraId="42E0040C" w14:textId="2E363BE1" w:rsidR="00E34C01" w:rsidRPr="00BC1024" w:rsidRDefault="0038514C" w:rsidP="00E34C01">
      <w:pPr>
        <w:rPr>
          <w:rFonts w:ascii="Seaford" w:hAnsi="Seaford"/>
          <w:color w:val="000000"/>
        </w:rPr>
      </w:pPr>
      <w:r>
        <w:rPr>
          <w:rFonts w:ascii="Seaford" w:hAnsi="Seaford"/>
          <w:color w:val="000000"/>
        </w:rPr>
        <w:t>_____________________________________________________________________________________</w:t>
      </w:r>
    </w:p>
    <w:p w14:paraId="2708175A" w14:textId="77777777" w:rsidR="00046C5C" w:rsidRPr="00BC1024" w:rsidRDefault="00046C5C">
      <w:pPr>
        <w:rPr>
          <w:rFonts w:ascii="Seaford" w:hAnsi="Seaford"/>
          <w:color w:val="000000"/>
        </w:rPr>
      </w:pPr>
    </w:p>
    <w:p w14:paraId="7C74AD1C" w14:textId="12B0251F" w:rsidR="00AF20D2" w:rsidRPr="00BC1024" w:rsidRDefault="00E34C01" w:rsidP="0038514C">
      <w:pPr>
        <w:tabs>
          <w:tab w:val="right" w:pos="8640"/>
        </w:tabs>
        <w:rPr>
          <w:rFonts w:ascii="Seaford" w:hAnsi="Seaford"/>
          <w:color w:val="000000"/>
        </w:rPr>
      </w:pPr>
      <w:r w:rsidRPr="00BC1024">
        <w:rPr>
          <w:rFonts w:ascii="Seaford" w:hAnsi="Seaford"/>
          <w:color w:val="000000"/>
        </w:rPr>
        <w:t>Instructor</w:t>
      </w:r>
      <w:r w:rsidR="00ED6133" w:rsidRPr="00BC1024">
        <w:rPr>
          <w:rFonts w:ascii="Seaford" w:hAnsi="Seaford"/>
          <w:color w:val="000000"/>
        </w:rPr>
        <w:t>:</w:t>
      </w:r>
      <w:r w:rsidRPr="00BC1024">
        <w:rPr>
          <w:rFonts w:ascii="Seaford" w:hAnsi="Seaford"/>
          <w:color w:val="000000"/>
        </w:rPr>
        <w:t xml:space="preserve"> </w:t>
      </w:r>
      <w:r w:rsidR="005B1EE1" w:rsidRPr="00BC1024">
        <w:rPr>
          <w:rFonts w:ascii="Seaford" w:hAnsi="Seaford"/>
          <w:color w:val="000000"/>
        </w:rPr>
        <w:t>Kai Wagner</w:t>
      </w:r>
      <w:r w:rsidR="0038514C">
        <w:rPr>
          <w:rFonts w:ascii="Seaford" w:hAnsi="Seaford"/>
          <w:color w:val="000000"/>
        </w:rPr>
        <w:tab/>
      </w:r>
    </w:p>
    <w:p w14:paraId="23220E13" w14:textId="0A8CC578" w:rsidR="00E34C01" w:rsidRPr="00BC1024" w:rsidRDefault="009B1D1F" w:rsidP="0038514C">
      <w:pPr>
        <w:tabs>
          <w:tab w:val="right" w:pos="8640"/>
        </w:tabs>
        <w:rPr>
          <w:rFonts w:ascii="Seaford" w:hAnsi="Seaford"/>
          <w:color w:val="000000"/>
        </w:rPr>
      </w:pPr>
      <w:r w:rsidRPr="00BC1024">
        <w:rPr>
          <w:rFonts w:ascii="Seaford" w:hAnsi="Seaford"/>
          <w:color w:val="000000"/>
        </w:rPr>
        <w:t xml:space="preserve">Email: </w:t>
      </w:r>
      <w:r w:rsidR="00722538" w:rsidRPr="00BC1024">
        <w:rPr>
          <w:rFonts w:ascii="Seaford" w:hAnsi="Seaford"/>
          <w:color w:val="000000"/>
        </w:rPr>
        <w:t>KaiWagner</w:t>
      </w:r>
      <w:r w:rsidR="0051598C" w:rsidRPr="00BC1024">
        <w:rPr>
          <w:rFonts w:ascii="Seaford" w:hAnsi="Seaford"/>
          <w:color w:val="000000"/>
        </w:rPr>
        <w:t>@my.unt.edu</w:t>
      </w:r>
      <w:r w:rsidR="0038514C">
        <w:rPr>
          <w:rFonts w:ascii="Seaford" w:hAnsi="Seaford"/>
          <w:color w:val="000000"/>
        </w:rPr>
        <w:tab/>
      </w:r>
    </w:p>
    <w:p w14:paraId="6C82AEF7" w14:textId="25468CDC" w:rsidR="009B1D1F" w:rsidRPr="00BC1024" w:rsidRDefault="009B1D1F" w:rsidP="0038514C">
      <w:pPr>
        <w:tabs>
          <w:tab w:val="right" w:pos="8640"/>
        </w:tabs>
        <w:rPr>
          <w:rFonts w:ascii="Seaford" w:hAnsi="Seaford"/>
          <w:color w:val="000000"/>
        </w:rPr>
      </w:pPr>
      <w:r w:rsidRPr="00BC1024">
        <w:rPr>
          <w:rFonts w:ascii="Seaford" w:hAnsi="Seaford"/>
          <w:color w:val="000000"/>
        </w:rPr>
        <w:t xml:space="preserve">Office: </w:t>
      </w:r>
      <w:r w:rsidR="00AE3C0D">
        <w:rPr>
          <w:rFonts w:ascii="Seaford" w:hAnsi="Seaford"/>
          <w:color w:val="000000"/>
        </w:rPr>
        <w:t>Music Building 280A</w:t>
      </w:r>
      <w:r w:rsidR="0038514C">
        <w:rPr>
          <w:rFonts w:ascii="Seaford" w:hAnsi="Seaford"/>
          <w:color w:val="000000"/>
        </w:rPr>
        <w:tab/>
      </w:r>
    </w:p>
    <w:p w14:paraId="6C7F1F2E" w14:textId="36A4E780" w:rsidR="009B1D1F" w:rsidRPr="00BC1024" w:rsidRDefault="009B1D1F" w:rsidP="0038514C">
      <w:pPr>
        <w:tabs>
          <w:tab w:val="right" w:pos="8640"/>
        </w:tabs>
        <w:rPr>
          <w:rFonts w:ascii="Seaford" w:hAnsi="Seaford"/>
          <w:color w:val="000000"/>
        </w:rPr>
      </w:pPr>
      <w:r w:rsidRPr="00BC1024">
        <w:rPr>
          <w:rFonts w:ascii="Seaford" w:hAnsi="Seaford"/>
          <w:color w:val="000000"/>
        </w:rPr>
        <w:t xml:space="preserve">Office Hours: </w:t>
      </w:r>
      <w:r w:rsidR="0051598C" w:rsidRPr="00BC1024">
        <w:rPr>
          <w:rFonts w:ascii="Seaford" w:hAnsi="Seaford"/>
          <w:color w:val="000000"/>
        </w:rPr>
        <w:t>by appointment</w:t>
      </w:r>
      <w:r w:rsidR="0038514C">
        <w:rPr>
          <w:rFonts w:ascii="Seaford" w:hAnsi="Seaford"/>
          <w:color w:val="000000"/>
        </w:rPr>
        <w:tab/>
      </w:r>
    </w:p>
    <w:p w14:paraId="4BEDC924" w14:textId="77777777" w:rsidR="0038514C" w:rsidRPr="00BC1024" w:rsidRDefault="0038514C">
      <w:pPr>
        <w:rPr>
          <w:rFonts w:ascii="Seaford" w:hAnsi="Seaford"/>
          <w:color w:val="000000"/>
        </w:rPr>
      </w:pPr>
    </w:p>
    <w:p w14:paraId="6BC7BD50" w14:textId="1B22A96B" w:rsidR="00B47AC1" w:rsidRPr="00E01337" w:rsidRDefault="00B47AC1" w:rsidP="00AD3E0F">
      <w:pPr>
        <w:rPr>
          <w:rFonts w:ascii="Seaford" w:hAnsi="Seaford"/>
          <w:b/>
          <w:bCs/>
          <w:color w:val="000000"/>
        </w:rPr>
      </w:pPr>
      <w:r w:rsidRPr="00E01337">
        <w:rPr>
          <w:rFonts w:ascii="Seaford" w:hAnsi="Seaford"/>
          <w:b/>
          <w:bCs/>
          <w:color w:val="000000"/>
        </w:rPr>
        <w:t>Course Philosophy:</w:t>
      </w:r>
    </w:p>
    <w:p w14:paraId="3397BC19" w14:textId="35D2E9A6" w:rsidR="00A760F6" w:rsidRDefault="001673C0" w:rsidP="00AD3E0F">
      <w:pPr>
        <w:rPr>
          <w:rFonts w:ascii="Seaford" w:hAnsi="Seaford"/>
          <w:color w:val="000000"/>
        </w:rPr>
      </w:pPr>
      <w:r>
        <w:rPr>
          <w:rFonts w:ascii="Seaford" w:hAnsi="Seaford"/>
          <w:color w:val="000000"/>
        </w:rPr>
        <w:tab/>
      </w:r>
      <w:r w:rsidR="00A760F6">
        <w:rPr>
          <w:rFonts w:ascii="Seaford" w:hAnsi="Seaford"/>
          <w:color w:val="000000"/>
        </w:rPr>
        <w:t>Theory is the tool that connects what you hear to what you feel. Without this, your ability to precisely identify exactly what it is that you love to listen to, and your ability to create that feeling in your own music, are severely inhibited. This course is designed to introduce elements of jazz music that can help you to connect your sonic interests with your emotional intuition.</w:t>
      </w:r>
    </w:p>
    <w:p w14:paraId="5C9E84FD" w14:textId="19217525" w:rsidR="001673C0" w:rsidRDefault="001673C0" w:rsidP="00A760F6">
      <w:pPr>
        <w:ind w:firstLine="720"/>
        <w:rPr>
          <w:rFonts w:ascii="Seaford" w:hAnsi="Seaford"/>
          <w:color w:val="000000"/>
        </w:rPr>
      </w:pPr>
      <w:r>
        <w:rPr>
          <w:rFonts w:ascii="Seaford" w:hAnsi="Seaford"/>
          <w:color w:val="000000"/>
        </w:rPr>
        <w:t>Theory is a descriptive field of study. Instead of a set of rules by which music is constrained, theory provides the current best description for how music is conceptualized and actualized. Because music is always evolving, theory also evolves with it, often having to change and re-write the ways we attempt to explain the music we hear.</w:t>
      </w:r>
    </w:p>
    <w:p w14:paraId="2CC43F59" w14:textId="2B243286" w:rsidR="001673C0" w:rsidRDefault="001673C0" w:rsidP="00AD3E0F">
      <w:pPr>
        <w:rPr>
          <w:rFonts w:ascii="Seaford" w:hAnsi="Seaford"/>
          <w:color w:val="000000"/>
        </w:rPr>
      </w:pPr>
      <w:r>
        <w:rPr>
          <w:rFonts w:ascii="Seaford" w:hAnsi="Seaford"/>
          <w:color w:val="000000"/>
        </w:rPr>
        <w:tab/>
      </w:r>
      <w:r w:rsidRPr="00BC1024">
        <w:rPr>
          <w:rFonts w:ascii="Seaford" w:hAnsi="Seaford"/>
          <w:color w:val="000000"/>
        </w:rPr>
        <w:t>For any current music student, whether they plan on playing, teaching, researching, recording, or otherwise engaging with music, aural skills are essential. In jazz or any other improvisatory and collaborative style, the extent to which we can</w:t>
      </w:r>
      <w:r>
        <w:rPr>
          <w:rFonts w:ascii="Seaford" w:hAnsi="Seaford"/>
          <w:color w:val="000000"/>
        </w:rPr>
        <w:t xml:space="preserve"> comprehend the elements of musical choice in a music determines the extent to which we can recreate the same feelings that were evoked using new but similar music.</w:t>
      </w:r>
    </w:p>
    <w:p w14:paraId="19B50D14" w14:textId="630F5DD6" w:rsidR="00A448A3" w:rsidRPr="00BC1024" w:rsidRDefault="001673C0" w:rsidP="00AD3E0F">
      <w:pPr>
        <w:rPr>
          <w:rFonts w:ascii="Seaford" w:hAnsi="Seaford"/>
          <w:color w:val="000000"/>
        </w:rPr>
      </w:pPr>
      <w:r>
        <w:rPr>
          <w:rFonts w:ascii="Seaford" w:hAnsi="Seaford"/>
          <w:color w:val="000000"/>
        </w:rPr>
        <w:tab/>
        <w:t xml:space="preserve">Today, whether we like it or not, musicians who are proficient at jazz are also almost always knowledgeable in the field of music theory. If a jazz student today lacks theoretical knowledge, their ability to comprehend and communicate with other musicians is severely lacking. Through careful examination of the music we listen to, breaking down harmonic, melodic, and other elements, we can learn to evoke emotion in a communicative way that allows us to play extemporaneous music with others. </w:t>
      </w:r>
      <w:r w:rsidR="00A7122D" w:rsidRPr="00BC1024">
        <w:rPr>
          <w:rFonts w:ascii="Seaford" w:hAnsi="Seaford"/>
          <w:color w:val="000000"/>
        </w:rPr>
        <w:t xml:space="preserve">The </w:t>
      </w:r>
      <w:r w:rsidR="0038514C">
        <w:rPr>
          <w:rFonts w:ascii="Seaford" w:hAnsi="Seaford"/>
          <w:color w:val="000000"/>
        </w:rPr>
        <w:t xml:space="preserve">following </w:t>
      </w:r>
      <w:r w:rsidR="00A7122D" w:rsidRPr="00BC1024">
        <w:rPr>
          <w:rFonts w:ascii="Seaford" w:hAnsi="Seaford"/>
          <w:color w:val="000000"/>
        </w:rPr>
        <w:t>objectives enumerate the primary areas of focus for this course:</w:t>
      </w:r>
    </w:p>
    <w:p w14:paraId="198F2611" w14:textId="77777777" w:rsidR="00AD3E0F" w:rsidRPr="00BC1024" w:rsidRDefault="00AD3E0F">
      <w:pPr>
        <w:rPr>
          <w:rFonts w:ascii="Seaford" w:hAnsi="Seaford"/>
          <w:color w:val="000000"/>
        </w:rPr>
      </w:pPr>
    </w:p>
    <w:p w14:paraId="23B40D94" w14:textId="77777777" w:rsidR="00E34C01" w:rsidRPr="00E01337" w:rsidRDefault="00E34C01">
      <w:pPr>
        <w:rPr>
          <w:rFonts w:ascii="Seaford" w:hAnsi="Seaford"/>
          <w:b/>
          <w:bCs/>
          <w:color w:val="000000"/>
        </w:rPr>
      </w:pPr>
      <w:r w:rsidRPr="00E01337">
        <w:rPr>
          <w:rFonts w:ascii="Seaford" w:hAnsi="Seaford"/>
          <w:b/>
          <w:bCs/>
          <w:color w:val="000000"/>
        </w:rPr>
        <w:t>Learning objectives</w:t>
      </w:r>
      <w:r w:rsidR="009B1D1F" w:rsidRPr="00E01337">
        <w:rPr>
          <w:rFonts w:ascii="Seaford" w:hAnsi="Seaford"/>
          <w:b/>
          <w:bCs/>
          <w:color w:val="000000"/>
        </w:rPr>
        <w:t>:</w:t>
      </w:r>
    </w:p>
    <w:p w14:paraId="6D71591C" w14:textId="1CDF78CA" w:rsidR="00AE3C0D" w:rsidRPr="00AE3C0D" w:rsidRDefault="00AE3C0D" w:rsidP="00AE3C0D">
      <w:pPr>
        <w:pStyle w:val="ListParagraph"/>
        <w:numPr>
          <w:ilvl w:val="0"/>
          <w:numId w:val="11"/>
        </w:numPr>
        <w:rPr>
          <w:rFonts w:ascii="Seaford" w:hAnsi="Seaford"/>
          <w:color w:val="000000"/>
        </w:rPr>
      </w:pPr>
      <w:r w:rsidRPr="00AE3C0D">
        <w:rPr>
          <w:rFonts w:ascii="Seaford" w:hAnsi="Seaford"/>
          <w:color w:val="000000"/>
        </w:rPr>
        <w:t xml:space="preserve">To </w:t>
      </w:r>
      <w:r w:rsidR="00A760F6">
        <w:rPr>
          <w:rFonts w:ascii="Seaford" w:hAnsi="Seaford"/>
          <w:color w:val="000000"/>
        </w:rPr>
        <w:t>understand the nature and use of chord qualities used in the jazz idiom.</w:t>
      </w:r>
    </w:p>
    <w:p w14:paraId="3759F47C" w14:textId="7EFDA704" w:rsidR="00AE3C0D" w:rsidRDefault="00AE3C0D" w:rsidP="00AE3C0D">
      <w:pPr>
        <w:pStyle w:val="ListParagraph"/>
        <w:numPr>
          <w:ilvl w:val="0"/>
          <w:numId w:val="11"/>
        </w:numPr>
        <w:rPr>
          <w:rFonts w:ascii="Seaford" w:hAnsi="Seaford"/>
          <w:color w:val="000000"/>
        </w:rPr>
      </w:pPr>
      <w:r>
        <w:rPr>
          <w:rFonts w:ascii="Seaford" w:hAnsi="Seaford"/>
          <w:color w:val="000000"/>
        </w:rPr>
        <w:t xml:space="preserve">To </w:t>
      </w:r>
      <w:r w:rsidR="00A760F6">
        <w:rPr>
          <w:rFonts w:ascii="Seaford" w:hAnsi="Seaford"/>
          <w:color w:val="000000"/>
        </w:rPr>
        <w:t>understand</w:t>
      </w:r>
      <w:r>
        <w:rPr>
          <w:rFonts w:ascii="Seaford" w:hAnsi="Seaford"/>
          <w:color w:val="000000"/>
        </w:rPr>
        <w:t xml:space="preserve"> </w:t>
      </w:r>
      <w:r w:rsidR="00A760F6">
        <w:rPr>
          <w:rFonts w:ascii="Seaford" w:hAnsi="Seaford"/>
          <w:color w:val="000000"/>
        </w:rPr>
        <w:t>the nature and use of</w:t>
      </w:r>
      <w:r>
        <w:rPr>
          <w:rFonts w:ascii="Seaford" w:hAnsi="Seaford"/>
          <w:color w:val="000000"/>
        </w:rPr>
        <w:t xml:space="preserve"> scales and modes in the jazz idiom.</w:t>
      </w:r>
    </w:p>
    <w:p w14:paraId="74BC3CB2" w14:textId="2AB1DF2D" w:rsidR="00AE3C0D" w:rsidRDefault="00AE3C0D" w:rsidP="00AE3C0D">
      <w:pPr>
        <w:pStyle w:val="ListParagraph"/>
        <w:numPr>
          <w:ilvl w:val="0"/>
          <w:numId w:val="11"/>
        </w:numPr>
        <w:rPr>
          <w:rFonts w:ascii="Seaford" w:hAnsi="Seaford"/>
          <w:color w:val="000000"/>
        </w:rPr>
      </w:pPr>
      <w:r>
        <w:rPr>
          <w:rFonts w:ascii="Seaford" w:hAnsi="Seaford"/>
          <w:color w:val="000000"/>
        </w:rPr>
        <w:t xml:space="preserve">To </w:t>
      </w:r>
      <w:r w:rsidR="00A760F6">
        <w:rPr>
          <w:rFonts w:ascii="Seaford" w:hAnsi="Seaford"/>
          <w:color w:val="000000"/>
        </w:rPr>
        <w:t>understand how tonal centers are created in the jazz idiom.</w:t>
      </w:r>
    </w:p>
    <w:p w14:paraId="2FCDC2DD" w14:textId="4EF4627E" w:rsidR="00AE3C0D" w:rsidRPr="00AE3C0D" w:rsidRDefault="00AE3C0D" w:rsidP="00AE3C0D">
      <w:pPr>
        <w:pStyle w:val="ListParagraph"/>
        <w:numPr>
          <w:ilvl w:val="0"/>
          <w:numId w:val="11"/>
        </w:numPr>
        <w:rPr>
          <w:rFonts w:ascii="Seaford" w:hAnsi="Seaford"/>
          <w:color w:val="000000"/>
        </w:rPr>
      </w:pPr>
      <w:r>
        <w:rPr>
          <w:rFonts w:ascii="Seaford" w:hAnsi="Seaford"/>
          <w:color w:val="000000"/>
        </w:rPr>
        <w:t>To</w:t>
      </w:r>
      <w:r w:rsidR="00A760F6">
        <w:rPr>
          <w:rFonts w:ascii="Seaford" w:hAnsi="Seaford"/>
          <w:color w:val="000000"/>
        </w:rPr>
        <w:t xml:space="preserve"> become familiar with common tonal progressions in the jazz idiom.</w:t>
      </w:r>
    </w:p>
    <w:p w14:paraId="08FA6DAB" w14:textId="77777777" w:rsidR="00AE3C0D" w:rsidRPr="00BC1024" w:rsidRDefault="00AE3C0D" w:rsidP="009B1D1F">
      <w:pPr>
        <w:ind w:firstLine="720"/>
        <w:rPr>
          <w:rFonts w:ascii="Seaford" w:hAnsi="Seaford"/>
          <w:color w:val="000000"/>
        </w:rPr>
      </w:pPr>
    </w:p>
    <w:p w14:paraId="242E4D67" w14:textId="6F5DCBE5" w:rsidR="00E34C01" w:rsidRPr="00E01337" w:rsidRDefault="00E34C01">
      <w:pPr>
        <w:rPr>
          <w:rFonts w:ascii="Seaford" w:hAnsi="Seaford"/>
          <w:b/>
          <w:bCs/>
          <w:color w:val="000000"/>
        </w:rPr>
      </w:pPr>
      <w:r w:rsidRPr="00E01337">
        <w:rPr>
          <w:rFonts w:ascii="Seaford" w:hAnsi="Seaford"/>
          <w:b/>
          <w:bCs/>
          <w:color w:val="000000"/>
        </w:rPr>
        <w:lastRenderedPageBreak/>
        <w:t xml:space="preserve">Required </w:t>
      </w:r>
      <w:r w:rsidR="00015DB8" w:rsidRPr="00E01337">
        <w:rPr>
          <w:rFonts w:ascii="Seaford" w:hAnsi="Seaford"/>
          <w:b/>
          <w:bCs/>
          <w:color w:val="000000"/>
        </w:rPr>
        <w:t>Texts</w:t>
      </w:r>
      <w:r w:rsidR="009B1D1F" w:rsidRPr="00E01337">
        <w:rPr>
          <w:rFonts w:ascii="Seaford" w:hAnsi="Seaford"/>
          <w:b/>
          <w:bCs/>
          <w:color w:val="000000"/>
        </w:rPr>
        <w:t>:</w:t>
      </w:r>
    </w:p>
    <w:p w14:paraId="6324D60F" w14:textId="1ECE0334" w:rsidR="0035385D" w:rsidRDefault="001673C0">
      <w:pPr>
        <w:rPr>
          <w:rFonts w:ascii="Seaford" w:hAnsi="Seaford"/>
          <w:color w:val="000000"/>
        </w:rPr>
      </w:pPr>
      <w:r>
        <w:rPr>
          <w:rFonts w:ascii="Seaford" w:hAnsi="Seaford"/>
          <w:color w:val="000000"/>
        </w:rPr>
        <w:tab/>
      </w:r>
      <w:r w:rsidRPr="0035385D">
        <w:rPr>
          <w:rFonts w:ascii="Seaford" w:hAnsi="Seaford"/>
          <w:i/>
          <w:iCs/>
          <w:color w:val="000000"/>
        </w:rPr>
        <w:t>T</w:t>
      </w:r>
      <w:r w:rsidR="0035385D" w:rsidRPr="0035385D">
        <w:rPr>
          <w:rFonts w:ascii="Seaford" w:hAnsi="Seaford"/>
          <w:i/>
          <w:iCs/>
          <w:color w:val="000000"/>
        </w:rPr>
        <w:t>he Jazz Theory Book</w:t>
      </w:r>
      <w:r w:rsidR="0035385D">
        <w:rPr>
          <w:rFonts w:ascii="Seaford" w:hAnsi="Seaford"/>
          <w:color w:val="000000"/>
        </w:rPr>
        <w:t xml:space="preserve">. by Mark Levine. </w:t>
      </w:r>
    </w:p>
    <w:p w14:paraId="19FEFE7E" w14:textId="28F0B40D" w:rsidR="00B96A87" w:rsidRDefault="00B96A87">
      <w:pPr>
        <w:rPr>
          <w:rFonts w:ascii="Seaford" w:hAnsi="Seaford"/>
          <w:color w:val="000000"/>
        </w:rPr>
      </w:pPr>
      <w:r>
        <w:rPr>
          <w:rFonts w:ascii="Seaford" w:hAnsi="Seaford"/>
          <w:color w:val="000000"/>
        </w:rPr>
        <w:tab/>
        <w:t xml:space="preserve">*Note: This text will also be required for Theory IV (for Jazz Studies Majors). </w:t>
      </w:r>
    </w:p>
    <w:p w14:paraId="1C539C0F" w14:textId="77777777" w:rsidR="0035385D" w:rsidRDefault="0035385D" w:rsidP="0035385D">
      <w:pPr>
        <w:rPr>
          <w:rFonts w:ascii="Seaford" w:hAnsi="Seaford"/>
          <w:b/>
          <w:bCs/>
          <w:color w:val="000000"/>
        </w:rPr>
      </w:pPr>
    </w:p>
    <w:p w14:paraId="751FE0C1" w14:textId="21C7A6EA" w:rsidR="0035385D" w:rsidRPr="00E01337" w:rsidRDefault="0035385D" w:rsidP="0035385D">
      <w:pPr>
        <w:rPr>
          <w:rFonts w:ascii="Seaford" w:hAnsi="Seaford"/>
          <w:b/>
          <w:bCs/>
          <w:color w:val="000000"/>
        </w:rPr>
      </w:pPr>
      <w:r>
        <w:rPr>
          <w:rFonts w:ascii="Seaford" w:hAnsi="Seaford"/>
          <w:b/>
          <w:bCs/>
          <w:color w:val="000000"/>
        </w:rPr>
        <w:t>Recommended</w:t>
      </w:r>
      <w:r w:rsidRPr="00E01337">
        <w:rPr>
          <w:rFonts w:ascii="Seaford" w:hAnsi="Seaford"/>
          <w:b/>
          <w:bCs/>
          <w:color w:val="000000"/>
        </w:rPr>
        <w:t xml:space="preserve"> Texts:</w:t>
      </w:r>
    </w:p>
    <w:p w14:paraId="62FE44F9" w14:textId="4AE519D2" w:rsidR="0035385D" w:rsidRDefault="0035385D" w:rsidP="0035385D">
      <w:pPr>
        <w:ind w:left="1440" w:hanging="720"/>
        <w:rPr>
          <w:rFonts w:ascii="Seaford" w:hAnsi="Seaford"/>
          <w:color w:val="000000"/>
        </w:rPr>
      </w:pPr>
      <w:r w:rsidRPr="0035385D">
        <w:rPr>
          <w:rFonts w:ascii="Seaford" w:hAnsi="Seaford"/>
          <w:i/>
          <w:iCs/>
          <w:color w:val="000000"/>
        </w:rPr>
        <w:t>The Scale Syllabus</w:t>
      </w:r>
      <w:r>
        <w:rPr>
          <w:rFonts w:ascii="Seaford" w:hAnsi="Seaford"/>
          <w:color w:val="000000"/>
        </w:rPr>
        <w:t xml:space="preserve"> Jamey Abersold.</w:t>
      </w:r>
    </w:p>
    <w:p w14:paraId="40F2E5C6" w14:textId="5E67D214" w:rsidR="0035385D" w:rsidRPr="0035385D" w:rsidRDefault="0035385D" w:rsidP="0035385D">
      <w:pPr>
        <w:ind w:left="1440" w:hanging="720"/>
        <w:rPr>
          <w:rFonts w:ascii="Seaford" w:hAnsi="Seaford"/>
          <w:color w:val="000000"/>
        </w:rPr>
      </w:pPr>
      <w:r w:rsidRPr="0035385D">
        <w:rPr>
          <w:rFonts w:ascii="Seaford" w:hAnsi="Seaford"/>
          <w:i/>
          <w:iCs/>
          <w:color w:val="000000"/>
        </w:rPr>
        <w:t>Music Theory Remixed: A Blended Approach for the Practicing Musician.</w:t>
      </w:r>
      <w:r w:rsidRPr="0035385D">
        <w:rPr>
          <w:rFonts w:ascii="Seaford" w:hAnsi="Seaford"/>
          <w:color w:val="000000"/>
        </w:rPr>
        <w:t xml:space="preserve"> Kevin Holm-Hudson (Oxford University Press, 2016)</w:t>
      </w:r>
    </w:p>
    <w:p w14:paraId="4165A71C" w14:textId="77777777" w:rsidR="0035385D" w:rsidRPr="0035385D" w:rsidRDefault="0035385D" w:rsidP="0035385D">
      <w:pPr>
        <w:ind w:left="1440" w:hanging="720"/>
        <w:rPr>
          <w:rFonts w:ascii="Seaford" w:hAnsi="Seaford"/>
          <w:color w:val="000000"/>
        </w:rPr>
      </w:pPr>
      <w:r w:rsidRPr="0035385D">
        <w:rPr>
          <w:rFonts w:ascii="Seaford" w:hAnsi="Seaford"/>
          <w:i/>
          <w:iCs/>
          <w:color w:val="000000"/>
        </w:rPr>
        <w:t>Jazz Theory: From Basic to Advanced Study</w:t>
      </w:r>
      <w:r w:rsidRPr="0035385D">
        <w:rPr>
          <w:rFonts w:ascii="Seaford" w:hAnsi="Seaford"/>
          <w:color w:val="000000"/>
        </w:rPr>
        <w:t>. Dariusz Terefenko (Routledge, 2018)</w:t>
      </w:r>
    </w:p>
    <w:p w14:paraId="73C8B044" w14:textId="77777777" w:rsidR="0035385D" w:rsidRPr="0035385D" w:rsidRDefault="0035385D" w:rsidP="0035385D">
      <w:pPr>
        <w:ind w:left="1440" w:hanging="720"/>
        <w:rPr>
          <w:rFonts w:ascii="Seaford" w:hAnsi="Seaford"/>
          <w:color w:val="000000"/>
        </w:rPr>
      </w:pPr>
      <w:r w:rsidRPr="0035385D">
        <w:rPr>
          <w:rFonts w:ascii="Seaford" w:hAnsi="Seaford"/>
          <w:i/>
          <w:iCs/>
          <w:color w:val="000000"/>
        </w:rPr>
        <w:t>Jazz Keyboard Harmony</w:t>
      </w:r>
      <w:r w:rsidRPr="0035385D">
        <w:rPr>
          <w:rFonts w:ascii="Seaford" w:hAnsi="Seaford"/>
          <w:color w:val="000000"/>
        </w:rPr>
        <w:t>. Phil DeGreg (Jamey Aebersold Jazz, 2015)</w:t>
      </w:r>
    </w:p>
    <w:p w14:paraId="18DE2A3D" w14:textId="10736A85" w:rsidR="0035385D" w:rsidRPr="0035385D" w:rsidRDefault="0035385D" w:rsidP="0035385D">
      <w:pPr>
        <w:ind w:left="1440" w:hanging="720"/>
        <w:rPr>
          <w:rFonts w:ascii="Seaford" w:hAnsi="Seaford"/>
          <w:color w:val="000000"/>
        </w:rPr>
      </w:pPr>
      <w:r w:rsidRPr="0035385D">
        <w:rPr>
          <w:rFonts w:ascii="Seaford" w:hAnsi="Seaford"/>
          <w:i/>
          <w:iCs/>
          <w:color w:val="000000"/>
        </w:rPr>
        <w:t>Keyboard Strategies, Master Text I and II</w:t>
      </w:r>
      <w:r w:rsidRPr="0035385D">
        <w:rPr>
          <w:rFonts w:ascii="Seaford" w:hAnsi="Seaford"/>
          <w:color w:val="000000"/>
        </w:rPr>
        <w:t>. Stecher, Horowitz, Gordon, Kern &amp; Lancaster (G. Schirmer, Inc.)</w:t>
      </w:r>
      <w:r w:rsidR="00A760F6">
        <w:rPr>
          <w:rFonts w:ascii="Seaford" w:hAnsi="Seaford"/>
          <w:color w:val="000000"/>
        </w:rPr>
        <w:t xml:space="preserve"> </w:t>
      </w:r>
      <w:r w:rsidRPr="0035385D">
        <w:rPr>
          <w:rFonts w:ascii="Seaford" w:hAnsi="Seaford"/>
          <w:color w:val="000000"/>
        </w:rPr>
        <w:t>Music Theory Through Improvisation. Edward Sarath (Routledge, 2010)</w:t>
      </w:r>
    </w:p>
    <w:p w14:paraId="1E073656" w14:textId="77777777" w:rsidR="0035385D" w:rsidRPr="0035385D" w:rsidRDefault="0035385D" w:rsidP="0035385D">
      <w:pPr>
        <w:ind w:left="1440" w:hanging="720"/>
        <w:rPr>
          <w:rFonts w:ascii="Seaford" w:hAnsi="Seaford"/>
          <w:color w:val="000000"/>
        </w:rPr>
      </w:pPr>
      <w:r w:rsidRPr="0035385D">
        <w:rPr>
          <w:rFonts w:ascii="Seaford" w:hAnsi="Seaford"/>
          <w:i/>
          <w:iCs/>
          <w:color w:val="000000"/>
        </w:rPr>
        <w:t>Polyrhythms.</w:t>
      </w:r>
      <w:r w:rsidRPr="0035385D">
        <w:rPr>
          <w:rFonts w:ascii="Seaford" w:hAnsi="Seaford"/>
          <w:color w:val="000000"/>
        </w:rPr>
        <w:t xml:space="preserve"> Ari Hoenig and Johannes Weidenmuller (</w:t>
      </w:r>
      <w:proofErr w:type="spellStart"/>
      <w:r w:rsidRPr="0035385D">
        <w:rPr>
          <w:rFonts w:ascii="Seaford" w:hAnsi="Seaford"/>
          <w:color w:val="000000"/>
        </w:rPr>
        <w:t>MelBay</w:t>
      </w:r>
      <w:proofErr w:type="spellEnd"/>
      <w:r w:rsidRPr="0035385D">
        <w:rPr>
          <w:rFonts w:ascii="Seaford" w:hAnsi="Seaford"/>
          <w:color w:val="000000"/>
        </w:rPr>
        <w:t>, 2015)</w:t>
      </w:r>
    </w:p>
    <w:p w14:paraId="6A329A84" w14:textId="15BC425C" w:rsidR="0035385D" w:rsidRPr="0035385D" w:rsidRDefault="0035385D" w:rsidP="0035385D">
      <w:pPr>
        <w:ind w:left="1440" w:hanging="720"/>
        <w:rPr>
          <w:rFonts w:ascii="Seaford" w:hAnsi="Seaford"/>
          <w:i/>
          <w:iCs/>
          <w:color w:val="000000"/>
        </w:rPr>
      </w:pPr>
      <w:r w:rsidRPr="0035385D">
        <w:rPr>
          <w:rFonts w:ascii="Seaford" w:hAnsi="Seaford"/>
          <w:i/>
          <w:iCs/>
          <w:color w:val="000000"/>
        </w:rPr>
        <w:t xml:space="preserve">Metric Modulation. </w:t>
      </w:r>
      <w:r w:rsidRPr="00A760F6">
        <w:rPr>
          <w:rFonts w:ascii="Seaford" w:hAnsi="Seaford"/>
          <w:color w:val="000000"/>
        </w:rPr>
        <w:t>Ari Hoenig and Johannes Weidenmuller</w:t>
      </w:r>
      <w:r w:rsidRPr="0035385D">
        <w:rPr>
          <w:rFonts w:ascii="Seaford" w:hAnsi="Seaford"/>
          <w:i/>
          <w:iCs/>
          <w:color w:val="000000"/>
        </w:rPr>
        <w:t xml:space="preserve"> (</w:t>
      </w:r>
      <w:proofErr w:type="spellStart"/>
      <w:r w:rsidRPr="0035385D">
        <w:rPr>
          <w:rFonts w:ascii="Seaford" w:hAnsi="Seaford"/>
          <w:i/>
          <w:iCs/>
          <w:color w:val="000000"/>
        </w:rPr>
        <w:t>MelBay</w:t>
      </w:r>
      <w:proofErr w:type="spellEnd"/>
      <w:r w:rsidRPr="0035385D">
        <w:rPr>
          <w:rFonts w:ascii="Seaford" w:hAnsi="Seaford"/>
          <w:i/>
          <w:iCs/>
          <w:color w:val="000000"/>
        </w:rPr>
        <w:t>, 2015)</w:t>
      </w:r>
    </w:p>
    <w:p w14:paraId="6986D82B" w14:textId="77777777" w:rsidR="0035385D" w:rsidRPr="00BC1024" w:rsidRDefault="0035385D">
      <w:pPr>
        <w:rPr>
          <w:rFonts w:ascii="Seaford" w:hAnsi="Seaford"/>
          <w:color w:val="000000"/>
        </w:rPr>
      </w:pPr>
    </w:p>
    <w:p w14:paraId="63B55ABE" w14:textId="77777777" w:rsidR="009B1D1F" w:rsidRPr="00BC1024" w:rsidRDefault="00E34C01">
      <w:pPr>
        <w:rPr>
          <w:rFonts w:ascii="Seaford" w:hAnsi="Seaford"/>
          <w:color w:val="000000"/>
        </w:rPr>
      </w:pPr>
      <w:r w:rsidRPr="00E01337">
        <w:rPr>
          <w:rFonts w:ascii="Seaford" w:hAnsi="Seaford"/>
          <w:b/>
          <w:bCs/>
          <w:color w:val="000000"/>
        </w:rPr>
        <w:t>Evaluation</w:t>
      </w:r>
      <w:r w:rsidR="009B1D1F" w:rsidRPr="00E01337">
        <w:rPr>
          <w:rFonts w:ascii="Seaford" w:hAnsi="Seaford"/>
          <w:b/>
          <w:bCs/>
          <w:color w:val="000000"/>
        </w:rPr>
        <w:t>:</w:t>
      </w:r>
    </w:p>
    <w:p w14:paraId="1CF669B1" w14:textId="3C17AFFA" w:rsidR="00EF254F" w:rsidRDefault="00EF254F">
      <w:pPr>
        <w:rPr>
          <w:rFonts w:ascii="Seaford" w:hAnsi="Seaford"/>
          <w:color w:val="000000"/>
        </w:rPr>
      </w:pPr>
      <w:r w:rsidRPr="00BC1024">
        <w:rPr>
          <w:rFonts w:ascii="Seaford" w:hAnsi="Seaford"/>
          <w:color w:val="000000"/>
        </w:rPr>
        <w:tab/>
      </w:r>
      <w:r w:rsidR="002C058E">
        <w:rPr>
          <w:rFonts w:ascii="Seaford" w:hAnsi="Seaford"/>
          <w:color w:val="000000"/>
        </w:rPr>
        <w:t>25</w:t>
      </w:r>
      <w:r w:rsidRPr="00BC1024">
        <w:rPr>
          <w:rFonts w:ascii="Seaford" w:hAnsi="Seaford"/>
          <w:color w:val="000000"/>
        </w:rPr>
        <w:t>% Attendance</w:t>
      </w:r>
      <w:r w:rsidR="00945869" w:rsidRPr="00BC1024">
        <w:rPr>
          <w:rFonts w:ascii="Seaford" w:hAnsi="Seaford"/>
          <w:color w:val="000000"/>
        </w:rPr>
        <w:t xml:space="preserve"> and Participation</w:t>
      </w:r>
    </w:p>
    <w:p w14:paraId="41B83B1F" w14:textId="4CD1AC30" w:rsidR="002C058E" w:rsidRPr="00BC1024" w:rsidRDefault="002C058E">
      <w:pPr>
        <w:rPr>
          <w:rFonts w:ascii="Seaford" w:hAnsi="Seaford"/>
          <w:color w:val="000000"/>
        </w:rPr>
      </w:pPr>
      <w:r>
        <w:rPr>
          <w:rFonts w:ascii="Seaford" w:hAnsi="Seaford"/>
          <w:color w:val="000000"/>
        </w:rPr>
        <w:tab/>
        <w:t>25% Homework (reading, written assignments, etc.)</w:t>
      </w:r>
    </w:p>
    <w:p w14:paraId="43E454F9" w14:textId="344FB184" w:rsidR="00C00C17" w:rsidRPr="00BC1024" w:rsidRDefault="00945869">
      <w:pPr>
        <w:rPr>
          <w:rFonts w:ascii="Seaford" w:hAnsi="Seaford"/>
          <w:color w:val="000000"/>
        </w:rPr>
      </w:pPr>
      <w:r w:rsidRPr="00BC1024">
        <w:rPr>
          <w:rFonts w:ascii="Seaford" w:hAnsi="Seaford"/>
          <w:color w:val="000000"/>
        </w:rPr>
        <w:tab/>
      </w:r>
      <w:r w:rsidR="00AE3C0D">
        <w:rPr>
          <w:rFonts w:ascii="Seaford" w:hAnsi="Seaford"/>
          <w:color w:val="000000"/>
        </w:rPr>
        <w:t>50% Tests</w:t>
      </w:r>
    </w:p>
    <w:p w14:paraId="03687DEF" w14:textId="77777777" w:rsidR="00733A69" w:rsidRPr="00BC1024" w:rsidRDefault="00733A69">
      <w:pPr>
        <w:rPr>
          <w:rFonts w:ascii="Seaford" w:hAnsi="Seaford"/>
          <w:color w:val="000000"/>
        </w:rPr>
      </w:pPr>
    </w:p>
    <w:p w14:paraId="430DE976" w14:textId="77777777" w:rsidR="009B1D1F" w:rsidRPr="00E01337" w:rsidRDefault="009B1D1F">
      <w:pPr>
        <w:rPr>
          <w:rFonts w:ascii="Seaford" w:hAnsi="Seaford"/>
          <w:b/>
          <w:bCs/>
          <w:color w:val="000000"/>
        </w:rPr>
      </w:pPr>
      <w:r w:rsidRPr="00E01337">
        <w:rPr>
          <w:rFonts w:ascii="Seaford" w:hAnsi="Seaford"/>
          <w:b/>
          <w:bCs/>
          <w:color w:val="000000"/>
        </w:rPr>
        <w:t>Grade Scale:</w:t>
      </w:r>
    </w:p>
    <w:p w14:paraId="07C21FC6"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A= 90-100% </w:t>
      </w:r>
    </w:p>
    <w:p w14:paraId="3D49A27B"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B=80-89% </w:t>
      </w:r>
    </w:p>
    <w:p w14:paraId="4CEB2153"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C=70-79% </w:t>
      </w:r>
    </w:p>
    <w:p w14:paraId="736A426B" w14:textId="77777777" w:rsidR="00082DD7" w:rsidRPr="00BC1024" w:rsidRDefault="00E34C01" w:rsidP="002E4EE4">
      <w:pPr>
        <w:ind w:firstLine="720"/>
        <w:rPr>
          <w:rFonts w:ascii="Seaford" w:hAnsi="Seaford"/>
          <w:color w:val="000000"/>
        </w:rPr>
      </w:pPr>
      <w:r w:rsidRPr="00BC1024">
        <w:rPr>
          <w:rFonts w:ascii="Seaford" w:hAnsi="Seaford"/>
          <w:color w:val="000000"/>
        </w:rPr>
        <w:t xml:space="preserve">D=60-69% </w:t>
      </w:r>
    </w:p>
    <w:p w14:paraId="4E82F7D5" w14:textId="77777777" w:rsidR="00E34C01" w:rsidRDefault="00E34C01" w:rsidP="002E4EE4">
      <w:pPr>
        <w:ind w:firstLine="720"/>
        <w:rPr>
          <w:rFonts w:ascii="Seaford" w:hAnsi="Seaford"/>
          <w:color w:val="000000"/>
        </w:rPr>
      </w:pPr>
      <w:r w:rsidRPr="00BC1024">
        <w:rPr>
          <w:rFonts w:ascii="Seaford" w:hAnsi="Seaford"/>
          <w:color w:val="000000"/>
        </w:rPr>
        <w:t>F=59% and below</w:t>
      </w:r>
    </w:p>
    <w:p w14:paraId="4DA55BC9" w14:textId="77777777" w:rsidR="00B67A79" w:rsidRDefault="00B67A79" w:rsidP="002E4EE4">
      <w:pPr>
        <w:ind w:firstLine="720"/>
        <w:rPr>
          <w:rFonts w:ascii="Seaford" w:hAnsi="Seaford"/>
          <w:color w:val="000000"/>
        </w:rPr>
      </w:pPr>
    </w:p>
    <w:p w14:paraId="4BF36534" w14:textId="720CE58A" w:rsidR="00B67A79" w:rsidRPr="00BC1024" w:rsidRDefault="00B67A79" w:rsidP="00B67A79">
      <w:pPr>
        <w:ind w:firstLine="720"/>
        <w:rPr>
          <w:rFonts w:ascii="Seaford" w:hAnsi="Seaford"/>
          <w:color w:val="000000"/>
        </w:rPr>
      </w:pPr>
      <w:r>
        <w:rPr>
          <w:rFonts w:ascii="Seaford" w:hAnsi="Seaford"/>
          <w:color w:val="000000"/>
        </w:rPr>
        <w:t>S</w:t>
      </w:r>
      <w:r w:rsidRPr="00BC1024">
        <w:rPr>
          <w:rFonts w:ascii="Seaford" w:hAnsi="Seaford"/>
          <w:color w:val="000000"/>
        </w:rPr>
        <w:t>tandard rounding will apply to final grades</w:t>
      </w:r>
      <w:r>
        <w:rPr>
          <w:rFonts w:ascii="Seaford" w:hAnsi="Seaford"/>
          <w:color w:val="000000"/>
        </w:rPr>
        <w:t>;</w:t>
      </w:r>
      <w:r w:rsidRPr="00BC1024">
        <w:rPr>
          <w:rFonts w:ascii="Seaford" w:hAnsi="Seaford"/>
          <w:color w:val="000000"/>
        </w:rPr>
        <w:t xml:space="preserve"> </w:t>
      </w:r>
      <w:r>
        <w:rPr>
          <w:rFonts w:ascii="Seaford" w:hAnsi="Seaford"/>
          <w:color w:val="000000"/>
        </w:rPr>
        <w:t>f</w:t>
      </w:r>
      <w:r w:rsidRPr="00BC1024">
        <w:rPr>
          <w:rFonts w:ascii="Seaford" w:hAnsi="Seaford"/>
          <w:color w:val="000000"/>
        </w:rPr>
        <w:t>or example, 89.4 is a B, 89.5 is an A (unless you lose the round-up for attendance).</w:t>
      </w:r>
    </w:p>
    <w:p w14:paraId="255B8E73" w14:textId="77777777" w:rsidR="00E34C01" w:rsidRPr="00BC1024" w:rsidRDefault="00E34C01">
      <w:pPr>
        <w:rPr>
          <w:rFonts w:ascii="Seaford" w:hAnsi="Seaford"/>
          <w:color w:val="000000"/>
        </w:rPr>
      </w:pPr>
    </w:p>
    <w:p w14:paraId="44749510" w14:textId="77777777" w:rsidR="00E34C01" w:rsidRPr="00E01337" w:rsidRDefault="00E34C01">
      <w:pPr>
        <w:rPr>
          <w:rFonts w:ascii="Seaford" w:hAnsi="Seaford"/>
          <w:b/>
          <w:bCs/>
          <w:color w:val="000000"/>
        </w:rPr>
      </w:pPr>
      <w:r w:rsidRPr="00E01337">
        <w:rPr>
          <w:rFonts w:ascii="Seaford" w:hAnsi="Seaford"/>
          <w:b/>
          <w:bCs/>
          <w:color w:val="000000"/>
        </w:rPr>
        <w:t>Attendance policy</w:t>
      </w:r>
      <w:r w:rsidR="002E4EE4" w:rsidRPr="00E01337">
        <w:rPr>
          <w:rFonts w:ascii="Seaford" w:hAnsi="Seaford"/>
          <w:b/>
          <w:bCs/>
          <w:color w:val="000000"/>
        </w:rPr>
        <w:t>:</w:t>
      </w:r>
    </w:p>
    <w:p w14:paraId="783F0D35" w14:textId="6454D6B1" w:rsidR="00EC4700" w:rsidRPr="00BC1024" w:rsidRDefault="00E34C01" w:rsidP="00EC4700">
      <w:pPr>
        <w:ind w:firstLine="720"/>
        <w:rPr>
          <w:rFonts w:ascii="Seaford" w:hAnsi="Seaford"/>
          <w:color w:val="000000"/>
        </w:rPr>
      </w:pPr>
      <w:r w:rsidRPr="00BC1024">
        <w:rPr>
          <w:rFonts w:ascii="Seaford" w:hAnsi="Seaford"/>
          <w:color w:val="000000"/>
        </w:rPr>
        <w:t xml:space="preserve">Regular attendance is </w:t>
      </w:r>
      <w:r w:rsidR="002A7AAD">
        <w:rPr>
          <w:rFonts w:ascii="Seaford" w:hAnsi="Seaford"/>
          <w:color w:val="000000"/>
        </w:rPr>
        <w:t xml:space="preserve">mandatory and </w:t>
      </w:r>
      <w:r w:rsidRPr="00BC1024">
        <w:rPr>
          <w:rFonts w:ascii="Seaford" w:hAnsi="Seaford"/>
          <w:color w:val="000000"/>
        </w:rPr>
        <w:t xml:space="preserve">crucial to your success in this course. You may miss two class meetings with no penalty. </w:t>
      </w:r>
      <w:r w:rsidR="00E01337">
        <w:rPr>
          <w:rFonts w:ascii="Seaford" w:hAnsi="Seaford"/>
          <w:color w:val="000000"/>
        </w:rPr>
        <w:t xml:space="preserve">Any additional unexcused </w:t>
      </w:r>
      <w:r w:rsidR="00333C92">
        <w:rPr>
          <w:rFonts w:ascii="Seaford" w:hAnsi="Seaford"/>
          <w:color w:val="000000"/>
        </w:rPr>
        <w:t>absences</w:t>
      </w:r>
      <w:r w:rsidR="00E01337">
        <w:rPr>
          <w:rFonts w:ascii="Seaford" w:hAnsi="Seaford"/>
          <w:color w:val="000000"/>
        </w:rPr>
        <w:t xml:space="preserve"> will result in a penalty of</w:t>
      </w:r>
      <w:r w:rsidR="00CB7F34" w:rsidRPr="00BC1024">
        <w:rPr>
          <w:rFonts w:ascii="Seaford" w:hAnsi="Seaford"/>
          <w:color w:val="000000"/>
        </w:rPr>
        <w:t xml:space="preserve"> </w:t>
      </w:r>
      <w:r w:rsidR="00E01337">
        <w:rPr>
          <w:rFonts w:ascii="Seaford" w:hAnsi="Seaford"/>
          <w:color w:val="000000"/>
        </w:rPr>
        <w:t>-</w:t>
      </w:r>
      <w:r w:rsidR="00CB7F34" w:rsidRPr="00BC1024">
        <w:rPr>
          <w:rFonts w:ascii="Seaford" w:hAnsi="Seaford"/>
          <w:color w:val="000000"/>
        </w:rPr>
        <w:t xml:space="preserve">5% of your total grade per missed class, and </w:t>
      </w:r>
      <w:r w:rsidR="00E01337">
        <w:rPr>
          <w:rFonts w:ascii="Seaford" w:hAnsi="Seaford"/>
          <w:color w:val="000000"/>
        </w:rPr>
        <w:t>loss of</w:t>
      </w:r>
      <w:r w:rsidRPr="00BC1024">
        <w:rPr>
          <w:rFonts w:ascii="Seaford" w:hAnsi="Seaford"/>
          <w:color w:val="000000"/>
        </w:rPr>
        <w:t xml:space="preserve"> the round-up feature in the grading scale</w:t>
      </w:r>
      <w:r w:rsidR="00CB7F34" w:rsidRPr="00BC1024">
        <w:rPr>
          <w:rFonts w:ascii="Seaford" w:hAnsi="Seaford"/>
          <w:color w:val="000000"/>
        </w:rPr>
        <w:t>.</w:t>
      </w:r>
      <w:r w:rsidRPr="00BC1024">
        <w:rPr>
          <w:rFonts w:ascii="Seaford" w:hAnsi="Seaford"/>
          <w:color w:val="000000"/>
        </w:rPr>
        <w:t xml:space="preserve"> I expect you to arrive on time and to stay for the entire class. If you need to leave early, speak with me before class.</w:t>
      </w:r>
      <w:r w:rsidR="00082FB0" w:rsidRPr="00BC1024">
        <w:rPr>
          <w:rFonts w:ascii="Seaford" w:hAnsi="Seaford"/>
          <w:color w:val="000000"/>
        </w:rPr>
        <w:t xml:space="preserve"> </w:t>
      </w:r>
      <w:r w:rsidR="00341FD3" w:rsidRPr="00E01337">
        <w:rPr>
          <w:rFonts w:ascii="Seaford" w:hAnsi="Seaford"/>
          <w:b/>
          <w:bCs/>
          <w:color w:val="000000"/>
        </w:rPr>
        <w:t>Any exception should be discussed with the instructor beforehand and put in writing</w:t>
      </w:r>
      <w:r w:rsidR="00C46D8D" w:rsidRPr="00E01337">
        <w:rPr>
          <w:rFonts w:ascii="Seaford" w:hAnsi="Seaford"/>
          <w:b/>
          <w:bCs/>
          <w:color w:val="000000"/>
        </w:rPr>
        <w:t xml:space="preserve"> at</w:t>
      </w:r>
      <w:r w:rsidR="00973E4C" w:rsidRPr="00E01337">
        <w:rPr>
          <w:rFonts w:ascii="Seaford" w:hAnsi="Seaford"/>
          <w:b/>
          <w:bCs/>
          <w:color w:val="000000"/>
        </w:rPr>
        <w:t xml:space="preserve"> least 24 hours in advance</w:t>
      </w:r>
      <w:r w:rsidR="00973E4C" w:rsidRPr="00BC1024">
        <w:rPr>
          <w:rFonts w:ascii="Seaford" w:hAnsi="Seaford"/>
          <w:color w:val="000000"/>
        </w:rPr>
        <w:t>.</w:t>
      </w:r>
    </w:p>
    <w:p w14:paraId="303A70D7" w14:textId="6FA4C4DF" w:rsidR="00E34C01" w:rsidRPr="00BC1024" w:rsidRDefault="00BE5FCB" w:rsidP="002E4EE4">
      <w:pPr>
        <w:ind w:firstLine="720"/>
        <w:rPr>
          <w:rFonts w:ascii="Seaford" w:hAnsi="Seaford"/>
          <w:color w:val="000000"/>
        </w:rPr>
      </w:pPr>
      <w:r w:rsidRPr="00BC1024">
        <w:rPr>
          <w:rFonts w:ascii="Seaford" w:hAnsi="Seaford"/>
          <w:color w:val="000000"/>
        </w:rPr>
        <w:t xml:space="preserve">Examples of excused </w:t>
      </w:r>
      <w:r w:rsidR="00E34C01" w:rsidRPr="00BC1024">
        <w:rPr>
          <w:rFonts w:ascii="Seaford" w:hAnsi="Seaford"/>
          <w:color w:val="000000"/>
        </w:rPr>
        <w:t>absence</w:t>
      </w:r>
      <w:r w:rsidRPr="00BC1024">
        <w:rPr>
          <w:rFonts w:ascii="Seaford" w:hAnsi="Seaford"/>
          <w:color w:val="000000"/>
        </w:rPr>
        <w:t>s include</w:t>
      </w:r>
      <w:r w:rsidR="00E34C01" w:rsidRPr="00BC1024">
        <w:rPr>
          <w:rFonts w:ascii="Seaford" w:hAnsi="Seaford"/>
          <w:color w:val="000000"/>
        </w:rPr>
        <w:t>:</w:t>
      </w:r>
    </w:p>
    <w:p w14:paraId="4D07B8A7" w14:textId="77777777" w:rsidR="00E34C01" w:rsidRPr="00BC1024" w:rsidRDefault="00E34C01" w:rsidP="00BA4C6C">
      <w:pPr>
        <w:ind w:left="1710" w:hanging="270"/>
        <w:rPr>
          <w:rFonts w:ascii="Seaford" w:hAnsi="Seaford"/>
          <w:color w:val="000000"/>
        </w:rPr>
      </w:pPr>
      <w:r w:rsidRPr="00BC1024">
        <w:rPr>
          <w:rFonts w:ascii="Seaford" w:hAnsi="Seaford"/>
          <w:color w:val="000000"/>
        </w:rPr>
        <w:lastRenderedPageBreak/>
        <w:t xml:space="preserve">1) </w:t>
      </w:r>
      <w:r w:rsidR="002E4EE4" w:rsidRPr="00BC1024">
        <w:rPr>
          <w:rFonts w:ascii="Seaford" w:hAnsi="Seaford"/>
          <w:color w:val="000000"/>
        </w:rPr>
        <w:t>T</w:t>
      </w:r>
      <w:r w:rsidRPr="00BC1024">
        <w:rPr>
          <w:rFonts w:ascii="Seaford" w:hAnsi="Seaford"/>
          <w:color w:val="000000"/>
        </w:rPr>
        <w:t xml:space="preserve">hose for university-sponsored activities, such as ensemble tours, which you must document in </w:t>
      </w:r>
      <w:r w:rsidR="002E4EE4" w:rsidRPr="00BC1024">
        <w:rPr>
          <w:rFonts w:ascii="Seaford" w:hAnsi="Seaford"/>
          <w:color w:val="000000"/>
        </w:rPr>
        <w:t>writing.</w:t>
      </w:r>
    </w:p>
    <w:p w14:paraId="111DDC41" w14:textId="763C7C40" w:rsidR="00BA4C6C" w:rsidRDefault="00E34C01" w:rsidP="00E73232">
      <w:pPr>
        <w:ind w:left="1710" w:hanging="270"/>
        <w:rPr>
          <w:rFonts w:ascii="Seaford" w:hAnsi="Seaford"/>
          <w:color w:val="000000"/>
        </w:rPr>
      </w:pPr>
      <w:r w:rsidRPr="00BC1024">
        <w:rPr>
          <w:rFonts w:ascii="Seaford" w:hAnsi="Seaford"/>
          <w:color w:val="000000"/>
        </w:rPr>
        <w:t xml:space="preserve">2) </w:t>
      </w:r>
      <w:r w:rsidR="00814A35" w:rsidRPr="00BC1024">
        <w:rPr>
          <w:rFonts w:ascii="Seaford" w:hAnsi="Seaford"/>
          <w:color w:val="000000"/>
        </w:rPr>
        <w:t>Extended</w:t>
      </w:r>
      <w:r w:rsidRPr="00BC1024">
        <w:rPr>
          <w:rFonts w:ascii="Seaford" w:hAnsi="Seaford"/>
          <w:color w:val="000000"/>
        </w:rPr>
        <w:t xml:space="preserve"> serious illness requiring a doctor's care, which you must document in writing. Ordinary "not feeling well" does not count as extended serious illness.</w:t>
      </w:r>
      <w:r w:rsidR="00BA4C6C">
        <w:rPr>
          <w:rFonts w:ascii="Seaford" w:hAnsi="Seaford"/>
          <w:color w:val="000000"/>
        </w:rPr>
        <w:t xml:space="preserve"> </w:t>
      </w:r>
    </w:p>
    <w:p w14:paraId="46D1615E" w14:textId="7B33AE2F" w:rsidR="00F57F95" w:rsidRDefault="00E73232">
      <w:pPr>
        <w:rPr>
          <w:rFonts w:ascii="Seaford" w:hAnsi="Seaford"/>
          <w:color w:val="000000"/>
        </w:rPr>
      </w:pPr>
      <w:r>
        <w:rPr>
          <w:rFonts w:ascii="Seaford" w:hAnsi="Seaford"/>
          <w:color w:val="000000"/>
        </w:rPr>
        <w:tab/>
        <w:t xml:space="preserve">Tardiness will affect your grade. If you are not present at the time of taking </w:t>
      </w:r>
      <w:r w:rsidR="00B67A79">
        <w:rPr>
          <w:rFonts w:ascii="Seaford" w:hAnsi="Seaford"/>
          <w:color w:val="000000"/>
        </w:rPr>
        <w:t>attendance but</w:t>
      </w:r>
      <w:r>
        <w:rPr>
          <w:rFonts w:ascii="Seaford" w:hAnsi="Seaford"/>
          <w:color w:val="000000"/>
        </w:rPr>
        <w:t xml:space="preserve"> show up soon after for </w:t>
      </w:r>
      <w:r w:rsidR="00B67A79">
        <w:rPr>
          <w:rFonts w:ascii="Seaford" w:hAnsi="Seaford"/>
          <w:color w:val="000000"/>
        </w:rPr>
        <w:t>at least 35 minutes of the class period</w:t>
      </w:r>
      <w:r>
        <w:rPr>
          <w:rFonts w:ascii="Seaford" w:hAnsi="Seaford"/>
          <w:color w:val="000000"/>
        </w:rPr>
        <w:t xml:space="preserve">, </w:t>
      </w:r>
      <w:r w:rsidR="00B67A79">
        <w:rPr>
          <w:rFonts w:ascii="Seaford" w:hAnsi="Seaford"/>
          <w:color w:val="000000"/>
        </w:rPr>
        <w:t>you will be marked as tardy. Two tardies will be marked as the equivalent of an unexcused absence.</w:t>
      </w:r>
      <w:r w:rsidR="00E3219E">
        <w:rPr>
          <w:rFonts w:ascii="Seaford" w:hAnsi="Seaford"/>
          <w:color w:val="000000"/>
        </w:rPr>
        <w:t xml:space="preserve"> Attendance for this course may be taken in the form of taking a quiz at the beginning of the class.</w:t>
      </w:r>
    </w:p>
    <w:p w14:paraId="1E53970A" w14:textId="77777777" w:rsidR="00FE51E6" w:rsidRPr="00BC1024" w:rsidRDefault="00FE51E6" w:rsidP="00F34302">
      <w:pPr>
        <w:rPr>
          <w:rFonts w:ascii="Seaford" w:hAnsi="Seaford"/>
          <w:color w:val="000000"/>
        </w:rPr>
      </w:pPr>
    </w:p>
    <w:p w14:paraId="71FCE8F6" w14:textId="63E9F6CD" w:rsidR="00E34C01" w:rsidRPr="00E01337" w:rsidRDefault="00E34C01">
      <w:pPr>
        <w:rPr>
          <w:rFonts w:ascii="Seaford" w:hAnsi="Seaford"/>
          <w:b/>
          <w:bCs/>
          <w:color w:val="000000"/>
        </w:rPr>
      </w:pPr>
      <w:r w:rsidRPr="00E01337">
        <w:rPr>
          <w:rFonts w:ascii="Seaford" w:hAnsi="Seaford"/>
          <w:b/>
          <w:bCs/>
          <w:color w:val="000000"/>
        </w:rPr>
        <w:t xml:space="preserve">Course </w:t>
      </w:r>
      <w:r w:rsidR="0018015E">
        <w:rPr>
          <w:rFonts w:ascii="Seaford" w:hAnsi="Seaford"/>
          <w:b/>
          <w:bCs/>
          <w:color w:val="000000"/>
        </w:rPr>
        <w:t>Schedule</w:t>
      </w:r>
      <w:r w:rsidR="00842D9F" w:rsidRPr="00E01337">
        <w:rPr>
          <w:rFonts w:ascii="Seaford" w:hAnsi="Seaford"/>
          <w:b/>
          <w:bCs/>
          <w:color w:val="000000"/>
        </w:rPr>
        <w:t>:</w:t>
      </w:r>
    </w:p>
    <w:p w14:paraId="4CA3602B" w14:textId="7A91E547" w:rsidR="0038514C" w:rsidRDefault="0053401E" w:rsidP="00E01337">
      <w:pPr>
        <w:ind w:firstLine="720"/>
        <w:rPr>
          <w:rFonts w:ascii="Seaford" w:hAnsi="Seaford"/>
          <w:color w:val="000000"/>
        </w:rPr>
      </w:pPr>
      <w:r w:rsidRPr="00BC1024">
        <w:rPr>
          <w:rFonts w:ascii="Seaford" w:hAnsi="Seaford"/>
          <w:color w:val="000000"/>
        </w:rPr>
        <w:t xml:space="preserve">This course will be roughly mirroring the timeline for </w:t>
      </w:r>
      <w:r w:rsidR="00F34302">
        <w:rPr>
          <w:rFonts w:ascii="Seaford" w:hAnsi="Seaford"/>
          <w:color w:val="000000"/>
        </w:rPr>
        <w:t>Aural Skills III.</w:t>
      </w:r>
      <w:r w:rsidRPr="00BC1024">
        <w:rPr>
          <w:rFonts w:ascii="Seaford" w:hAnsi="Seaford"/>
          <w:color w:val="000000"/>
        </w:rPr>
        <w:t xml:space="preserve"> The following schedule </w:t>
      </w:r>
      <w:r w:rsidR="00C45AF2" w:rsidRPr="00BC1024">
        <w:rPr>
          <w:rFonts w:ascii="Seaford" w:hAnsi="Seaford"/>
          <w:color w:val="000000"/>
        </w:rPr>
        <w:t>is subject to change</w:t>
      </w:r>
      <w:r w:rsidR="00B67A79">
        <w:rPr>
          <w:rFonts w:ascii="Seaford" w:hAnsi="Seaford"/>
          <w:color w:val="000000"/>
        </w:rPr>
        <w:t xml:space="preserve"> at the discretion of the instructor.</w:t>
      </w:r>
      <w:r w:rsidR="00865381">
        <w:rPr>
          <w:rFonts w:ascii="Seaford" w:hAnsi="Seaford"/>
          <w:color w:val="000000"/>
        </w:rPr>
        <w:t xml:space="preserve"> Readings should be done before the day marked in the schedule.</w:t>
      </w:r>
    </w:p>
    <w:p w14:paraId="27CCDFBE" w14:textId="77777777" w:rsidR="00E01337" w:rsidRDefault="00E01337" w:rsidP="00E01337">
      <w:pPr>
        <w:ind w:firstLine="720"/>
        <w:rPr>
          <w:rFonts w:ascii="Seaford" w:hAnsi="Seaford"/>
          <w:color w:val="000000"/>
        </w:rPr>
      </w:pPr>
    </w:p>
    <w:p w14:paraId="7809A86F" w14:textId="77777777" w:rsidR="00E01337" w:rsidRDefault="00E01337" w:rsidP="00E01337">
      <w:pPr>
        <w:ind w:firstLine="720"/>
        <w:rPr>
          <w:rFonts w:ascii="Seaford" w:hAnsi="Seaford"/>
          <w:u w:val="single"/>
        </w:rPr>
      </w:pPr>
    </w:p>
    <w:p w14:paraId="6AFE9C8D" w14:textId="223E8E67" w:rsidR="0038514C" w:rsidRPr="009A177E" w:rsidRDefault="0038514C" w:rsidP="0038514C">
      <w:pPr>
        <w:rPr>
          <w:rFonts w:ascii="Seaford" w:hAnsi="Seaford"/>
          <w:u w:val="single"/>
        </w:rPr>
      </w:pPr>
      <w:r w:rsidRPr="00CB35B0">
        <w:rPr>
          <w:rFonts w:ascii="Seaford" w:hAnsi="Seaford"/>
          <w:smallCaps/>
          <w:u w:val="single"/>
        </w:rPr>
        <w:t>I</w:t>
      </w:r>
      <w:r w:rsidR="00CB35B0" w:rsidRPr="00CB35B0">
        <w:rPr>
          <w:rFonts w:ascii="Seaford" w:hAnsi="Seaford"/>
          <w:smallCaps/>
          <w:u w:val="single"/>
        </w:rPr>
        <w:t>ntroduction</w:t>
      </w:r>
      <w:r w:rsidRPr="009A177E">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(8/1</w:t>
      </w:r>
      <w:r w:rsidR="00F34302">
        <w:rPr>
          <w:rFonts w:ascii="Seaford" w:hAnsi="Seaford"/>
          <w:u w:val="single"/>
        </w:rPr>
        <w:t>8</w:t>
      </w:r>
      <w:r w:rsidRPr="009A177E">
        <w:rPr>
          <w:rFonts w:ascii="Seaford" w:hAnsi="Seaford"/>
          <w:u w:val="single"/>
        </w:rPr>
        <w:t>)</w:t>
      </w:r>
    </w:p>
    <w:p w14:paraId="651090B1" w14:textId="6738D47E" w:rsidR="0038514C" w:rsidRDefault="0038514C" w:rsidP="0038514C">
      <w:pPr>
        <w:rPr>
          <w:rFonts w:ascii="Seaford" w:hAnsi="Seaford"/>
        </w:rPr>
      </w:pPr>
      <w:r w:rsidRPr="009A177E">
        <w:rPr>
          <w:rFonts w:ascii="Seaford" w:hAnsi="Seaford"/>
        </w:rPr>
        <w:tab/>
        <w:t xml:space="preserve">8/19 – </w:t>
      </w:r>
      <w:r w:rsidR="0018015E">
        <w:rPr>
          <w:rFonts w:ascii="Seaford" w:hAnsi="Seaford"/>
        </w:rPr>
        <w:t>Syllabus Day</w:t>
      </w:r>
    </w:p>
    <w:p w14:paraId="478BC857" w14:textId="77777777" w:rsidR="0038514C" w:rsidRPr="009A177E" w:rsidRDefault="0038514C" w:rsidP="0038514C">
      <w:pPr>
        <w:rPr>
          <w:rFonts w:ascii="Seaford" w:hAnsi="Seaford"/>
        </w:rPr>
      </w:pPr>
    </w:p>
    <w:p w14:paraId="654007D2" w14:textId="665466A3" w:rsidR="0038514C" w:rsidRPr="0018015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1 –</w:t>
      </w:r>
      <w:r w:rsidR="00F34302">
        <w:rPr>
          <w:rFonts w:ascii="Seaford" w:hAnsi="Seaford"/>
          <w:u w:val="single"/>
        </w:rPr>
        <w:t xml:space="preserve"> Vertical Harmony</w:t>
      </w:r>
      <w:r w:rsidRPr="009A177E">
        <w:rPr>
          <w:rFonts w:ascii="Seaford" w:hAnsi="Seaford"/>
          <w:u w:val="single"/>
        </w:rPr>
        <w:tab/>
      </w:r>
      <w:r w:rsidR="00F34302">
        <w:rPr>
          <w:rFonts w:ascii="Seaford" w:hAnsi="Seaford"/>
          <w:u w:val="single"/>
        </w:rPr>
        <w:tab/>
      </w:r>
      <w:r w:rsidR="00F34302">
        <w:rPr>
          <w:rFonts w:ascii="Seaford" w:hAnsi="Seaford"/>
          <w:u w:val="single"/>
        </w:rPr>
        <w:tab/>
      </w:r>
      <w:r w:rsidR="00F34302">
        <w:rPr>
          <w:rFonts w:ascii="Seaford" w:hAnsi="Seaford"/>
          <w:u w:val="single"/>
        </w:rPr>
        <w:tab/>
      </w:r>
      <w:r w:rsidR="00CB35B0">
        <w:rPr>
          <w:rFonts w:ascii="Seaford" w:hAnsi="Seaford"/>
          <w:u w:val="single"/>
        </w:rPr>
        <w:tab/>
      </w:r>
      <w:r w:rsidR="007D2719">
        <w:rPr>
          <w:rFonts w:ascii="Seaford" w:hAnsi="Seaford"/>
          <w:u w:val="single"/>
        </w:rPr>
        <w:tab/>
      </w:r>
      <w:r w:rsidRPr="009A177E">
        <w:rPr>
          <w:rFonts w:ascii="Seaford" w:hAnsi="Seaford"/>
          <w:u w:val="single"/>
        </w:rPr>
        <w:t>(8/2</w:t>
      </w:r>
      <w:r w:rsidR="00F34302">
        <w:rPr>
          <w:rFonts w:ascii="Seaford" w:hAnsi="Seaford"/>
          <w:u w:val="single"/>
        </w:rPr>
        <w:t>0</w:t>
      </w:r>
      <w:r w:rsidRPr="009A177E">
        <w:rPr>
          <w:rFonts w:ascii="Seaford" w:hAnsi="Seaford"/>
          <w:u w:val="single"/>
        </w:rPr>
        <w:t xml:space="preserve"> – </w:t>
      </w:r>
      <w:r w:rsidR="00F34302">
        <w:rPr>
          <w:rFonts w:ascii="Seaford" w:hAnsi="Seaford"/>
          <w:u w:val="single"/>
        </w:rPr>
        <w:t>9/10</w:t>
      </w:r>
      <w:r w:rsidRPr="009A177E">
        <w:rPr>
          <w:rFonts w:ascii="Seaford" w:hAnsi="Seaford"/>
          <w:u w:val="single"/>
        </w:rPr>
        <w:t>)</w:t>
      </w:r>
    </w:p>
    <w:p w14:paraId="06726A28" w14:textId="62FE9B6C" w:rsidR="00865381" w:rsidRDefault="00865381" w:rsidP="00B96A87">
      <w:pPr>
        <w:rPr>
          <w:rFonts w:ascii="Seaford" w:hAnsi="Seaford"/>
        </w:rPr>
      </w:pPr>
      <w:r>
        <w:rPr>
          <w:rFonts w:ascii="Seaford" w:hAnsi="Seaford"/>
        </w:rPr>
        <w:tab/>
        <w:t>9/</w:t>
      </w:r>
      <w:r w:rsidR="004C0DB0">
        <w:rPr>
          <w:rFonts w:ascii="Seaford" w:hAnsi="Seaford"/>
        </w:rPr>
        <w:t>3</w:t>
      </w:r>
      <w:r>
        <w:rPr>
          <w:rFonts w:ascii="Seaford" w:hAnsi="Seaford"/>
        </w:rPr>
        <w:t xml:space="preserve">: Read pp. </w:t>
      </w:r>
      <w:r w:rsidR="004C0DB0">
        <w:rPr>
          <w:rFonts w:ascii="Seaford" w:hAnsi="Seaford"/>
        </w:rPr>
        <w:t>103-10, 483-4</w:t>
      </w:r>
    </w:p>
    <w:p w14:paraId="10AD5447" w14:textId="379F8C34" w:rsidR="0038514C" w:rsidRPr="00B96A87" w:rsidRDefault="0038514C" w:rsidP="00865381">
      <w:pPr>
        <w:rPr>
          <w:rFonts w:ascii="Seaford" w:hAnsi="Seaford"/>
          <w:b/>
          <w:bCs/>
        </w:rPr>
      </w:pPr>
      <w:r w:rsidRPr="00B96A87">
        <w:rPr>
          <w:rFonts w:ascii="Seaford" w:hAnsi="Seaford"/>
          <w:b/>
          <w:bCs/>
        </w:rPr>
        <w:t xml:space="preserve">Test 1: </w:t>
      </w:r>
      <w:r w:rsidR="007D2719" w:rsidRPr="00B96A87">
        <w:rPr>
          <w:rFonts w:ascii="Seaford" w:hAnsi="Seaford"/>
          <w:b/>
          <w:bCs/>
        </w:rPr>
        <w:t>9/16</w:t>
      </w:r>
    </w:p>
    <w:p w14:paraId="6486E11C" w14:textId="77777777" w:rsidR="0038514C" w:rsidRPr="009A177E" w:rsidRDefault="0038514C" w:rsidP="0038514C">
      <w:pPr>
        <w:rPr>
          <w:rFonts w:ascii="Seaford" w:hAnsi="Seaford"/>
        </w:rPr>
      </w:pPr>
    </w:p>
    <w:p w14:paraId="5E87EA85" w14:textId="6DE30462" w:rsidR="0038514C" w:rsidRPr="0018015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2 – </w:t>
      </w:r>
      <w:r w:rsidR="00F34302">
        <w:rPr>
          <w:rFonts w:ascii="Seaford" w:hAnsi="Seaford"/>
          <w:u w:val="single"/>
        </w:rPr>
        <w:t>Horizontal Harmony</w:t>
      </w:r>
      <w:r w:rsidR="00F34302">
        <w:rPr>
          <w:rFonts w:ascii="Seaford" w:hAnsi="Seaford"/>
          <w:u w:val="single"/>
        </w:rPr>
        <w:tab/>
      </w:r>
      <w:r w:rsidRPr="009A177E">
        <w:rPr>
          <w:rFonts w:ascii="Seaford" w:hAnsi="Seaford"/>
          <w:u w:val="single"/>
        </w:rPr>
        <w:tab/>
      </w:r>
      <w:r w:rsidRPr="009A177E">
        <w:rPr>
          <w:rFonts w:ascii="Seaford" w:hAnsi="Seaford"/>
          <w:u w:val="single"/>
        </w:rPr>
        <w:tab/>
      </w:r>
      <w:r w:rsidRPr="009A177E">
        <w:rPr>
          <w:rFonts w:ascii="Seaford" w:hAnsi="Seaford"/>
          <w:u w:val="single"/>
        </w:rPr>
        <w:tab/>
      </w:r>
      <w:r w:rsidR="00CB35B0">
        <w:rPr>
          <w:rFonts w:ascii="Seaford" w:hAnsi="Seaford"/>
          <w:u w:val="single"/>
        </w:rPr>
        <w:tab/>
      </w:r>
      <w:r w:rsidRPr="009A177E">
        <w:rPr>
          <w:rFonts w:ascii="Seaford" w:hAnsi="Seaford"/>
          <w:u w:val="single"/>
        </w:rPr>
        <w:t>(</w:t>
      </w:r>
      <w:r w:rsidR="00F34302">
        <w:rPr>
          <w:rFonts w:ascii="Seaford" w:hAnsi="Seaford"/>
          <w:u w:val="single"/>
        </w:rPr>
        <w:t>9/15 – 10/8</w:t>
      </w:r>
      <w:r w:rsidRPr="009A177E">
        <w:rPr>
          <w:rFonts w:ascii="Seaford" w:hAnsi="Seaford"/>
          <w:u w:val="single"/>
        </w:rPr>
        <w:t>)</w:t>
      </w:r>
    </w:p>
    <w:p w14:paraId="3360D775" w14:textId="373401FA" w:rsidR="004C0DB0" w:rsidRDefault="004C0DB0" w:rsidP="00B96A87">
      <w:pPr>
        <w:rPr>
          <w:rFonts w:ascii="Seaford" w:hAnsi="Seaford"/>
        </w:rPr>
      </w:pPr>
      <w:r>
        <w:rPr>
          <w:rFonts w:ascii="Seaford" w:hAnsi="Seaford"/>
        </w:rPr>
        <w:tab/>
        <w:t>9/15: Read pp. 31-54</w:t>
      </w:r>
      <w:r w:rsidR="0038514C" w:rsidRPr="009A177E">
        <w:rPr>
          <w:rFonts w:ascii="Seaford" w:hAnsi="Seaford"/>
        </w:rPr>
        <w:tab/>
      </w:r>
    </w:p>
    <w:p w14:paraId="17442C39" w14:textId="1906C283" w:rsidR="00B96A87" w:rsidRDefault="00B96A87" w:rsidP="004C0DB0">
      <w:pPr>
        <w:ind w:firstLine="720"/>
        <w:rPr>
          <w:rFonts w:ascii="Seaford" w:hAnsi="Seaford"/>
        </w:rPr>
      </w:pPr>
      <w:r>
        <w:rPr>
          <w:rFonts w:ascii="Seaford" w:hAnsi="Seaford"/>
        </w:rPr>
        <w:t>9/17: Read pp. 55-77, 476-8</w:t>
      </w:r>
    </w:p>
    <w:p w14:paraId="2D6152B0" w14:textId="77777777" w:rsidR="00B96A87" w:rsidRDefault="00B96A87" w:rsidP="00B96A87">
      <w:pPr>
        <w:rPr>
          <w:rFonts w:ascii="Seaford" w:hAnsi="Seaford"/>
        </w:rPr>
      </w:pPr>
      <w:r>
        <w:rPr>
          <w:rFonts w:ascii="Seaford" w:hAnsi="Seaford"/>
        </w:rPr>
        <w:tab/>
        <w:t>9/22: Read pp. 78-94</w:t>
      </w:r>
    </w:p>
    <w:p w14:paraId="09ADE476" w14:textId="77777777" w:rsidR="00B96A87" w:rsidRDefault="00B96A87" w:rsidP="00B96A87">
      <w:pPr>
        <w:rPr>
          <w:rFonts w:ascii="Seaford" w:hAnsi="Seaford"/>
        </w:rPr>
      </w:pPr>
      <w:r>
        <w:rPr>
          <w:rFonts w:ascii="Seaford" w:hAnsi="Seaford"/>
        </w:rPr>
        <w:tab/>
        <w:t>9/24: Read pp. 193-5 (opt. 196-218)</w:t>
      </w:r>
    </w:p>
    <w:p w14:paraId="50A0534B" w14:textId="567710BE" w:rsidR="00B96A87" w:rsidRDefault="00B96A87" w:rsidP="00F34302">
      <w:pPr>
        <w:rPr>
          <w:rFonts w:ascii="Seaford" w:hAnsi="Seaford"/>
        </w:rPr>
      </w:pPr>
      <w:r>
        <w:rPr>
          <w:rFonts w:ascii="Seaford" w:hAnsi="Seaford"/>
        </w:rPr>
        <w:tab/>
        <w:t>9/29: Read 219-236, 173-9</w:t>
      </w:r>
    </w:p>
    <w:p w14:paraId="7CC7B3CF" w14:textId="16B0A652" w:rsidR="0038514C" w:rsidRPr="00B96A87" w:rsidRDefault="00700490" w:rsidP="00F34302">
      <w:pPr>
        <w:rPr>
          <w:rFonts w:ascii="Seaford" w:hAnsi="Seaford"/>
          <w:b/>
          <w:bCs/>
        </w:rPr>
      </w:pPr>
      <w:r w:rsidRPr="00B96A87">
        <w:rPr>
          <w:rFonts w:ascii="Seaford" w:hAnsi="Seaford"/>
          <w:b/>
          <w:bCs/>
        </w:rPr>
        <w:t>Test 2</w:t>
      </w:r>
      <w:r w:rsidR="00F34302" w:rsidRPr="00B96A87">
        <w:rPr>
          <w:rFonts w:ascii="Seaford" w:hAnsi="Seaford"/>
          <w:b/>
          <w:bCs/>
        </w:rPr>
        <w:t>: 10/8</w:t>
      </w:r>
    </w:p>
    <w:p w14:paraId="144A0297" w14:textId="77777777" w:rsidR="0038514C" w:rsidRPr="009A177E" w:rsidRDefault="0038514C" w:rsidP="0038514C">
      <w:pPr>
        <w:rPr>
          <w:rFonts w:ascii="Seaford" w:hAnsi="Seaford"/>
        </w:rPr>
      </w:pPr>
    </w:p>
    <w:p w14:paraId="44F12511" w14:textId="230B5CDE" w:rsidR="0038514C" w:rsidRPr="0018015E" w:rsidRDefault="0038514C" w:rsidP="0038514C">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3 – </w:t>
      </w:r>
      <w:r w:rsidR="00F34302">
        <w:rPr>
          <w:rFonts w:ascii="Seaford" w:hAnsi="Seaford"/>
          <w:u w:val="single"/>
        </w:rPr>
        <w:t>Functional Harmony: Tonicization</w:t>
      </w:r>
      <w:r w:rsidRPr="009A177E">
        <w:rPr>
          <w:rFonts w:ascii="Seaford" w:hAnsi="Seaford"/>
          <w:u w:val="single"/>
        </w:rPr>
        <w:tab/>
      </w:r>
      <w:r w:rsidR="00CB35B0">
        <w:rPr>
          <w:rFonts w:ascii="Seaford" w:hAnsi="Seaford"/>
          <w:u w:val="single"/>
        </w:rPr>
        <w:tab/>
      </w:r>
      <w:r w:rsidR="00CB35B0">
        <w:rPr>
          <w:rFonts w:ascii="Seaford" w:hAnsi="Seaford"/>
          <w:u w:val="single"/>
        </w:rPr>
        <w:tab/>
      </w:r>
      <w:r w:rsidRPr="009A177E">
        <w:rPr>
          <w:rFonts w:ascii="Seaford" w:hAnsi="Seaford"/>
          <w:u w:val="single"/>
        </w:rPr>
        <w:t>(</w:t>
      </w:r>
      <w:r w:rsidR="00F34302">
        <w:rPr>
          <w:rFonts w:ascii="Seaford" w:hAnsi="Seaford"/>
          <w:u w:val="single"/>
        </w:rPr>
        <w:t>10/13 – 11/3</w:t>
      </w:r>
      <w:r w:rsidRPr="009A177E">
        <w:rPr>
          <w:rFonts w:ascii="Seaford" w:hAnsi="Seaford"/>
          <w:u w:val="single"/>
        </w:rPr>
        <w:t>)</w:t>
      </w:r>
    </w:p>
    <w:p w14:paraId="759C6128" w14:textId="77777777" w:rsidR="00B96A87" w:rsidRDefault="00B96A87" w:rsidP="00B96A87">
      <w:pPr>
        <w:rPr>
          <w:rFonts w:ascii="Seaford" w:hAnsi="Seaford"/>
        </w:rPr>
      </w:pPr>
      <w:r>
        <w:rPr>
          <w:rFonts w:ascii="Seaford" w:hAnsi="Seaford"/>
        </w:rPr>
        <w:tab/>
        <w:t>10/13: Read pp. 278, 336-7</w:t>
      </w:r>
    </w:p>
    <w:p w14:paraId="0B4832BF" w14:textId="77777777" w:rsidR="00B96A87" w:rsidRDefault="00B96A87" w:rsidP="00B96A87">
      <w:pPr>
        <w:rPr>
          <w:rFonts w:ascii="Seaford" w:hAnsi="Seaford"/>
        </w:rPr>
      </w:pPr>
      <w:r>
        <w:rPr>
          <w:rFonts w:ascii="Seaford" w:hAnsi="Seaford"/>
        </w:rPr>
        <w:tab/>
        <w:t>10/20: Read pp. 260-71</w:t>
      </w:r>
    </w:p>
    <w:p w14:paraId="6BCF7C8F" w14:textId="77777777" w:rsidR="00B96A87" w:rsidRDefault="00B96A87" w:rsidP="00B96A87">
      <w:pPr>
        <w:rPr>
          <w:rFonts w:ascii="Seaford" w:hAnsi="Seaford"/>
        </w:rPr>
      </w:pPr>
      <w:r>
        <w:rPr>
          <w:rFonts w:ascii="Seaford" w:hAnsi="Seaford"/>
        </w:rPr>
        <w:tab/>
        <w:t>10/22: Read 281-5, 235-30</w:t>
      </w:r>
    </w:p>
    <w:p w14:paraId="612CF9AB" w14:textId="30CA2782" w:rsidR="00B96A87" w:rsidRDefault="00B96A87" w:rsidP="00F34302">
      <w:pPr>
        <w:rPr>
          <w:rFonts w:ascii="Seaford" w:hAnsi="Seaford"/>
        </w:rPr>
      </w:pPr>
      <w:r>
        <w:rPr>
          <w:rFonts w:ascii="Seaford" w:hAnsi="Seaford"/>
        </w:rPr>
        <w:tab/>
        <w:t>10/27: Read pp. 292, 340, 343</w:t>
      </w:r>
      <w:r w:rsidR="0038514C" w:rsidRPr="009A177E">
        <w:rPr>
          <w:rFonts w:ascii="Seaford" w:hAnsi="Seaford"/>
        </w:rPr>
        <w:tab/>
      </w:r>
    </w:p>
    <w:p w14:paraId="5BC2D174" w14:textId="25524BA7" w:rsidR="007D2719" w:rsidRPr="00B96A87" w:rsidRDefault="0038514C" w:rsidP="00F34302">
      <w:pPr>
        <w:rPr>
          <w:rFonts w:ascii="Seaford" w:hAnsi="Seaford"/>
          <w:b/>
          <w:bCs/>
        </w:rPr>
      </w:pPr>
      <w:r w:rsidRPr="00B96A87">
        <w:rPr>
          <w:rFonts w:ascii="Seaford" w:hAnsi="Seaford"/>
          <w:b/>
          <w:bCs/>
        </w:rPr>
        <w:t>Test 3</w:t>
      </w:r>
      <w:r w:rsidR="00F34302" w:rsidRPr="00B96A87">
        <w:rPr>
          <w:rFonts w:ascii="Seaford" w:hAnsi="Seaford"/>
          <w:b/>
          <w:bCs/>
        </w:rPr>
        <w:t>: 11/3</w:t>
      </w:r>
    </w:p>
    <w:p w14:paraId="6C3FAB8C" w14:textId="77777777" w:rsidR="0038514C" w:rsidRPr="009A177E" w:rsidRDefault="0038514C" w:rsidP="0038514C">
      <w:pPr>
        <w:rPr>
          <w:rFonts w:ascii="Seaford" w:hAnsi="Seaford"/>
        </w:rPr>
      </w:pPr>
    </w:p>
    <w:p w14:paraId="6407B97E" w14:textId="565A81F0" w:rsidR="00B96A87" w:rsidRPr="00B96A87" w:rsidRDefault="0038514C" w:rsidP="00F34302">
      <w:pPr>
        <w:rPr>
          <w:rFonts w:ascii="Seaford" w:hAnsi="Seaford"/>
          <w:u w:val="single"/>
        </w:rPr>
      </w:pPr>
      <w:r w:rsidRPr="009A177E">
        <w:rPr>
          <w:rFonts w:ascii="Seaford" w:hAnsi="Seaford"/>
          <w:u w:val="single"/>
        </w:rPr>
        <w:t>U</w:t>
      </w:r>
      <w:r w:rsidR="00CB35B0" w:rsidRPr="00CB35B0">
        <w:rPr>
          <w:rFonts w:ascii="Seaford" w:hAnsi="Seaford"/>
          <w:smallCaps/>
          <w:u w:val="single"/>
        </w:rPr>
        <w:t>nit</w:t>
      </w:r>
      <w:r w:rsidRPr="009A177E">
        <w:rPr>
          <w:rFonts w:ascii="Seaford" w:hAnsi="Seaford"/>
          <w:u w:val="single"/>
        </w:rPr>
        <w:t xml:space="preserve"> 4 – </w:t>
      </w:r>
      <w:r w:rsidR="00F34302">
        <w:rPr>
          <w:rFonts w:ascii="Seaford" w:hAnsi="Seaford"/>
          <w:u w:val="single"/>
        </w:rPr>
        <w:t>Functional Harmony: Common Progressions</w:t>
      </w:r>
      <w:r w:rsidR="00CB35B0">
        <w:rPr>
          <w:rFonts w:ascii="Seaford" w:hAnsi="Seaford"/>
          <w:u w:val="single"/>
        </w:rPr>
        <w:tab/>
      </w:r>
      <w:r w:rsidR="00CB35B0">
        <w:rPr>
          <w:rFonts w:ascii="Seaford" w:hAnsi="Seaford"/>
          <w:u w:val="single"/>
        </w:rPr>
        <w:tab/>
      </w:r>
      <w:r w:rsidRPr="009A177E">
        <w:rPr>
          <w:rFonts w:ascii="Seaford" w:hAnsi="Seaford"/>
          <w:u w:val="single"/>
        </w:rPr>
        <w:t>(</w:t>
      </w:r>
      <w:r w:rsidR="00F34302">
        <w:rPr>
          <w:rFonts w:ascii="Seaford" w:hAnsi="Seaford"/>
          <w:u w:val="single"/>
        </w:rPr>
        <w:t>11/5 – 12/3</w:t>
      </w:r>
      <w:r w:rsidRPr="009A177E">
        <w:rPr>
          <w:rFonts w:ascii="Seaford" w:hAnsi="Seaford"/>
          <w:u w:val="single"/>
        </w:rPr>
        <w:t>)</w:t>
      </w:r>
      <w:r w:rsidRPr="009A177E">
        <w:rPr>
          <w:rFonts w:ascii="Seaford" w:hAnsi="Seaford"/>
        </w:rPr>
        <w:tab/>
      </w:r>
    </w:p>
    <w:p w14:paraId="1122E066" w14:textId="29E57D61" w:rsidR="00F34302" w:rsidRPr="00B96A87" w:rsidRDefault="00F34302" w:rsidP="00F34302">
      <w:pPr>
        <w:rPr>
          <w:rFonts w:ascii="Seaford" w:hAnsi="Seaford"/>
          <w:b/>
          <w:bCs/>
        </w:rPr>
      </w:pPr>
      <w:r w:rsidRPr="00B96A87">
        <w:rPr>
          <w:rFonts w:ascii="Seaford" w:hAnsi="Seaford"/>
          <w:b/>
          <w:bCs/>
        </w:rPr>
        <w:t>Test 4: 12/3</w:t>
      </w:r>
    </w:p>
    <w:p w14:paraId="1882A184" w14:textId="0C1AF4E4" w:rsidR="0038514C" w:rsidRPr="009A177E" w:rsidRDefault="0038514C" w:rsidP="002E47BF">
      <w:pPr>
        <w:rPr>
          <w:rFonts w:ascii="Seaford" w:hAnsi="Seaford"/>
        </w:rPr>
      </w:pPr>
      <w:r w:rsidRPr="009A177E">
        <w:rPr>
          <w:rFonts w:ascii="Seaford" w:hAnsi="Seaford"/>
        </w:rPr>
        <w:tab/>
      </w:r>
    </w:p>
    <w:p w14:paraId="53C52C5E" w14:textId="68217205" w:rsidR="007D2719" w:rsidRPr="00F57F95" w:rsidRDefault="00F57F95" w:rsidP="00F57F95">
      <w:pPr>
        <w:rPr>
          <w:rFonts w:ascii="Seaford" w:hAnsi="Seaford"/>
        </w:rPr>
      </w:pPr>
      <w:r>
        <w:rPr>
          <w:rFonts w:ascii="Seaford" w:hAnsi="Seaford"/>
          <w:b/>
          <w:bCs/>
          <w:color w:val="000000"/>
        </w:rPr>
        <w:lastRenderedPageBreak/>
        <w:t>Course Topics</w:t>
      </w:r>
      <w:r w:rsidR="007D2719">
        <w:rPr>
          <w:rFonts w:ascii="Seaford" w:hAnsi="Seaford"/>
          <w:b/>
          <w:bCs/>
          <w:color w:val="000000"/>
        </w:rPr>
        <w:t>:</w:t>
      </w:r>
    </w:p>
    <w:p w14:paraId="2BC8DDA1" w14:textId="7FA121D6" w:rsidR="007D2719" w:rsidRDefault="00F57F95" w:rsidP="00E6541D">
      <w:pPr>
        <w:ind w:right="-630" w:firstLine="720"/>
        <w:rPr>
          <w:rFonts w:ascii="Seaford" w:hAnsi="Seaford"/>
          <w:color w:val="000000"/>
        </w:rPr>
      </w:pPr>
      <w:r>
        <w:rPr>
          <w:rFonts w:ascii="Seaford" w:hAnsi="Seaford"/>
          <w:color w:val="000000"/>
        </w:rPr>
        <w:t xml:space="preserve">The course is organized into four major units: </w:t>
      </w:r>
      <w:r w:rsidR="00E6541D">
        <w:rPr>
          <w:rFonts w:ascii="Seaford" w:hAnsi="Seaford"/>
          <w:color w:val="000000"/>
        </w:rPr>
        <w:t xml:space="preserve">Vertical Harmony, Horizontal Harmony, Functional Harmony: Tonicization, and Functional Harmony: Common Progressions. These topics will correspond with the units of Aural Skills III for Jazz Majors. </w:t>
      </w:r>
      <w:r w:rsidR="00E3219E">
        <w:rPr>
          <w:rFonts w:ascii="Seaford" w:hAnsi="Seaford"/>
          <w:color w:val="000000"/>
        </w:rPr>
        <w:t>Although curriculum</w:t>
      </w:r>
      <w:r w:rsidR="00506140">
        <w:rPr>
          <w:rFonts w:ascii="Seaford" w:hAnsi="Seaford"/>
          <w:color w:val="000000"/>
        </w:rPr>
        <w:t xml:space="preserve"> is planned, if the class is extraordinarily and collectively progressing at a faster rate than anticipated, additional curriculum may be inserted before the end of the unit, although any impromptu curriculum will not be reflected in any Test.</w:t>
      </w:r>
    </w:p>
    <w:p w14:paraId="5995250C" w14:textId="3D25F991" w:rsidR="00E6541D" w:rsidRDefault="00E6541D" w:rsidP="007D2719">
      <w:pPr>
        <w:ind w:right="-630" w:firstLine="720"/>
        <w:rPr>
          <w:rFonts w:ascii="Seaford" w:hAnsi="Seaford"/>
          <w:color w:val="000000"/>
        </w:rPr>
      </w:pPr>
      <w:r>
        <w:rPr>
          <w:rFonts w:ascii="Seaford" w:hAnsi="Seaford"/>
          <w:color w:val="000000"/>
        </w:rPr>
        <w:t>The first unit of Vertical Harmony will discuss the foundations of analyzing chords beyond what you have learned in Theory II. Chord qualities, chord symbols, nomenclature, and common practices in jazz and other modern styles will be used to supplement existing understanding of vertical harmony in classical music.</w:t>
      </w:r>
    </w:p>
    <w:p w14:paraId="03543AA3" w14:textId="11A15785" w:rsidR="00E6541D" w:rsidRDefault="00E6541D" w:rsidP="007D2719">
      <w:pPr>
        <w:ind w:right="-630" w:firstLine="720"/>
        <w:rPr>
          <w:rFonts w:ascii="Seaford" w:hAnsi="Seaford"/>
          <w:color w:val="000000"/>
        </w:rPr>
      </w:pPr>
      <w:r>
        <w:rPr>
          <w:rFonts w:ascii="Seaford" w:hAnsi="Seaford"/>
          <w:color w:val="000000"/>
        </w:rPr>
        <w:t>The second unit of Horizontal Harmony will discuss the foundations of analyzing scales and modes beyond what you have learned in Theory II. The most common scales in jazz, and their relationship to chord qualities will inform how scales and modes have been conceived and used in modern musics.</w:t>
      </w:r>
    </w:p>
    <w:p w14:paraId="1F2B1ED3" w14:textId="77777777" w:rsidR="00E6541D" w:rsidRDefault="00E6541D" w:rsidP="007D2719">
      <w:pPr>
        <w:ind w:right="-630" w:firstLine="720"/>
        <w:rPr>
          <w:rFonts w:ascii="Seaford" w:hAnsi="Seaford"/>
          <w:color w:val="000000"/>
        </w:rPr>
      </w:pPr>
      <w:r>
        <w:rPr>
          <w:rFonts w:ascii="Seaford" w:hAnsi="Seaford"/>
          <w:color w:val="000000"/>
        </w:rPr>
        <w:t>The third unit of Functional Harmony: Tonicization will discuss the most common methods of tension and resolution in tonal centers. Identifying voice leading and options for how to resolve chords will be contrasted with tonicization learned in Theory II.</w:t>
      </w:r>
    </w:p>
    <w:p w14:paraId="2A3EBBA8" w14:textId="051C5010" w:rsidR="00E6541D" w:rsidRDefault="00E6541D" w:rsidP="007D2719">
      <w:pPr>
        <w:ind w:right="-630" w:firstLine="720"/>
        <w:rPr>
          <w:rFonts w:ascii="Seaford" w:hAnsi="Seaford"/>
          <w:color w:val="000000"/>
        </w:rPr>
      </w:pPr>
      <w:r>
        <w:rPr>
          <w:rFonts w:ascii="Seaford" w:hAnsi="Seaford"/>
          <w:color w:val="000000"/>
        </w:rPr>
        <w:t xml:space="preserve">The fourth unit of Functional Harmony: Common Progressions will discuss the application of the past three units to build tonal progressions that are commonly seen in jazz standards. Intros, endings, turnarounds, and common harmonic motion across the form of a tune will be discussed to apply the knowledge of vertical harmony and tonal function, and use of horizontal harmony will </w:t>
      </w:r>
      <w:r w:rsidR="00E3219E">
        <w:rPr>
          <w:rFonts w:ascii="Seaford" w:hAnsi="Seaford"/>
          <w:color w:val="000000"/>
        </w:rPr>
        <w:t>inform how melodies are commonly imposed on these progressions.</w:t>
      </w:r>
      <w:r>
        <w:rPr>
          <w:rFonts w:ascii="Seaford" w:hAnsi="Seaford"/>
          <w:color w:val="000000"/>
        </w:rPr>
        <w:t xml:space="preserve"> </w:t>
      </w:r>
    </w:p>
    <w:p w14:paraId="0091A113" w14:textId="77777777" w:rsidR="007D2719" w:rsidRDefault="007D2719" w:rsidP="00E34C01">
      <w:pPr>
        <w:ind w:right="-630"/>
        <w:rPr>
          <w:rFonts w:ascii="Seaford" w:hAnsi="Seaford"/>
          <w:b/>
          <w:bCs/>
          <w:color w:val="000000"/>
        </w:rPr>
      </w:pPr>
    </w:p>
    <w:p w14:paraId="4AAA007F" w14:textId="53EB2FB2" w:rsidR="00CE61A5" w:rsidRDefault="00CE61A5" w:rsidP="00E34C01">
      <w:pPr>
        <w:ind w:right="-630"/>
        <w:rPr>
          <w:rFonts w:ascii="Seaford" w:hAnsi="Seaford"/>
          <w:b/>
          <w:bCs/>
          <w:color w:val="000000"/>
        </w:rPr>
      </w:pPr>
      <w:r>
        <w:rPr>
          <w:rFonts w:ascii="Seaford" w:hAnsi="Seaford"/>
          <w:b/>
          <w:bCs/>
          <w:color w:val="000000"/>
        </w:rPr>
        <w:t>Assignments:</w:t>
      </w:r>
    </w:p>
    <w:p w14:paraId="6B626118" w14:textId="6FCA547B" w:rsidR="00E3219E" w:rsidRDefault="00E3219E" w:rsidP="00A760F6">
      <w:pPr>
        <w:ind w:right="-630" w:firstLine="720"/>
        <w:rPr>
          <w:rFonts w:ascii="Seaford" w:hAnsi="Seaford"/>
          <w:color w:val="000000"/>
        </w:rPr>
      </w:pPr>
      <w:r>
        <w:rPr>
          <w:rFonts w:ascii="Seaford" w:hAnsi="Seaford"/>
          <w:color w:val="000000"/>
        </w:rPr>
        <w:t>Most of the assignments for this class will be readings from the required text. Students will be quizzed on the reading material in class. Please read the readings on time; if students demonstrate understanding of the reading in class, class time can be used on application, answering questions, and broadening the knowledge of the concepts beyond the theoretical concept.</w:t>
      </w:r>
    </w:p>
    <w:p w14:paraId="38911380" w14:textId="6E798229" w:rsidR="00CE61A5" w:rsidRDefault="00CE61A5" w:rsidP="00E34C01">
      <w:pPr>
        <w:ind w:right="-630"/>
        <w:rPr>
          <w:rFonts w:ascii="Seaford" w:hAnsi="Seaford"/>
          <w:color w:val="000000"/>
        </w:rPr>
      </w:pPr>
    </w:p>
    <w:p w14:paraId="676E9EB3" w14:textId="6A21DF4E" w:rsidR="00CE61A5" w:rsidRPr="00CE61A5" w:rsidRDefault="00CE61A5" w:rsidP="00E34C01">
      <w:pPr>
        <w:ind w:right="-630"/>
        <w:rPr>
          <w:rFonts w:ascii="Seaford" w:hAnsi="Seaford"/>
          <w:b/>
          <w:bCs/>
          <w:color w:val="000000"/>
        </w:rPr>
      </w:pPr>
      <w:r w:rsidRPr="00CE61A5">
        <w:rPr>
          <w:rFonts w:ascii="Seaford" w:hAnsi="Seaford"/>
          <w:b/>
          <w:bCs/>
          <w:color w:val="000000"/>
        </w:rPr>
        <w:t>Tests:</w:t>
      </w:r>
    </w:p>
    <w:p w14:paraId="0CECCD95" w14:textId="489FD912" w:rsidR="00CC4E12" w:rsidRPr="00CC4E12" w:rsidRDefault="00CC4E12" w:rsidP="00E34C01">
      <w:pPr>
        <w:ind w:right="-630"/>
        <w:rPr>
          <w:rFonts w:ascii="Seaford" w:hAnsi="Seaford"/>
          <w:color w:val="000000"/>
        </w:rPr>
      </w:pPr>
      <w:r>
        <w:rPr>
          <w:rFonts w:ascii="Seaford" w:hAnsi="Seaford"/>
          <w:color w:val="000000"/>
        </w:rPr>
        <w:tab/>
        <w:t xml:space="preserve">In a musical career, having aural skills often allows you to be hired, re-hired, and never fired when called on a gig, interviewing for a job, or pursuing a degree in music. For this reason, it is imperative that you learn to acquire these skills promptly as they are introduced in the class. In other words, not having a certain aural skill today, or having forgotten or lost a certain aural skill may be the reason that you lose work. For this reason, </w:t>
      </w:r>
      <w:r>
        <w:rPr>
          <w:rFonts w:ascii="Seaford" w:hAnsi="Seaford"/>
          <w:b/>
          <w:bCs/>
          <w:color w:val="000000"/>
        </w:rPr>
        <w:t>all tests will be cumulative</w:t>
      </w:r>
      <w:r>
        <w:rPr>
          <w:rFonts w:ascii="Seaford" w:hAnsi="Seaford"/>
          <w:color w:val="000000"/>
        </w:rPr>
        <w:t>.</w:t>
      </w:r>
    </w:p>
    <w:p w14:paraId="2A5BB405" w14:textId="634841D5" w:rsidR="00CC4E12" w:rsidRDefault="00CC4E12" w:rsidP="00E34C01">
      <w:pPr>
        <w:ind w:right="-630"/>
        <w:rPr>
          <w:rFonts w:ascii="Seaford" w:hAnsi="Seaford"/>
          <w:color w:val="000000"/>
        </w:rPr>
      </w:pPr>
      <w:r>
        <w:rPr>
          <w:rFonts w:ascii="Seaford" w:hAnsi="Seaford"/>
          <w:color w:val="000000"/>
        </w:rPr>
        <w:tab/>
        <w:t xml:space="preserve">This class is designed to guarantee your ability to have the fundamentals of necessary aural skills as a jazz musician by the end of your degree. To reflect this goal of </w:t>
      </w:r>
      <w:r>
        <w:rPr>
          <w:rFonts w:ascii="Seaford" w:hAnsi="Seaford"/>
          <w:color w:val="000000"/>
        </w:rPr>
        <w:lastRenderedPageBreak/>
        <w:t xml:space="preserve">being educated over the course of the class, each Test (excluding the first) will offer an opportunity to regain points lost in prior tests. </w:t>
      </w:r>
      <w:r w:rsidR="00DD3FC8">
        <w:rPr>
          <w:rFonts w:ascii="Seaford" w:hAnsi="Seaford"/>
          <w:color w:val="000000"/>
        </w:rPr>
        <w:t xml:space="preserve">If you score higher in the cumulative portion of a test that covers the content of a prior unit, the previous tests’ scores will retroactively be improved to be the same percentage as that cumulative portion. This gives you “second chances” to continue learning the material as we expand on your Aural Skills. (i.e. If you scored a 70% on Test </w:t>
      </w:r>
      <w:proofErr w:type="gramStart"/>
      <w:r w:rsidR="00DD3FC8">
        <w:rPr>
          <w:rFonts w:ascii="Seaford" w:hAnsi="Seaford"/>
          <w:color w:val="000000"/>
        </w:rPr>
        <w:t>2, but</w:t>
      </w:r>
      <w:proofErr w:type="gramEnd"/>
      <w:r w:rsidR="00DD3FC8">
        <w:rPr>
          <w:rFonts w:ascii="Seaford" w:hAnsi="Seaford"/>
          <w:color w:val="000000"/>
        </w:rPr>
        <w:t xml:space="preserve"> later scored 90% on the portion of Test 3 that covers content of Unit 2, your grade for Test 2 will then be changed to 90%.) For the purposes of the class, </w:t>
      </w:r>
      <w:proofErr w:type="gramStart"/>
      <w:r w:rsidR="00DD3FC8">
        <w:rPr>
          <w:rFonts w:ascii="Seaford" w:hAnsi="Seaford"/>
          <w:color w:val="000000"/>
        </w:rPr>
        <w:t>this favors</w:t>
      </w:r>
      <w:proofErr w:type="gramEnd"/>
      <w:r w:rsidR="00DD3FC8">
        <w:rPr>
          <w:rFonts w:ascii="Seaford" w:hAnsi="Seaford"/>
          <w:color w:val="000000"/>
        </w:rPr>
        <w:t xml:space="preserve"> having learned the material before you graduate, and does not give significant advantage to those who came in knowing parts of the class material already. For those that are excelling in the class, students can look forward to an extra credit question that can contribute to your Tests category, one for each Test.</w:t>
      </w:r>
    </w:p>
    <w:p w14:paraId="151C7845" w14:textId="77777777" w:rsidR="00CC4E12" w:rsidRDefault="00CC4E12" w:rsidP="00E34C01">
      <w:pPr>
        <w:ind w:right="-630"/>
        <w:rPr>
          <w:rFonts w:ascii="Seaford" w:hAnsi="Seaford"/>
          <w:color w:val="000000"/>
        </w:rPr>
      </w:pPr>
    </w:p>
    <w:p w14:paraId="6A471F7C" w14:textId="77777777" w:rsidR="00CE61A5" w:rsidRDefault="00CE61A5" w:rsidP="00E34C01">
      <w:pPr>
        <w:ind w:right="-630"/>
        <w:rPr>
          <w:rFonts w:ascii="Seaford" w:hAnsi="Seaford"/>
          <w:b/>
          <w:bCs/>
          <w:color w:val="000000"/>
        </w:rPr>
      </w:pPr>
    </w:p>
    <w:p w14:paraId="43CD1AF9" w14:textId="7FF161F0" w:rsidR="00E34C01" w:rsidRPr="002E7EBF" w:rsidRDefault="0038514C" w:rsidP="00E34C01">
      <w:pPr>
        <w:ind w:right="-630"/>
        <w:rPr>
          <w:rFonts w:ascii="Seaford" w:hAnsi="Seaford"/>
          <w:b/>
          <w:bCs/>
          <w:color w:val="000000"/>
        </w:rPr>
      </w:pPr>
      <w:r w:rsidRPr="002E7EBF">
        <w:rPr>
          <w:rFonts w:ascii="Seaford" w:hAnsi="Seaford"/>
          <w:b/>
          <w:bCs/>
          <w:color w:val="000000"/>
        </w:rPr>
        <w:t>Instructor’s</w:t>
      </w:r>
      <w:r w:rsidR="00E34C01" w:rsidRPr="002E7EBF">
        <w:rPr>
          <w:rFonts w:ascii="Seaford" w:hAnsi="Seaford"/>
          <w:b/>
          <w:bCs/>
          <w:color w:val="000000"/>
        </w:rPr>
        <w:t xml:space="preserve"> expectations of the students</w:t>
      </w:r>
      <w:r w:rsidR="00842D9F" w:rsidRPr="002E7EBF">
        <w:rPr>
          <w:rFonts w:ascii="Seaford" w:hAnsi="Seaford"/>
          <w:b/>
          <w:bCs/>
          <w:color w:val="000000"/>
        </w:rPr>
        <w:t>:</w:t>
      </w:r>
    </w:p>
    <w:p w14:paraId="2E90946E" w14:textId="77777777" w:rsidR="00ED6133" w:rsidRPr="00BC1024" w:rsidRDefault="00E34C01" w:rsidP="00ED6133">
      <w:pPr>
        <w:numPr>
          <w:ilvl w:val="0"/>
          <w:numId w:val="6"/>
        </w:numPr>
        <w:rPr>
          <w:rFonts w:ascii="Seaford" w:hAnsi="Seaford"/>
          <w:color w:val="000000"/>
        </w:rPr>
      </w:pPr>
      <w:r w:rsidRPr="00BC1024">
        <w:rPr>
          <w:rFonts w:ascii="Seaford" w:hAnsi="Seaford"/>
          <w:color w:val="000000"/>
        </w:rPr>
        <w:t>Keep a positive attitude</w:t>
      </w:r>
    </w:p>
    <w:p w14:paraId="7B9B0EDB" w14:textId="77777777" w:rsidR="00E34C01" w:rsidRPr="00BC1024" w:rsidRDefault="00ED6133" w:rsidP="00ED6133">
      <w:pPr>
        <w:numPr>
          <w:ilvl w:val="0"/>
          <w:numId w:val="6"/>
        </w:numPr>
        <w:rPr>
          <w:rFonts w:ascii="Seaford" w:hAnsi="Seaford"/>
          <w:color w:val="000000"/>
        </w:rPr>
      </w:pPr>
      <w:r w:rsidRPr="00BC1024">
        <w:rPr>
          <w:rFonts w:ascii="Seaford" w:hAnsi="Seaford"/>
          <w:color w:val="000000"/>
        </w:rPr>
        <w:t>T</w:t>
      </w:r>
      <w:r w:rsidR="00E34C01" w:rsidRPr="00BC1024">
        <w:rPr>
          <w:rFonts w:ascii="Seaford" w:hAnsi="Seaford"/>
          <w:color w:val="000000"/>
        </w:rPr>
        <w:t>ake responsibility for your learning in this class</w:t>
      </w:r>
    </w:p>
    <w:p w14:paraId="0695F208" w14:textId="77777777" w:rsidR="00E34C01" w:rsidRPr="00BC1024" w:rsidRDefault="00ED6133" w:rsidP="00ED6133">
      <w:pPr>
        <w:numPr>
          <w:ilvl w:val="0"/>
          <w:numId w:val="6"/>
        </w:numPr>
        <w:rPr>
          <w:rFonts w:ascii="Seaford" w:hAnsi="Seaford"/>
          <w:color w:val="000000"/>
        </w:rPr>
      </w:pPr>
      <w:r w:rsidRPr="00BC1024">
        <w:rPr>
          <w:rFonts w:ascii="Seaford" w:hAnsi="Seaford"/>
          <w:color w:val="000000"/>
        </w:rPr>
        <w:t>A</w:t>
      </w:r>
      <w:r w:rsidR="00E34C01" w:rsidRPr="00BC1024">
        <w:rPr>
          <w:rFonts w:ascii="Seaford" w:hAnsi="Seaford"/>
          <w:color w:val="000000"/>
        </w:rPr>
        <w:t>ttend every class, arrive on time, and stay the entire time</w:t>
      </w:r>
    </w:p>
    <w:p w14:paraId="4172C3CB" w14:textId="77777777" w:rsidR="00E34C01" w:rsidRPr="00BC1024" w:rsidRDefault="00ED6133" w:rsidP="00ED6133">
      <w:pPr>
        <w:numPr>
          <w:ilvl w:val="0"/>
          <w:numId w:val="6"/>
        </w:numPr>
        <w:rPr>
          <w:rFonts w:ascii="Seaford" w:hAnsi="Seaford"/>
          <w:color w:val="000000"/>
        </w:rPr>
      </w:pPr>
      <w:r w:rsidRPr="00BC1024">
        <w:rPr>
          <w:rFonts w:ascii="Seaford" w:hAnsi="Seaford"/>
          <w:color w:val="000000"/>
        </w:rPr>
        <w:t>A</w:t>
      </w:r>
      <w:r w:rsidR="00E34C01" w:rsidRPr="00BC1024">
        <w:rPr>
          <w:rFonts w:ascii="Seaford" w:hAnsi="Seaford"/>
          <w:color w:val="000000"/>
        </w:rPr>
        <w:t>rrive for your office appointments on time</w:t>
      </w:r>
    </w:p>
    <w:p w14:paraId="6ACE26FF" w14:textId="7FAA00AF" w:rsidR="00E34C01" w:rsidRPr="00BC1024" w:rsidRDefault="00ED6133" w:rsidP="00ED6133">
      <w:pPr>
        <w:numPr>
          <w:ilvl w:val="0"/>
          <w:numId w:val="6"/>
        </w:numPr>
        <w:rPr>
          <w:rFonts w:ascii="Seaford" w:hAnsi="Seaford"/>
          <w:color w:val="000000"/>
        </w:rPr>
      </w:pPr>
      <w:r w:rsidRPr="00BC1024">
        <w:rPr>
          <w:rFonts w:ascii="Seaford" w:hAnsi="Seaford"/>
          <w:color w:val="000000"/>
        </w:rPr>
        <w:t>W</w:t>
      </w:r>
      <w:r w:rsidR="00E34C01" w:rsidRPr="00BC1024">
        <w:rPr>
          <w:rFonts w:ascii="Seaford" w:hAnsi="Seaford"/>
          <w:color w:val="000000"/>
        </w:rPr>
        <w:t>ork on the skills we study outside of class</w:t>
      </w:r>
    </w:p>
    <w:p w14:paraId="01BB0631" w14:textId="77777777" w:rsidR="00E34C01" w:rsidRPr="00BC1024" w:rsidRDefault="00E34C01">
      <w:pPr>
        <w:rPr>
          <w:rFonts w:ascii="Seaford" w:hAnsi="Seaford"/>
          <w:color w:val="000000"/>
        </w:rPr>
      </w:pPr>
    </w:p>
    <w:p w14:paraId="7EE93B85" w14:textId="5BC8D73B" w:rsidR="00842D9F" w:rsidRPr="002E7EBF" w:rsidRDefault="00E34C01">
      <w:pPr>
        <w:rPr>
          <w:rFonts w:ascii="Seaford" w:hAnsi="Seaford"/>
          <w:b/>
          <w:bCs/>
          <w:color w:val="000000"/>
        </w:rPr>
      </w:pPr>
      <w:r w:rsidRPr="002E7EBF">
        <w:rPr>
          <w:rFonts w:ascii="Seaford" w:hAnsi="Seaford"/>
          <w:b/>
          <w:bCs/>
          <w:color w:val="000000"/>
        </w:rPr>
        <w:t xml:space="preserve">What students can expect from the </w:t>
      </w:r>
      <w:r w:rsidR="00E01337" w:rsidRPr="002E7EBF">
        <w:rPr>
          <w:rFonts w:ascii="Seaford" w:hAnsi="Seaford"/>
          <w:b/>
          <w:bCs/>
          <w:color w:val="000000"/>
        </w:rPr>
        <w:t>instructor</w:t>
      </w:r>
      <w:r w:rsidR="00842D9F" w:rsidRPr="002E7EBF">
        <w:rPr>
          <w:rFonts w:ascii="Seaford" w:hAnsi="Seaford"/>
          <w:b/>
          <w:bCs/>
          <w:color w:val="000000"/>
        </w:rPr>
        <w:t>:</w:t>
      </w:r>
    </w:p>
    <w:p w14:paraId="549D6696" w14:textId="0DA1E52B" w:rsidR="00E34C01" w:rsidRPr="00BC1024" w:rsidRDefault="00ED6133" w:rsidP="00ED6133">
      <w:pPr>
        <w:numPr>
          <w:ilvl w:val="0"/>
          <w:numId w:val="4"/>
        </w:numPr>
        <w:rPr>
          <w:rFonts w:ascii="Seaford" w:hAnsi="Seaford"/>
          <w:color w:val="000000"/>
        </w:rPr>
      </w:pPr>
      <w:r w:rsidRPr="00BC1024">
        <w:rPr>
          <w:rFonts w:ascii="Seaford" w:hAnsi="Seaford"/>
          <w:color w:val="000000"/>
        </w:rPr>
        <w:t>T</w:t>
      </w:r>
      <w:r w:rsidR="00E34C01" w:rsidRPr="00BC1024">
        <w:rPr>
          <w:rFonts w:ascii="Seaford" w:hAnsi="Seaford"/>
          <w:color w:val="000000"/>
        </w:rPr>
        <w:t>reat every student with respect and the expectation that every</w:t>
      </w:r>
      <w:r w:rsidRPr="00BC1024">
        <w:rPr>
          <w:rFonts w:ascii="Seaford" w:hAnsi="Seaford"/>
          <w:color w:val="000000"/>
        </w:rPr>
        <w:t xml:space="preserve"> </w:t>
      </w:r>
      <w:r w:rsidR="00E34C01" w:rsidRPr="00BC1024">
        <w:rPr>
          <w:rFonts w:ascii="Seaford" w:hAnsi="Seaford"/>
          <w:color w:val="000000"/>
        </w:rPr>
        <w:t xml:space="preserve">student </w:t>
      </w:r>
      <w:r w:rsidR="00E01337" w:rsidRPr="00BC1024">
        <w:rPr>
          <w:rFonts w:ascii="Seaford" w:hAnsi="Seaford"/>
          <w:color w:val="000000"/>
        </w:rPr>
        <w:t>can do</w:t>
      </w:r>
      <w:r w:rsidR="00E34C01" w:rsidRPr="00BC1024">
        <w:rPr>
          <w:rFonts w:ascii="Seaford" w:hAnsi="Seaford"/>
          <w:color w:val="000000"/>
        </w:rPr>
        <w:t xml:space="preserve"> well in this class</w:t>
      </w:r>
    </w:p>
    <w:p w14:paraId="35757045"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B</w:t>
      </w:r>
      <w:r w:rsidR="00E34C01" w:rsidRPr="00BC1024">
        <w:rPr>
          <w:rFonts w:ascii="Seaford" w:hAnsi="Seaford"/>
          <w:color w:val="000000"/>
        </w:rPr>
        <w:t>egin and end class on time</w:t>
      </w:r>
    </w:p>
    <w:p w14:paraId="7560D07E"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A</w:t>
      </w:r>
      <w:r w:rsidR="00E34C01" w:rsidRPr="00BC1024">
        <w:rPr>
          <w:rFonts w:ascii="Seaford" w:hAnsi="Seaford"/>
          <w:color w:val="000000"/>
        </w:rPr>
        <w:t>llow time for questions in class</w:t>
      </w:r>
    </w:p>
    <w:p w14:paraId="1E2B7247"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B</w:t>
      </w:r>
      <w:r w:rsidR="00E34C01" w:rsidRPr="00BC1024">
        <w:rPr>
          <w:rFonts w:ascii="Seaford" w:hAnsi="Seaford"/>
          <w:color w:val="000000"/>
        </w:rPr>
        <w:t>e prepared for class</w:t>
      </w:r>
    </w:p>
    <w:p w14:paraId="03CBD50E" w14:textId="77777777" w:rsidR="00E34C01" w:rsidRPr="00BC1024" w:rsidRDefault="00ED6133" w:rsidP="00ED6133">
      <w:pPr>
        <w:numPr>
          <w:ilvl w:val="0"/>
          <w:numId w:val="4"/>
        </w:numPr>
        <w:rPr>
          <w:rFonts w:ascii="Seaford" w:hAnsi="Seaford"/>
          <w:color w:val="000000"/>
        </w:rPr>
      </w:pPr>
      <w:r w:rsidRPr="00BC1024">
        <w:rPr>
          <w:rFonts w:ascii="Seaford" w:hAnsi="Seaford"/>
          <w:color w:val="000000"/>
        </w:rPr>
        <w:t>T</w:t>
      </w:r>
      <w:r w:rsidR="00E34C01" w:rsidRPr="00BC1024">
        <w:rPr>
          <w:rFonts w:ascii="Seaford" w:hAnsi="Seaford"/>
          <w:color w:val="000000"/>
        </w:rPr>
        <w:t>o be available outside of cl</w:t>
      </w:r>
      <w:r w:rsidR="00323FC6" w:rsidRPr="00BC1024">
        <w:rPr>
          <w:rFonts w:ascii="Seaford" w:hAnsi="Seaford"/>
          <w:color w:val="000000"/>
        </w:rPr>
        <w:t xml:space="preserve">ass in the office or </w:t>
      </w:r>
      <w:r w:rsidR="00E34C01" w:rsidRPr="00BC1024">
        <w:rPr>
          <w:rFonts w:ascii="Seaford" w:hAnsi="Seaford"/>
          <w:color w:val="000000"/>
        </w:rPr>
        <w:t xml:space="preserve">by email </w:t>
      </w:r>
    </w:p>
    <w:p w14:paraId="3DB92399" w14:textId="6E1443C9" w:rsidR="00E34C01" w:rsidRPr="00BC1024" w:rsidRDefault="00ED6133" w:rsidP="00ED6133">
      <w:pPr>
        <w:numPr>
          <w:ilvl w:val="0"/>
          <w:numId w:val="4"/>
        </w:numPr>
        <w:rPr>
          <w:rFonts w:ascii="Seaford" w:hAnsi="Seaford"/>
          <w:color w:val="000000"/>
        </w:rPr>
      </w:pPr>
      <w:r w:rsidRPr="00BC1024">
        <w:rPr>
          <w:rFonts w:ascii="Seaford" w:hAnsi="Seaford"/>
          <w:color w:val="000000"/>
        </w:rPr>
        <w:t>T</w:t>
      </w:r>
      <w:r w:rsidR="00E34C01" w:rsidRPr="00BC1024">
        <w:rPr>
          <w:rFonts w:ascii="Seaford" w:hAnsi="Seaford"/>
          <w:color w:val="000000"/>
        </w:rPr>
        <w:t xml:space="preserve">o be willing to modify what we do in class </w:t>
      </w:r>
      <w:r w:rsidR="00E01337" w:rsidRPr="00BC1024">
        <w:rPr>
          <w:rFonts w:ascii="Seaford" w:hAnsi="Seaford"/>
          <w:color w:val="000000"/>
        </w:rPr>
        <w:t>to</w:t>
      </w:r>
      <w:r w:rsidR="00E34C01" w:rsidRPr="00BC1024">
        <w:rPr>
          <w:rFonts w:ascii="Seaford" w:hAnsi="Seaford"/>
          <w:color w:val="000000"/>
        </w:rPr>
        <w:t xml:space="preserve"> help you</w:t>
      </w:r>
      <w:r w:rsidRPr="00BC1024">
        <w:rPr>
          <w:rFonts w:ascii="Seaford" w:hAnsi="Seaford"/>
          <w:color w:val="000000"/>
        </w:rPr>
        <w:t xml:space="preserve"> </w:t>
      </w:r>
      <w:r w:rsidR="00E34C01" w:rsidRPr="00BC1024">
        <w:rPr>
          <w:rFonts w:ascii="Seaford" w:hAnsi="Seaford"/>
          <w:color w:val="000000"/>
        </w:rPr>
        <w:t>learn better</w:t>
      </w:r>
    </w:p>
    <w:p w14:paraId="02977030" w14:textId="77777777" w:rsidR="00E34C01" w:rsidRPr="00BC1024" w:rsidRDefault="00E34C01">
      <w:pPr>
        <w:rPr>
          <w:rFonts w:ascii="Seaford" w:hAnsi="Seaford"/>
          <w:color w:val="000000"/>
        </w:rPr>
      </w:pPr>
    </w:p>
    <w:p w14:paraId="06B79F7B" w14:textId="632670D2" w:rsidR="00E34C01" w:rsidRPr="002E7EBF" w:rsidRDefault="00E34C01">
      <w:pPr>
        <w:rPr>
          <w:rFonts w:ascii="Seaford" w:hAnsi="Seaford"/>
          <w:b/>
          <w:bCs/>
          <w:color w:val="000000"/>
        </w:rPr>
      </w:pPr>
      <w:r w:rsidRPr="002E7EBF">
        <w:rPr>
          <w:rFonts w:ascii="Seaford" w:hAnsi="Seaford"/>
          <w:b/>
          <w:bCs/>
          <w:color w:val="000000"/>
        </w:rPr>
        <w:t xml:space="preserve">Students with </w:t>
      </w:r>
      <w:r w:rsidR="002E7EBF">
        <w:rPr>
          <w:rFonts w:ascii="Seaford" w:hAnsi="Seaford"/>
          <w:b/>
          <w:bCs/>
          <w:color w:val="000000"/>
        </w:rPr>
        <w:t>D</w:t>
      </w:r>
      <w:r w:rsidRPr="002E7EBF">
        <w:rPr>
          <w:rFonts w:ascii="Seaford" w:hAnsi="Seaford"/>
          <w:b/>
          <w:bCs/>
          <w:color w:val="000000"/>
        </w:rPr>
        <w:t>isabilities</w:t>
      </w:r>
      <w:r w:rsidR="00842D9F" w:rsidRPr="002E7EBF">
        <w:rPr>
          <w:rFonts w:ascii="Seaford" w:hAnsi="Seaford"/>
          <w:b/>
          <w:bCs/>
          <w:color w:val="000000"/>
        </w:rPr>
        <w:t>:</w:t>
      </w:r>
    </w:p>
    <w:p w14:paraId="4D6DF472" w14:textId="3ADB23D1" w:rsidR="00E34C01" w:rsidRPr="00BC1024" w:rsidRDefault="00E34C01" w:rsidP="00ED6133">
      <w:pPr>
        <w:ind w:firstLine="720"/>
        <w:rPr>
          <w:rFonts w:ascii="Seaford" w:hAnsi="Seaford"/>
          <w:color w:val="000000"/>
        </w:rPr>
      </w:pPr>
      <w:r w:rsidRPr="00BC1024">
        <w:rPr>
          <w:rFonts w:ascii="Seaford" w:hAnsi="Seaford"/>
          <w:color w:val="000000"/>
        </w:rPr>
        <w:t>Students with disabilities that affect their work in this class are</w:t>
      </w:r>
      <w:r w:rsidR="00ED6133" w:rsidRPr="00BC1024">
        <w:rPr>
          <w:rFonts w:ascii="Seaford" w:hAnsi="Seaford"/>
          <w:color w:val="000000"/>
        </w:rPr>
        <w:t xml:space="preserve"> </w:t>
      </w:r>
      <w:r w:rsidRPr="00BC1024">
        <w:rPr>
          <w:rFonts w:ascii="Seaford" w:hAnsi="Seaford"/>
          <w:color w:val="000000"/>
        </w:rPr>
        <w:t xml:space="preserve">invited to speak with </w:t>
      </w:r>
      <w:r w:rsidR="00E01337">
        <w:rPr>
          <w:rFonts w:ascii="Seaford" w:hAnsi="Seaford"/>
          <w:color w:val="000000"/>
        </w:rPr>
        <w:t>the instructor</w:t>
      </w:r>
      <w:r w:rsidRPr="00BC1024">
        <w:rPr>
          <w:rFonts w:ascii="Seaford" w:hAnsi="Seaford"/>
          <w:color w:val="000000"/>
        </w:rPr>
        <w:t xml:space="preserve"> privately about </w:t>
      </w:r>
      <w:r w:rsidR="00E01337">
        <w:rPr>
          <w:rFonts w:ascii="Seaford" w:hAnsi="Seaford"/>
          <w:color w:val="000000"/>
        </w:rPr>
        <w:t>how to best accommodate any needs</w:t>
      </w:r>
      <w:r w:rsidR="004E1445">
        <w:rPr>
          <w:rFonts w:ascii="Seaford" w:hAnsi="Seaford"/>
          <w:color w:val="000000"/>
        </w:rPr>
        <w:t>. Students must proactively speak with instructor for any accommodations to be considered legitimate and actionable.</w:t>
      </w:r>
    </w:p>
    <w:p w14:paraId="0E47A42E" w14:textId="77777777" w:rsidR="00E34C01" w:rsidRPr="00BC1024" w:rsidRDefault="00E34C01">
      <w:pPr>
        <w:rPr>
          <w:rFonts w:ascii="Seaford" w:hAnsi="Seaford"/>
          <w:color w:val="000000"/>
        </w:rPr>
      </w:pPr>
    </w:p>
    <w:p w14:paraId="6D723D0B" w14:textId="35DDB091" w:rsidR="00E34C01" w:rsidRPr="002E7EBF" w:rsidRDefault="002E7EBF">
      <w:pPr>
        <w:rPr>
          <w:rFonts w:ascii="Seaford" w:hAnsi="Seaford"/>
          <w:b/>
          <w:bCs/>
          <w:color w:val="000000"/>
        </w:rPr>
      </w:pPr>
      <w:r>
        <w:rPr>
          <w:rFonts w:ascii="Seaford" w:hAnsi="Seaford"/>
          <w:b/>
          <w:bCs/>
          <w:color w:val="000000"/>
        </w:rPr>
        <w:t xml:space="preserve">SPOT </w:t>
      </w:r>
      <w:r w:rsidR="00E34C01" w:rsidRPr="002E7EBF">
        <w:rPr>
          <w:rFonts w:ascii="Seaford" w:hAnsi="Seaford"/>
          <w:b/>
          <w:bCs/>
          <w:color w:val="000000"/>
        </w:rPr>
        <w:t>Evaluation</w:t>
      </w:r>
      <w:r>
        <w:rPr>
          <w:rFonts w:ascii="Seaford" w:hAnsi="Seaford"/>
          <w:b/>
          <w:bCs/>
          <w:color w:val="000000"/>
        </w:rPr>
        <w:t>s</w:t>
      </w:r>
      <w:r w:rsidR="00842D9F" w:rsidRPr="002E7EBF">
        <w:rPr>
          <w:rFonts w:ascii="Seaford" w:hAnsi="Seaford"/>
          <w:b/>
          <w:bCs/>
          <w:color w:val="000000"/>
        </w:rPr>
        <w:t>:</w:t>
      </w:r>
    </w:p>
    <w:p w14:paraId="5042B3F8" w14:textId="7E2D1E42" w:rsidR="008A126D" w:rsidRPr="004E1445" w:rsidRDefault="00E34C01" w:rsidP="004E1445">
      <w:pPr>
        <w:ind w:firstLine="720"/>
        <w:rPr>
          <w:rFonts w:ascii="Seaford" w:hAnsi="Seaford"/>
          <w:color w:val="000000"/>
        </w:rPr>
      </w:pPr>
      <w:r w:rsidRPr="00BC1024">
        <w:rPr>
          <w:rFonts w:ascii="Seaford" w:hAnsi="Seaford"/>
          <w:color w:val="000000"/>
        </w:rPr>
        <w:t xml:space="preserve">The standard UNT </w:t>
      </w:r>
      <w:r w:rsidR="002E7EBF">
        <w:rPr>
          <w:rFonts w:ascii="Seaford" w:hAnsi="Seaford"/>
          <w:color w:val="000000"/>
        </w:rPr>
        <w:t xml:space="preserve">SPOT </w:t>
      </w:r>
      <w:r w:rsidRPr="00BC1024">
        <w:rPr>
          <w:rFonts w:ascii="Seaford" w:hAnsi="Seaford"/>
          <w:color w:val="000000"/>
        </w:rPr>
        <w:t xml:space="preserve">evaluation will be done at the end of the course. </w:t>
      </w:r>
      <w:r w:rsidR="00B40884">
        <w:rPr>
          <w:rFonts w:ascii="Seaford" w:hAnsi="Seaford"/>
          <w:color w:val="000000"/>
        </w:rPr>
        <w:t xml:space="preserve">This class is relatively new, and any suggestions for teaching methods or content will be taken into consideration. </w:t>
      </w:r>
      <w:r w:rsidRPr="00BC1024">
        <w:rPr>
          <w:rFonts w:ascii="Seaford" w:hAnsi="Seaford"/>
          <w:color w:val="000000"/>
        </w:rPr>
        <w:t>If you have comments or suggestions for improving the course before then, please le</w:t>
      </w:r>
      <w:r w:rsidR="008A6D07" w:rsidRPr="00BC1024">
        <w:rPr>
          <w:rFonts w:ascii="Seaford" w:hAnsi="Seaford"/>
          <w:color w:val="000000"/>
        </w:rPr>
        <w:t>t</w:t>
      </w:r>
      <w:r w:rsidRPr="00BC1024">
        <w:rPr>
          <w:rFonts w:ascii="Seaford" w:hAnsi="Seaford"/>
          <w:color w:val="000000"/>
        </w:rPr>
        <w:t xml:space="preserve"> </w:t>
      </w:r>
      <w:r w:rsidR="00B40884">
        <w:rPr>
          <w:rFonts w:ascii="Seaford" w:hAnsi="Seaford"/>
          <w:color w:val="000000"/>
        </w:rPr>
        <w:t>the instructor</w:t>
      </w:r>
      <w:r w:rsidRPr="00BC1024">
        <w:rPr>
          <w:rFonts w:ascii="Seaford" w:hAnsi="Seaford"/>
          <w:color w:val="000000"/>
        </w:rPr>
        <w:t xml:space="preserve"> know</w:t>
      </w:r>
      <w:r w:rsidR="00B40884">
        <w:rPr>
          <w:rFonts w:ascii="Seaford" w:hAnsi="Seaford"/>
          <w:color w:val="000000"/>
        </w:rPr>
        <w:t xml:space="preserve"> at any time.</w:t>
      </w:r>
    </w:p>
    <w:sectPr w:rsidR="008A126D" w:rsidRPr="004E1445" w:rsidSect="00E37CB0">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9DC4" w14:textId="77777777" w:rsidR="009E4D73" w:rsidRDefault="009E4D73" w:rsidP="00043B94">
      <w:r>
        <w:separator/>
      </w:r>
    </w:p>
  </w:endnote>
  <w:endnote w:type="continuationSeparator" w:id="0">
    <w:p w14:paraId="561EBD40" w14:textId="77777777" w:rsidR="009E4D73" w:rsidRDefault="009E4D73" w:rsidP="000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aford">
    <w:panose1 w:val="00000500000000000000"/>
    <w:charset w:val="00"/>
    <w:family w:val="auto"/>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97FC"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C0886B" w14:textId="77777777" w:rsidR="00043B94" w:rsidRDefault="00043B94" w:rsidP="0004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AE35"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60F8EE" w14:textId="77777777" w:rsidR="00043B94" w:rsidRDefault="00043B94" w:rsidP="00043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8727" w14:textId="77777777" w:rsidR="009E4D73" w:rsidRDefault="009E4D73" w:rsidP="00043B94">
      <w:r>
        <w:separator/>
      </w:r>
    </w:p>
  </w:footnote>
  <w:footnote w:type="continuationSeparator" w:id="0">
    <w:p w14:paraId="36EF99B5" w14:textId="77777777" w:rsidR="009E4D73" w:rsidRDefault="009E4D73" w:rsidP="000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94CC" w14:textId="55CD0B11" w:rsidR="0038514C" w:rsidRPr="0038514C" w:rsidRDefault="0038514C">
    <w:pPr>
      <w:pStyle w:val="Header"/>
      <w:rPr>
        <w:rFonts w:ascii="Seaford" w:hAnsi="Seaford"/>
      </w:rPr>
    </w:pPr>
    <w:r w:rsidRPr="0038514C">
      <w:rPr>
        <w:rFonts w:ascii="Seaford" w:hAnsi="Seaford"/>
      </w:rPr>
      <w:t>MUJS 24</w:t>
    </w:r>
    <w:r w:rsidR="001673C0">
      <w:rPr>
        <w:rFonts w:ascii="Seaford" w:hAnsi="Seaford"/>
      </w:rPr>
      <w:t>00</w:t>
    </w:r>
    <w:r w:rsidRPr="0038514C">
      <w:rPr>
        <w:rFonts w:ascii="Seaford" w:hAnsi="Seaford"/>
      </w:rPr>
      <w:t>.00</w:t>
    </w:r>
    <w:r w:rsidR="00394510">
      <w:rPr>
        <w:rFonts w:ascii="Seaford" w:hAnsi="Seaford"/>
      </w:rPr>
      <w:t>1</w:t>
    </w:r>
    <w:r w:rsidRPr="0038514C">
      <w:rPr>
        <w:rFonts w:ascii="Seaford" w:hAnsi="Seaford"/>
      </w:rPr>
      <w:t>/536</w:t>
    </w:r>
    <w:r w:rsidR="001673C0">
      <w:rPr>
        <w:rFonts w:ascii="Seaford" w:hAnsi="Seaford"/>
      </w:rPr>
      <w:t>0</w:t>
    </w:r>
    <w:r w:rsidRPr="0038514C">
      <w:rPr>
        <w:rFonts w:ascii="Seaford" w:hAnsi="Seaford"/>
      </w:rPr>
      <w:t>.00</w:t>
    </w:r>
    <w:r w:rsidR="00394510">
      <w:rPr>
        <w:rFonts w:ascii="Seaford" w:hAnsi="Seaford"/>
      </w:rPr>
      <w:t>1</w:t>
    </w:r>
    <w:r w:rsidRPr="0038514C">
      <w:rPr>
        <w:rFonts w:ascii="Seaford" w:hAnsi="Seaford"/>
      </w:rPr>
      <w:tab/>
    </w:r>
    <w:r w:rsidRPr="0038514C">
      <w:rPr>
        <w:rFonts w:ascii="Seaford" w:hAnsi="Seaford"/>
      </w:rPr>
      <w:tab/>
      <w:t xml:space="preserve">Fall </w:t>
    </w:r>
    <w:r w:rsidR="00394510">
      <w:rPr>
        <w:rFonts w:ascii="Seaford" w:hAnsi="Seaford"/>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A71"/>
    <w:multiLevelType w:val="hybridMultilevel"/>
    <w:tmpl w:val="BCC6B22C"/>
    <w:lvl w:ilvl="0" w:tplc="04090011">
      <w:start w:val="1"/>
      <w:numFmt w:val="decimal"/>
      <w:lvlText w:val="%1)"/>
      <w:lvlJc w:val="left"/>
      <w:pPr>
        <w:ind w:left="720" w:hanging="360"/>
      </w:pPr>
    </w:lvl>
    <w:lvl w:ilvl="1" w:tplc="DE6C67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54FC"/>
    <w:multiLevelType w:val="hybridMultilevel"/>
    <w:tmpl w:val="0B5A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6FFE"/>
    <w:multiLevelType w:val="hybridMultilevel"/>
    <w:tmpl w:val="4F083982"/>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34DE3"/>
    <w:multiLevelType w:val="hybridMultilevel"/>
    <w:tmpl w:val="3A06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81953"/>
    <w:multiLevelType w:val="hybridMultilevel"/>
    <w:tmpl w:val="911081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064CF"/>
    <w:multiLevelType w:val="hybridMultilevel"/>
    <w:tmpl w:val="3E686600"/>
    <w:lvl w:ilvl="0" w:tplc="0C6831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A5E"/>
    <w:multiLevelType w:val="hybridMultilevel"/>
    <w:tmpl w:val="EDDA7AA8"/>
    <w:lvl w:ilvl="0" w:tplc="01846B24">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3376D"/>
    <w:multiLevelType w:val="hybridMultilevel"/>
    <w:tmpl w:val="A06A9A4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4BE8"/>
    <w:multiLevelType w:val="hybridMultilevel"/>
    <w:tmpl w:val="DCECFF14"/>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23E1C"/>
    <w:multiLevelType w:val="hybridMultilevel"/>
    <w:tmpl w:val="A41C31AE"/>
    <w:lvl w:ilvl="0" w:tplc="020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984FBB"/>
    <w:multiLevelType w:val="hybridMultilevel"/>
    <w:tmpl w:val="79BA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060098">
    <w:abstractNumId w:val="5"/>
  </w:num>
  <w:num w:numId="2" w16cid:durableId="1299795869">
    <w:abstractNumId w:val="8"/>
  </w:num>
  <w:num w:numId="3" w16cid:durableId="148329348">
    <w:abstractNumId w:val="2"/>
  </w:num>
  <w:num w:numId="4" w16cid:durableId="605356065">
    <w:abstractNumId w:val="3"/>
  </w:num>
  <w:num w:numId="5" w16cid:durableId="565149490">
    <w:abstractNumId w:val="4"/>
  </w:num>
  <w:num w:numId="6" w16cid:durableId="1687437060">
    <w:abstractNumId w:val="0"/>
  </w:num>
  <w:num w:numId="7" w16cid:durableId="1352877676">
    <w:abstractNumId w:val="6"/>
  </w:num>
  <w:num w:numId="8" w16cid:durableId="1590195204">
    <w:abstractNumId w:val="7"/>
  </w:num>
  <w:num w:numId="9" w16cid:durableId="2083679030">
    <w:abstractNumId w:val="1"/>
  </w:num>
  <w:num w:numId="10" w16cid:durableId="1209807057">
    <w:abstractNumId w:val="10"/>
  </w:num>
  <w:num w:numId="11" w16cid:durableId="225266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F"/>
    <w:rsid w:val="00006E9B"/>
    <w:rsid w:val="00014538"/>
    <w:rsid w:val="00015DB8"/>
    <w:rsid w:val="000203E4"/>
    <w:rsid w:val="00043B94"/>
    <w:rsid w:val="0004546A"/>
    <w:rsid w:val="000462CA"/>
    <w:rsid w:val="00046C5C"/>
    <w:rsid w:val="00053B8C"/>
    <w:rsid w:val="00064E16"/>
    <w:rsid w:val="00082DD7"/>
    <w:rsid w:val="00082FB0"/>
    <w:rsid w:val="00091322"/>
    <w:rsid w:val="000940AC"/>
    <w:rsid w:val="00096797"/>
    <w:rsid w:val="000A0183"/>
    <w:rsid w:val="000A215C"/>
    <w:rsid w:val="000F6A8C"/>
    <w:rsid w:val="00100989"/>
    <w:rsid w:val="00105ED3"/>
    <w:rsid w:val="00106ED2"/>
    <w:rsid w:val="0013704D"/>
    <w:rsid w:val="001448F7"/>
    <w:rsid w:val="001618C8"/>
    <w:rsid w:val="001673C0"/>
    <w:rsid w:val="00171428"/>
    <w:rsid w:val="00173CEB"/>
    <w:rsid w:val="0018015E"/>
    <w:rsid w:val="001828ED"/>
    <w:rsid w:val="001B43E6"/>
    <w:rsid w:val="001D0F0D"/>
    <w:rsid w:val="001D4EC9"/>
    <w:rsid w:val="001F123E"/>
    <w:rsid w:val="001F1AD2"/>
    <w:rsid w:val="00211EFE"/>
    <w:rsid w:val="00216953"/>
    <w:rsid w:val="0023127A"/>
    <w:rsid w:val="00232FA4"/>
    <w:rsid w:val="002353BD"/>
    <w:rsid w:val="00236CD7"/>
    <w:rsid w:val="0024041A"/>
    <w:rsid w:val="00271453"/>
    <w:rsid w:val="002866C7"/>
    <w:rsid w:val="00291EA0"/>
    <w:rsid w:val="002A7AAD"/>
    <w:rsid w:val="002B2BA2"/>
    <w:rsid w:val="002C058E"/>
    <w:rsid w:val="002D4D42"/>
    <w:rsid w:val="002D770A"/>
    <w:rsid w:val="002E47BF"/>
    <w:rsid w:val="002E4EE4"/>
    <w:rsid w:val="002E7EBF"/>
    <w:rsid w:val="00302804"/>
    <w:rsid w:val="0031568E"/>
    <w:rsid w:val="00323FC6"/>
    <w:rsid w:val="00333C92"/>
    <w:rsid w:val="00340623"/>
    <w:rsid w:val="00341FD3"/>
    <w:rsid w:val="0034435E"/>
    <w:rsid w:val="00346D36"/>
    <w:rsid w:val="0035362F"/>
    <w:rsid w:val="0035385D"/>
    <w:rsid w:val="003726B3"/>
    <w:rsid w:val="0038514C"/>
    <w:rsid w:val="00394510"/>
    <w:rsid w:val="003B60C9"/>
    <w:rsid w:val="003C6CC7"/>
    <w:rsid w:val="003D45F1"/>
    <w:rsid w:val="003D497D"/>
    <w:rsid w:val="003E7F6C"/>
    <w:rsid w:val="003F1BBB"/>
    <w:rsid w:val="003F6F04"/>
    <w:rsid w:val="0045764D"/>
    <w:rsid w:val="00476A6D"/>
    <w:rsid w:val="00486252"/>
    <w:rsid w:val="004A35AE"/>
    <w:rsid w:val="004A4F51"/>
    <w:rsid w:val="004B154A"/>
    <w:rsid w:val="004C0DB0"/>
    <w:rsid w:val="004E067E"/>
    <w:rsid w:val="004E1445"/>
    <w:rsid w:val="004E65E6"/>
    <w:rsid w:val="005001C1"/>
    <w:rsid w:val="00505778"/>
    <w:rsid w:val="00506140"/>
    <w:rsid w:val="005066D6"/>
    <w:rsid w:val="00513EB0"/>
    <w:rsid w:val="0051598C"/>
    <w:rsid w:val="00527AD0"/>
    <w:rsid w:val="005304BF"/>
    <w:rsid w:val="0053401E"/>
    <w:rsid w:val="00555082"/>
    <w:rsid w:val="00555A2E"/>
    <w:rsid w:val="005813EA"/>
    <w:rsid w:val="00590B36"/>
    <w:rsid w:val="005A3138"/>
    <w:rsid w:val="005B1EE1"/>
    <w:rsid w:val="005B7DAA"/>
    <w:rsid w:val="005C00AB"/>
    <w:rsid w:val="005E61B2"/>
    <w:rsid w:val="005F1DDB"/>
    <w:rsid w:val="006035C3"/>
    <w:rsid w:val="00603714"/>
    <w:rsid w:val="00676C54"/>
    <w:rsid w:val="00680D70"/>
    <w:rsid w:val="006A3690"/>
    <w:rsid w:val="006C58B6"/>
    <w:rsid w:val="006D2851"/>
    <w:rsid w:val="006D51CF"/>
    <w:rsid w:val="00700490"/>
    <w:rsid w:val="00701502"/>
    <w:rsid w:val="00705F97"/>
    <w:rsid w:val="00722538"/>
    <w:rsid w:val="00732226"/>
    <w:rsid w:val="00733A69"/>
    <w:rsid w:val="00737A17"/>
    <w:rsid w:val="00745247"/>
    <w:rsid w:val="00760540"/>
    <w:rsid w:val="00763A9C"/>
    <w:rsid w:val="007C0327"/>
    <w:rsid w:val="007C585F"/>
    <w:rsid w:val="007D2719"/>
    <w:rsid w:val="007D53FD"/>
    <w:rsid w:val="007D5E57"/>
    <w:rsid w:val="007D7124"/>
    <w:rsid w:val="007F1E2D"/>
    <w:rsid w:val="008064EB"/>
    <w:rsid w:val="00814A35"/>
    <w:rsid w:val="008233E7"/>
    <w:rsid w:val="008301EC"/>
    <w:rsid w:val="00836471"/>
    <w:rsid w:val="00842D9F"/>
    <w:rsid w:val="008626F2"/>
    <w:rsid w:val="00865381"/>
    <w:rsid w:val="008713B0"/>
    <w:rsid w:val="00872E1A"/>
    <w:rsid w:val="008A126D"/>
    <w:rsid w:val="008A3211"/>
    <w:rsid w:val="008A6D07"/>
    <w:rsid w:val="008C79E2"/>
    <w:rsid w:val="008D507C"/>
    <w:rsid w:val="008D513D"/>
    <w:rsid w:val="009015A0"/>
    <w:rsid w:val="00922975"/>
    <w:rsid w:val="00945869"/>
    <w:rsid w:val="009467FF"/>
    <w:rsid w:val="00960DE4"/>
    <w:rsid w:val="00973E4C"/>
    <w:rsid w:val="009930ED"/>
    <w:rsid w:val="00996306"/>
    <w:rsid w:val="009B1D1F"/>
    <w:rsid w:val="009C18B8"/>
    <w:rsid w:val="009E4D73"/>
    <w:rsid w:val="00A04258"/>
    <w:rsid w:val="00A055AA"/>
    <w:rsid w:val="00A166C3"/>
    <w:rsid w:val="00A376F4"/>
    <w:rsid w:val="00A448A3"/>
    <w:rsid w:val="00A44E33"/>
    <w:rsid w:val="00A53BF8"/>
    <w:rsid w:val="00A7122D"/>
    <w:rsid w:val="00A760F6"/>
    <w:rsid w:val="00A77632"/>
    <w:rsid w:val="00AA497D"/>
    <w:rsid w:val="00AB44D1"/>
    <w:rsid w:val="00AC1289"/>
    <w:rsid w:val="00AD3E0F"/>
    <w:rsid w:val="00AE0EA4"/>
    <w:rsid w:val="00AE3C0D"/>
    <w:rsid w:val="00AE7015"/>
    <w:rsid w:val="00AF20D2"/>
    <w:rsid w:val="00B0458D"/>
    <w:rsid w:val="00B20CBB"/>
    <w:rsid w:val="00B40884"/>
    <w:rsid w:val="00B45D34"/>
    <w:rsid w:val="00B47AC1"/>
    <w:rsid w:val="00B67A79"/>
    <w:rsid w:val="00B9240D"/>
    <w:rsid w:val="00B96A87"/>
    <w:rsid w:val="00BA4C6C"/>
    <w:rsid w:val="00BA7693"/>
    <w:rsid w:val="00BB2E87"/>
    <w:rsid w:val="00BC1024"/>
    <w:rsid w:val="00BE5FCB"/>
    <w:rsid w:val="00BE7DE2"/>
    <w:rsid w:val="00BF73A0"/>
    <w:rsid w:val="00BF7DF0"/>
    <w:rsid w:val="00C00C17"/>
    <w:rsid w:val="00C10F12"/>
    <w:rsid w:val="00C30337"/>
    <w:rsid w:val="00C41398"/>
    <w:rsid w:val="00C45AF2"/>
    <w:rsid w:val="00C46D8D"/>
    <w:rsid w:val="00C50839"/>
    <w:rsid w:val="00C6030F"/>
    <w:rsid w:val="00C76369"/>
    <w:rsid w:val="00C85B2C"/>
    <w:rsid w:val="00CB1898"/>
    <w:rsid w:val="00CB26C9"/>
    <w:rsid w:val="00CB35B0"/>
    <w:rsid w:val="00CB3B0F"/>
    <w:rsid w:val="00CB7F34"/>
    <w:rsid w:val="00CC4E12"/>
    <w:rsid w:val="00CD5E8F"/>
    <w:rsid w:val="00CD6110"/>
    <w:rsid w:val="00CE31BC"/>
    <w:rsid w:val="00CE61A5"/>
    <w:rsid w:val="00CF676B"/>
    <w:rsid w:val="00D10984"/>
    <w:rsid w:val="00D2088D"/>
    <w:rsid w:val="00D76895"/>
    <w:rsid w:val="00D77C46"/>
    <w:rsid w:val="00D8053C"/>
    <w:rsid w:val="00D82AA8"/>
    <w:rsid w:val="00D841BC"/>
    <w:rsid w:val="00D85CDB"/>
    <w:rsid w:val="00DB6B63"/>
    <w:rsid w:val="00DD33FD"/>
    <w:rsid w:val="00DD3FC8"/>
    <w:rsid w:val="00DD67EF"/>
    <w:rsid w:val="00DE3831"/>
    <w:rsid w:val="00DF28B3"/>
    <w:rsid w:val="00DF3F22"/>
    <w:rsid w:val="00DF774F"/>
    <w:rsid w:val="00E01337"/>
    <w:rsid w:val="00E01A99"/>
    <w:rsid w:val="00E21CBF"/>
    <w:rsid w:val="00E237EB"/>
    <w:rsid w:val="00E3219E"/>
    <w:rsid w:val="00E32596"/>
    <w:rsid w:val="00E34C01"/>
    <w:rsid w:val="00E37CB0"/>
    <w:rsid w:val="00E64E6C"/>
    <w:rsid w:val="00E6541D"/>
    <w:rsid w:val="00E65D43"/>
    <w:rsid w:val="00E73232"/>
    <w:rsid w:val="00E758A0"/>
    <w:rsid w:val="00EC4239"/>
    <w:rsid w:val="00EC4700"/>
    <w:rsid w:val="00ED6133"/>
    <w:rsid w:val="00ED645E"/>
    <w:rsid w:val="00EE6BE5"/>
    <w:rsid w:val="00EE7718"/>
    <w:rsid w:val="00EF0529"/>
    <w:rsid w:val="00EF254F"/>
    <w:rsid w:val="00F0660F"/>
    <w:rsid w:val="00F14B85"/>
    <w:rsid w:val="00F160DE"/>
    <w:rsid w:val="00F16FC5"/>
    <w:rsid w:val="00F34302"/>
    <w:rsid w:val="00F57F95"/>
    <w:rsid w:val="00F717DC"/>
    <w:rsid w:val="00FE17CC"/>
    <w:rsid w:val="00FE51E6"/>
    <w:rsid w:val="00FF11C6"/>
    <w:rsid w:val="00FF2E9D"/>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D1B6B"/>
  <w14:defaultImageDpi w14:val="300"/>
  <w15:chartTrackingRefBased/>
  <w15:docId w15:val="{93B0BDF9-EBD5-C54E-B42F-56B9D0F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3C37"/>
    <w:rPr>
      <w:color w:val="0000FF"/>
      <w:u w:val="single"/>
    </w:rPr>
  </w:style>
  <w:style w:type="paragraph" w:customStyle="1" w:styleId="Body">
    <w:name w:val="Body"/>
    <w:rsid w:val="00FF4C38"/>
    <w:pPr>
      <w:widowControl w:val="0"/>
      <w:autoSpaceDE w:val="0"/>
      <w:autoSpaceDN w:val="0"/>
      <w:adjustRightInd w:val="0"/>
      <w:spacing w:line="240" w:lineRule="atLeast"/>
    </w:pPr>
    <w:rPr>
      <w:rFonts w:ascii="Helvetica" w:hAnsi="Helvetica"/>
      <w:noProof/>
      <w:color w:val="000000"/>
      <w:sz w:val="24"/>
      <w:szCs w:val="24"/>
      <w:lang w:eastAsia="en-US"/>
    </w:rPr>
  </w:style>
  <w:style w:type="paragraph" w:customStyle="1" w:styleId="xmsolistparagraph">
    <w:name w:val="x_msolistparagraph"/>
    <w:basedOn w:val="Normal"/>
    <w:rsid w:val="008D513D"/>
    <w:pPr>
      <w:spacing w:before="100" w:beforeAutospacing="1" w:after="100" w:afterAutospacing="1"/>
    </w:pPr>
  </w:style>
  <w:style w:type="character" w:customStyle="1" w:styleId="xapple-converted-space">
    <w:name w:val="x_apple-converted-space"/>
    <w:rsid w:val="008D513D"/>
  </w:style>
  <w:style w:type="paragraph" w:customStyle="1" w:styleId="xmsonormal">
    <w:name w:val="x_msonormal"/>
    <w:basedOn w:val="Normal"/>
    <w:rsid w:val="008D513D"/>
    <w:pPr>
      <w:spacing w:before="100" w:beforeAutospacing="1" w:after="100" w:afterAutospacing="1"/>
    </w:pPr>
  </w:style>
  <w:style w:type="character" w:styleId="UnresolvedMention">
    <w:name w:val="Unresolved Mention"/>
    <w:uiPriority w:val="99"/>
    <w:semiHidden/>
    <w:unhideWhenUsed/>
    <w:rsid w:val="00AF20D2"/>
    <w:rPr>
      <w:color w:val="605E5C"/>
      <w:shd w:val="clear" w:color="auto" w:fill="E1DFDD"/>
    </w:rPr>
  </w:style>
  <w:style w:type="character" w:customStyle="1" w:styleId="apple-converted-space">
    <w:name w:val="apple-converted-space"/>
    <w:rsid w:val="00D76895"/>
  </w:style>
  <w:style w:type="character" w:styleId="FollowedHyperlink">
    <w:name w:val="FollowedHyperlink"/>
    <w:uiPriority w:val="99"/>
    <w:semiHidden/>
    <w:unhideWhenUsed/>
    <w:rsid w:val="00ED6133"/>
    <w:rPr>
      <w:color w:val="954F72"/>
      <w:u w:val="single"/>
    </w:rPr>
  </w:style>
  <w:style w:type="paragraph" w:styleId="Footer">
    <w:name w:val="footer"/>
    <w:basedOn w:val="Normal"/>
    <w:link w:val="FooterChar"/>
    <w:uiPriority w:val="99"/>
    <w:unhideWhenUsed/>
    <w:rsid w:val="00043B94"/>
    <w:pPr>
      <w:tabs>
        <w:tab w:val="center" w:pos="4680"/>
        <w:tab w:val="right" w:pos="9360"/>
      </w:tabs>
    </w:pPr>
  </w:style>
  <w:style w:type="character" w:customStyle="1" w:styleId="FooterChar">
    <w:name w:val="Footer Char"/>
    <w:link w:val="Footer"/>
    <w:uiPriority w:val="99"/>
    <w:rsid w:val="00043B94"/>
    <w:rPr>
      <w:sz w:val="24"/>
      <w:szCs w:val="24"/>
    </w:rPr>
  </w:style>
  <w:style w:type="character" w:styleId="PageNumber">
    <w:name w:val="page number"/>
    <w:basedOn w:val="DefaultParagraphFont"/>
    <w:uiPriority w:val="99"/>
    <w:semiHidden/>
    <w:unhideWhenUsed/>
    <w:rsid w:val="00043B94"/>
  </w:style>
  <w:style w:type="paragraph" w:styleId="ListParagraph">
    <w:name w:val="List Paragraph"/>
    <w:basedOn w:val="Normal"/>
    <w:uiPriority w:val="72"/>
    <w:qFormat/>
    <w:rsid w:val="002D4D42"/>
    <w:pPr>
      <w:ind w:left="720"/>
    </w:pPr>
  </w:style>
  <w:style w:type="character" w:styleId="Emphasis">
    <w:name w:val="Emphasis"/>
    <w:uiPriority w:val="20"/>
    <w:qFormat/>
    <w:rsid w:val="00096797"/>
    <w:rPr>
      <w:i/>
      <w:iCs/>
    </w:rPr>
  </w:style>
  <w:style w:type="paragraph" w:styleId="Header">
    <w:name w:val="header"/>
    <w:basedOn w:val="Normal"/>
    <w:link w:val="HeaderChar"/>
    <w:uiPriority w:val="99"/>
    <w:unhideWhenUsed/>
    <w:rsid w:val="00BC1024"/>
    <w:pPr>
      <w:tabs>
        <w:tab w:val="center" w:pos="4680"/>
        <w:tab w:val="right" w:pos="9360"/>
      </w:tabs>
    </w:pPr>
  </w:style>
  <w:style w:type="character" w:customStyle="1" w:styleId="HeaderChar">
    <w:name w:val="Header Char"/>
    <w:basedOn w:val="DefaultParagraphFont"/>
    <w:link w:val="Header"/>
    <w:uiPriority w:val="99"/>
    <w:rsid w:val="00BC1024"/>
    <w:rPr>
      <w:sz w:val="24"/>
      <w:szCs w:val="24"/>
      <w:lang w:eastAsia="en-US"/>
    </w:rPr>
  </w:style>
  <w:style w:type="paragraph" w:customStyle="1" w:styleId="p1">
    <w:name w:val="p1"/>
    <w:basedOn w:val="Normal"/>
    <w:rsid w:val="00527AD0"/>
    <w:rPr>
      <w:rFonts w:ascii="Helvetica" w:hAnsi="Helvetica"/>
      <w:color w:val="000000"/>
      <w:sz w:val="18"/>
      <w:szCs w:val="18"/>
      <w:lang w:eastAsia="ja-JP"/>
    </w:rPr>
  </w:style>
  <w:style w:type="character" w:customStyle="1" w:styleId="s1">
    <w:name w:val="s1"/>
    <w:basedOn w:val="DefaultParagraphFont"/>
    <w:rsid w:val="00527AD0"/>
    <w:rPr>
      <w:rFonts w:ascii="Arial" w:hAnsi="Arial" w:cs="Arial" w:hint="default"/>
      <w:sz w:val="18"/>
      <w:szCs w:val="18"/>
    </w:rPr>
  </w:style>
  <w:style w:type="character" w:customStyle="1" w:styleId="s2">
    <w:name w:val="s2"/>
    <w:basedOn w:val="DefaultParagraphFont"/>
    <w:rsid w:val="00527AD0"/>
    <w:rPr>
      <w:color w:val="01208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995">
      <w:bodyDiv w:val="1"/>
      <w:marLeft w:val="0"/>
      <w:marRight w:val="0"/>
      <w:marTop w:val="0"/>
      <w:marBottom w:val="0"/>
      <w:divBdr>
        <w:top w:val="none" w:sz="0" w:space="0" w:color="auto"/>
        <w:left w:val="none" w:sz="0" w:space="0" w:color="auto"/>
        <w:bottom w:val="none" w:sz="0" w:space="0" w:color="auto"/>
        <w:right w:val="none" w:sz="0" w:space="0" w:color="auto"/>
      </w:divBdr>
    </w:div>
    <w:div w:id="660159919">
      <w:bodyDiv w:val="1"/>
      <w:marLeft w:val="0"/>
      <w:marRight w:val="0"/>
      <w:marTop w:val="0"/>
      <w:marBottom w:val="0"/>
      <w:divBdr>
        <w:top w:val="none" w:sz="0" w:space="0" w:color="auto"/>
        <w:left w:val="none" w:sz="0" w:space="0" w:color="auto"/>
        <w:bottom w:val="none" w:sz="0" w:space="0" w:color="auto"/>
        <w:right w:val="none" w:sz="0" w:space="0" w:color="auto"/>
      </w:divBdr>
    </w:div>
    <w:div w:id="1520125724">
      <w:bodyDiv w:val="1"/>
      <w:marLeft w:val="0"/>
      <w:marRight w:val="0"/>
      <w:marTop w:val="0"/>
      <w:marBottom w:val="0"/>
      <w:divBdr>
        <w:top w:val="none" w:sz="0" w:space="0" w:color="auto"/>
        <w:left w:val="none" w:sz="0" w:space="0" w:color="auto"/>
        <w:bottom w:val="none" w:sz="0" w:space="0" w:color="auto"/>
        <w:right w:val="none" w:sz="0" w:space="0" w:color="auto"/>
      </w:divBdr>
    </w:div>
    <w:div w:id="20936229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C556-1629-4549-9D66-77939BA8063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205</TotalTime>
  <Pages>5</Pages>
  <Words>1718</Words>
  <Characters>8819</Characters>
  <Application>Microsoft Office Word</Application>
  <DocSecurity>0</DocSecurity>
  <Lines>209</Lines>
  <Paragraphs>113</Paragraphs>
  <ScaleCrop>false</ScaleCrop>
  <HeadingPairs>
    <vt:vector size="2" baseType="variant">
      <vt:variant>
        <vt:lpstr>Title</vt:lpstr>
      </vt:variant>
      <vt:variant>
        <vt:i4>1</vt:i4>
      </vt:variant>
    </vt:vector>
  </HeadingPairs>
  <TitlesOfParts>
    <vt:vector size="1" baseType="lpstr">
      <vt:lpstr>MUJS 1361 Jazz Aural Fundamentals Fall 2005 Syllabus</vt:lpstr>
    </vt:vector>
  </TitlesOfParts>
  <Company>CLASSIFIED</Company>
  <LinksUpToDate>false</LinksUpToDate>
  <CharactersWithSpaces>10424</CharactersWithSpaces>
  <SharedDoc>false</SharedDoc>
  <HLinks>
    <vt:vector size="54" baseType="variant">
      <vt:variant>
        <vt:i4>1441809</vt:i4>
      </vt:variant>
      <vt:variant>
        <vt:i4>24</vt:i4>
      </vt:variant>
      <vt:variant>
        <vt:i4>0</vt:i4>
      </vt:variant>
      <vt:variant>
        <vt:i4>5</vt:i4>
      </vt:variant>
      <vt:variant>
        <vt:lpwstr>https://registrar.unt.edu/exams/final-exam-schedule/fall</vt:lpwstr>
      </vt:variant>
      <vt:variant>
        <vt:lpwstr/>
      </vt:variant>
      <vt:variant>
        <vt:i4>1638468</vt:i4>
      </vt:variant>
      <vt:variant>
        <vt:i4>21</vt:i4>
      </vt:variant>
      <vt:variant>
        <vt:i4>0</vt:i4>
      </vt:variant>
      <vt:variant>
        <vt:i4>5</vt:i4>
      </vt:variant>
      <vt:variant>
        <vt:lpwstr>https://music.unt.edu/student-health-and-wellness</vt:lpwstr>
      </vt:variant>
      <vt:variant>
        <vt:lpwstr/>
      </vt:variant>
      <vt:variant>
        <vt:i4>852049</vt:i4>
      </vt:variant>
      <vt:variant>
        <vt:i4>18</vt:i4>
      </vt:variant>
      <vt:variant>
        <vt:i4>0</vt:i4>
      </vt:variant>
      <vt:variant>
        <vt:i4>5</vt:i4>
      </vt:variant>
      <vt:variant>
        <vt:lpwstr>https://idea.unt.edu/diversity-inclusion</vt:lpwstr>
      </vt:variant>
      <vt:variant>
        <vt:lpwstr/>
      </vt:variant>
      <vt:variant>
        <vt:i4>6488169</vt:i4>
      </vt:variant>
      <vt:variant>
        <vt:i4>15</vt:i4>
      </vt:variant>
      <vt:variant>
        <vt:i4>0</vt:i4>
      </vt:variant>
      <vt:variant>
        <vt:i4>5</vt:i4>
      </vt:variant>
      <vt:variant>
        <vt:lpwstr>http://disability.unt.edu/</vt:lpwstr>
      </vt:variant>
      <vt:variant>
        <vt:lpwstr/>
      </vt:variant>
      <vt:variant>
        <vt:i4>720905</vt:i4>
      </vt:variant>
      <vt:variant>
        <vt:i4>12</vt:i4>
      </vt:variant>
      <vt:variant>
        <vt:i4>0</vt:i4>
      </vt:variant>
      <vt:variant>
        <vt:i4>5</vt:i4>
      </vt:variant>
      <vt:variant>
        <vt:lpwstr>http://eagleconnect.unt.edu/</vt:lpwstr>
      </vt:variant>
      <vt:variant>
        <vt:lpwstr/>
      </vt:variant>
      <vt:variant>
        <vt:i4>6488161</vt:i4>
      </vt:variant>
      <vt:variant>
        <vt:i4>9</vt:i4>
      </vt:variant>
      <vt:variant>
        <vt:i4>0</vt:i4>
      </vt:variant>
      <vt:variant>
        <vt:i4>5</vt:i4>
      </vt:variant>
      <vt:variant>
        <vt:lpwstr>http://my.unt.edu/</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1704008</vt:i4>
      </vt:variant>
      <vt:variant>
        <vt:i4>3</vt:i4>
      </vt:variant>
      <vt:variant>
        <vt:i4>0</vt:i4>
      </vt:variant>
      <vt:variant>
        <vt:i4>5</vt:i4>
      </vt:variant>
      <vt:variant>
        <vt:lpwstr>https://policy.unt.edu/policy/06-003</vt:lpwstr>
      </vt:variant>
      <vt:variant>
        <vt:lpwstr/>
      </vt:variant>
      <vt:variant>
        <vt:i4>4194355</vt:i4>
      </vt:variant>
      <vt:variant>
        <vt:i4>0</vt:i4>
      </vt:variant>
      <vt:variant>
        <vt:i4>0</vt:i4>
      </vt:variant>
      <vt:variant>
        <vt:i4>5</vt:i4>
      </vt:variant>
      <vt:variant>
        <vt:lpwstr>mailto:rodney.booth@unt.edu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MUJS 1361 Jazz Aural Fundamentals Fall 2005 Syllabus</dc:title>
  <dc:subject/>
  <dc:creator>Office 2004 Test Drive User</dc:creator>
  <cp:keywords/>
  <cp:lastModifiedBy>Kai Wagner</cp:lastModifiedBy>
  <cp:revision>9</cp:revision>
  <cp:lastPrinted>2023-08-25T17:37:00Z</cp:lastPrinted>
  <dcterms:created xsi:type="dcterms:W3CDTF">2025-08-05T13:46:00Z</dcterms:created>
  <dcterms:modified xsi:type="dcterms:W3CDTF">2026-01-06T22:01:00Z</dcterms:modified>
</cp:coreProperties>
</file>